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40" w:after="283"/>
        <w:ind w:left="0" w:right="0" w:firstLine="72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tbl>
      <w:tblPr>
        <w:tblW w:w="2473" w:type="dxa"/>
        <w:jc w:val="center"/>
        <w:tblInd w:w="0" w:type="dxa"/>
        <w:tblLayout w:type="fixed"/>
        <w:tblCellMar>
          <w:top w:w="28" w:type="dxa"/>
          <w:left w:w="28" w:type="dxa"/>
          <w:bottom w:w="28" w:type="dxa"/>
          <w:right w:w="28" w:type="dxa"/>
        </w:tblCellMar>
      </w:tblPr>
      <w:tblGrid>
        <w:gridCol w:w="446"/>
        <w:gridCol w:w="392"/>
        <w:gridCol w:w="393"/>
        <w:gridCol w:w="109"/>
        <w:gridCol w:w="109"/>
        <w:gridCol w:w="109"/>
        <w:gridCol w:w="267"/>
        <w:gridCol w:w="267"/>
        <w:gridCol w:w="381"/>
      </w:tblGrid>
      <w:tr>
        <w:trPr/>
        <w:tc>
          <w:tcPr>
            <w:tcW w:w="4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100" w:after="283"/>
              <w:jc w:val="center"/>
              <w:rPr>
                <w:rFonts w:ascii="Times New Roman;sans-serif" w:hAnsi="Times New Roman;sans-serif"/>
                <w:b/>
                <w:color w:val="000000"/>
                <w:sz w:val="36"/>
              </w:rPr>
            </w:pPr>
            <w:r>
              <w:rPr>
                <w:rFonts w:ascii="Times New Roman;sans-serif" w:hAnsi="Times New Roman;sans-serif"/>
                <w:b/>
                <w:color w:val="000000"/>
                <w:sz w:val="36"/>
              </w:rPr>
              <w:t>FORM</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100" w:after="283"/>
              <w:jc w:val="center"/>
              <w:rPr>
                <w:rFonts w:ascii="Times New Roman;sans-serif" w:hAnsi="Times New Roman;sans-serif"/>
                <w:b/>
                <w:color w:val="000000"/>
                <w:sz w:val="36"/>
              </w:rPr>
            </w:pPr>
            <w:r>
              <w:rPr>
                <w:rFonts w:ascii="Times New Roman;sans-serif" w:hAnsi="Times New Roman;sans-serif"/>
                <w:b/>
                <w:color w:val="000000"/>
                <w:sz w:val="36"/>
              </w:rPr>
              <w:t>10-Q</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March 31, 2024</w:t>
      </w:r>
    </w:p>
    <w:p>
      <w:pPr>
        <w:pStyle w:val="TextBody"/>
        <w:bidi w:val="0"/>
        <w:spacing w:lineRule="auto" w:line="288" w:before="40" w:after="283"/>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88" w:before="0" w:after="0"/>
        <w:jc w:val="center"/>
        <w:rPr/>
      </w:pPr>
      <w:r>
        <w:rPr>
          <w:rFonts w:ascii="Times New Roman;sans-serif" w:hAnsi="Times New Roman;sans-serif"/>
          <w:b/>
          <w:color w:val="000000"/>
          <w:sz w:val="20"/>
        </w:rPr>
        <w:t>For the transition period from</w:t>
      </w:r>
      <w:r>
        <w:rPr>
          <w:color w:val="000000"/>
        </w:rPr>
        <w:t xml:space="preserve">  </w:t>
      </w:r>
      <w:r>
        <w:rPr>
          <w:color w:val="000000"/>
          <w:u w:val="single"/>
        </w:rPr>
        <w:t>                     </w:t>
      </w:r>
      <w:r>
        <w:rPr>
          <w:color w:val="000000"/>
        </w:rPr>
        <w:t xml:space="preserve">   </w:t>
      </w:r>
      <w:r>
        <w:rPr>
          <w:rFonts w:ascii="Times New Roman;sans-serif" w:hAnsi="Times New Roman;sans-serif"/>
          <w:b/>
          <w:color w:val="000000"/>
          <w:sz w:val="20"/>
        </w:rPr>
        <w:t>to</w:t>
      </w:r>
      <w:r>
        <w:rPr>
          <w:color w:val="000000"/>
        </w:rPr>
        <w:t xml:space="preserve"> </w:t>
      </w:r>
      <w:r>
        <w:rPr>
          <w:color w:val="000000"/>
          <w:u w:val="single"/>
        </w:rPr>
        <w:t>                   </w:t>
      </w:r>
      <w:r>
        <w:rPr>
          <w:color w:val="000000"/>
        </w:rPr>
        <w:t> </w:t>
      </w:r>
      <w:r>
        <w:rPr>
          <w:rFonts w:ascii="Times New Roman;sans-serif" w:hAnsi="Times New Roman;sans-serif"/>
          <w:b w:val="false"/>
          <w:color w:val="000000"/>
          <w:sz w:val="20"/>
        </w:rPr>
        <w:t>.  </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001-38358 </w:t>
      </w:r>
    </w:p>
    <w:tbl>
      <w:tblPr>
        <w:tblW w:w="4256" w:type="dxa"/>
        <w:jc w:val="center"/>
        <w:tblInd w:w="0" w:type="dxa"/>
        <w:tblLayout w:type="fixed"/>
        <w:tblCellMar>
          <w:top w:w="28" w:type="dxa"/>
          <w:left w:w="28" w:type="dxa"/>
          <w:bottom w:w="28" w:type="dxa"/>
          <w:right w:w="28" w:type="dxa"/>
        </w:tblCellMar>
      </w:tblPr>
      <w:tblGrid>
        <w:gridCol w:w="124"/>
        <w:gridCol w:w="109"/>
        <w:gridCol w:w="109"/>
        <w:gridCol w:w="1146"/>
        <w:gridCol w:w="1146"/>
        <w:gridCol w:w="16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00" w:after="283"/>
              <w:jc w:val="center"/>
              <w:rPr>
                <w:rFonts w:ascii="Times New Roman;sans-serif" w:hAnsi="Times New Roman;sans-serif"/>
                <w:b/>
                <w:color w:val="000000"/>
                <w:sz w:val="36"/>
              </w:rPr>
            </w:pPr>
            <w:r>
              <w:rPr>
                <w:rFonts w:ascii="Times New Roman;sans-serif" w:hAnsi="Times New Roman;sans-serif"/>
                <w:b/>
                <w:color w:val="000000"/>
                <w:sz w:val="36"/>
              </w:rPr>
              <w:t>INSEEGO CORP.</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(Exact name of registrant as specified in its charter)</w:t>
            </w:r>
          </w:p>
        </w:tc>
      </w:tr>
    </w:tbl>
    <w:tbl>
      <w:tblPr>
        <w:tblW w:w="4822" w:type="dxa"/>
        <w:jc w:val="left"/>
        <w:tblInd w:w="0" w:type="dxa"/>
        <w:tblLayout w:type="fixed"/>
        <w:tblCellMar>
          <w:top w:w="28" w:type="dxa"/>
          <w:left w:w="28" w:type="dxa"/>
          <w:bottom w:w="28" w:type="dxa"/>
          <w:right w:w="28" w:type="dxa"/>
        </w:tblCellMar>
      </w:tblPr>
      <w:tblGrid>
        <w:gridCol w:w="555"/>
        <w:gridCol w:w="488"/>
        <w:gridCol w:w="488"/>
        <w:gridCol w:w="488"/>
        <w:gridCol w:w="488"/>
        <w:gridCol w:w="504"/>
        <w:gridCol w:w="109"/>
        <w:gridCol w:w="109"/>
        <w:gridCol w:w="109"/>
        <w:gridCol w:w="433"/>
        <w:gridCol w:w="433"/>
        <w:gridCol w:w="618"/>
      </w:tblGrid>
      <w:tr>
        <w:trPr/>
        <w:tc>
          <w:tcPr>
            <w:tcW w:w="55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301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81-3377646</w:t>
            </w:r>
          </w:p>
        </w:tc>
      </w:tr>
      <w:tr>
        <w:trPr/>
        <w:tc>
          <w:tcPr>
            <w:tcW w:w="301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w:t>
              <w:br/>
              <w:t>of 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9710 Scranton Road, Suite 200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San Diego,</w:t>
            </w:r>
          </w:p>
        </w:tc>
        <w:tc>
          <w:tcPr>
            <w:tcW w:w="1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92121</w:t>
            </w:r>
          </w:p>
        </w:tc>
      </w:tr>
      <w:tr>
        <w:trPr/>
        <w:tc>
          <w:tcPr>
            <w:tcW w:w="301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Registrant’s telephone number, including area code: (858) 812-3400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924" w:type="dxa"/>
        <w:jc w:val="center"/>
        <w:tblInd w:w="0" w:type="dxa"/>
        <w:tblLayout w:type="fixed"/>
        <w:tblCellMar>
          <w:top w:w="28" w:type="dxa"/>
          <w:left w:w="28" w:type="dxa"/>
          <w:bottom w:w="28" w:type="dxa"/>
          <w:right w:w="28" w:type="dxa"/>
        </w:tblCellMar>
      </w:tblPr>
      <w:tblGrid>
        <w:gridCol w:w="1304"/>
        <w:gridCol w:w="1141"/>
        <w:gridCol w:w="1155"/>
        <w:gridCol w:w="539"/>
        <w:gridCol w:w="539"/>
        <w:gridCol w:w="541"/>
        <w:gridCol w:w="1085"/>
        <w:gridCol w:w="1085"/>
        <w:gridCol w:w="1535"/>
      </w:tblGrid>
      <w:tr>
        <w:trPr/>
        <w:tc>
          <w:tcPr>
            <w:tcW w:w="1304"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360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$0.001 per share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INSG</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Nasdaq Global Select Market</w:t>
            </w:r>
          </w:p>
        </w:tc>
      </w:tr>
    </w:tbl>
    <w:p>
      <w:pPr>
        <w:pStyle w:val="TextBody"/>
        <w:bidi w:val="0"/>
        <w:spacing w:lineRule="auto" w:line="288" w:before="0" w:after="0"/>
        <w:ind w:left="0" w:right="0" w:firstLine="495"/>
        <w:jc w:val="left"/>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20"/>
        </w:rPr>
        <w:t xml:space="preserve">No  </w:t>
      </w:r>
      <w:r>
        <w:rPr>
          <w:color w:val="000000"/>
        </w:rPr>
        <w:t>☐</w:t>
      </w:r>
    </w:p>
    <w:p>
      <w:pPr>
        <w:pStyle w:val="TextBody"/>
        <w:bidi w:val="0"/>
        <w:spacing w:lineRule="auto" w:line="288" w:before="100" w:after="283"/>
        <w:ind w:left="0" w:right="0" w:firstLine="495"/>
        <w:jc w:val="left"/>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20"/>
        </w:rPr>
        <w:t xml:space="preserve">No  </w:t>
      </w:r>
      <w:r>
        <w:rPr>
          <w:color w:val="000000"/>
        </w:rPr>
        <w:t>☐</w:t>
      </w:r>
    </w:p>
    <w:p>
      <w:pPr>
        <w:pStyle w:val="TextBody"/>
        <w:bidi w:val="0"/>
        <w:spacing w:lineRule="auto" w:line="288" w:before="10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4928" w:type="dxa"/>
        <w:jc w:val="center"/>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jc w:val="left"/>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20" w:after="283"/>
        <w:jc w:val="left"/>
        <w:rPr/>
      </w:pPr>
      <w:r>
        <w:rPr>
          <w:rFonts w:ascii="Times New Roman;sans-serif" w:hAnsi="Times New Roman;sans-serif"/>
          <w:b w:val="false"/>
          <w:color w:val="000000"/>
          <w:sz w:val="20"/>
        </w:rPr>
        <w:t xml:space="preserve">Indicate by check mark whether the registrant is a shell company </w:t>
      </w:r>
      <w:r>
        <w:rPr>
          <w:rFonts w:ascii="Times New Roman;sans-serif" w:hAnsi="Times New Roman;sans-serif"/>
          <w:b w:val="false"/>
          <w:color w:val="000000"/>
          <w:sz w:val="18"/>
        </w:rPr>
        <w:t>(as defined in Rule 12b-2 of the Exchange Act)</w:t>
      </w:r>
      <w:r>
        <w:rPr>
          <w:rFonts w:ascii="Times New Roman;sans-serif" w:hAnsi="Times New Roman;sans-serif"/>
          <w:b w:val="false"/>
          <w:color w:val="000000"/>
          <w:sz w:val="20"/>
        </w:rPr>
        <w:t xml:space="preserve">. Yes </w:t>
      </w:r>
      <w:r>
        <w:rPr>
          <w:color w:val="000000"/>
        </w:rPr>
        <w:t xml:space="preserve">☐ </w:t>
      </w:r>
      <w:r>
        <w:rPr>
          <w:rFonts w:ascii="Times New Roman;sans-serif" w:hAnsi="Times New Roman;sans-serif"/>
          <w:b w:val="false"/>
          <w:color w:val="000000"/>
          <w:sz w:val="20"/>
        </w:rPr>
        <w:t>No </w:t>
      </w:r>
      <w:r>
        <w:rPr>
          <w:color w:val="000000"/>
        </w:rPr>
        <w:t>☒</w:t>
      </w:r>
    </w:p>
    <w:p>
      <w:pPr>
        <w:pStyle w:val="TextBody"/>
        <w:bidi w:val="0"/>
        <w:spacing w:lineRule="auto" w:line="288" w:before="120" w:after="283"/>
        <w:jc w:val="left"/>
        <w:rPr/>
      </w:pPr>
      <w:r>
        <w:rPr>
          <w:rFonts w:ascii="Times New Roman;sans-serif" w:hAnsi="Times New Roman;sans-serif"/>
          <w:b w:val="false"/>
          <w:color w:val="000000"/>
          <w:sz w:val="20"/>
        </w:rPr>
        <w:t>The number of shares of the registrant’s common stock outstanding as of May 2, 2024</w:t>
      </w:r>
      <w:r>
        <w:rPr>
          <w:rFonts w:ascii="Times New Roman;sans-serif" w:hAnsi="Times New Roman;sans-serif"/>
          <w:b w:val="false"/>
          <w:color w:val="000000"/>
          <w:sz w:val="20"/>
          <w:shd w:fill="FFFFFF" w:val="clear"/>
        </w:rPr>
        <w:t>,</w:t>
      </w:r>
      <w:r>
        <w:rPr>
          <w:color w:val="000000"/>
        </w:rPr>
        <w:t xml:space="preserve"> </w:t>
      </w:r>
      <w:r>
        <w:rPr>
          <w:rFonts w:ascii="Times New Roman;sans-serif" w:hAnsi="Times New Roman;sans-serif"/>
          <w:b w:val="false"/>
          <w:color w:val="000000"/>
          <w:sz w:val="20"/>
        </w:rPr>
        <w:t>was 11,882,948.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bidi w:val="0"/>
        <w:spacing w:lineRule="auto" w:line="288" w:before="0" w:after="0"/>
        <w:jc w:val="left"/>
        <w:rPr>
          <w:color w:val="000000"/>
        </w:rPr>
      </w:pPr>
      <w:r>
        <w:rPr>
          <w:color w:val="000000"/>
        </w:rPr>
        <w:t> </w:t>
      </w:r>
    </w:p>
    <w:tbl>
      <w:tblPr>
        <w:tblW w:w="9566" w:type="dxa"/>
        <w:jc w:val="center"/>
        <w:tblInd w:w="0" w:type="dxa"/>
        <w:tblLayout w:type="fixed"/>
        <w:tblCellMar>
          <w:top w:w="28" w:type="dxa"/>
          <w:left w:w="28" w:type="dxa"/>
          <w:bottom w:w="28" w:type="dxa"/>
          <w:right w:w="28" w:type="dxa"/>
        </w:tblCellMar>
      </w:tblPr>
      <w:tblGrid>
        <w:gridCol w:w="612"/>
        <w:gridCol w:w="539"/>
        <w:gridCol w:w="539"/>
        <w:gridCol w:w="2447"/>
        <w:gridCol w:w="2447"/>
        <w:gridCol w:w="2471"/>
        <w:gridCol w:w="149"/>
        <w:gridCol w:w="149"/>
        <w:gridCol w:w="213"/>
      </w:tblGrid>
      <w:tr>
        <w:trPr/>
        <w:tc>
          <w:tcPr>
            <w:tcW w:w="612"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2447" w:type="dxa"/>
            <w:tcBorders/>
            <w:vAlign w:val="center"/>
          </w:tcPr>
          <w:p>
            <w:pPr>
              <w:pStyle w:val="TableContents"/>
              <w:bidi w:val="0"/>
              <w:spacing w:before="0" w:after="283"/>
              <w:jc w:val="left"/>
              <w:rPr>
                <w:sz w:val="4"/>
                <w:szCs w:val="4"/>
              </w:rPr>
            </w:pPr>
            <w:r>
              <w:rPr>
                <w:sz w:val="4"/>
                <w:szCs w:val="4"/>
              </w:rPr>
            </w:r>
          </w:p>
        </w:tc>
        <w:tc>
          <w:tcPr>
            <w:tcW w:w="2447" w:type="dxa"/>
            <w:tcBorders/>
            <w:vAlign w:val="center"/>
          </w:tcPr>
          <w:p>
            <w:pPr>
              <w:pStyle w:val="TableContents"/>
              <w:bidi w:val="0"/>
              <w:spacing w:before="0" w:after="283"/>
              <w:jc w:val="left"/>
              <w:rPr>
                <w:sz w:val="4"/>
                <w:szCs w:val="4"/>
              </w:rPr>
            </w:pPr>
            <w:r>
              <w:rPr>
                <w:sz w:val="4"/>
                <w:szCs w:val="4"/>
              </w:rPr>
            </w:r>
          </w:p>
        </w:tc>
        <w:tc>
          <w:tcPr>
            <w:tcW w:w="247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9055"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9055" w:type="dxa"/>
            <w:gridSpan w:val="6"/>
            <w:tcBorders/>
            <w:tcMar>
              <w:top w:w="0" w:type="dxa"/>
              <w:left w:w="0" w:type="dxa"/>
              <w:bottom w:w="0" w:type="dxa"/>
              <w:right w:w="0" w:type="dxa"/>
            </w:tcMar>
            <w:vAlign w:val="center"/>
          </w:tcPr>
          <w:p>
            <w:pPr>
              <w:pStyle w:val="TableContents"/>
              <w:bidi w:val="0"/>
              <w:spacing w:lineRule="auto" w:line="240" w:before="100" w:after="100"/>
              <w:jc w:val="left"/>
              <w:rPr/>
            </w:pPr>
            <w:hyperlink w:anchor="i4d89c51e5b0d4e96b07a7612a1873241_13">
              <w:r>
                <w:rPr>
                  <w:rStyle w:val="InternetLink"/>
                  <w:rFonts w:ascii="Times New Roman;sans-serif" w:hAnsi="Times New Roman;sans-serif"/>
                  <w:b w:val="false"/>
                  <w:strike w:val="false"/>
                  <w:dstrike w:val="false"/>
                  <w:color w:val="0000FF"/>
                  <w:sz w:val="20"/>
                  <w:u w:val="none"/>
                  <w:effect w:val="none"/>
                </w:rPr>
                <w:t>PART I—FINANCIAL INFORMATION</w:t>
              </w:r>
            </w:hyperlink>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d89c51e5b0d4e96b07a7612a1873241_13">
              <w:r>
                <w:rPr>
                  <w:rStyle w:val="InternetLink"/>
                  <w:rFonts w:ascii="Times New Roman;sans-serif" w:hAnsi="Times New Roman;sans-serif"/>
                  <w:b w:val="false"/>
                  <w:strike w:val="false"/>
                  <w:dstrike w:val="false"/>
                  <w:color w:val="0000FF"/>
                  <w:sz w:val="20"/>
                  <w:u w:val="none"/>
                  <w:effect w:val="none"/>
                </w:rPr>
                <w:t>Financial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d89c51e5b0d4e96b07a7612a1873241_13">
              <w:r>
                <w:rPr>
                  <w:rStyle w:val="InternetLink"/>
                  <w:rFonts w:ascii="Times New Roman;sans-serif" w:hAnsi="Times New Roman;sans-serif"/>
                  <w:b w:val="false"/>
                  <w:strike w:val="false"/>
                  <w:dstrike w:val="false"/>
                  <w:color w:val="0000FF"/>
                  <w:sz w:val="20"/>
                  <w:u w:val="none"/>
                  <w:effect w:val="none"/>
                </w:rPr>
                <w:t>3</w:t>
              </w:r>
            </w:hyperlink>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d89c51e5b0d4e96b07a7612a1873241_13">
              <w:r>
                <w:rPr>
                  <w:rStyle w:val="InternetLink"/>
                  <w:rFonts w:ascii="Times New Roman;sans-serif" w:hAnsi="Times New Roman;sans-serif"/>
                  <w:b w:val="false"/>
                  <w:strike w:val="false"/>
                  <w:dstrike w:val="false"/>
                  <w:color w:val="0000FF"/>
                  <w:sz w:val="20"/>
                  <w:u w:val="none"/>
                  <w:effect w:val="none"/>
                </w:rPr>
                <w:t>Condensed Consolidated Balance Sheets (Unaudited)</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d89c51e5b0d4e96b07a7612a1873241_13">
              <w:r>
                <w:rPr>
                  <w:rStyle w:val="InternetLink"/>
                  <w:rFonts w:ascii="Times New Roman;sans-serif" w:hAnsi="Times New Roman;sans-serif"/>
                  <w:b w:val="false"/>
                  <w:strike w:val="false"/>
                  <w:dstrike w:val="false"/>
                  <w:color w:val="0000FF"/>
                  <w:sz w:val="20"/>
                  <w:u w:val="none"/>
                  <w:effect w:val="none"/>
                </w:rPr>
                <w:t>3</w:t>
              </w:r>
            </w:hyperlink>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d89c51e5b0d4e96b07a7612a1873241_16">
              <w:r>
                <w:rPr>
                  <w:rStyle w:val="InternetLink"/>
                  <w:rFonts w:ascii="Times New Roman;sans-serif" w:hAnsi="Times New Roman;sans-serif"/>
                  <w:b w:val="false"/>
                  <w:strike w:val="false"/>
                  <w:dstrike w:val="false"/>
                  <w:color w:val="0000FF"/>
                  <w:sz w:val="20"/>
                  <w:u w:val="none"/>
                  <w:effect w:val="none"/>
                </w:rPr>
                <w:t>Condensed Consolidated Statements of Operations and Comprehensive Loss (Unaudited)</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d89c51e5b0d4e96b07a7612a1873241_16">
              <w:r>
                <w:rPr>
                  <w:rStyle w:val="InternetLink"/>
                  <w:rFonts w:ascii="Times New Roman;sans-serif" w:hAnsi="Times New Roman;sans-serif"/>
                  <w:b w:val="false"/>
                  <w:strike w:val="false"/>
                  <w:dstrike w:val="false"/>
                  <w:color w:val="0000FF"/>
                  <w:sz w:val="20"/>
                  <w:u w:val="none"/>
                  <w:effect w:val="none"/>
                </w:rPr>
                <w:t>4</w:t>
              </w:r>
            </w:hyperlink>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vAlign w:val="center"/>
          </w:tcPr>
          <w:p>
            <w:pPr>
              <w:pStyle w:val="TableContents"/>
              <w:bidi w:val="0"/>
              <w:spacing w:before="0" w:after="283"/>
              <w:jc w:val="left"/>
              <w:rPr>
                <w:sz w:val="4"/>
                <w:szCs w:val="4"/>
              </w:rPr>
            </w:pPr>
            <w:r>
              <w:rPr>
                <w:sz w:val="4"/>
                <w:szCs w:val="4"/>
              </w:rPr>
            </w:r>
          </w:p>
        </w:tc>
        <w:tc>
          <w:tcPr>
            <w:tcW w:w="7365"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r>
      <w:tr>
        <w:trPr/>
        <w:tc>
          <w:tcPr>
            <w:tcW w:w="1690" w:type="dxa"/>
            <w:gridSpan w:val="3"/>
            <w:tcBorders/>
            <w:vAlign w:val="center"/>
          </w:tcPr>
          <w:p>
            <w:pPr>
              <w:pStyle w:val="TableContents"/>
              <w:bidi w:val="0"/>
              <w:spacing w:before="0" w:after="283"/>
              <w:jc w:val="left"/>
              <w:rPr>
                <w:sz w:val="4"/>
                <w:szCs w:val="4"/>
              </w:rPr>
            </w:pPr>
            <w:r>
              <w:rPr>
                <w:sz w:val="4"/>
                <w:szCs w:val="4"/>
              </w:rPr>
            </w:r>
          </w:p>
        </w:tc>
        <w:tc>
          <w:tcPr>
            <w:tcW w:w="7365"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d89c51e5b0d4e96b07a7612a1873241_22">
              <w:r>
                <w:rPr>
                  <w:rStyle w:val="InternetLink"/>
                  <w:rFonts w:ascii="Times New Roman;sans-serif" w:hAnsi="Times New Roman;sans-serif"/>
                  <w:b w:val="false"/>
                  <w:strike w:val="false"/>
                  <w:dstrike w:val="false"/>
                  <w:color w:val="0000FF"/>
                  <w:sz w:val="20"/>
                  <w:u w:val="none"/>
                  <w:effect w:val="none"/>
                </w:rPr>
                <w:t>Condensed Consolidated Statements of Stockholders’ Deficit (Unaudited)</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d89c51e5b0d4e96b07a7612a1873241_22">
              <w:r>
                <w:rPr>
                  <w:rStyle w:val="InternetLink"/>
                  <w:rFonts w:ascii="Times New Roman;sans-serif" w:hAnsi="Times New Roman;sans-serif"/>
                  <w:b w:val="false"/>
                  <w:strike w:val="false"/>
                  <w:dstrike w:val="false"/>
                  <w:color w:val="0000FF"/>
                  <w:sz w:val="20"/>
                  <w:u w:val="none"/>
                  <w:effect w:val="none"/>
                </w:rPr>
                <w:t>5</w:t>
              </w:r>
            </w:hyperlink>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FF"/>
                <w:sz w:val="20"/>
              </w:rPr>
            </w:pPr>
            <w:r>
              <w:rPr>
                <w:rFonts w:ascii="Times New Roman;sans-serif" w:hAnsi="Times New Roman;sans-serif"/>
                <w:b w:val="false"/>
                <w:color w:val="0000FF"/>
                <w:sz w:val="20"/>
              </w:rPr>
              <w:t>Condensed Consolidated Statements of Cash Flows (Unaudited)</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d89c51e5b0d4e96b07a7612a1873241_25">
              <w:r>
                <w:rPr>
                  <w:rStyle w:val="InternetLink"/>
                  <w:rFonts w:ascii="Times New Roman;sans-serif" w:hAnsi="Times New Roman;sans-serif"/>
                  <w:b w:val="false"/>
                  <w:strike w:val="false"/>
                  <w:dstrike w:val="false"/>
                  <w:color w:val="0000FF"/>
                  <w:sz w:val="20"/>
                  <w:u w:val="none"/>
                  <w:effect w:val="none"/>
                </w:rPr>
                <w:t>6</w:t>
              </w:r>
            </w:hyperlink>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d89c51e5b0d4e96b07a7612a1873241_28">
              <w:r>
                <w:rPr>
                  <w:rStyle w:val="InternetLink"/>
                  <w:rFonts w:ascii="Times New Roman;sans-serif" w:hAnsi="Times New Roman;sans-serif"/>
                  <w:b w:val="false"/>
                  <w:strike w:val="false"/>
                  <w:dstrike w:val="false"/>
                  <w:color w:val="0000FF"/>
                  <w:sz w:val="20"/>
                  <w:u w:val="none"/>
                  <w:effect w:val="none"/>
                </w:rPr>
                <w:t>Notes to Condensed Consolidated Financial Statements (Unaudited)</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d89c51e5b0d4e96b07a7612a1873241_28">
              <w:r>
                <w:rPr>
                  <w:rStyle w:val="InternetLink"/>
                  <w:rFonts w:ascii="Times New Roman;sans-serif" w:hAnsi="Times New Roman;sans-serif"/>
                  <w:b w:val="false"/>
                  <w:strike w:val="false"/>
                  <w:dstrike w:val="false"/>
                  <w:color w:val="0000FF"/>
                  <w:sz w:val="20"/>
                  <w:u w:val="none"/>
                  <w:effect w:val="none"/>
                </w:rPr>
                <w:t>7</w:t>
              </w:r>
            </w:hyperlink>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ind w:left="0" w:right="0" w:hanging="1080"/>
              <w:jc w:val="left"/>
              <w:rPr/>
            </w:pPr>
            <w:hyperlink w:anchor="i4d89c51e5b0d4e96b07a7612a1873241_79">
              <w:r>
                <w:rPr>
                  <w:rStyle w:val="InternetLink"/>
                  <w:rFonts w:ascii="Times New Roman;sans-serif" w:hAnsi="Times New Roman;sans-serif"/>
                  <w:b w:val="false"/>
                  <w:strike w:val="false"/>
                  <w:dstrike w:val="false"/>
                  <w:color w:val="0000FF"/>
                  <w:sz w:val="20"/>
                  <w:u w:val="none"/>
                  <w:effect w:val="none"/>
                </w:rPr>
                <w:t>Management’s Discussion and Analysis of Financial Condition and Results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d89c51e5b0d4e96b07a7612a1873241_79">
              <w:r>
                <w:rPr>
                  <w:rStyle w:val="InternetLink"/>
                  <w:rFonts w:ascii="Times New Roman;sans-serif" w:hAnsi="Times New Roman;sans-serif"/>
                  <w:b w:val="false"/>
                  <w:strike w:val="false"/>
                  <w:dstrike w:val="false"/>
                  <w:color w:val="0000FF"/>
                  <w:sz w:val="20"/>
                  <w:u w:val="none"/>
                  <w:effect w:val="none"/>
                </w:rPr>
                <w:t>16</w:t>
              </w:r>
            </w:hyperlink>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d89c51e5b0d4e96b07a7612a1873241_85">
              <w:r>
                <w:rPr>
                  <w:rStyle w:val="InternetLink"/>
                  <w:rFonts w:ascii="Times New Roman;sans-serif" w:hAnsi="Times New Roman;sans-serif"/>
                  <w:b w:val="false"/>
                  <w:strike w:val="false"/>
                  <w:dstrike w:val="false"/>
                  <w:color w:val="0000FF"/>
                  <w:sz w:val="20"/>
                  <w:u w:val="none"/>
                  <w:effect w:val="none"/>
                </w:rPr>
                <w:t>Quantitative and Qualitative Disclosures About Market Risk</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d89c51e5b0d4e96b07a7612a1873241_85">
              <w:r>
                <w:rPr>
                  <w:rStyle w:val="InternetLink"/>
                  <w:rFonts w:ascii="Times New Roman;sans-serif" w:hAnsi="Times New Roman;sans-serif"/>
                  <w:b w:val="false"/>
                  <w:strike w:val="false"/>
                  <w:dstrike w:val="false"/>
                  <w:color w:val="0000FF"/>
                  <w:sz w:val="20"/>
                  <w:u w:val="none"/>
                  <w:effect w:val="none"/>
                </w:rPr>
                <w:t>24</w:t>
              </w:r>
            </w:hyperlink>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d89c51e5b0d4e96b07a7612a1873241_88">
              <w:r>
                <w:rPr>
                  <w:rStyle w:val="InternetLink"/>
                  <w:rFonts w:ascii="Times New Roman;sans-serif" w:hAnsi="Times New Roman;sans-serif"/>
                  <w:b w:val="false"/>
                  <w:strike w:val="false"/>
                  <w:dstrike w:val="false"/>
                  <w:color w:val="0000FF"/>
                  <w:sz w:val="20"/>
                  <w:u w:val="none"/>
                  <w:effect w:val="none"/>
                </w:rPr>
                <w:t>Controls and Procedures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d89c51e5b0d4e96b07a7612a1873241_88">
              <w:r>
                <w:rPr>
                  <w:rStyle w:val="InternetLink"/>
                  <w:rFonts w:ascii="Times New Roman;sans-serif" w:hAnsi="Times New Roman;sans-serif"/>
                  <w:b w:val="false"/>
                  <w:strike w:val="false"/>
                  <w:dstrike w:val="false"/>
                  <w:color w:val="0000FF"/>
                  <w:sz w:val="20"/>
                  <w:u w:val="none"/>
                  <w:effect w:val="none"/>
                </w:rPr>
                <w:t>25</w:t>
              </w:r>
            </w:hyperlink>
          </w:p>
        </w:tc>
      </w:tr>
      <w:tr>
        <w:trPr/>
        <w:tc>
          <w:tcPr>
            <w:tcW w:w="905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5"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4d89c51e5b0d4e96b07a7612a1873241_91">
              <w:r>
                <w:rPr>
                  <w:rStyle w:val="InternetLink"/>
                  <w:rFonts w:ascii="Times New Roman;sans-serif" w:hAnsi="Times New Roman;sans-serif"/>
                  <w:b w:val="false"/>
                  <w:strike w:val="false"/>
                  <w:dstrike w:val="false"/>
                  <w:color w:val="0000FF"/>
                  <w:sz w:val="20"/>
                  <w:u w:val="none"/>
                  <w:effect w:val="none"/>
                </w:rPr>
                <w:t>PART II—OTHER INFORMATION</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d89c51e5b0d4e96b07a7612a1873241_94">
              <w:r>
                <w:rPr>
                  <w:rStyle w:val="InternetLink"/>
                  <w:rFonts w:ascii="Times New Roman;sans-serif" w:hAnsi="Times New Roman;sans-serif"/>
                  <w:b w:val="false"/>
                  <w:strike w:val="false"/>
                  <w:dstrike w:val="false"/>
                  <w:color w:val="0000FF"/>
                  <w:sz w:val="20"/>
                  <w:u w:val="none"/>
                  <w:effect w:val="none"/>
                </w:rPr>
                <w:t>Legal Proceedings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d89c51e5b0d4e96b07a7612a1873241_94">
              <w:r>
                <w:rPr>
                  <w:rStyle w:val="InternetLink"/>
                  <w:rFonts w:ascii="Times New Roman;sans-serif" w:hAnsi="Times New Roman;sans-serif"/>
                  <w:b w:val="false"/>
                  <w:strike w:val="false"/>
                  <w:dstrike w:val="false"/>
                  <w:color w:val="0000FF"/>
                  <w:sz w:val="20"/>
                  <w:u w:val="none"/>
                  <w:effect w:val="none"/>
                </w:rPr>
                <w:t>26</w:t>
              </w:r>
            </w:hyperlink>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d89c51e5b0d4e96b07a7612a1873241_97">
              <w:r>
                <w:rPr>
                  <w:rStyle w:val="InternetLink"/>
                  <w:rFonts w:ascii="Times New Roman;sans-serif" w:hAnsi="Times New Roman;sans-serif"/>
                  <w:b w:val="false"/>
                  <w:strike w:val="false"/>
                  <w:dstrike w:val="false"/>
                  <w:color w:val="0000FF"/>
                  <w:sz w:val="20"/>
                  <w:u w:val="none"/>
                  <w:effect w:val="none"/>
                </w:rPr>
                <w:t>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d89c51e5b0d4e96b07a7612a1873241_97">
              <w:r>
                <w:rPr>
                  <w:rStyle w:val="InternetLink"/>
                  <w:rFonts w:ascii="Times New Roman;sans-serif" w:hAnsi="Times New Roman;sans-serif"/>
                  <w:b w:val="false"/>
                  <w:strike w:val="false"/>
                  <w:dstrike w:val="false"/>
                  <w:color w:val="0000FF"/>
                  <w:sz w:val="20"/>
                  <w:u w:val="none"/>
                  <w:effect w:val="none"/>
                </w:rPr>
                <w:t>26</w:t>
              </w:r>
            </w:hyperlink>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d89c51e5b0d4e96b07a7612a1873241_100">
              <w:r>
                <w:rPr>
                  <w:rStyle w:val="InternetLink"/>
                  <w:rFonts w:ascii="Times New Roman;sans-serif" w:hAnsi="Times New Roman;sans-serif"/>
                  <w:b w:val="false"/>
                  <w:strike w:val="false"/>
                  <w:dstrike w:val="false"/>
                  <w:color w:val="0000FF"/>
                  <w:sz w:val="20"/>
                  <w:u w:val="none"/>
                  <w:effect w:val="none"/>
                </w:rPr>
                <w:t>Unregistered Sales of Equity Securities and Use of Proceeds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d89c51e5b0d4e96b07a7612a1873241_100">
              <w:r>
                <w:rPr>
                  <w:rStyle w:val="InternetLink"/>
                  <w:rFonts w:ascii="Times New Roman;sans-serif" w:hAnsi="Times New Roman;sans-serif"/>
                  <w:b w:val="false"/>
                  <w:strike w:val="false"/>
                  <w:dstrike w:val="false"/>
                  <w:color w:val="0000FF"/>
                  <w:sz w:val="20"/>
                  <w:u w:val="none"/>
                  <w:effect w:val="none"/>
                </w:rPr>
                <w:t>26</w:t>
              </w:r>
            </w:hyperlink>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d89c51e5b0d4e96b07a7612a1873241_103">
              <w:r>
                <w:rPr>
                  <w:rStyle w:val="InternetLink"/>
                  <w:rFonts w:ascii="Times New Roman;sans-serif" w:hAnsi="Times New Roman;sans-serif"/>
                  <w:b w:val="false"/>
                  <w:strike w:val="false"/>
                  <w:dstrike w:val="false"/>
                  <w:color w:val="0000FF"/>
                  <w:sz w:val="20"/>
                  <w:u w:val="none"/>
                  <w:effect w:val="none"/>
                </w:rPr>
                <w:t>Defaults Upon Senior Securities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d89c51e5b0d4e96b07a7612a1873241_103">
              <w:r>
                <w:rPr>
                  <w:rStyle w:val="InternetLink"/>
                  <w:rFonts w:ascii="Times New Roman;sans-serif" w:hAnsi="Times New Roman;sans-serif"/>
                  <w:b w:val="false"/>
                  <w:strike w:val="false"/>
                  <w:dstrike w:val="false"/>
                  <w:color w:val="0000FF"/>
                  <w:sz w:val="20"/>
                  <w:u w:val="none"/>
                  <w:effect w:val="none"/>
                </w:rPr>
                <w:t>26</w:t>
              </w:r>
            </w:hyperlink>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d89c51e5b0d4e96b07a7612a1873241_106">
              <w:r>
                <w:rPr>
                  <w:rStyle w:val="InternetLink"/>
                  <w:rFonts w:ascii="Times New Roman;sans-serif" w:hAnsi="Times New Roman;sans-serif"/>
                  <w:b w:val="false"/>
                  <w:strike w:val="false"/>
                  <w:dstrike w:val="false"/>
                  <w:color w:val="0000FF"/>
                  <w:sz w:val="20"/>
                  <w:u w:val="none"/>
                  <w:effect w:val="none"/>
                </w:rPr>
                <w:t>Mine Safety Disclosures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d89c51e5b0d4e96b07a7612a1873241_106">
              <w:r>
                <w:rPr>
                  <w:rStyle w:val="InternetLink"/>
                  <w:rFonts w:ascii="Times New Roman;sans-serif" w:hAnsi="Times New Roman;sans-serif"/>
                  <w:b w:val="false"/>
                  <w:strike w:val="false"/>
                  <w:dstrike w:val="false"/>
                  <w:color w:val="0000FF"/>
                  <w:sz w:val="20"/>
                  <w:u w:val="none"/>
                  <w:effect w:val="none"/>
                </w:rPr>
                <w:t>26</w:t>
              </w:r>
            </w:hyperlink>
          </w:p>
        </w:tc>
      </w:tr>
      <w:tr>
        <w:trPr/>
        <w:tc>
          <w:tcPr>
            <w:tcW w:w="905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d89c51e5b0d4e96b07a7612a1873241_109">
              <w:r>
                <w:rPr>
                  <w:rStyle w:val="InternetLink"/>
                  <w:rFonts w:ascii="Times New Roman;sans-serif" w:hAnsi="Times New Roman;sans-serif"/>
                  <w:b w:val="false"/>
                  <w:strike w:val="false"/>
                  <w:dstrike w:val="false"/>
                  <w:color w:val="0000FF"/>
                  <w:sz w:val="20"/>
                  <w:u w:val="none"/>
                  <w:effect w:val="none"/>
                </w:rPr>
                <w:t>Other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d89c51e5b0d4e96b07a7612a1873241_109">
              <w:r>
                <w:rPr>
                  <w:rStyle w:val="InternetLink"/>
                  <w:rFonts w:ascii="Times New Roman;sans-serif" w:hAnsi="Times New Roman;sans-serif"/>
                  <w:b w:val="false"/>
                  <w:strike w:val="false"/>
                  <w:dstrike w:val="false"/>
                  <w:color w:val="0000FF"/>
                  <w:sz w:val="20"/>
                  <w:u w:val="none"/>
                  <w:effect w:val="none"/>
                </w:rPr>
                <w:t>26</w:t>
              </w:r>
            </w:hyperlink>
          </w:p>
        </w:tc>
      </w:tr>
      <w:tr>
        <w:trPr/>
        <w:tc>
          <w:tcPr>
            <w:tcW w:w="905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d89c51e5b0d4e96b07a7612a1873241_112">
              <w:r>
                <w:rPr>
                  <w:rStyle w:val="InternetLink"/>
                  <w:rFonts w:ascii="Times New Roman;sans-serif" w:hAnsi="Times New Roman;sans-serif"/>
                  <w:b w:val="false"/>
                  <w:strike w:val="false"/>
                  <w:dstrike w:val="false"/>
                  <w:color w:val="0000FF"/>
                  <w:sz w:val="20"/>
                  <w:u w:val="none"/>
                  <w:effect w:val="none"/>
                </w:rPr>
                <w:t>Exhibits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d89c51e5b0d4e96b07a7612a1873241_112">
              <w:r>
                <w:rPr>
                  <w:rStyle w:val="InternetLink"/>
                  <w:rFonts w:ascii="Times New Roman;sans-serif" w:hAnsi="Times New Roman;sans-serif"/>
                  <w:b w:val="false"/>
                  <w:strike w:val="false"/>
                  <w:dstrike w:val="false"/>
                  <w:color w:val="0000FF"/>
                  <w:sz w:val="20"/>
                  <w:u w:val="none"/>
                  <w:effect w:val="none"/>
                </w:rPr>
                <w:t>27</w:t>
              </w:r>
            </w:hyperlink>
          </w:p>
        </w:tc>
      </w:tr>
      <w:tr>
        <w:trPr/>
        <w:tc>
          <w:tcPr>
            <w:tcW w:w="905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5"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4d89c51e5b0d4e96b07a7612a1873241_115">
              <w:r>
                <w:rPr>
                  <w:rStyle w:val="InternetLink"/>
                  <w:rFonts w:ascii="Times New Roman;sans-serif" w:hAnsi="Times New Roman;sans-serif"/>
                  <w:b w:val="false"/>
                  <w:strike w:val="false"/>
                  <w:dstrike w:val="false"/>
                  <w:color w:val="0000FF"/>
                  <w:sz w:val="20"/>
                  <w:u w:val="none"/>
                  <w:effect w:val="none"/>
                </w:rPr>
                <w:t>SIGNATURES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d89c51e5b0d4e96b07a7612a1873241_115">
              <w:r>
                <w:rPr>
                  <w:rStyle w:val="InternetLink"/>
                  <w:rFonts w:ascii="Times New Roman;sans-serif" w:hAnsi="Times New Roman;sans-serif"/>
                  <w:b w:val="false"/>
                  <w:strike w:val="false"/>
                  <w:dstrike w:val="false"/>
                  <w:color w:val="0000FF"/>
                  <w:sz w:val="20"/>
                  <w:u w:val="none"/>
                  <w:effect w:val="none"/>
                </w:rPr>
                <w:t>28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100"/>
        <w:jc w:val="left"/>
        <w:rPr>
          <w:rFonts w:ascii="Times New Roman;sans-serif" w:hAnsi="Times New Roman;sans-serif"/>
          <w:b/>
          <w:color w:val="000000"/>
          <w:sz w:val="20"/>
        </w:rPr>
      </w:pPr>
      <w:r>
        <w:rPr>
          <w:rFonts w:ascii="Times New Roman;sans-serif" w:hAnsi="Times New Roman;sans-serif"/>
          <w:b/>
          <w:color w:val="000000"/>
          <w:sz w:val="20"/>
        </w:rPr>
        <w:t>PART I—FINANCIAL INFORMATION</w:t>
      </w:r>
    </w:p>
    <w:p>
      <w:pPr>
        <w:pStyle w:val="TextBody"/>
        <w:bidi w:val="0"/>
        <w:spacing w:lineRule="auto" w:line="288" w:before="100" w:after="100"/>
        <w:jc w:val="left"/>
        <w:rPr/>
      </w:pPr>
      <w:r>
        <w:rPr>
          <w:rFonts w:ascii="Times New Roman;sans-serif" w:hAnsi="Times New Roman;sans-serif"/>
          <w:b/>
          <w:color w:val="000000"/>
          <w:sz w:val="20"/>
        </w:rPr>
        <w:t>Item 1.     </w:t>
      </w:r>
      <w:r>
        <w:rPr>
          <w:rFonts w:ascii="Times New Roman;sans-serif" w:hAnsi="Times New Roman;sans-serif"/>
          <w:b/>
          <w:i/>
          <w:color w:val="000000"/>
          <w:sz w:val="20"/>
        </w:rPr>
        <w:t>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INSEEGO CORP.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BALANCE SHEETS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thousands, except par value and share data)</w:t>
      </w:r>
    </w:p>
    <w:tbl>
      <w:tblPr>
        <w:tblW w:w="10205" w:type="dxa"/>
        <w:jc w:val="left"/>
        <w:tblInd w:w="0" w:type="dxa"/>
        <w:tblLayout w:type="fixed"/>
        <w:tblCellMar>
          <w:top w:w="28" w:type="dxa"/>
          <w:left w:w="28" w:type="dxa"/>
          <w:bottom w:w="28" w:type="dxa"/>
          <w:right w:w="28" w:type="dxa"/>
        </w:tblCellMar>
      </w:tblPr>
      <w:tblGrid>
        <w:gridCol w:w="3101"/>
        <w:gridCol w:w="2308"/>
        <w:gridCol w:w="2316"/>
        <w:gridCol w:w="196"/>
        <w:gridCol w:w="736"/>
        <w:gridCol w:w="109"/>
        <w:gridCol w:w="109"/>
        <w:gridCol w:w="109"/>
        <w:gridCol w:w="109"/>
        <w:gridCol w:w="200"/>
        <w:gridCol w:w="753"/>
        <w:gridCol w:w="159"/>
      </w:tblGrid>
      <w:tr>
        <w:trPr/>
        <w:tc>
          <w:tcPr>
            <w:tcW w:w="3101" w:type="dxa"/>
            <w:tcBorders/>
            <w:vAlign w:val="center"/>
          </w:tcPr>
          <w:p>
            <w:pPr>
              <w:pStyle w:val="TableContents"/>
              <w:bidi w:val="0"/>
              <w:spacing w:before="0" w:after="283"/>
              <w:jc w:val="left"/>
              <w:rPr>
                <w:sz w:val="4"/>
                <w:szCs w:val="4"/>
              </w:rPr>
            </w:pPr>
            <w:r>
              <w:rPr>
                <w:sz w:val="4"/>
                <w:szCs w:val="4"/>
              </w:rPr>
            </w:r>
          </w:p>
        </w:tc>
        <w:tc>
          <w:tcPr>
            <w:tcW w:w="2308" w:type="dxa"/>
            <w:tcBorders/>
            <w:vAlign w:val="center"/>
          </w:tcPr>
          <w:p>
            <w:pPr>
              <w:pStyle w:val="TableContents"/>
              <w:bidi w:val="0"/>
              <w:spacing w:before="0" w:after="283"/>
              <w:jc w:val="left"/>
              <w:rPr>
                <w:sz w:val="4"/>
                <w:szCs w:val="4"/>
              </w:rPr>
            </w:pPr>
            <w:r>
              <w:rPr>
                <w:sz w:val="4"/>
                <w:szCs w:val="4"/>
              </w:rPr>
            </w:r>
          </w:p>
        </w:tc>
        <w:tc>
          <w:tcPr>
            <w:tcW w:w="23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7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7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7,519 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18"/>
              </w:rPr>
              <w:t>Accounts receivable, net of allowance for expected credit losses of $1,060 and $1,113, respectively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22,616 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22,880 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58,226 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net of accumulated depreciation of $29,427 and $28,920, respectively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Rental assets, net of accumulated depreciation of $7,859 and $7,003, respectively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5,083 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 of accumulated amortization of $42,770 and $39,987, respectively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27,140 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21,922 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5,412 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122,068 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121,797 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STOCKHOLDERS’ DEFICIT</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24,795 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current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27,022 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Revolving credit facility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59,495 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55,911 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 Notes,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159,912 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5,039 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liabilities,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227,657 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223,902 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 (Note 9)</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deficit: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par value $0.001; 2,000,000 shares authorized:</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Series E Preferred stock, par value $0.001; 39,500 shares designated, 25,000 shares issued and outstanding as of March 31, 2024 and December 31, 2023 (aggregate liquidation preference of $35,913,326)</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par value $0.001; 150,000,000 shares authorized, 11,882,844 and 11,878,557 shares issued and outstanding as of March 31, 2024 and December 31, 2023, respectively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811,637 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810,138 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(5,327)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(912,173)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(906,928)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deficit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(105,589)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(102,105)</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stockholders’ deficit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122,068 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121,797 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INSEEGO CORP.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 AND COMPREHENSIVE LOSS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thousands, except share and per share data)</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tbl>
      <w:tblPr>
        <w:tblW w:w="8046" w:type="dxa"/>
        <w:jc w:val="left"/>
        <w:tblInd w:w="0" w:type="dxa"/>
        <w:tblLayout w:type="fixed"/>
        <w:tblCellMar>
          <w:top w:w="28" w:type="dxa"/>
          <w:left w:w="28" w:type="dxa"/>
          <w:bottom w:w="28" w:type="dxa"/>
          <w:right w:w="28" w:type="dxa"/>
        </w:tblCellMar>
      </w:tblPr>
      <w:tblGrid>
        <w:gridCol w:w="2006"/>
        <w:gridCol w:w="1761"/>
        <w:gridCol w:w="1767"/>
        <w:gridCol w:w="223"/>
        <w:gridCol w:w="738"/>
        <w:gridCol w:w="109"/>
        <w:gridCol w:w="109"/>
        <w:gridCol w:w="109"/>
        <w:gridCol w:w="109"/>
        <w:gridCol w:w="223"/>
        <w:gridCol w:w="738"/>
        <w:gridCol w:w="154"/>
      </w:tblGrid>
      <w:tr>
        <w:trPr/>
        <w:tc>
          <w:tcPr>
            <w:tcW w:w="2006" w:type="dxa"/>
            <w:tcBorders/>
            <w:vAlign w:val="center"/>
          </w:tcPr>
          <w:p>
            <w:pPr>
              <w:pStyle w:val="TableContents"/>
              <w:bidi w:val="0"/>
              <w:spacing w:before="0" w:after="283"/>
              <w:jc w:val="left"/>
              <w:rPr>
                <w:sz w:val="4"/>
                <w:szCs w:val="4"/>
              </w:rPr>
            </w:pPr>
            <w:r>
              <w:rPr>
                <w:sz w:val="4"/>
                <w:szCs w:val="4"/>
              </w:rPr>
            </w:r>
          </w:p>
        </w:tc>
        <w:tc>
          <w:tcPr>
            <w:tcW w:w="1761"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55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10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Mobile solutions</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Fixed wireless access solutions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 revenues</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Services and other</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50,794 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revenues:</w:t>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Services and other</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cost of revenues</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18,187 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costs and expenses:</w:t>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capitalized software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costs and expenses</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loss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 income:</w:t>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 income, net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before income taxes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(4,793)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provision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Series E preferred stock dividends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loss attributable to common stockholders </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Per share data:</w:t>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per common share:</w:t>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Basic and diluted </w:t>
            </w:r>
            <w:r>
              <w:rPr>
                <w:rFonts w:ascii="Times New Roman;sans-serif" w:hAnsi="Times New Roman;sans-serif"/>
                <w:b w:val="false"/>
                <w:color w:val="000000"/>
                <w:sz w:val="12"/>
              </w:rPr>
              <w:t>(</w:t>
            </w:r>
            <w:r>
              <w:rPr>
                <w:rFonts w:ascii="Times New Roman;sans-serif" w:hAnsi="Times New Roman;sans-serif"/>
                <w:b w:val="false"/>
                <w:color w:val="000000"/>
                <w:sz w:val="18"/>
              </w:rPr>
              <w:t>*</w:t>
            </w:r>
            <w:r>
              <w:rPr>
                <w:rFonts w:ascii="Times New Roman;sans-serif" w:hAnsi="Times New Roman;sans-serif"/>
                <w:b w:val="false"/>
                <w:color w:val="000000"/>
                <w:sz w:val="12"/>
              </w:rPr>
              <w:t>)</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shares used in computation of net loss per common share:</w:t>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Basic and diluted </w:t>
            </w:r>
            <w:r>
              <w:rPr>
                <w:rFonts w:ascii="Times New Roman;sans-serif" w:hAnsi="Times New Roman;sans-serif"/>
                <w:b w:val="false"/>
                <w:color w:val="000000"/>
                <w:sz w:val="12"/>
              </w:rPr>
              <w:t>(</w:t>
            </w:r>
            <w:r>
              <w:rPr>
                <w:rFonts w:ascii="Times New Roman;sans-serif" w:hAnsi="Times New Roman;sans-serif"/>
                <w:b w:val="false"/>
                <w:color w:val="000000"/>
                <w:sz w:val="18"/>
              </w:rPr>
              <w:t>*</w:t>
            </w:r>
            <w:r>
              <w:rPr>
                <w:rFonts w:ascii="Times New Roman;sans-serif" w:hAnsi="Times New Roman;sans-serif"/>
                <w:b w:val="false"/>
                <w:color w:val="000000"/>
                <w:sz w:val="12"/>
              </w:rPr>
              <w: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11,879,719 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10,860,189 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loss</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(5,010)</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pPr>
      <w:r>
        <w:rPr>
          <w:rFonts w:ascii="Times New Roman;sans-serif" w:hAnsi="Times New Roman;sans-serif"/>
          <w:b w:val="false"/>
          <w:color w:val="000000"/>
          <w:sz w:val="13"/>
        </w:rPr>
        <w:t>(</w:t>
      </w:r>
      <w:r>
        <w:rPr>
          <w:rFonts w:ascii="Times New Roman;sans-serif" w:hAnsi="Times New Roman;sans-serif"/>
          <w:b w:val="false"/>
          <w:color w:val="000000"/>
          <w:sz w:val="20"/>
        </w:rPr>
        <w:t>*</w:t>
      </w:r>
      <w:r>
        <w:rPr>
          <w:rFonts w:ascii="Times New Roman;sans-serif" w:hAnsi="Times New Roman;sans-serif"/>
          <w:b w:val="false"/>
          <w:color w:val="000000"/>
          <w:sz w:val="13"/>
        </w:rPr>
        <w:t xml:space="preserve">) </w:t>
      </w:r>
      <w:r>
        <w:rPr>
          <w:rFonts w:ascii="Times New Roman;sans-serif" w:hAnsi="Times New Roman;sans-serif"/>
          <w:b w:val="false"/>
          <w:color w:val="000000"/>
          <w:sz w:val="16"/>
        </w:rPr>
        <w:t>Adjusted retroactively for reverse stock split that occurred on January 24, 2024, see Note 1</w:t>
      </w:r>
    </w:p>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center"/>
        <w:rPr/>
      </w:pPr>
      <w:r>
        <w:rPr/>
      </w:r>
    </w:p>
    <w:p>
      <w:pPr>
        <w:pStyle w:val="TextBody"/>
        <w:bidi w:val="0"/>
        <w:spacing w:before="0" w:after="0"/>
        <w:ind w:left="0" w:right="0" w:firstLine="720"/>
        <w:jc w:val="center"/>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INSEEGO CORP.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DEFICIT</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thousands)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jc w:val="center"/>
        <w:rPr/>
      </w:pPr>
      <w:r>
        <w:rPr/>
      </w:r>
    </w:p>
    <w:tbl>
      <w:tblPr>
        <w:tblW w:w="10330" w:type="dxa"/>
        <w:jc w:val="left"/>
        <w:tblInd w:w="0" w:type="dxa"/>
        <w:tblLayout w:type="fixed"/>
        <w:tblCellMar>
          <w:top w:w="28" w:type="dxa"/>
          <w:left w:w="28" w:type="dxa"/>
          <w:bottom w:w="28" w:type="dxa"/>
          <w:right w:w="28" w:type="dxa"/>
        </w:tblCellMar>
      </w:tblPr>
      <w:tblGrid>
        <w:gridCol w:w="630"/>
        <w:gridCol w:w="225"/>
        <w:gridCol w:w="226"/>
        <w:gridCol w:w="203"/>
        <w:gridCol w:w="203"/>
        <w:gridCol w:w="171"/>
        <w:gridCol w:w="109"/>
        <w:gridCol w:w="109"/>
        <w:gridCol w:w="109"/>
        <w:gridCol w:w="196"/>
        <w:gridCol w:w="406"/>
        <w:gridCol w:w="109"/>
        <w:gridCol w:w="109"/>
        <w:gridCol w:w="109"/>
        <w:gridCol w:w="109"/>
        <w:gridCol w:w="323"/>
        <w:gridCol w:w="323"/>
        <w:gridCol w:w="171"/>
        <w:gridCol w:w="109"/>
        <w:gridCol w:w="109"/>
        <w:gridCol w:w="109"/>
        <w:gridCol w:w="196"/>
        <w:gridCol w:w="331"/>
        <w:gridCol w:w="109"/>
        <w:gridCol w:w="109"/>
        <w:gridCol w:w="109"/>
        <w:gridCol w:w="109"/>
        <w:gridCol w:w="196"/>
        <w:gridCol w:w="736"/>
        <w:gridCol w:w="109"/>
        <w:gridCol w:w="109"/>
        <w:gridCol w:w="109"/>
        <w:gridCol w:w="109"/>
        <w:gridCol w:w="196"/>
        <w:gridCol w:w="751"/>
        <w:gridCol w:w="109"/>
        <w:gridCol w:w="109"/>
        <w:gridCol w:w="109"/>
        <w:gridCol w:w="109"/>
        <w:gridCol w:w="228"/>
        <w:gridCol w:w="665"/>
        <w:gridCol w:w="128"/>
        <w:gridCol w:w="109"/>
        <w:gridCol w:w="109"/>
        <w:gridCol w:w="109"/>
        <w:gridCol w:w="196"/>
        <w:gridCol w:w="751"/>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w:t>
              <w:br/>
              <w:t>Paid-in Capital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Other</w:t>
              <w:br/>
              <w:t xml:space="preserve">Comprehensive (Loss) Income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Stockholders’ Deficit</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December 31, 2022</w:t>
            </w:r>
          </w:p>
        </w:tc>
        <w:tc>
          <w:tcPr>
            <w:tcW w:w="4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10,847 </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793,952 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(857,751)</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(6,329)</w:t>
            </w:r>
          </w:p>
        </w:tc>
        <w:tc>
          <w:tcPr>
            <w:tcW w:w="1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(70,117)</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 adjustment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Vesting of restricted stock units and stock issued under employee stock purchase plan, net of taxes withheld</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shares in connection with a public offering, net of issuance costs</w:t>
            </w:r>
          </w:p>
        </w:tc>
        <w:tc>
          <w:tcPr>
            <w:tcW w:w="5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Series E preferred stock dividends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March 31, 2023</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10,937 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797,079 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(863,578)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(6,235)</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(72,723)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December 31, 2023</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11,879 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810,138 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(906,928)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(5,327)</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(102,105)</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 adjustment</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Vesting of restricted stock units and stock issued under employee stock purchase plan, net of taxes withheld</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Series E preferred stock dividends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March 31, 2024</w:t>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11,883 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811,637 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(912,173)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(5,065)</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(105,589)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Adjusted retroactively for reverse stock split that occurred on January 24, 2024, see Note 1</w:t>
      </w:r>
    </w:p>
    <w:p>
      <w:pPr>
        <w:pStyle w:val="TextBody"/>
        <w:bidi w:val="0"/>
        <w:spacing w:before="100" w:after="283"/>
        <w:jc w:val="center"/>
        <w:rPr/>
      </w:pPr>
      <w:r>
        <w:rPr/>
      </w:r>
    </w:p>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INSEEGO CORP.</w:t>
      </w:r>
    </w:p>
    <w:p>
      <w:pPr>
        <w:pStyle w:val="TextBody"/>
        <w:bidi w:val="0"/>
        <w:spacing w:lineRule="auto" w:line="288" w:before="0" w:after="0"/>
        <w:ind w:left="0" w:right="0" w:hanging="9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ind w:left="0" w:right="0" w:hanging="90"/>
        <w:jc w:val="center"/>
        <w:rPr>
          <w:rFonts w:ascii="Times New Roman;sans-serif" w:hAnsi="Times New Roman;sans-serif"/>
          <w:b/>
          <w:color w:val="000000"/>
          <w:sz w:val="18"/>
        </w:rPr>
      </w:pPr>
      <w:r>
        <w:rPr>
          <w:rFonts w:ascii="Times New Roman;sans-serif" w:hAnsi="Times New Roman;sans-serif"/>
          <w:b/>
          <w:color w:val="000000"/>
          <w:sz w:val="18"/>
        </w:rPr>
        <w:t>(In thousands)</w:t>
      </w:r>
    </w:p>
    <w:p>
      <w:pPr>
        <w:pStyle w:val="TextBody"/>
        <w:bidi w:val="0"/>
        <w:spacing w:lineRule="auto" w:line="288" w:before="0" w:after="0"/>
        <w:ind w:left="0" w:right="0" w:hanging="90"/>
        <w:jc w:val="center"/>
        <w:rPr>
          <w:rFonts w:ascii="Times New Roman;sans-serif" w:hAnsi="Times New Roman;sans-serif"/>
          <w:b/>
          <w:color w:val="000000"/>
          <w:sz w:val="18"/>
        </w:rPr>
      </w:pPr>
      <w:r>
        <w:rPr>
          <w:rFonts w:ascii="Times New Roman;sans-serif" w:hAnsi="Times New Roman;sans-serif"/>
          <w:b/>
          <w:color w:val="000000"/>
          <w:sz w:val="18"/>
        </w:rPr>
        <w:t>(Unaudited)</w:t>
      </w:r>
    </w:p>
    <w:tbl>
      <w:tblPr>
        <w:tblW w:w="8333" w:type="dxa"/>
        <w:jc w:val="center"/>
        <w:tblInd w:w="0" w:type="dxa"/>
        <w:tblLayout w:type="fixed"/>
        <w:tblCellMar>
          <w:top w:w="28" w:type="dxa"/>
          <w:left w:w="28" w:type="dxa"/>
          <w:bottom w:w="28" w:type="dxa"/>
          <w:right w:w="28" w:type="dxa"/>
        </w:tblCellMar>
      </w:tblPr>
      <w:tblGrid>
        <w:gridCol w:w="2201"/>
        <w:gridCol w:w="1928"/>
        <w:gridCol w:w="1945"/>
        <w:gridCol w:w="196"/>
        <w:gridCol w:w="646"/>
        <w:gridCol w:w="109"/>
        <w:gridCol w:w="109"/>
        <w:gridCol w:w="109"/>
        <w:gridCol w:w="109"/>
        <w:gridCol w:w="196"/>
        <w:gridCol w:w="631"/>
        <w:gridCol w:w="154"/>
      </w:tblGrid>
      <w:tr>
        <w:trPr/>
        <w:tc>
          <w:tcPr>
            <w:tcW w:w="2201"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60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6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flows from operating activities:</w:t>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loss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(5,104)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Adjustments to reconcile net loss to net cash provided by operating activities: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Depreciation and amortization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Provision for expected credit losses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Impairment of capitalized software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Provision for excess and obsolete inventory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Share-based compensation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Amortization of debt discount and debt issuance costs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Deferred income taxes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Non-cash operating lease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Changes in assets and liabilities: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Accounts receivable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Inventories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Prepaid expenses and other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Accounts payable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5,544 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Accrued expenses and other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Operating lease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cash provided by operating activities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7,659 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flows from investing activities: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Purchases of property, plant and equipment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Additions to capitalized software development costs and purchases of intangible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cash used in investing activities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(2,504)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flows from financing activities: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Principal payments under finance lease obligations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Proceeds from a public offering, net of issuance costs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Principal payments on financed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borrowings (repayments) on revolving credit facility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Proceeds from ESPP</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cash provided by (used in) financing activities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(3,340)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Effect of exchange rates on cash</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increase in cash and cash equivalents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4,778 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and cash equivalents, beginning of period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7,143 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and cash equivalents,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12,297 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8,686 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Supplemental disclosures of cash flow information:</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paid during the year for:</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Interest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Income taxes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Supplemental disclosures of non-cash investing and financing activities: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Transfer of inventories to rental assets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Capital expenditures financed through accounts payable or accrued liabilities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Right-of-use assets obtained in exchange for operating leases liabilities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hanging="90"/>
        <w:jc w:val="left"/>
        <w:rPr/>
      </w:pPr>
      <w:r>
        <w:rPr/>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INSEEGO CORP.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 Nature of Business and Significant Accounting Policies</w:t>
      </w:r>
    </w:p>
    <w:p>
      <w:pPr>
        <w:pStyle w:val="TextBody"/>
        <w:bidi w:val="0"/>
        <w:spacing w:lineRule="auto" w:line="276" w:before="180" w:after="180"/>
        <w:jc w:val="left"/>
        <w:rPr>
          <w:rFonts w:ascii="Times New Roman;sans-serif" w:hAnsi="Times New Roman;sans-serif"/>
          <w:b/>
          <w:i/>
          <w:color w:val="000000"/>
          <w:sz w:val="20"/>
        </w:rPr>
      </w:pPr>
      <w:r>
        <w:rPr>
          <w:rFonts w:ascii="Times New Roman;sans-serif" w:hAnsi="Times New Roman;sans-serif"/>
          <w:b/>
          <w:i/>
          <w:color w:val="000000"/>
          <w:sz w:val="20"/>
        </w:rPr>
        <w:t>Basis of Presentation and Consolidation</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condensed consolidated financial statements (“Financial Statements”) have been prepared by Inseego Corp. (the “Company”, “we”, “us”) in accordance with accounting principles generally accepted in the U.S. (“GAAP”) and applicable rules and regulations of the Securities and Exchange Commission (“SEC”) regarding interim financial reporting. The Financial Statements include the accounts of the Company and its consolidated subsidiaries. All significant intercompany balances and transactions have been eliminated in consolidation. These Financial Statements should be read in conjunction with the audited consolidated financial statements and notes as of and for the year ended December 31, 2023, included in the Company's Annual Report on Form 10-K for the year ended December 31, 2023 (the “Form 10-K”).</w:t>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condensed consolidated balance sheet as of December 31, 2023 was derived from the audited consolidated financial statements as of that date, but does not include all disclosures required by GAAP. In management’s opinion, the accompanying Financial Statements reflect all normal recurring adjustments necessary for their fair presentation. Other than described below, there have been no changes to the Company’s significant accounting policies described in the Form 10-K that have had a material impact on the Company’s Financial Statements. The results of operations for the interim periods presented are not necessarily indicative of results to be expected for any other interim period or for the year as a whole. </w:t>
      </w:r>
    </w:p>
    <w:p>
      <w:pPr>
        <w:pStyle w:val="TextBody"/>
        <w:bidi w:val="0"/>
        <w:spacing w:lineRule="auto" w:line="276" w:before="18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Segment Information</w:t>
      </w:r>
    </w:p>
    <w:p>
      <w:pPr>
        <w:pStyle w:val="TextBody"/>
        <w:bidi w:val="0"/>
        <w:spacing w:lineRule="auto" w:line="276" w:before="180" w:after="180"/>
        <w:ind w:left="0" w:right="0" w:firstLine="45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Company has one reportable segment. The principal executive officer, who is also the Chief Operating Decision Maker, does not manage any part of the Company separately, and the allocation of resources and assessment of performance are based solely on the Company’s consolidated operations and financial results. </w:t>
      </w:r>
    </w:p>
    <w:p>
      <w:pPr>
        <w:pStyle w:val="TextBody"/>
        <w:bidi w:val="0"/>
        <w:spacing w:lineRule="auto" w:line="276" w:before="180" w:after="180"/>
        <w:jc w:val="left"/>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GAAP requires management to make estimates and assumptions. These estimates and assumptions affect the reported amounts of assets, liabilities, revenues and expenses, and the disclosure of contingent liabilities. Actual results could differ materially from these estimates. Estimates are assessed each period and updated to reflect current information. Significant estimates include revenue recognition, warranty provision, capitalized software costs, allowance for credit losses, provision for excess and obsolete inventory, accrued liabilities related to our contract manufacturers, valuation of tangible and intangible long-lived assets, valuation of goodwill, valuation of derivatives, accruals relating to litigation, income taxes and share-based compensation expense.</w:t>
      </w:r>
    </w:p>
    <w:p>
      <w:pPr>
        <w:pStyle w:val="TextBody"/>
        <w:bidi w:val="0"/>
        <w:spacing w:lineRule="auto" w:line="276" w:before="180" w:after="180"/>
        <w:jc w:val="left"/>
        <w:rPr>
          <w:rFonts w:ascii="Times New Roman;sans-serif" w:hAnsi="Times New Roman;sans-serif"/>
          <w:b/>
          <w:i/>
          <w:color w:val="000000"/>
          <w:sz w:val="20"/>
        </w:rPr>
      </w:pPr>
      <w:r>
        <w:rPr>
          <w:rFonts w:ascii="Times New Roman;sans-serif" w:hAnsi="Times New Roman;sans-serif"/>
          <w:b/>
          <w:i/>
          <w:color w:val="000000"/>
          <w:sz w:val="20"/>
        </w:rPr>
        <w:t>Reclassifications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Certain amounts recorded in the prior period consolidated financial statements have been reclassified to conform to the current period financial statement presentation. These reclassifications had no effect on previously reported operating results.</w:t>
      </w:r>
    </w:p>
    <w:p>
      <w:pPr>
        <w:pStyle w:val="TextBody"/>
        <w:bidi w:val="0"/>
        <w:spacing w:lineRule="auto" w:line="276" w:before="180" w:after="180"/>
        <w:ind w:left="0" w:right="0" w:firstLine="450"/>
        <w:jc w:val="left"/>
        <w:rPr/>
      </w:pPr>
      <w:r>
        <w:rPr>
          <w:rFonts w:ascii="Times New Roman;sans-serif" w:hAnsi="Times New Roman;sans-serif"/>
          <w:b w:val="false"/>
          <w:color w:val="000000"/>
          <w:sz w:val="20"/>
        </w:rPr>
        <w:t xml:space="preserve">During the fourth quarter of 2023, and as noted in the Form 10-K, the Company reclassified revenue on its Consolidated Statement of Operations. Historically, the Company classified revenues from products and services into two categories, IoT &amp; Mobile Solutions and Enterprise SaaS Solutions. The Company is now classifying revenues from products and services into the following two categories: Product Revenue, which consists of our Mobile Solutions and Fixed Wireless Access Solutions, and Services and Other. Additionally, during 2023 the Company reclassified all depreciation and amortization expense previously recorded in the operating expense line items of research and development, sales and marketing, and general and administrative expenses on the Consolidated Statement of Operations into a separate line labeled </w:t>
      </w:r>
      <w:r>
        <w:rPr>
          <w:rFonts w:ascii="Times New Roman;sans-serif" w:hAnsi="Times New Roman;sans-serif"/>
          <w:b w:val="false"/>
          <w:i/>
          <w:color w:val="000000"/>
          <w:sz w:val="20"/>
        </w:rPr>
        <w:t>Depreciation and amortization.</w:t>
      </w:r>
      <w:r>
        <w:rPr>
          <w:color w:val="000000"/>
        </w:rPr>
        <w:t xml:space="preserve"> </w:t>
      </w:r>
      <w:r>
        <w:rPr>
          <w:rFonts w:ascii="Times New Roman;sans-serif" w:hAnsi="Times New Roman;sans-serif"/>
          <w:b w:val="false"/>
          <w:color w:val="000000"/>
          <w:sz w:val="20"/>
        </w:rPr>
        <w:t>All prior periods have been reclassified to conform to the current period presentation for these changes.</w:t>
      </w:r>
    </w:p>
    <w:p>
      <w:pPr>
        <w:pStyle w:val="TextBody"/>
        <w:bidi w:val="0"/>
        <w:spacing w:lineRule="auto" w:line="276" w:before="180" w:after="180"/>
        <w:jc w:val="left"/>
        <w:rPr>
          <w:rFonts w:ascii="Times New Roman;sans-serif" w:hAnsi="Times New Roman;sans-serif"/>
          <w:b/>
          <w:i/>
          <w:color w:val="000000"/>
          <w:sz w:val="20"/>
        </w:rPr>
      </w:pPr>
      <w:r>
        <w:rPr>
          <w:rFonts w:ascii="Times New Roman;sans-serif" w:hAnsi="Times New Roman;sans-serif"/>
          <w:b/>
          <w:i/>
          <w:color w:val="000000"/>
          <w:sz w:val="20"/>
        </w:rPr>
        <w:t>Reverse Stock Split</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24, 2024, the Company completed a 1-for-10 reverse stock split of its issued and outstanding common stock (the “Reverse Stock Split”). As a result of the Reverse Stock Split, each share of common stock issued and outstanding immediately prior to January 24th were automatically converted into one-tenth (1/10) of a share of common stock. The Reverse Stock Split affected all common stockholders uniformly and did not alter any stockholder's percentage interest in the Company's equity, except to the extent that the Reverse Stock Split would result in a stockholder owning a fractional share. No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INSEEGO CORP.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bidi w:val="0"/>
        <w:spacing w:before="0" w:after="0"/>
        <w:jc w:val="center"/>
        <w:rPr/>
      </w:pPr>
      <w:r>
        <w:rPr/>
      </w:r>
    </w:p>
    <w:p>
      <w:pPr>
        <w:pStyle w:val="TextBody"/>
        <w:bidi w:val="0"/>
        <w:spacing w:lineRule="auto" w:line="276"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fractional shares were issued in connection with the Reverse Stock Split. Stockholders who otherwise would be entitled to receive a fractional share instead were entitled to receive cash in lieu of such fractional share.</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Reverse Stock Split did not change the par value of the common stock or the authorized number of shares of common stock. All outstanding convertible notes entitling their holders to purchase or obtain or convert into shares of our common stock were adjusted, as required by the terms of these securities.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All common share and per-share amounts in this Form 10-Q have been retroactively restated to reflect the effect of the Reverse Stock Split. </w:t>
      </w:r>
    </w:p>
    <w:p>
      <w:pPr>
        <w:pStyle w:val="TextBody"/>
        <w:bidi w:val="0"/>
        <w:spacing w:lineRule="auto" w:line="276" w:before="180" w:after="180"/>
        <w:jc w:val="left"/>
        <w:rPr>
          <w:rFonts w:ascii="Times New Roman;sans-serif" w:hAnsi="Times New Roman;sans-serif"/>
          <w:b/>
          <w:i/>
          <w:color w:val="000000"/>
          <w:sz w:val="20"/>
        </w:rPr>
      </w:pPr>
      <w:r>
        <w:rPr>
          <w:rFonts w:ascii="Times New Roman;sans-serif" w:hAnsi="Times New Roman;sans-serif"/>
          <w:b/>
          <w:i/>
          <w:color w:val="000000"/>
          <w:sz w:val="20"/>
        </w:rPr>
        <w:t>Liquidity</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2024, the Company had available cash and cash equivalents totaling $12.3 million and working capital of $3.6 million. The Company’s Credit Facility (as defined in Note 4 – Debt), which had an outstanding balance of $4.7 million as of March 31, 2024, was voluntarily paid-off and terminated by the Company effective April 18, 2024.</w:t>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generated positive cash flow from operations both for the year ended December 31, 2023 and in the three months ended March 31, 2024. In April 2024, the Company received a $15.0 million upfront payment from a customer in connection with a two-year service contract. Based on the factors above, and to reduce financing costs, the Company voluntarily paid-off and terminated the Credit Facility effective April 18, 2024. These factors have had a positive impact on our liquidity. </w:t>
      </w:r>
    </w:p>
    <w:p>
      <w:pPr>
        <w:pStyle w:val="TextBody"/>
        <w:bidi w:val="0"/>
        <w:spacing w:lineRule="auto" w:line="268"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3.25% convertible senior notes due in May 2025 (the “2025 Notes”) have a principal balance of $161.9 million and matures on May 1, 2025. The Company’s intention is to restructure or refinance the 2025 Notes, and the Company is in active negotiations to do so, however there can be no assurance that any required or desired restructuring or financing will be available on terms favorable to the Company, or at all. As the refinancing of the 2025 Notes cannot be assured, accounting guidance requires disclosure that this raises substantial doubt about the Company’s ability to continue as a going concern within one year of the issuance of these financial statements. </w:t>
      </w:r>
    </w:p>
    <w:p>
      <w:pPr>
        <w:pStyle w:val="TextBody"/>
        <w:bidi w:val="0"/>
        <w:spacing w:lineRule="auto" w:line="268"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While the Company’s liquidity has had several positive developments recently, as noted above, the Company has a history of operating and net losses and overall usage of cash from operating and investing activities. The Company’s ability to attain profitable operations and continue to generate positive cash flows is dependent upon achieving a level and mix of revenues adequate to support its evolving cost structure. In order to effect a restructuring or refinancing of the 2025 Notes, or if events or circumstances occur such that the Company does not meet its operating plan as expected, or if the Company becomes obligated to pay unforeseen expenditures as a result of potential litigation or otherwise, the Company may be required to raise capital, reduce planned research and development activities, incur additional restructuring charges or reduce other operating expenses and capital expenditures, which could have an adverse impact on the Company’s ability to achieve its intended business objectives.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80" w:after="180"/>
        <w:jc w:val="left"/>
        <w:rPr/>
      </w:pPr>
      <w:r>
        <w:rPr/>
      </w: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Note 2. Financial Statement Details</w:t>
      </w:r>
    </w:p>
    <w:p>
      <w:pPr>
        <w:pStyle w:val="TextBody"/>
        <w:bidi w:val="0"/>
        <w:spacing w:lineRule="auto" w:line="276"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Inventories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consist of the following (in thousands):</w:t>
      </w:r>
    </w:p>
    <w:tbl>
      <w:tblPr>
        <w:tblW w:w="4743" w:type="dxa"/>
        <w:jc w:val="left"/>
        <w:tblInd w:w="0" w:type="dxa"/>
        <w:tblLayout w:type="fixed"/>
        <w:tblCellMar>
          <w:top w:w="28" w:type="dxa"/>
          <w:left w:w="28" w:type="dxa"/>
          <w:bottom w:w="28" w:type="dxa"/>
          <w:right w:w="28" w:type="dxa"/>
        </w:tblCellMar>
      </w:tblPr>
      <w:tblGrid>
        <w:gridCol w:w="841"/>
        <w:gridCol w:w="739"/>
        <w:gridCol w:w="745"/>
        <w:gridCol w:w="196"/>
        <w:gridCol w:w="646"/>
        <w:gridCol w:w="109"/>
        <w:gridCol w:w="109"/>
        <w:gridCol w:w="109"/>
        <w:gridCol w:w="109"/>
        <w:gridCol w:w="224"/>
        <w:gridCol w:w="740"/>
        <w:gridCol w:w="176"/>
      </w:tblGrid>
      <w:tr>
        <w:trPr/>
        <w:tc>
          <w:tcPr>
            <w:tcW w:w="841"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Finished goods</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18,705 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21,264 </w:t>
            </w:r>
          </w:p>
        </w:tc>
        <w:tc>
          <w:tcPr>
            <w:tcW w:w="1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Raw materials and components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inventories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22,880 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INSEEGO CORP.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bidi w:val="0"/>
        <w:spacing w:before="0" w:after="0"/>
        <w:jc w:val="center"/>
        <w:rPr/>
      </w:pPr>
      <w:r>
        <w:rPr/>
      </w:r>
    </w:p>
    <w:p>
      <w:pPr>
        <w:pStyle w:val="TextBody"/>
        <w:bidi w:val="0"/>
        <w:spacing w:lineRule="auto" w:line="276" w:before="180" w:after="180"/>
        <w:ind w:left="0" w:right="0" w:hanging="180"/>
        <w:jc w:val="left"/>
        <w:rPr>
          <w:rFonts w:ascii="Times New Roman;sans-serif" w:hAnsi="Times New Roman;sans-serif"/>
          <w:b w:val="false"/>
          <w:i/>
          <w:color w:val="000000"/>
          <w:sz w:val="20"/>
        </w:rPr>
      </w:pPr>
      <w:r>
        <w:rPr>
          <w:rFonts w:ascii="Times New Roman;sans-serif" w:hAnsi="Times New Roman;sans-serif"/>
          <w:b w:val="false"/>
          <w:i/>
          <w:color w:val="000000"/>
          <w:sz w:val="20"/>
        </w:rPr>
        <w:t>Prepaid expenses and other</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consists of the following (in thousands):</w:t>
      </w:r>
    </w:p>
    <w:tbl>
      <w:tblPr>
        <w:tblW w:w="5435" w:type="dxa"/>
        <w:jc w:val="left"/>
        <w:tblInd w:w="0" w:type="dxa"/>
        <w:tblLayout w:type="fixed"/>
        <w:tblCellMar>
          <w:top w:w="28" w:type="dxa"/>
          <w:left w:w="28" w:type="dxa"/>
          <w:bottom w:w="28" w:type="dxa"/>
          <w:right w:w="28" w:type="dxa"/>
        </w:tblCellMar>
      </w:tblPr>
      <w:tblGrid>
        <w:gridCol w:w="1085"/>
        <w:gridCol w:w="956"/>
        <w:gridCol w:w="958"/>
        <w:gridCol w:w="196"/>
        <w:gridCol w:w="556"/>
        <w:gridCol w:w="109"/>
        <w:gridCol w:w="109"/>
        <w:gridCol w:w="109"/>
        <w:gridCol w:w="109"/>
        <w:gridCol w:w="249"/>
        <w:gridCol w:w="707"/>
        <w:gridCol w:w="138"/>
        <w:gridCol w:w="154"/>
      </w:tblGrid>
      <w:tr>
        <w:trPr/>
        <w:tc>
          <w:tcPr>
            <w:tcW w:w="1085"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99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2024</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c>
          <w:tcPr>
            <w:tcW w:w="154" w:type="dxa"/>
            <w:tcBorders/>
          </w:tcPr>
          <w:p>
            <w:pPr>
              <w:pStyle w:val="TableContents"/>
              <w:bidi w:val="0"/>
              <w:spacing w:before="0" w:after="283"/>
              <w:jc w:val="left"/>
              <w:rPr>
                <w:sz w:val="4"/>
                <w:szCs w:val="4"/>
              </w:rPr>
            </w:pPr>
            <w:r>
              <w:rPr>
                <w:sz w:val="4"/>
                <w:szCs w:val="4"/>
              </w:rPr>
            </w:r>
          </w:p>
        </w:tc>
      </w:tr>
      <w:tr>
        <w:trPr/>
        <w:tc>
          <w:tcPr>
            <w:tcW w:w="2999" w:type="dxa"/>
            <w:gridSpan w:val="3"/>
            <w:vMerge w:val="continue"/>
            <w:tcBorders/>
            <w:tcMar>
              <w:top w:w="0" w:type="dxa"/>
              <w:left w:w="0" w:type="dxa"/>
              <w:bottom w:w="0" w:type="dxa"/>
              <w:right w:w="0" w:type="dxa"/>
            </w:tcMar>
            <w:vAlign w:val="center"/>
          </w:tcPr>
          <w:p>
            <w:pPr>
              <w:pStyle w:val="Normal"/>
              <w:bidi w:val="0"/>
              <w:jc w:val="left"/>
              <w:rPr/>
            </w:pPr>
            <w:r>
              <w:rPr/>
            </w:r>
          </w:p>
        </w:tc>
        <w:tc>
          <w:tcPr>
            <w:tcW w:w="8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94" w:type="dxa"/>
            <w:gridSpan w:val="3"/>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Rebate receivables</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1,950 </w:t>
            </w:r>
          </w:p>
        </w:tc>
        <w:tc>
          <w:tcPr>
            <w:tcW w:w="13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Receivables from contract manufacturers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prepaid expenses and other</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5,211 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bl>
    <w:p>
      <w:pPr>
        <w:pStyle w:val="TextBody"/>
        <w:bidi w:val="0"/>
        <w:spacing w:lineRule="auto" w:line="276"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Accrued expenses and other current liabilities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 consist of the following (in thousands):</w:t>
      </w:r>
    </w:p>
    <w:tbl>
      <w:tblPr>
        <w:tblW w:w="6093" w:type="dxa"/>
        <w:jc w:val="left"/>
        <w:tblInd w:w="0" w:type="dxa"/>
        <w:tblLayout w:type="fixed"/>
        <w:tblCellMar>
          <w:top w:w="28" w:type="dxa"/>
          <w:left w:w="28" w:type="dxa"/>
          <w:bottom w:w="28" w:type="dxa"/>
          <w:right w:w="28" w:type="dxa"/>
        </w:tblCellMar>
      </w:tblPr>
      <w:tblGrid>
        <w:gridCol w:w="1332"/>
        <w:gridCol w:w="1166"/>
        <w:gridCol w:w="1177"/>
        <w:gridCol w:w="196"/>
        <w:gridCol w:w="646"/>
        <w:gridCol w:w="109"/>
        <w:gridCol w:w="109"/>
        <w:gridCol w:w="109"/>
        <w:gridCol w:w="109"/>
        <w:gridCol w:w="224"/>
        <w:gridCol w:w="740"/>
        <w:gridCol w:w="176"/>
      </w:tblGrid>
      <w:tr>
        <w:trPr/>
        <w:tc>
          <w:tcPr>
            <w:tcW w:w="1332"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Royalties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845 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Payroll and related expenses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Warranty obligations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interest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5,583 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contract manufacturing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7,537 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5,699 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accrued expenses and other current liabilities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27,022 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Times New Roman;sans-serif" w:hAnsi="Times New Roman;sans-serif"/>
          <w:b/>
          <w:color w:val="000000"/>
          <w:sz w:val="20"/>
        </w:rPr>
      </w:pPr>
      <w:r>
        <w:rPr>
          <w:rFonts w:ascii="Times New Roman;sans-serif" w:hAnsi="Times New Roman;sans-serif"/>
          <w:b/>
          <w:color w:val="000000"/>
          <w:sz w:val="20"/>
        </w:rPr>
        <w:t>Note 3. Fair Value Measurements</w:t>
      </w:r>
    </w:p>
    <w:p>
      <w:pPr>
        <w:pStyle w:val="TextBody"/>
        <w:bidi w:val="0"/>
        <w:spacing w:lineRule="auto" w:line="268" w:before="180" w:after="180"/>
        <w:ind w:left="0" w:right="0" w:firstLine="450"/>
        <w:jc w:val="left"/>
        <w:rPr/>
      </w:pPr>
      <w:r>
        <w:rPr>
          <w:rFonts w:ascii="Times New Roman;sans-serif" w:hAnsi="Times New Roman;sans-serif"/>
          <w:b w:val="false"/>
          <w:color w:val="000000"/>
          <w:sz w:val="20"/>
        </w:rPr>
        <w:t xml:space="preserve">The Company’s only financial instrument measured at fair value on a recurring basis is its interest make-whole payment derivative liability on its 2025 Notes (see </w:t>
      </w:r>
      <w:r>
        <w:rPr>
          <w:rFonts w:ascii="Times New Roman;sans-serif" w:hAnsi="Times New Roman;sans-serif"/>
          <w:b w:val="false"/>
          <w:i/>
          <w:color w:val="000000"/>
          <w:sz w:val="20"/>
        </w:rPr>
        <w:t>Note 4 – Debt</w:t>
      </w:r>
      <w:r>
        <w:rPr>
          <w:rFonts w:ascii="Times New Roman;sans-serif" w:hAnsi="Times New Roman;sans-serif"/>
          <w:b w:val="false"/>
          <w:color w:val="000000"/>
          <w:sz w:val="20"/>
        </w:rPr>
        <w:t>). The fair value of that liability was zero as of both March 31, 2024 and December 31, 2023.</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the interest make-whole payment derivative liability was determined using a Monte Carlo model using the following key assumptions:</w:t>
      </w:r>
    </w:p>
    <w:tbl>
      <w:tblPr>
        <w:tblW w:w="4737" w:type="dxa"/>
        <w:jc w:val="left"/>
        <w:tblInd w:w="0" w:type="dxa"/>
        <w:tblLayout w:type="fixed"/>
        <w:tblCellMar>
          <w:top w:w="28" w:type="dxa"/>
          <w:left w:w="28" w:type="dxa"/>
          <w:bottom w:w="28" w:type="dxa"/>
          <w:right w:w="28" w:type="dxa"/>
        </w:tblCellMar>
      </w:tblPr>
      <w:tblGrid>
        <w:gridCol w:w="424"/>
        <w:gridCol w:w="371"/>
        <w:gridCol w:w="374"/>
        <w:gridCol w:w="288"/>
        <w:gridCol w:w="288"/>
        <w:gridCol w:w="684"/>
        <w:gridCol w:w="109"/>
        <w:gridCol w:w="109"/>
        <w:gridCol w:w="109"/>
        <w:gridCol w:w="343"/>
        <w:gridCol w:w="343"/>
        <w:gridCol w:w="814"/>
        <w:gridCol w:w="109"/>
        <w:gridCol w:w="109"/>
        <w:gridCol w:w="109"/>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Volatility</w:t>
            </w:r>
          </w:p>
        </w:tc>
        <w:tc>
          <w:tcPr>
            <w:tcW w:w="5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88.60 </w:t>
            </w:r>
          </w:p>
        </w:tc>
        <w:tc>
          <w:tcPr>
            <w:tcW w:w="68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77.00 </w:t>
            </w:r>
          </w:p>
        </w:tc>
        <w:tc>
          <w:tcPr>
            <w:tcW w:w="8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price</w:t>
            </w:r>
          </w:p>
        </w:tc>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$2.80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Credit spread</w:t>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85.09 </w:t>
            </w:r>
          </w:p>
        </w:tc>
        <w:tc>
          <w:tcPr>
            <w:tcW w:w="6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92.20 </w:t>
            </w:r>
          </w:p>
        </w:tc>
        <w:tc>
          <w:tcPr>
            <w:tcW w:w="8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Term</w:t>
            </w:r>
          </w:p>
        </w:tc>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 yield</w:t>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Risk-free rate</w:t>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4.99 </w:t>
            </w:r>
          </w:p>
        </w:tc>
        <w:tc>
          <w:tcPr>
            <w:tcW w:w="6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4.60 </w:t>
            </w:r>
          </w:p>
        </w:tc>
        <w:tc>
          <w:tcPr>
            <w:tcW w:w="8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There was no change in the fair value of the interest make-whole liability for the three months ended March 31, 2024 or March 31, 2023.</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Other Financial Instruments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carrying values of the Company’s other financial assets and liabilities approximate their fair values because of their short-term nature, with the exception of the 2025 Notes. The 2025 Notes are carried at amortized cost, adjusted for changes in the fair value of the embedded derivative.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INSEEGO CORP.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bidi w:val="0"/>
        <w:spacing w:before="0" w:after="0"/>
        <w:jc w:val="center"/>
        <w:rPr/>
      </w:pPr>
      <w:r>
        <w:rPr/>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Note 4. Debt</w:t>
      </w:r>
    </w:p>
    <w:p>
      <w:pPr>
        <w:pStyle w:val="TextBody"/>
        <w:bidi w:val="0"/>
        <w:spacing w:lineRule="auto" w:line="268" w:before="18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2025 Notes </w:t>
      </w:r>
    </w:p>
    <w:p>
      <w:pPr>
        <w:pStyle w:val="TextBody"/>
        <w:bidi w:val="0"/>
        <w:spacing w:before="0" w:after="0"/>
        <w:ind w:left="0" w:right="0" w:firstLine="720"/>
        <w:jc w:val="left"/>
        <w:rPr/>
      </w:pPr>
      <w:r>
        <w:rPr/>
      </w:r>
    </w:p>
    <w:p>
      <w:pPr>
        <w:pStyle w:val="TextBody"/>
        <w:bidi w:val="0"/>
        <w:spacing w:lineRule="auto" w:line="276"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2020, the Company completed both a registered public offering and a privately negotiated exchange agreement that resulted in the issuance of the 2025 Notes. After taking into account exchanges and redemptions occurring in prior periods, the outstanding principal balance of the 2025 notes was $161.9 million as of both March 31, 2024 and December 31, 2023.</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2025 Notes were issued under an indenture, dated May 12, 2020 (the “Base Indenture”), between the Company and Wilmington Trust, National Association, as trustee (the “Trustee”), as supplemented by the first supplemental indenture, dated May 12, 2020 (the “Supplemental Indenture” and, together with the Base Indenture, the “Indenture”), between the Company and the Trustee.</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2025 Notes will mature on May 1, 2025, unless earlier repurchased, redeemed or converted. The 2025 Notes are senior unsecured obligations of the Company and bear interest at an annual rate of 3.25%, payable semi-annually in arrears on May 1 and November 1 of each year.</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Holders of the 2025 Notes may convert the 2025 Notes into shares of the Company’s common stock (together with cash in lieu of any fractional share), at their option, at any time until the close of business on the scheduled trading day immediately before the maturity date. Upon conversion of the 2025 Notes, the Company will deliver for each $1,000 principal amount of 2025 Notes converted a number of shares of the Company’s common stock (together with cash in lieu of any fractional share), equal to the conversion rate. </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2024, the conversion rate for the 2025 Notes is 7.92896 shares of common stock per $1,000 principal amount of 2025 Notes, which represents a conversion price of approximately $126.12 per share, and is subject to adjustment upon the occurrence of certain events, including, but not limited to, certain stock dividends, splits and combinations, the issuance of certain rights, options or warrants to holders of the common stock, certain distributions of assets, debt securities, capital stock or other property to holders of the common stock, cash dividends on the common stock and certain Company tender or exchange offers. </w:t>
      </w:r>
    </w:p>
    <w:p>
      <w:pPr>
        <w:pStyle w:val="TextBody"/>
        <w:bidi w:val="0"/>
        <w:spacing w:lineRule="auto" w:line="276" w:before="180" w:after="180"/>
        <w:ind w:left="0" w:right="0" w:firstLine="450"/>
        <w:jc w:val="left"/>
        <w:rPr/>
      </w:pPr>
      <w:r>
        <w:rPr>
          <w:rFonts w:ascii="Times New Roman;sans-serif" w:hAnsi="Times New Roman;sans-serif"/>
          <w:b w:val="false"/>
          <w:color w:val="000000"/>
          <w:sz w:val="20"/>
        </w:rPr>
        <w:t>If a fundamental change (as defined in the Indenture) occurs at any time prior to the maturity date, then the noteholders may require the Company to repurchase their 2025 Notes at a cash repurchase price equal to the principal amount of the 2025 Notes to be repurchased, plus accrued and unpaid interest, if any, to, but excluding, the fundamental change repurchase date.</w:t>
      </w:r>
      <w:r>
        <w:rPr>
          <w:color w:val="000000"/>
        </w:rPr>
        <w:t xml:space="preserve"> </w:t>
      </w:r>
      <w:r>
        <w:rPr>
          <w:rFonts w:ascii="Times New Roman;sans-serif" w:hAnsi="Times New Roman;sans-serif"/>
          <w:b w:val="false"/>
          <w:color w:val="000000"/>
          <w:sz w:val="20"/>
        </w:rPr>
        <w:t>If a make-whole fundamental change (as defined in the Indenture) occurs, then the Company will in certain circumstances increase the conversion rate for a specified period of time.</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2025 Notes will be redeemable, in whole or in part, at the Company’s option at any time, and from time to time, on or after May 6, 2023 through the last scheduled trading day before the maturity date, at a cash redemption price equal to the principal amount of the 2025 Notes to be redeemed, plus accrued and unpaid interest, if any, to, but excluding, the redemption date, as long as the last reported sale price per share of the common stock exceeds 130% of the conversion price on (i) each of at least 20 trading days, whether or not consecutive, during the 30 consecutive trading days ending on, and including, the trading day immediately before the date the Company sends the related redemption notice; and (ii) the trading day immediately before the date the Company sends such notice.</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Indenture contains customary events of default. If an event of default (other than certain events of bankruptcy, insolvency or reorganization involving the Company) occurs and is continuing, the Trustee, by notice to the Company, or the holders of the 2025 Notes representing at least 25% in aggregate principal amount of the outstanding 2025 Notes, by notice to the Company and the Trustee, may declare 100% of the principal of, and all accrued and unpaid interest on, all of the then outstanding 2025 Notes to be due and payable immediately. Upon the occurrence of certain events of bankruptcy, insolvency or reorganization involving the Company, 100% of the principal of, and all accrued and unpaid interest on, all of the then outstanding 2025 Notes will automatically become immediately due and payable. Notwithstanding the foregoing, the Indenture provides that, to the extent the Company elects, the sole remedy for an event of default relating to certain failures by the Company to comply with certain reporting covenants in the Indenture will, for the first 360 days after such event of default, consist exclusively of the right to receive additional interest on the 2025 Notes.</w:t>
      </w:r>
    </w:p>
    <w:p>
      <w:pPr>
        <w:pStyle w:val="TextBody"/>
        <w:bidi w:val="0"/>
        <w:spacing w:lineRule="auto" w:line="276" w:before="180" w:after="18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make-whole payment</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2025 Notes also include an interest make-whole payment feature whereby if the last reported sale price of the Company’s common stock for each of the five trading days immediately preceding a conversion date is greater than or equal to $105.10, the Company will, in addition to the other consideration payable or deliverable in connection with such conversion,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INSEEGO CORP.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bidi w:val="0"/>
        <w:spacing w:before="0" w:after="0"/>
        <w:jc w:val="center"/>
        <w:rPr/>
      </w:pPr>
      <w:r>
        <w:rPr/>
      </w:r>
    </w:p>
    <w:p>
      <w:pPr>
        <w:pStyle w:val="TextBody"/>
        <w:bidi w:val="0"/>
        <w:spacing w:lineRule="auto" w:line="276" w:before="180" w:after="180"/>
        <w:jc w:val="left"/>
        <w:rPr/>
      </w:pPr>
      <w:r>
        <w:rPr>
          <w:rFonts w:ascii="Times New Roman;sans-serif" w:hAnsi="Times New Roman;sans-serif"/>
          <w:b w:val="false"/>
          <w:color w:val="000000"/>
          <w:sz w:val="20"/>
        </w:rPr>
        <w:t>make an interest make-whole payment to the converting holder equal to the sum of the present values of the scheduled payments of interest that would have been made on the 2025 Notes to be converted had such notes remained outstanding from the conversion date through the earlier of (i) the date that is three years after the conversion date and (ii) the maturity date. The present values will be computed using a discount rate equal to 1%. The Company will satisfy its obligation to pay the interest make-whole payment, at its election, in cash or shares of common stock (together with cash in lieu of fractional shares).</w:t>
      </w:r>
      <w:r>
        <w:rPr>
          <w:color w:val="000000"/>
        </w:rPr>
        <w:t xml:space="preserve"> </w:t>
      </w:r>
      <w:r>
        <w:rPr>
          <w:rFonts w:ascii="Times New Roman;sans-serif" w:hAnsi="Times New Roman;sans-serif"/>
          <w:b w:val="false"/>
          <w:color w:val="000000"/>
          <w:sz w:val="20"/>
        </w:rPr>
        <w:t>The Company has determined that this feature is an embedded derivative and has recognized the fair value of this derivative as a liability in the consolidated balance sheets, with subsequent changes to fair value to be recorded at each reporting period on the consolidated statement of operations in other income, net. See Note 3 – Fair Value Measurements, for more information on this derivative liability.</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2024 and December 31, 2023, $161.9 million of principal amount of the 2025 Notes was outstanding, $80.4 million of which were held by related parties. Assuming no repurchases or conversions of the 2025 Notes prior to May 1, 2025, the entire principal balance of $161.9 million is due on May 1, 2025. </w:t>
      </w:r>
    </w:p>
    <w:p>
      <w:pPr>
        <w:pStyle w:val="TextBody"/>
        <w:bidi w:val="0"/>
        <w:spacing w:lineRule="auto" w:line="237"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2025 Notes consist of the following (in thousands):</w:t>
      </w:r>
    </w:p>
    <w:tbl>
      <w:tblPr>
        <w:tblW w:w="5649" w:type="dxa"/>
        <w:jc w:val="left"/>
        <w:tblInd w:w="0" w:type="dxa"/>
        <w:tblLayout w:type="fixed"/>
        <w:tblCellMar>
          <w:top w:w="28" w:type="dxa"/>
          <w:left w:w="28" w:type="dxa"/>
          <w:bottom w:w="28" w:type="dxa"/>
          <w:right w:w="28" w:type="dxa"/>
        </w:tblCellMar>
      </w:tblPr>
      <w:tblGrid>
        <w:gridCol w:w="1057"/>
        <w:gridCol w:w="928"/>
        <w:gridCol w:w="939"/>
        <w:gridCol w:w="196"/>
        <w:gridCol w:w="736"/>
        <w:gridCol w:w="109"/>
        <w:gridCol w:w="109"/>
        <w:gridCol w:w="109"/>
        <w:gridCol w:w="109"/>
        <w:gridCol w:w="206"/>
        <w:gridCol w:w="774"/>
        <w:gridCol w:w="114"/>
        <w:gridCol w:w="109"/>
        <w:gridCol w:w="154"/>
      </w:tblGrid>
      <w:tr>
        <w:trPr/>
        <w:tc>
          <w:tcPr>
            <w:tcW w:w="1057"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Principal</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161,898 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161,898 </w:t>
            </w:r>
          </w:p>
        </w:tc>
        <w:tc>
          <w:tcPr>
            <w:tcW w:w="11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Add: fair value of embedded derivative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Less: unamortized debt discount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(1,106)</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unamortized issuance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(880)</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carrying amount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160,284 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159,912 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37"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effective interest rate of the liability component of the 2025 Notes was 4.17% and 4.23% for the three months ended March 31, 2024 and 2023, respectively.</w:t>
      </w:r>
    </w:p>
    <w:p>
      <w:pPr>
        <w:pStyle w:val="TextBody"/>
        <w:bidi w:val="0"/>
        <w:spacing w:lineRule="auto" w:line="276" w:before="180" w:after="180"/>
        <w:ind w:left="0" w:right="0" w:firstLine="450"/>
        <w:jc w:val="both"/>
        <w:rPr/>
      </w:pPr>
      <w:r>
        <w:rPr>
          <w:rFonts w:ascii="Times New Roman;sans-serif" w:hAnsi="Times New Roman;sans-serif"/>
          <w:b w:val="false"/>
          <w:color w:val="000000"/>
          <w:sz w:val="20"/>
          <w:shd w:fill="FFFFFF" w:val="clear"/>
        </w:rPr>
        <w:t>The following table sets forth total interest expense recog</w:t>
      </w:r>
      <w:r>
        <w:rPr>
          <w:rFonts w:ascii="Times New Roman;sans-serif" w:hAnsi="Times New Roman;sans-serif"/>
          <w:b w:val="false"/>
          <w:color w:val="000000"/>
          <w:sz w:val="20"/>
        </w:rPr>
        <w:t>nized related to the 2025 Notes (in thousands):</w:t>
      </w:r>
    </w:p>
    <w:tbl>
      <w:tblPr>
        <w:tblW w:w="5952" w:type="dxa"/>
        <w:jc w:val="center"/>
        <w:tblInd w:w="0" w:type="dxa"/>
        <w:tblLayout w:type="fixed"/>
        <w:tblCellMar>
          <w:top w:w="28" w:type="dxa"/>
          <w:left w:w="28" w:type="dxa"/>
          <w:bottom w:w="28" w:type="dxa"/>
          <w:right w:w="28" w:type="dxa"/>
        </w:tblCellMar>
      </w:tblPr>
      <w:tblGrid>
        <w:gridCol w:w="956"/>
        <w:gridCol w:w="839"/>
        <w:gridCol w:w="845"/>
        <w:gridCol w:w="229"/>
        <w:gridCol w:w="651"/>
        <w:gridCol w:w="127"/>
        <w:gridCol w:w="127"/>
        <w:gridCol w:w="127"/>
        <w:gridCol w:w="127"/>
        <w:gridCol w:w="229"/>
        <w:gridCol w:w="651"/>
        <w:gridCol w:w="127"/>
        <w:gridCol w:w="109"/>
        <w:gridCol w:w="109"/>
        <w:gridCol w:w="109"/>
        <w:gridCol w:w="109"/>
        <w:gridCol w:w="109"/>
        <w:gridCol w:w="109"/>
        <w:gridCol w:w="109"/>
        <w:gridCol w:w="154"/>
      </w:tblGrid>
      <w:tr>
        <w:trPr/>
        <w:tc>
          <w:tcPr>
            <w:tcW w:w="95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Contractual interest expense</w:t>
            </w:r>
          </w:p>
        </w:tc>
        <w:tc>
          <w:tcPr>
            <w:tcW w:w="22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1,315 </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1,315 </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debt discount</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debt issuance costs</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interest expense</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1,687 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1,687 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contractual interest expense on the 2025 Notes recorded within interest expense, net on the consolidated statements of operations attributable to related parties was $0.7 million in the three months ended March 31, 2024 and 2023. As of March 31, 2024 and December 31, 2023, accrued interest due to related parties of $1.1 million and $0.4 million, respectively, was included within accrued expenses and other current liabilities on the condensed consolidated balance sheets.</w:t>
      </w:r>
    </w:p>
    <w:p>
      <w:pPr>
        <w:pStyle w:val="TextBody"/>
        <w:bidi w:val="0"/>
        <w:spacing w:lineRule="auto" w:line="276" w:before="180" w:after="180"/>
        <w:jc w:val="both"/>
        <w:rPr>
          <w:rFonts w:ascii="Times New Roman;sans-serif" w:hAnsi="Times New Roman;sans-serif"/>
          <w:b/>
          <w:color w:val="000000"/>
          <w:sz w:val="20"/>
        </w:rPr>
      </w:pPr>
      <w:r>
        <w:rPr>
          <w:rFonts w:ascii="Times New Roman;sans-serif" w:hAnsi="Times New Roman;sans-serif"/>
          <w:b/>
          <w:color w:val="000000"/>
          <w:sz w:val="20"/>
        </w:rPr>
        <w:t>Asset-backed Revolving Credit Facility</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August 2022, the Company entered into a Loan and Security Agreement (as subsequently amended, the “Credit Agreement”), by and among Siena Lending Group LLC, as lender (“Lender”), Inseego Wireless, Inc., a Delaware corporation (“Inseego Wireless”), a subsidiary of the Company, and Inseego North America LLC, an Oregon limited liability company and indirect subsidiary of the Company, as borrowers (together with Inseego Wireless, the “Borrowers”), and the Company, as guarantor (together with the Borrowers, the “Loan Parties”). Effective April 18, 2024, the Company exercised its right to voluntarily pay-off and terminate the Credit Agreement. See Note 11 – Subsequent Events for more information on the termination of the Credit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INSEEGO CORP.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bidi w:val="0"/>
        <w:spacing w:before="0" w:after="0"/>
        <w:jc w:val="center"/>
        <w:rPr/>
      </w:pPr>
      <w:r>
        <w:rPr/>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Credit Agreement established a secured asset-backed revolving credit facility which was comprised of a maximum $50 million revolving credit facility (“Credit Facility”), with a minimum borrowing amount for interest calculations of $4.5 million upon execution of the Credit Agreement. Availability under the Credit Facility was determined monthly by a borrowing base comprised of a percentage of eligible accounts receivable and eligible inventory of the Borrowers. Outstanding amounts exceeding the borrowing base were to be repaid immediately. The Borrowers’ obligations under the Credit Agreement were guaranteed by the Company. The Loan Parties’ obligations under the Credit Agreement were secured by a continuing security interest in all property of each Loan Party, subject to certain Excluded Collateral (as defined in the Credit Agreement).</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Borrowings under the Credit Facility took the form of base rate (“Base Rate”) loans or Secured Overnight Financing Rate (“SOFR”) loans. SOFR loans bore interest at a rate per annum equal to Term SOFR (as defined in the Credit Agreement as the Term SOFR Reference Rate for a term of one month on the day) plus the Applicable Margin (as defined in the Credit Agreement), with a Term SOFR floor of 1%. Base Rate loans bore interest at a rate per annum equal to the Applicable Margin plus the greatest of (a) the per annum rate of interest which is identified as the “Prime Rate” and normally published in the Money Rates section of The Wall Street Journal, (b) the sum of the Federal Funds Rate (as defined in the Credit Agreement) plus 0.5% and (c) 3.50% per annum.</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Applicable Margin varied depending on the average outstanding amount for a preceding month. If the average outstanding amount for a preceding month was less than $15 million, the Applicable Margin will be 2.50% for Base Rate loans and 3.50% for SOFR loans. If the average outstanding amount for a preceding month was between $15 million and $25 million, the Applicable Margin will be 3.00% for Base Rate loans and 4.00% for SOFR loans. If the average outstanding amount for a preceding month was greater than $25 million, the Applicable Margin will be 4.5% for Base Rate loans and 5.50% for SOFR loans. The Company paid monthly fees of 0.4% per annum on the unused portion of the Credit Facility.</w:t>
      </w:r>
    </w:p>
    <w:p>
      <w:pPr>
        <w:pStyle w:val="TextBody"/>
        <w:bidi w:val="0"/>
        <w:spacing w:lineRule="auto" w:line="268" w:before="0" w:after="0"/>
        <w:ind w:left="0" w:right="0" w:firstLine="450"/>
        <w:jc w:val="left"/>
        <w:rPr/>
      </w:pPr>
      <w:r>
        <w:rPr>
          <w:rFonts w:ascii="Times New Roman;sans-serif" w:hAnsi="Times New Roman;sans-serif"/>
          <w:b w:val="false"/>
          <w:color w:val="000000"/>
          <w:sz w:val="20"/>
        </w:rPr>
        <w:t xml:space="preserve">The Credit Agreement contained a financial covenant whereby the Loan Parties shall not permit the consolidated Liquidity (as defined in the Amended Credit Agreement) to be less than $8 million at any time (the “Liquidity Covenant”). The Credit Agreement also contained certain customary covenants, including restrictions on indebtedness, liens, fundamental changes, restricted payments, asset sales, and investments, and places limits on various other payments. The Company was in compliance with the financial covenants of the Amended Credit Agreement as of </w:t>
      </w:r>
      <w:r>
        <w:rPr>
          <w:rFonts w:ascii="Times New Roman;sans-serif" w:hAnsi="Times New Roman;sans-serif"/>
          <w:b w:val="false"/>
          <w:color w:val="000000"/>
          <w:sz w:val="20"/>
          <w:shd w:fill="FFFFFF" w:val="clear"/>
        </w:rPr>
        <w:t>March 31, 2024</w:t>
      </w:r>
      <w:r>
        <w:rPr>
          <w:rFonts w:ascii="Times New Roman;sans-serif" w:hAnsi="Times New Roman;sans-serif"/>
          <w:b w:val="false"/>
          <w:color w:val="000000"/>
          <w:sz w:val="20"/>
        </w:rPr>
        <w:t>.</w:t>
      </w:r>
    </w:p>
    <w:p>
      <w:pPr>
        <w:pStyle w:val="TextBody"/>
        <w:bidi w:val="0"/>
        <w:spacing w:lineRule="auto" w:line="276" w:before="180" w:after="180"/>
        <w:ind w:left="0" w:right="0" w:firstLine="450"/>
        <w:jc w:val="left"/>
        <w:rPr/>
      </w:pPr>
      <w:r>
        <w:rPr>
          <w:rFonts w:ascii="Times New Roman;sans-serif" w:hAnsi="Times New Roman;sans-serif"/>
          <w:b w:val="false"/>
          <w:color w:val="000000"/>
          <w:sz w:val="20"/>
          <w:shd w:fill="FFFFFF" w:val="clear"/>
        </w:rPr>
        <w:t xml:space="preserve">On May 2, 2023, (1) two related parties (the “Participants”) collectively purchased a $4.0 million last-out subordinated participation interest in the Credit Agreement (the “Participation Interest”) from the Lender, and (2) the Borrowers entered into an amendment to the Credit Agreement which increased the borrowing base under the Credit Facility by $4.0 million, increased the minimum borrowing amount for interest calculations to $8.5 million, and modified certain covenants. In connection with the purchase of the Participation Interest, we agreed to pay the Participants an aggregate exit fee ranging from 7.5% to 12.5% of the amount of the Participation Interest, payable upon the earlier to occur of (a) the maturity date of the Credit Facility, (b) termination of the Lender’s commitment to make revolving loans prior to the scheduled maturity date of the Credit Facility, and (c) the early redemption of the Participation Interest, as applicable. Further, the purchase of the Participation Interest granted an option for the Participants to purchase the subject revolving loan or to redeem its Participation Interest under certain circumstances. The Participants are each affiliates of beneficial holders of greater than five percent of our outstanding common stock. </w:t>
      </w:r>
      <w:r>
        <w:rPr>
          <w:rFonts w:ascii="Times New Roman;sans-serif" w:hAnsi="Times New Roman;sans-serif"/>
          <w:b w:val="false"/>
          <w:color w:val="000000"/>
          <w:sz w:val="20"/>
        </w:rPr>
        <w:t xml:space="preserve">Accretion of the exit fee attributable to related parties recorded within interest expense, net on the condensed consolidated statements of operations was $0.1 million for the three months ended </w:t>
      </w:r>
      <w:r>
        <w:rPr>
          <w:rFonts w:ascii="Times New Roman;sans-serif" w:hAnsi="Times New Roman;sans-serif"/>
          <w:b w:val="false"/>
          <w:color w:val="000000"/>
          <w:sz w:val="20"/>
          <w:shd w:fill="FFFFFF" w:val="clear"/>
        </w:rPr>
        <w:t>March 31, 2024</w:t>
      </w:r>
      <w:r>
        <w:rPr>
          <w:rFonts w:ascii="Times New Roman;sans-serif" w:hAnsi="Times New Roman;sans-serif"/>
          <w:b w:val="false"/>
          <w:color w:val="000000"/>
          <w:sz w:val="20"/>
        </w:rPr>
        <w:t xml:space="preserve">. </w:t>
      </w:r>
    </w:p>
    <w:p>
      <w:pPr>
        <w:pStyle w:val="TextBody"/>
        <w:bidi w:val="0"/>
        <w:spacing w:lineRule="auto" w:line="276" w:before="180" w:after="180"/>
        <w:ind w:left="0" w:right="0" w:firstLine="450"/>
        <w:jc w:val="left"/>
        <w:rPr/>
      </w:pPr>
      <w:r>
        <w:rPr>
          <w:rFonts w:ascii="Times New Roman;sans-serif" w:hAnsi="Times New Roman;sans-serif"/>
          <w:b w:val="false"/>
          <w:color w:val="000000"/>
          <w:sz w:val="20"/>
        </w:rPr>
        <w:t xml:space="preserve">Upon execution of the Credit Agreement in August 2022, the Company incurred $1.1 million of debt issuance and related costs, which are being amortized to interest expense throughout the term of the agreement. As of </w:t>
      </w:r>
      <w:r>
        <w:rPr>
          <w:rFonts w:ascii="Times New Roman;sans-serif" w:hAnsi="Times New Roman;sans-serif"/>
          <w:b w:val="false"/>
          <w:color w:val="000000"/>
          <w:sz w:val="20"/>
          <w:shd w:fill="FFFFFF" w:val="clear"/>
        </w:rPr>
        <w:t>March 31, 2024 and December 31, 2023</w:t>
      </w:r>
      <w:r>
        <w:rPr>
          <w:rFonts w:ascii="Times New Roman;sans-serif" w:hAnsi="Times New Roman;sans-serif"/>
          <w:b w:val="false"/>
          <w:color w:val="000000"/>
          <w:sz w:val="20"/>
        </w:rPr>
        <w:t xml:space="preserve">, there were $0.4 million and $0.5 million, respectively, of unamortized debt issuance costs on the Credit Facility included within prepaid expenses and other and other assets on the condensed consolidated balance sheets. As of </w:t>
      </w:r>
      <w:r>
        <w:rPr>
          <w:rFonts w:ascii="Times New Roman;sans-serif" w:hAnsi="Times New Roman;sans-serif"/>
          <w:b w:val="false"/>
          <w:color w:val="000000"/>
          <w:sz w:val="20"/>
          <w:shd w:fill="FFFFFF" w:val="clear"/>
        </w:rPr>
        <w:t>March 31, 2024</w:t>
      </w:r>
      <w:r>
        <w:rPr>
          <w:rFonts w:ascii="Times New Roman;sans-serif" w:hAnsi="Times New Roman;sans-serif"/>
          <w:b w:val="false"/>
          <w:color w:val="000000"/>
          <w:sz w:val="20"/>
        </w:rPr>
        <w:t xml:space="preserve">, the Company had outstanding borrowings of $4.7 million. </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effective interest rate of the average outstanding balance for the Credit Facility was 29.7%, which includes 8.3% related to amortization of original issuance costs, and 21.1%, which includes 10.5% related to amortization of original issuance costs, for the three months ended March 31, 2024 and 2023, respectively. The following table sets forth total interest expense recognized related to the Credit Facility (in thousands):</w:t>
      </w:r>
    </w:p>
    <w:tbl>
      <w:tblPr>
        <w:tblW w:w="4900" w:type="dxa"/>
        <w:jc w:val="center"/>
        <w:tblInd w:w="0" w:type="dxa"/>
        <w:tblLayout w:type="fixed"/>
        <w:tblCellMar>
          <w:top w:w="28" w:type="dxa"/>
          <w:left w:w="28" w:type="dxa"/>
          <w:bottom w:w="28" w:type="dxa"/>
          <w:right w:w="28" w:type="dxa"/>
        </w:tblCellMar>
      </w:tblPr>
      <w:tblGrid>
        <w:gridCol w:w="956"/>
        <w:gridCol w:w="839"/>
        <w:gridCol w:w="845"/>
        <w:gridCol w:w="196"/>
        <w:gridCol w:w="421"/>
        <w:gridCol w:w="109"/>
        <w:gridCol w:w="109"/>
        <w:gridCol w:w="109"/>
        <w:gridCol w:w="109"/>
        <w:gridCol w:w="196"/>
        <w:gridCol w:w="421"/>
        <w:gridCol w:w="109"/>
        <w:gridCol w:w="109"/>
        <w:gridCol w:w="109"/>
        <w:gridCol w:w="109"/>
        <w:gridCol w:w="154"/>
      </w:tblGrid>
      <w:tr>
        <w:trPr/>
        <w:tc>
          <w:tcPr>
            <w:tcW w:w="95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Contractual interest expense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debt issuance costs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interest expense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INSEEGO CORP.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bidi w:val="0"/>
        <w:spacing w:before="0" w:after="0"/>
        <w:jc w:val="center"/>
        <w:rPr/>
      </w:pPr>
      <w:r>
        <w:rPr/>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Note 5. Share-based Compensation</w:t>
      </w:r>
    </w:p>
    <w:p>
      <w:pPr>
        <w:pStyle w:val="TextBody"/>
        <w:bidi w:val="0"/>
        <w:spacing w:lineRule="auto" w:line="276" w:before="180" w:after="180"/>
        <w:ind w:left="0" w:right="0" w:firstLine="450"/>
        <w:jc w:val="left"/>
        <w:rPr/>
      </w:pPr>
      <w:r>
        <w:rPr>
          <w:rFonts w:ascii="Times New Roman;sans-serif" w:hAnsi="Times New Roman;sans-serif"/>
          <w:b w:val="false"/>
          <w:color w:val="000000"/>
          <w:sz w:val="20"/>
          <w:shd w:fill="FFFFFF" w:val="clear"/>
        </w:rPr>
        <w:t xml:space="preserve">During the three months ended March 31, 2024 and </w:t>
      </w:r>
      <w:r>
        <w:rPr>
          <w:rFonts w:ascii="Times New Roman;sans-serif" w:hAnsi="Times New Roman;sans-serif"/>
          <w:b w:val="false"/>
          <w:color w:val="000000"/>
          <w:sz w:val="20"/>
        </w:rPr>
        <w:t>2023</w:t>
      </w:r>
      <w:r>
        <w:rPr>
          <w:rFonts w:ascii="Times New Roman;sans-serif" w:hAnsi="Times New Roman;sans-serif"/>
          <w:b w:val="false"/>
          <w:color w:val="000000"/>
          <w:sz w:val="20"/>
          <w:shd w:fill="FFFFFF" w:val="clear"/>
        </w:rPr>
        <w:t xml:space="preserve">, the Company granted awards under the 2018 Omnibus Incentive Compensation Plan, previously named the Amended and Restated 2009 Omnibus Incentive Compensation Plan (the “2018 Plan”), and the 2015 Incentive Compensation Plan (the “2015 Plan”). The Compensation Committee of the Board of Directors administers the plans. Under the 2018 Plan, </w:t>
      </w:r>
      <w:r>
        <w:rPr>
          <w:rFonts w:ascii="Times New Roman;sans-serif" w:hAnsi="Times New Roman;sans-serif"/>
          <w:b w:val="false"/>
          <w:color w:val="000000"/>
          <w:sz w:val="20"/>
        </w:rPr>
        <w:t>shares of common stock may be issued upon the exercise of stock options, in</w:t>
      </w:r>
      <w:r>
        <w:rPr>
          <w:color w:val="000000"/>
          <w:shd w:fill="FFFFFF" w:val="clear"/>
        </w:rPr>
        <w:t xml:space="preserve"> </w:t>
      </w:r>
      <w:r>
        <w:rPr>
          <w:rFonts w:ascii="Times New Roman;sans-serif" w:hAnsi="Times New Roman;sans-serif"/>
          <w:b w:val="false"/>
          <w:color w:val="000000"/>
          <w:sz w:val="20"/>
          <w:shd w:fill="FFFFFF" w:val="clear"/>
        </w:rPr>
        <w:t xml:space="preserve">the form of restricted stock, or in settlement of restricted stock units (“RSUs”) or other awards, including awards with alternative vesting schedules such as performance-based criteria. </w:t>
      </w:r>
    </w:p>
    <w:p>
      <w:pPr>
        <w:pStyle w:val="TextBody"/>
        <w:bidi w:val="0"/>
        <w:spacing w:lineRule="auto" w:line="276" w:before="180" w:after="180"/>
        <w:ind w:left="0" w:right="0" w:firstLine="450"/>
        <w:jc w:val="left"/>
        <w:rPr/>
      </w:pPr>
      <w:r>
        <w:rPr>
          <w:rFonts w:ascii="Times New Roman;sans-serif" w:hAnsi="Times New Roman;sans-serif"/>
          <w:b w:val="false"/>
          <w:color w:val="000000"/>
          <w:sz w:val="20"/>
          <w:shd w:fill="FFFFFF" w:val="clear"/>
        </w:rPr>
        <w:t>The following table presents total share-based compensation expense within each functional line item on the condensed consolidated statements of operations for the three months end</w:t>
      </w:r>
      <w:r>
        <w:rPr>
          <w:rFonts w:ascii="Times New Roman;sans-serif" w:hAnsi="Times New Roman;sans-serif"/>
          <w:b w:val="false"/>
          <w:color w:val="000000"/>
          <w:sz w:val="20"/>
        </w:rPr>
        <w:t>ed March 31, 2024 and 2023 (in thousands):</w:t>
      </w:r>
    </w:p>
    <w:tbl>
      <w:tblPr>
        <w:tblW w:w="4622" w:type="dxa"/>
        <w:jc w:val="center"/>
        <w:tblInd w:w="0" w:type="dxa"/>
        <w:tblLayout w:type="fixed"/>
        <w:tblCellMar>
          <w:top w:w="28" w:type="dxa"/>
          <w:left w:w="28" w:type="dxa"/>
          <w:bottom w:w="28" w:type="dxa"/>
          <w:right w:w="28" w:type="dxa"/>
        </w:tblCellMar>
      </w:tblPr>
      <w:tblGrid>
        <w:gridCol w:w="728"/>
        <w:gridCol w:w="639"/>
        <w:gridCol w:w="642"/>
        <w:gridCol w:w="196"/>
        <w:gridCol w:w="421"/>
        <w:gridCol w:w="109"/>
        <w:gridCol w:w="109"/>
        <w:gridCol w:w="109"/>
        <w:gridCol w:w="109"/>
        <w:gridCol w:w="196"/>
        <w:gridCol w:w="556"/>
        <w:gridCol w:w="109"/>
        <w:gridCol w:w="109"/>
        <w:gridCol w:w="109"/>
        <w:gridCol w:w="109"/>
        <w:gridCol w:w="109"/>
        <w:gridCol w:w="109"/>
        <w:gridCol w:w="154"/>
      </w:tblGrid>
      <w:tr>
        <w:trPr/>
        <w:tc>
          <w:tcPr>
            <w:tcW w:w="72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revenues</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Stock Options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Compensation Committee of the Board of Directors determines eligibility, vesting schedules and exercise prices for stock options granted. The Company generally uses the Black-Scholes option pricing model to estimate the fair value of its stock options. For performance stock awards subject to market-based vesting conditions, fair values are determined using the Monte-Carlo simulation model. Stock options generally have a term of ten years and vest over a three- to four-year period.</w:t>
      </w:r>
    </w:p>
    <w:p>
      <w:pPr>
        <w:pStyle w:val="TextBody"/>
        <w:bidi w:val="0"/>
        <w:spacing w:lineRule="auto" w:line="276" w:before="180" w:after="180"/>
        <w:ind w:left="0" w:right="0" w:firstLine="450"/>
        <w:jc w:val="left"/>
        <w:rPr/>
      </w:pPr>
      <w:r>
        <w:rPr>
          <w:rFonts w:ascii="Times New Roman;sans-serif" w:hAnsi="Times New Roman;sans-serif"/>
          <w:b w:val="false"/>
          <w:color w:val="000000"/>
          <w:sz w:val="20"/>
        </w:rPr>
        <w:t>The following table summarizes the Company’s stock option activ</w:t>
      </w:r>
      <w:r>
        <w:rPr>
          <w:rFonts w:ascii="Times New Roman;sans-serif" w:hAnsi="Times New Roman;sans-serif"/>
          <w:b w:val="false"/>
          <w:color w:val="000000"/>
          <w:sz w:val="20"/>
          <w:shd w:fill="FFFFFF" w:val="clear"/>
        </w:rPr>
        <w:t>ity for the three months ended March 31, 2024</w:t>
      </w:r>
      <w:r>
        <w:rPr>
          <w:rFonts w:ascii="Times New Roman;sans-serif" w:hAnsi="Times New Roman;sans-serif"/>
          <w:b w:val="false"/>
          <w:color w:val="000000"/>
          <w:sz w:val="20"/>
        </w:rPr>
        <w:t>:</w:t>
      </w:r>
    </w:p>
    <w:tbl>
      <w:tblPr>
        <w:tblW w:w="4272" w:type="dxa"/>
        <w:jc w:val="left"/>
        <w:tblInd w:w="0" w:type="dxa"/>
        <w:tblLayout w:type="fixed"/>
        <w:tblCellMar>
          <w:top w:w="28" w:type="dxa"/>
          <w:left w:w="28" w:type="dxa"/>
          <w:bottom w:w="28" w:type="dxa"/>
          <w:right w:w="28" w:type="dxa"/>
        </w:tblCellMar>
      </w:tblPr>
      <w:tblGrid>
        <w:gridCol w:w="962"/>
        <w:gridCol w:w="844"/>
        <w:gridCol w:w="848"/>
        <w:gridCol w:w="404"/>
        <w:gridCol w:w="406"/>
        <w:gridCol w:w="109"/>
        <w:gridCol w:w="109"/>
        <w:gridCol w:w="109"/>
        <w:gridCol w:w="109"/>
        <w:gridCol w:w="109"/>
        <w:gridCol w:w="109"/>
        <w:gridCol w:w="154"/>
      </w:tblGrid>
      <w:tr>
        <w:trPr/>
        <w:tc>
          <w:tcPr>
            <w:tcW w:w="962"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 December 31, 2023</w:t>
            </w:r>
          </w:p>
        </w:tc>
        <w:tc>
          <w:tcPr>
            <w:tcW w:w="8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545,872 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Canceled</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(111,994)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 March 31, 2024</w:t>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448,128 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Exercisable — March 31, 2024</w:t>
            </w:r>
          </w:p>
        </w:tc>
        <w:tc>
          <w:tcPr>
            <w:tcW w:w="810"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338,346 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180"/>
        <w:ind w:left="0" w:right="0" w:firstLine="450"/>
        <w:jc w:val="left"/>
        <w:rPr/>
      </w:pPr>
      <w:r>
        <w:rPr>
          <w:rFonts w:ascii="Times New Roman;sans-serif" w:hAnsi="Times New Roman;sans-serif"/>
          <w:b w:val="false"/>
          <w:color w:val="000000"/>
          <w:sz w:val="20"/>
        </w:rPr>
        <w:t>At March 31, 2024, total unrecognized compensatio</w:t>
      </w:r>
      <w:r>
        <w:rPr>
          <w:rFonts w:ascii="Times New Roman;sans-serif" w:hAnsi="Times New Roman;sans-serif"/>
          <w:b w:val="false"/>
          <w:color w:val="000000"/>
          <w:sz w:val="20"/>
          <w:shd w:fill="FFFFFF" w:val="clear"/>
        </w:rPr>
        <w:t>n expense related to stock options was </w:t>
      </w:r>
      <w:r>
        <w:rPr>
          <w:rFonts w:ascii="Times New Roman;sans-serif" w:hAnsi="Times New Roman;sans-serif"/>
          <w:b w:val="false"/>
          <w:color w:val="000000"/>
          <w:sz w:val="20"/>
        </w:rPr>
        <w:t>$0.7 million</w:t>
      </w:r>
      <w:r>
        <w:rPr>
          <w:rFonts w:ascii="Times New Roman;sans-serif" w:hAnsi="Times New Roman;sans-serif"/>
          <w:b w:val="false"/>
          <w:color w:val="000000"/>
          <w:sz w:val="20"/>
          <w:shd w:fill="FFFFFF" w:val="clear"/>
        </w:rPr>
        <w:t>, which is expected to be recognized over a weighted-average period of </w:t>
      </w:r>
      <w:r>
        <w:rPr>
          <w:rFonts w:ascii="Times New Roman;sans-serif" w:hAnsi="Times New Roman;sans-serif"/>
          <w:b w:val="false"/>
          <w:color w:val="000000"/>
          <w:sz w:val="20"/>
        </w:rPr>
        <w:t>3.29 years</w:t>
      </w:r>
      <w:r>
        <w:rPr>
          <w:rFonts w:ascii="Times New Roman;sans-serif" w:hAnsi="Times New Roman;sans-serif"/>
          <w:b w:val="false"/>
          <w:color w:val="000000"/>
          <w:sz w:val="20"/>
          <w:shd w:fill="FFFFFF" w:val="clear"/>
        </w:rPr>
        <w:t>.</w:t>
      </w:r>
    </w:p>
    <w:p>
      <w:pPr>
        <w:pStyle w:val="TextBody"/>
        <w:bidi w:val="0"/>
        <w:spacing w:lineRule="auto" w:line="276"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Restricted Stock Units</w:t>
      </w:r>
    </w:p>
    <w:p>
      <w:pPr>
        <w:pStyle w:val="TextBody"/>
        <w:bidi w:val="0"/>
        <w:spacing w:lineRule="auto" w:line="276" w:before="18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2018 Plan and the 2015 Plan, the Company may issue RSUs that, upon satisfaction of vesting conditions, allow recipients to receive common stock. Issuances of such awards reduce common stock available under the 2018 Plan and 2015 Plan for stock incentive awards. The Company measures compensation cost associated with grants of RSUs at fair value, which is generally the closing price of the Company’s stock on the date of grant. RSUs generally vest over a three- to four-year period.</w:t>
      </w:r>
    </w:p>
    <w:p>
      <w:pPr>
        <w:pStyle w:val="TextBody"/>
        <w:bidi w:val="0"/>
        <w:spacing w:lineRule="auto" w:line="276" w:before="180" w:after="180"/>
        <w:ind w:left="0" w:right="0" w:firstLine="450"/>
        <w:jc w:val="left"/>
        <w:rPr/>
      </w:pPr>
      <w:r>
        <w:rPr>
          <w:rFonts w:ascii="Times New Roman;sans-serif" w:hAnsi="Times New Roman;sans-serif"/>
          <w:b w:val="false"/>
          <w:color w:val="000000"/>
          <w:sz w:val="20"/>
        </w:rPr>
        <w:t xml:space="preserve">The following table summarizes the Company’s RSU activity </w:t>
      </w:r>
      <w:r>
        <w:rPr>
          <w:rFonts w:ascii="Times New Roman;sans-serif" w:hAnsi="Times New Roman;sans-serif"/>
          <w:b w:val="false"/>
          <w:color w:val="000000"/>
          <w:sz w:val="20"/>
          <w:shd w:fill="FFFFFF" w:val="clear"/>
        </w:rPr>
        <w:t>for the three months ended March 31, 2024</w:t>
      </w:r>
      <w:r>
        <w:rPr>
          <w:rFonts w:ascii="Times New Roman;sans-serif" w:hAnsi="Times New Roman;sans-serif"/>
          <w:b w:val="false"/>
          <w:color w:val="000000"/>
          <w:sz w:val="20"/>
        </w:rPr>
        <w:t>:</w:t>
      </w:r>
    </w:p>
    <w:tbl>
      <w:tblPr>
        <w:tblW w:w="3499" w:type="dxa"/>
        <w:jc w:val="left"/>
        <w:tblInd w:w="0" w:type="dxa"/>
        <w:tblLayout w:type="fixed"/>
        <w:tblCellMar>
          <w:top w:w="28" w:type="dxa"/>
          <w:left w:w="28" w:type="dxa"/>
          <w:bottom w:w="28" w:type="dxa"/>
          <w:right w:w="28" w:type="dxa"/>
        </w:tblCellMar>
      </w:tblPr>
      <w:tblGrid>
        <w:gridCol w:w="945"/>
        <w:gridCol w:w="830"/>
        <w:gridCol w:w="834"/>
        <w:gridCol w:w="368"/>
        <w:gridCol w:w="368"/>
        <w:gridCol w:w="154"/>
      </w:tblGrid>
      <w:tr>
        <w:trPr/>
        <w:tc>
          <w:tcPr>
            <w:tcW w:w="94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Non-vested — December 31, 2023</w:t>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203,008 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Vested</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Forfeited</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Non-vested — March 31, 2024</w:t>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185,821 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INSEEGO CORP.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bidi w:val="0"/>
        <w:spacing w:before="0" w:after="0"/>
        <w:jc w:val="center"/>
        <w:rPr/>
      </w:pPr>
      <w:r>
        <w:rPr/>
      </w:r>
    </w:p>
    <w:p>
      <w:pPr>
        <w:pStyle w:val="TextBody"/>
        <w:bidi w:val="0"/>
        <w:spacing w:lineRule="auto" w:line="276" w:before="180" w:after="180"/>
        <w:ind w:left="0" w:right="0" w:firstLine="450"/>
        <w:jc w:val="left"/>
        <w:rPr/>
      </w:pPr>
      <w:r>
        <w:rPr>
          <w:rFonts w:ascii="Times New Roman;sans-serif" w:hAnsi="Times New Roman;sans-serif"/>
          <w:b w:val="false"/>
          <w:color w:val="000000"/>
          <w:sz w:val="20"/>
        </w:rPr>
        <w:t>At March 31, 2024, total unrecognized compensation expense related</w:t>
      </w:r>
      <w:r>
        <w:rPr>
          <w:color w:val="000000"/>
          <w:shd w:fill="FFFFFF" w:val="clear"/>
        </w:rPr>
        <w:t xml:space="preserve"> </w:t>
      </w:r>
      <w:r>
        <w:rPr>
          <w:rFonts w:ascii="Times New Roman;sans-serif" w:hAnsi="Times New Roman;sans-serif"/>
          <w:b w:val="false"/>
          <w:color w:val="000000"/>
          <w:sz w:val="20"/>
          <w:shd w:fill="FFFFFF" w:val="clear"/>
        </w:rPr>
        <w:t>to RSUs was </w:t>
      </w:r>
      <w:r>
        <w:rPr>
          <w:rFonts w:ascii="Times New Roman;sans-serif" w:hAnsi="Times New Roman;sans-serif"/>
          <w:b w:val="false"/>
          <w:color w:val="000000"/>
          <w:sz w:val="20"/>
        </w:rPr>
        <w:t>$1.6 million</w:t>
      </w:r>
      <w:r>
        <w:rPr>
          <w:rFonts w:ascii="Times New Roman;sans-serif" w:hAnsi="Times New Roman;sans-serif"/>
          <w:b w:val="false"/>
          <w:color w:val="000000"/>
          <w:sz w:val="20"/>
          <w:shd w:fill="FFFFFF" w:val="clear"/>
        </w:rPr>
        <w:t>, which is expected to be recognized over a weighted-average period of </w:t>
      </w:r>
      <w:r>
        <w:rPr>
          <w:rFonts w:ascii="Times New Roman;sans-serif" w:hAnsi="Times New Roman;sans-serif"/>
          <w:b w:val="false"/>
          <w:color w:val="000000"/>
          <w:sz w:val="20"/>
        </w:rPr>
        <w:t>1.07 years</w:t>
      </w:r>
      <w:r>
        <w:rPr>
          <w:rFonts w:ascii="Times New Roman;sans-serif" w:hAnsi="Times New Roman;sans-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Note 6. Loss per Share</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(loss) per share (“EPS”) excludes dilution and is computed by dividing net loss attributable to common stockholders by the weighted-average number of common shares outstanding for the period. Diluted EPS reflects the potential dilution that could occur if securities or other contracts to issue common stock were exercised or converted into common stock using the treasury stock method. Potentially dilutive securities (consisting primarily of the 2025 Notes calculated using the if-converted method and warrants, stock options and RSUs calculated using the treasury stock method) are excluded from the diluted EPS computation in loss periods and when the applicable exercise price is greater than the market price on the period end date as their effect would be anti-dilutive.</w:t>
      </w:r>
    </w:p>
    <w:p>
      <w:pPr>
        <w:pStyle w:val="TextBody"/>
        <w:bidi w:val="0"/>
        <w:spacing w:lineRule="auto" w:line="276"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calculation of basic and diluted earnings per share was as follows (in thousands, except share and per share data):</w:t>
      </w:r>
    </w:p>
    <w:tbl>
      <w:tblPr>
        <w:tblW w:w="6457" w:type="dxa"/>
        <w:jc w:val="left"/>
        <w:tblInd w:w="0" w:type="dxa"/>
        <w:tblLayout w:type="fixed"/>
        <w:tblCellMar>
          <w:top w:w="28" w:type="dxa"/>
          <w:left w:w="28" w:type="dxa"/>
          <w:bottom w:w="28" w:type="dxa"/>
          <w:right w:w="28" w:type="dxa"/>
        </w:tblCellMar>
      </w:tblPr>
      <w:tblGrid>
        <w:gridCol w:w="1272"/>
        <w:gridCol w:w="1117"/>
        <w:gridCol w:w="1120"/>
        <w:gridCol w:w="245"/>
        <w:gridCol w:w="716"/>
        <w:gridCol w:w="109"/>
        <w:gridCol w:w="109"/>
        <w:gridCol w:w="109"/>
        <w:gridCol w:w="109"/>
        <w:gridCol w:w="245"/>
        <w:gridCol w:w="716"/>
        <w:gridCol w:w="109"/>
        <w:gridCol w:w="109"/>
        <w:gridCol w:w="109"/>
        <w:gridCol w:w="109"/>
        <w:gridCol w:w="154"/>
      </w:tblGrid>
      <w:tr>
        <w:trPr/>
        <w:tc>
          <w:tcPr>
            <w:tcW w:w="1272"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common stockholders</w:t>
            </w:r>
          </w:p>
        </w:tc>
        <w:tc>
          <w:tcPr>
            <w:tcW w:w="24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(5,245)</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(5,827)</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common shares outstanding*</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11,879,719 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10,860,189 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and diluted net loss per share</w:t>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Adjusted retroactively for reverse stock split that occurred on January 24, 2024, see Note 1</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is a summary of outstanding anti-dilutive potential shares of common stock that have been excluded from diluted net loss per share attributable to common stockholders because their inclusion would have been anti-dilutive (in thousands): </w:t>
      </w:r>
    </w:p>
    <w:tbl>
      <w:tblPr>
        <w:tblW w:w="4166" w:type="dxa"/>
        <w:jc w:val="center"/>
        <w:tblInd w:w="0" w:type="dxa"/>
        <w:tblLayout w:type="fixed"/>
        <w:tblCellMar>
          <w:top w:w="28" w:type="dxa"/>
          <w:left w:w="28" w:type="dxa"/>
          <w:bottom w:w="28" w:type="dxa"/>
          <w:right w:w="28" w:type="dxa"/>
        </w:tblCellMar>
      </w:tblPr>
      <w:tblGrid>
        <w:gridCol w:w="819"/>
        <w:gridCol w:w="721"/>
        <w:gridCol w:w="725"/>
        <w:gridCol w:w="278"/>
        <w:gridCol w:w="278"/>
        <w:gridCol w:w="156"/>
        <w:gridCol w:w="140"/>
        <w:gridCol w:w="140"/>
        <w:gridCol w:w="140"/>
        <w:gridCol w:w="278"/>
        <w:gridCol w:w="278"/>
        <w:gridCol w:w="213"/>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w:t>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 thousands) </w:t>
            </w:r>
          </w:p>
        </w:tc>
        <w:tc>
          <w:tcPr>
            <w:tcW w:w="7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 Notes</w:t>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1,338 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1,409 </w:t>
            </w:r>
          </w:p>
        </w:tc>
        <w:tc>
          <w:tcPr>
            <w:tcW w:w="2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Non-qualified stock options </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796 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Restricted stock units </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Employee stock purchase plan</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Total</w:t>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1,998 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2,539 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Note 7. Public Offering</w:t>
      </w:r>
    </w:p>
    <w:p>
      <w:pPr>
        <w:pStyle w:val="TextBody"/>
        <w:bidi w:val="0"/>
        <w:spacing w:lineRule="auto" w:line="276" w:before="180" w:after="180"/>
        <w:ind w:left="0" w:right="0" w:firstLine="450"/>
        <w:jc w:val="left"/>
        <w:rPr/>
      </w:pPr>
      <w:r>
        <w:rPr>
          <w:rFonts w:ascii="Times New Roman;sans-serif" w:hAnsi="Times New Roman;sans-serif"/>
          <w:b w:val="false"/>
          <w:color w:val="000000"/>
          <w:sz w:val="20"/>
          <w:shd w:fill="FFFFFF" w:val="clear"/>
        </w:rPr>
        <w:t xml:space="preserve">In January 2021, the Company entered into an Equity Distribution Agreement with Canaccord Genuity LLC (the “Agent”), pursuant to which the Company could offer and sell, from time to time, through or to the Agent, up to $40.0 million of shares of its common stock (the “ATM Offering”). During the quarter ended </w:t>
      </w:r>
      <w:r>
        <w:rPr>
          <w:rFonts w:ascii="Times New Roman;sans-serif" w:hAnsi="Times New Roman;sans-serif"/>
          <w:b w:val="false"/>
          <w:color w:val="000000"/>
          <w:sz w:val="20"/>
        </w:rPr>
        <w:t>March 31, 2023</w:t>
      </w:r>
      <w:r>
        <w:rPr>
          <w:color w:val="000000"/>
          <w:shd w:fill="FFFFFF" w:val="clear"/>
        </w:rPr>
        <w:t xml:space="preserve"> </w:t>
      </w:r>
      <w:r>
        <w:rPr>
          <w:rFonts w:ascii="Times New Roman;sans-serif" w:hAnsi="Times New Roman;sans-serif"/>
          <w:b w:val="false"/>
          <w:color w:val="000000"/>
          <w:sz w:val="20"/>
          <w:shd w:fill="FFFFFF" w:val="clear"/>
        </w:rPr>
        <w:t>the Company sold 85,810</w:t>
      </w:r>
      <w:r>
        <w:rPr>
          <w:color w:val="000000"/>
        </w:rPr>
        <w:t xml:space="preserve"> </w:t>
      </w:r>
      <w:r>
        <w:rPr>
          <w:rFonts w:ascii="Times New Roman;sans-serif" w:hAnsi="Times New Roman;sans-serif"/>
          <w:b w:val="false"/>
          <w:color w:val="000000"/>
          <w:sz w:val="20"/>
          <w:shd w:fill="FFFFFF" w:val="clear"/>
        </w:rPr>
        <w:t xml:space="preserve">shares of common stock, at an average price of $6.17 per share, for net proceeds of $0.5 million, after deducting underwriter fees and discounts. </w:t>
      </w:r>
      <w:r>
        <w:rPr>
          <w:rFonts w:ascii="Times New Roman;sans-serif" w:hAnsi="Times New Roman;sans-serif"/>
          <w:b w:val="false"/>
          <w:color w:val="000000"/>
          <w:sz w:val="20"/>
        </w:rPr>
        <w:t>Effective as of November 2, 2023, the Equity Distribution Agreement was terminated by the Company, and there will be no further sales under the ATM Offering.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Times New Roman;sans-serif" w:hAnsi="Times New Roman;sans-serif"/>
          <w:b/>
          <w:color w:val="000000"/>
          <w:sz w:val="20"/>
        </w:rPr>
      </w:pPr>
      <w:r>
        <w:rPr>
          <w:rFonts w:ascii="Times New Roman;sans-serif" w:hAnsi="Times New Roman;sans-serif"/>
          <w:b/>
          <w:color w:val="000000"/>
          <w:sz w:val="20"/>
        </w:rPr>
        <w:t>Note 8. Geographic Information and Concentrations of Risk</w:t>
      </w:r>
    </w:p>
    <w:p>
      <w:pPr>
        <w:pStyle w:val="TextBody"/>
        <w:bidi w:val="0"/>
        <w:spacing w:lineRule="auto" w:line="276" w:before="12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Geographic Information</w:t>
      </w:r>
    </w:p>
    <w:p>
      <w:pPr>
        <w:pStyle w:val="TextBody"/>
        <w:bidi w:val="0"/>
        <w:spacing w:lineRule="auto" w:line="276" w:before="18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the Company’s revenues by geographic region based on shipping destination (in thousands):</w:t>
      </w:r>
    </w:p>
    <w:tbl>
      <w:tblPr>
        <w:tblW w:w="5410" w:type="dxa"/>
        <w:jc w:val="left"/>
        <w:tblInd w:w="0" w:type="dxa"/>
        <w:tblLayout w:type="fixed"/>
        <w:tblCellMar>
          <w:top w:w="28" w:type="dxa"/>
          <w:left w:w="28" w:type="dxa"/>
          <w:bottom w:w="28" w:type="dxa"/>
          <w:right w:w="28" w:type="dxa"/>
        </w:tblCellMar>
      </w:tblPr>
      <w:tblGrid>
        <w:gridCol w:w="978"/>
        <w:gridCol w:w="857"/>
        <w:gridCol w:w="865"/>
        <w:gridCol w:w="196"/>
        <w:gridCol w:w="646"/>
        <w:gridCol w:w="109"/>
        <w:gridCol w:w="109"/>
        <w:gridCol w:w="109"/>
        <w:gridCol w:w="109"/>
        <w:gridCol w:w="196"/>
        <w:gridCol w:w="646"/>
        <w:gridCol w:w="109"/>
        <w:gridCol w:w="109"/>
        <w:gridCol w:w="109"/>
        <w:gridCol w:w="109"/>
        <w:gridCol w:w="154"/>
      </w:tblGrid>
      <w:tr>
        <w:trPr/>
        <w:tc>
          <w:tcPr>
            <w:tcW w:w="97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 and Canada</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35,476 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43,205 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Europe (including United Kingdom)</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Australia</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50,794 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INSEEGO CORP.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bidi w:val="0"/>
        <w:spacing w:before="0" w:after="0"/>
        <w:jc w:val="center"/>
        <w:rPr/>
      </w:pPr>
      <w:r>
        <w:rPr/>
      </w:r>
    </w:p>
    <w:p>
      <w:pPr>
        <w:pStyle w:val="TextBody"/>
        <w:bidi w:val="0"/>
        <w:spacing w:lineRule="auto" w:line="276"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Concentrations of Credit Risk</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2024, two customers accounted for 39.3% and 18.2% of revenues, respectively. For the three months ended March 31, 2023, two customers accounted for 31.1% and 26.6% of revenues, respectively.</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2024, three customers accounted for 32.0%, 13.3%, and 10.9% of accounts receivable, net, respectively. As of December 31, 2023, two customers accounted for 41.8% and 10.2% of accounts receivable, net,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Note 9. Commitments and Contingencies</w:t>
      </w:r>
    </w:p>
    <w:p>
      <w:pPr>
        <w:pStyle w:val="TextBody"/>
        <w:bidi w:val="0"/>
        <w:spacing w:lineRule="auto" w:line="276"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Noncancellable Purchase Obligations</w:t>
      </w:r>
    </w:p>
    <w:p>
      <w:pPr>
        <w:pStyle w:val="TextBody"/>
        <w:bidi w:val="0"/>
        <w:spacing w:lineRule="auto" w:line="276"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typically enters into commitments with its contract manufacturers that require future purchases of goods or services in the three to four quarters following the balance sheet date. Such commitments are noncancellable (“noncancellable purchase obligations”). As of March 31, 2024, future payments under these noncancellable purchase obligations were approximately $60.1 million. </w:t>
      </w:r>
    </w:p>
    <w:p>
      <w:pPr>
        <w:pStyle w:val="TextBody"/>
        <w:bidi w:val="0"/>
        <w:spacing w:lineRule="auto" w:line="276"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Legal </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from time to time, party to various legal proceedings arising in the ordinary course of business. The Company is regularly required to directly or indirectly participate in other U.S. patent infringement actions pursuant to its contractual indemnification obligations to certain customers. Based on an evaluation of these matters the Company currently believes that liabilities arising from, or sums paid in settlement of these existing matters, if any, would not have a material adverse effect on its consolidated results of operations or financial condition. </w:t>
      </w:r>
    </w:p>
    <w:p>
      <w:pPr>
        <w:pStyle w:val="TextBody"/>
        <w:bidi w:val="0"/>
        <w:spacing w:lineRule="auto" w:line="276"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Indemnification </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the normal course of business, the Company periodically enters into agreements that require the Company to indemnify and defend its customers for, among other things, claims alleging that the Company’s products infringe upon third-party patents or other intellectual property rights. The Company’s maximum exposure under these indemnification provisions cannot be estimated but the Company does not believe that there are any matters individually or collectively that would have a material adverse effect on its consolidated results of operations or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Times New Roman;sans-serif" w:hAnsi="Times New Roman;sans-serif"/>
          <w:b/>
          <w:color w:val="000000"/>
          <w:sz w:val="20"/>
        </w:rPr>
      </w:pPr>
      <w:r>
        <w:rPr>
          <w:rFonts w:ascii="Times New Roman;sans-serif" w:hAnsi="Times New Roman;sans-serif"/>
          <w:b/>
          <w:color w:val="000000"/>
          <w:sz w:val="20"/>
        </w:rPr>
        <w:t>Note 10. Income Taxes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income tax provision was $0.2 million and $0.3 million for the three months ended March 31, 2024 and 2023, respectively. Income taxes for both periods consisted primarily of foreign income taxes at certain of the Company’s international entities and minimum state taxes for its U.S.-based entities. The Company’s income tax expense differs from the expected expense based on statutory rates primarily due to full valuation allowances at all of its U.S.-based entities and several of its foreign subsidiaries. The income tax provisions for the three months ended March 31, 2024 and 2023, were largely driven by a combination of improved profits and unrealized foreign currency gains at the Company’s foreign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pPr>
      <w:r>
        <w:rPr>
          <w:rFonts w:ascii="Times New Roman;sans-serif" w:hAnsi="Times New Roman;sans-serif"/>
          <w:b/>
          <w:color w:val="000000"/>
          <w:sz w:val="20"/>
        </w:rPr>
        <w:t>Note 11.</w:t>
      </w:r>
      <w:r>
        <w:rPr>
          <w:color w:val="000000"/>
        </w:rPr>
        <w:t xml:space="preserve"> </w:t>
      </w:r>
      <w:r>
        <w:rPr>
          <w:rFonts w:ascii="Times New Roman;sans-serif" w:hAnsi="Times New Roman;sans-serif"/>
          <w:b/>
          <w:color w:val="000000"/>
          <w:sz w:val="20"/>
        </w:rPr>
        <w:t>Subsequent Events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Effective April 18, 2024, the Company exercised its right to voluntarily pay-off and terminate its Credit Facility with Siena Lending Group LLC. As a result of the termination, the Company paid the outstanding balance and related termination fees on the Credit Facility of approximately $3.0 million. The Company has also paid an exit fee in the aggregate amount of $0.4 million to South Ocean Funding, LLC and North Sound Ventures, LP (collectively, the “Participants”) as a result of the early redemption of the Participants’ $4.0 million last-out subordinated participation interest in the Loan and Security Agreement pursuant to a Participation Agreement between the Participants and Siena Lending Group. South Ocean Funding, LLC is an affiliate of Golden Harbor, Ltd. and North Sound Ventures, LP is an affiliate of North Sound Management, Inc. As of April 18, 2024, each of Golden Harbor, Ltd. and North Sound Management, Inc. were beneficial owners of in excess of 5% of the Company’s outstanding common stock.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pPr>
      <w:r>
        <w:rPr>
          <w:rFonts w:ascii="Times New Roman;sans-serif" w:hAnsi="Times New Roman;sans-serif"/>
          <w:b/>
          <w:color w:val="000000"/>
          <w:sz w:val="20"/>
        </w:rPr>
        <w:t>Item 2.     </w:t>
      </w:r>
      <w:r>
        <w:rPr>
          <w:rFonts w:ascii="Times New Roman;sans-serif" w:hAnsi="Times New Roman;sans-serif"/>
          <w:b/>
          <w:i/>
          <w:color w:val="000000"/>
          <w:sz w:val="20"/>
        </w:rPr>
        <w:t>Management’s Discussion and Analysis of Financial Condition and Results of Operations.</w:t>
      </w:r>
    </w:p>
    <w:p>
      <w:pPr>
        <w:pStyle w:val="TextBody"/>
        <w:bidi w:val="0"/>
        <w:spacing w:lineRule="auto" w:line="276" w:before="100" w:after="283"/>
        <w:jc w:val="left"/>
        <w:rPr>
          <w:rFonts w:ascii="Times New Roman;sans-serif" w:hAnsi="Times New Roman;sans-serif"/>
          <w:b/>
          <w:color w:val="000000"/>
          <w:sz w:val="20"/>
        </w:rPr>
      </w:pPr>
      <w:r>
        <w:rPr>
          <w:rFonts w:ascii="Times New Roman;sans-serif" w:hAnsi="Times New Roman;sans-serif"/>
          <w:b/>
          <w:color w:val="000000"/>
          <w:sz w:val="20"/>
        </w:rPr>
        <w:t>Forward Looking Statements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This report contains forward-looking statements within the meaning of Section 27A of the Securities Act of 1933, as amended (the “Securities Act”) and Section 21E of the Securities Exchange Act of 1934, as amended (the “Exchange Act”), in reliance upon the safe harbor provisions of the Private Securities Litigation Reform Act of 1995. You should not place undue reliance on these statements. These forward-looking statements include, without limitation, statements that reflect the views of our senior management with respect to our current expectations, assumptions, estimates and projections about Inseego Corp. (the “Company” or “Inseego”) and our industry. These forward-looking statements speak only as of the date of this report. We disclaim any undertaking to publicly update or revise any forward-looking statements contained herein to reflect any change in our expectations with regard thereto or any change in events, conditions or circumstances on which any such statement is based. Statements that include the words “may,” “could,” “should,” “would,” “estimate,” “anticipate,” “believe,” “expect,” “preliminary,” “intend,” “plan,” “project,” “outlook,” “will” and similar words and phrases identify forward-looking statements (although not all forward-looking statements contain these words). Forward-looking statements are inherently subject to risks and uncertainties, some of which cannot be predicted or quantified; therefore, our actual results may differ materially from those anticipated in these forward-looking statements as of the date of this report. We believe that these factors include those related to:</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our ability to make</w:t>
      </w:r>
      <w:r>
        <w:rPr>
          <w:color w:val="000000"/>
        </w:rPr>
        <w:t xml:space="preserve"> </w:t>
      </w:r>
      <w:r>
        <w:rPr>
          <w:rFonts w:ascii="Times New Roman;sans-serif" w:hAnsi="Times New Roman;sans-serif"/>
          <w:b w:val="false"/>
          <w:color w:val="000000"/>
          <w:sz w:val="20"/>
        </w:rPr>
        <w:t>payments on or to refinance our indebtedness, including our 3.25% convertible senior notes due in May 2025;</w:t>
      </w:r>
    </w:p>
    <w:p>
      <w:pPr>
        <w:pStyle w:val="TextBody"/>
        <w:bidi w:val="0"/>
        <w:spacing w:lineRule="auto" w:line="276" w:before="120" w:after="120"/>
        <w:ind w:left="0" w:right="0" w:hanging="360"/>
        <w:jc w:val="left"/>
        <w:rPr/>
      </w:pPr>
      <w:r>
        <w:rPr>
          <w:color w:val="000000"/>
        </w:rPr>
        <w:t>•</w:t>
      </w:r>
      <w:r>
        <w:rPr>
          <w:rFonts w:ascii="Times New Roman;sans-serif" w:hAnsi="Times New Roman;sans-serif"/>
          <w:b w:val="false"/>
          <w:color w:val="000000"/>
          <w:sz w:val="20"/>
        </w:rPr>
        <w:t>our dependence on a small number of customers for a substantial portion of our revenues;</w:t>
      </w:r>
    </w:p>
    <w:p>
      <w:pPr>
        <w:pStyle w:val="TextBody"/>
        <w:bidi w:val="0"/>
        <w:spacing w:lineRule="auto" w:line="276" w:before="140" w:after="140"/>
        <w:ind w:left="0" w:right="0" w:hanging="360"/>
        <w:jc w:val="left"/>
        <w:rPr/>
      </w:pPr>
      <w:r>
        <w:rPr>
          <w:color w:val="000000"/>
        </w:rPr>
        <w:t>•</w:t>
      </w:r>
      <w:r>
        <w:rPr>
          <w:rFonts w:ascii="Times New Roman;sans-serif" w:hAnsi="Times New Roman;sans-serif"/>
          <w:b w:val="false"/>
          <w:color w:val="000000"/>
          <w:sz w:val="20"/>
        </w:rPr>
        <w:t>our ability to compete in the market for wireless broadband data access products, wireless modem products, and telematics products and services;</w:t>
      </w:r>
    </w:p>
    <w:p>
      <w:pPr>
        <w:pStyle w:val="TextBody"/>
        <w:bidi w:val="0"/>
        <w:spacing w:lineRule="auto" w:line="276" w:before="140" w:after="140"/>
        <w:ind w:left="0" w:right="0" w:hanging="360"/>
        <w:jc w:val="left"/>
        <w:rPr/>
      </w:pPr>
      <w:r>
        <w:rPr>
          <w:color w:val="000000"/>
        </w:rPr>
        <w:t>•</w:t>
      </w:r>
      <w:r>
        <w:rPr>
          <w:rFonts w:ascii="Times New Roman;sans-serif" w:hAnsi="Times New Roman;sans-serif"/>
          <w:b w:val="false"/>
          <w:color w:val="000000"/>
          <w:sz w:val="20"/>
        </w:rPr>
        <w:t>our ability to successfully develop and introduce new products and services;</w:t>
      </w:r>
    </w:p>
    <w:p>
      <w:pPr>
        <w:pStyle w:val="TextBody"/>
        <w:bidi w:val="0"/>
        <w:spacing w:lineRule="auto" w:line="276" w:before="140" w:after="140"/>
        <w:ind w:left="0" w:right="0" w:hanging="360"/>
        <w:jc w:val="left"/>
        <w:rPr/>
      </w:pPr>
      <w:r>
        <w:rPr>
          <w:color w:val="000000"/>
        </w:rPr>
        <w:t>•</w:t>
      </w:r>
      <w:r>
        <w:rPr>
          <w:rFonts w:ascii="Times New Roman;sans-serif" w:hAnsi="Times New Roman;sans-serif"/>
          <w:b w:val="false"/>
          <w:color w:val="000000"/>
          <w:sz w:val="20"/>
        </w:rPr>
        <w:t>the pace of 5G wireless network rollouts globally and their adoption by customers;</w:t>
      </w:r>
    </w:p>
    <w:p>
      <w:pPr>
        <w:pStyle w:val="TextBody"/>
        <w:bidi w:val="0"/>
        <w:spacing w:lineRule="auto" w:line="276" w:before="140" w:after="140"/>
        <w:ind w:left="0" w:right="0" w:hanging="360"/>
        <w:jc w:val="left"/>
        <w:rPr/>
      </w:pPr>
      <w:r>
        <w:rPr>
          <w:color w:val="000000"/>
        </w:rPr>
        <w:t>•</w:t>
      </w:r>
      <w:r>
        <w:rPr>
          <w:rFonts w:ascii="Times New Roman;sans-serif" w:hAnsi="Times New Roman;sans-serif"/>
          <w:b w:val="false"/>
          <w:color w:val="000000"/>
          <w:sz w:val="20"/>
        </w:rPr>
        <w:t>our dependence on wireless telecommunication operators delivering acceptable wireless services</w:t>
      </w:r>
    </w:p>
    <w:p>
      <w:pPr>
        <w:pStyle w:val="TextBody"/>
        <w:bidi w:val="0"/>
        <w:spacing w:lineRule="auto" w:line="276" w:before="140" w:after="140"/>
        <w:ind w:left="0" w:right="0" w:hanging="360"/>
        <w:jc w:val="left"/>
        <w:rPr/>
      </w:pPr>
      <w:r>
        <w:rPr>
          <w:color w:val="000000"/>
        </w:rPr>
        <w:t>•</w:t>
      </w:r>
      <w:r>
        <w:rPr>
          <w:rFonts w:ascii="Times New Roman;sans-serif" w:hAnsi="Times New Roman;sans-serif"/>
          <w:b w:val="false"/>
          <w:color w:val="000000"/>
          <w:sz w:val="20"/>
        </w:rPr>
        <w:t>our ability to meet the price and performance standards of the evolving 5G New Radio (“5G NR”) products and technologies;</w:t>
      </w:r>
    </w:p>
    <w:p>
      <w:pPr>
        <w:pStyle w:val="TextBody"/>
        <w:bidi w:val="0"/>
        <w:spacing w:lineRule="auto" w:line="276" w:before="140" w:after="140"/>
        <w:ind w:left="0" w:right="0" w:hanging="360"/>
        <w:jc w:val="left"/>
        <w:rPr/>
      </w:pPr>
      <w:r>
        <w:rPr>
          <w:color w:val="000000"/>
        </w:rPr>
        <w:t>•</w:t>
      </w:r>
      <w:r>
        <w:rPr>
          <w:rFonts w:ascii="Times New Roman;sans-serif" w:hAnsi="Times New Roman;sans-serif"/>
          <w:b w:val="false"/>
          <w:color w:val="000000"/>
          <w:sz w:val="20"/>
        </w:rPr>
        <w:t xml:space="preserve">our ability to develop sales channels and to onboard channel partners; </w:t>
      </w:r>
    </w:p>
    <w:p>
      <w:pPr>
        <w:pStyle w:val="TextBody"/>
        <w:bidi w:val="0"/>
        <w:spacing w:lineRule="auto" w:line="276" w:before="140" w:after="140"/>
        <w:ind w:left="0" w:right="0" w:hanging="360"/>
        <w:jc w:val="left"/>
        <w:rPr/>
      </w:pPr>
      <w:r>
        <w:rPr>
          <w:color w:val="000000"/>
        </w:rPr>
        <w:t>•</w:t>
      </w:r>
      <w:r>
        <w:rPr>
          <w:rFonts w:ascii="Times New Roman;sans-serif" w:hAnsi="Times New Roman;sans-serif"/>
          <w:b w:val="false"/>
          <w:color w:val="000000"/>
          <w:sz w:val="20"/>
        </w:rPr>
        <w:t>our relationships with and the performance of our channel partners;</w:t>
      </w:r>
    </w:p>
    <w:p>
      <w:pPr>
        <w:pStyle w:val="TextBody"/>
        <w:bidi w:val="0"/>
        <w:spacing w:lineRule="auto" w:line="276" w:before="140" w:after="140"/>
        <w:ind w:left="0" w:right="0" w:hanging="360"/>
        <w:jc w:val="left"/>
        <w:rPr/>
      </w:pPr>
      <w:r>
        <w:rPr>
          <w:color w:val="000000"/>
        </w:rPr>
        <w:t>•</w:t>
      </w:r>
      <w:r>
        <w:rPr>
          <w:rFonts w:ascii="Times New Roman;sans-serif" w:hAnsi="Times New Roman;sans-serif"/>
          <w:b w:val="false"/>
          <w:color w:val="000000"/>
          <w:sz w:val="20"/>
        </w:rPr>
        <w:t>our ability to introduce and sell new products that comply with current and evolving industry standards and government regulations;</w:t>
      </w:r>
    </w:p>
    <w:p>
      <w:pPr>
        <w:pStyle w:val="TextBody"/>
        <w:bidi w:val="0"/>
        <w:spacing w:lineRule="auto" w:line="276" w:before="140" w:after="140"/>
        <w:ind w:left="0" w:right="0" w:hanging="360"/>
        <w:jc w:val="left"/>
        <w:rPr/>
      </w:pPr>
      <w:r>
        <w:rPr>
          <w:color w:val="000000"/>
        </w:rPr>
        <w:t>•</w:t>
      </w:r>
      <w:r>
        <w:rPr>
          <w:rFonts w:ascii="Times New Roman;sans-serif" w:hAnsi="Times New Roman;sans-serif"/>
          <w:b w:val="false"/>
          <w:color w:val="000000"/>
          <w:sz w:val="20"/>
        </w:rPr>
        <w:t>our ability to develop and maintain strategic relationships to expand into new markets;</w:t>
      </w:r>
    </w:p>
    <w:p>
      <w:pPr>
        <w:pStyle w:val="TextBody"/>
        <w:bidi w:val="0"/>
        <w:spacing w:lineRule="auto" w:line="276" w:before="140" w:after="140"/>
        <w:ind w:left="0" w:right="0" w:hanging="360"/>
        <w:jc w:val="left"/>
        <w:rPr/>
      </w:pPr>
      <w:r>
        <w:rPr>
          <w:color w:val="000000"/>
        </w:rPr>
        <w:t>•</w:t>
      </w:r>
      <w:r>
        <w:rPr>
          <w:rFonts w:ascii="Times New Roman;sans-serif" w:hAnsi="Times New Roman;sans-serif"/>
          <w:b w:val="false"/>
          <w:color w:val="000000"/>
          <w:sz w:val="20"/>
        </w:rPr>
        <w:t xml:space="preserve">our ability to properly manage the growth of our business to avoid significant strains on our management and operations and disruptions to our business; </w:t>
      </w:r>
    </w:p>
    <w:p>
      <w:pPr>
        <w:pStyle w:val="TextBody"/>
        <w:bidi w:val="0"/>
        <w:spacing w:lineRule="auto" w:line="276" w:before="140" w:after="140"/>
        <w:ind w:left="0" w:right="0" w:hanging="360"/>
        <w:jc w:val="left"/>
        <w:rPr/>
      </w:pPr>
      <w:r>
        <w:rPr>
          <w:color w:val="000000"/>
        </w:rPr>
        <w:t>•</w:t>
      </w:r>
      <w:r>
        <w:rPr>
          <w:rFonts w:ascii="Times New Roman;sans-serif" w:hAnsi="Times New Roman;sans-serif"/>
          <w:b w:val="false"/>
          <w:color w:val="000000"/>
          <w:sz w:val="20"/>
        </w:rPr>
        <w:t xml:space="preserve">our reliance on third parties to manufacture our products; </w:t>
      </w:r>
    </w:p>
    <w:p>
      <w:pPr>
        <w:pStyle w:val="TextBody"/>
        <w:bidi w:val="0"/>
        <w:spacing w:lineRule="auto" w:line="276" w:before="140" w:after="140"/>
        <w:ind w:left="0" w:right="0" w:hanging="360"/>
        <w:jc w:val="left"/>
        <w:rPr/>
      </w:pPr>
      <w:r>
        <w:rPr>
          <w:color w:val="000000"/>
        </w:rPr>
        <w:t>•</w:t>
      </w:r>
      <w:r>
        <w:rPr>
          <w:rFonts w:ascii="Times New Roman;sans-serif" w:hAnsi="Times New Roman;sans-serif"/>
          <w:b w:val="false"/>
          <w:color w:val="000000"/>
          <w:sz w:val="20"/>
        </w:rPr>
        <w:t xml:space="preserve">our contract manufacturers’ ability to secure necessary supply to build our devices; </w:t>
      </w:r>
    </w:p>
    <w:p>
      <w:pPr>
        <w:pStyle w:val="TextBody"/>
        <w:bidi w:val="0"/>
        <w:spacing w:lineRule="auto" w:line="276" w:before="140" w:after="140"/>
        <w:ind w:left="0" w:right="0" w:hanging="360"/>
        <w:jc w:val="left"/>
        <w:rPr/>
      </w:pPr>
      <w:r>
        <w:rPr>
          <w:color w:val="000000"/>
        </w:rPr>
        <w:t>•</w:t>
      </w:r>
      <w:r>
        <w:rPr>
          <w:rFonts w:ascii="Times New Roman;sans-serif" w:hAnsi="Times New Roman;sans-serif"/>
          <w:b w:val="false"/>
          <w:color w:val="000000"/>
          <w:sz w:val="20"/>
        </w:rPr>
        <w:t>increases in costs, disruption of supply and/or the shortage of semiconductors or other key components of our products;</w:t>
      </w:r>
    </w:p>
    <w:p>
      <w:pPr>
        <w:pStyle w:val="TextBody"/>
        <w:bidi w:val="0"/>
        <w:spacing w:lineRule="auto" w:line="276" w:before="140" w:after="140"/>
        <w:ind w:left="0" w:right="0" w:hanging="360"/>
        <w:jc w:val="left"/>
        <w:rPr/>
      </w:pPr>
      <w:r>
        <w:rPr>
          <w:color w:val="000000"/>
        </w:rPr>
        <w:t>•</w:t>
      </w:r>
      <w:r>
        <w:rPr>
          <w:rFonts w:ascii="Times New Roman;sans-serif" w:hAnsi="Times New Roman;sans-serif"/>
          <w:b w:val="false"/>
          <w:color w:val="000000"/>
          <w:sz w:val="20"/>
        </w:rPr>
        <w:t xml:space="preserve">our ability to accurately forecast customer demand and order the manufacture and timely delivery of sufficient product quantities; </w:t>
      </w:r>
    </w:p>
    <w:p>
      <w:pPr>
        <w:pStyle w:val="TextBody"/>
        <w:bidi w:val="0"/>
        <w:spacing w:lineRule="auto" w:line="276" w:before="140" w:after="140"/>
        <w:ind w:left="0" w:right="0" w:hanging="360"/>
        <w:jc w:val="left"/>
        <w:rPr/>
      </w:pPr>
      <w:r>
        <w:rPr>
          <w:color w:val="000000"/>
        </w:rPr>
        <w:t>•</w:t>
      </w:r>
      <w:r>
        <w:rPr>
          <w:rFonts w:ascii="Times New Roman;sans-serif" w:hAnsi="Times New Roman;sans-serif"/>
          <w:b w:val="false"/>
          <w:color w:val="000000"/>
          <w:sz w:val="20"/>
        </w:rPr>
        <w:t xml:space="preserve">our reliance on sole source suppliers for some products and devices used in our solutions; </w:t>
      </w:r>
    </w:p>
    <w:p>
      <w:pPr>
        <w:pStyle w:val="TextBody"/>
        <w:bidi w:val="0"/>
        <w:spacing w:lineRule="auto" w:line="276" w:before="140" w:after="140"/>
        <w:ind w:left="0" w:right="0" w:hanging="360"/>
        <w:jc w:val="left"/>
        <w:rPr/>
      </w:pPr>
      <w:r>
        <w:rPr>
          <w:color w:val="000000"/>
        </w:rPr>
        <w:t>•</w:t>
      </w:r>
      <w:r>
        <w:rPr>
          <w:rFonts w:ascii="Times New Roman;sans-serif" w:hAnsi="Times New Roman;sans-serif"/>
          <w:b w:val="false"/>
          <w:color w:val="000000"/>
          <w:sz w:val="20"/>
        </w:rPr>
        <w:t xml:space="preserve">our ability to be cost competitive while meeting time-to-market requirements for our customers; </w:t>
      </w:r>
    </w:p>
    <w:p>
      <w:pPr>
        <w:pStyle w:val="TextBody"/>
        <w:bidi w:val="0"/>
        <w:spacing w:lineRule="auto" w:line="276" w:before="140" w:after="140"/>
        <w:ind w:left="0" w:right="0" w:hanging="360"/>
        <w:jc w:val="left"/>
        <w:rPr/>
      </w:pPr>
      <w:r>
        <w:rPr>
          <w:color w:val="000000"/>
        </w:rPr>
        <w:t>•</w:t>
      </w:r>
      <w:r>
        <w:rPr>
          <w:rFonts w:ascii="Times New Roman;sans-serif" w:hAnsi="Times New Roman;sans-serif"/>
          <w:b w:val="false"/>
          <w:color w:val="000000"/>
          <w:sz w:val="20"/>
        </w:rPr>
        <w:t>our ability to meet the product performance needs of our customers in mobile broadband and fixed wireless access markets;</w:t>
      </w:r>
    </w:p>
    <w:p>
      <w:pPr>
        <w:pStyle w:val="TextBody"/>
        <w:bidi w:val="0"/>
        <w:spacing w:lineRule="auto" w:line="276" w:before="140" w:after="140"/>
        <w:ind w:left="0" w:right="0" w:hanging="360"/>
        <w:jc w:val="left"/>
        <w:rPr/>
      </w:pPr>
      <w:r>
        <w:rPr>
          <w:color w:val="000000"/>
        </w:rPr>
        <w:t>•</w:t>
      </w:r>
      <w:r>
        <w:rPr>
          <w:rFonts w:ascii="Times New Roman;sans-serif" w:hAnsi="Times New Roman;sans-serif"/>
          <w:b w:val="false"/>
          <w:color w:val="000000"/>
          <w:sz w:val="20"/>
        </w:rPr>
        <w:t>demand for fleet, vehicle and asset management software-as-a-service (“SaaS”) telematics solutions;</w:t>
      </w:r>
    </w:p>
    <w:p>
      <w:pPr>
        <w:pStyle w:val="TextBody"/>
        <w:bidi w:val="0"/>
        <w:spacing w:lineRule="auto" w:line="276" w:before="140" w:after="140"/>
        <w:ind w:left="0" w:right="0" w:hanging="360"/>
        <w:jc w:val="left"/>
        <w:rPr/>
      </w:pPr>
      <w:r>
        <w:rPr>
          <w:color w:val="000000"/>
        </w:rPr>
        <w:t>•</w:t>
      </w:r>
      <w:r>
        <w:rPr>
          <w:rFonts w:ascii="Times New Roman;sans-serif" w:hAnsi="Times New Roman;sans-serif"/>
          <w:b w:val="false"/>
          <w:color w:val="000000"/>
          <w:sz w:val="20"/>
        </w:rPr>
        <w:t>our ability to make successful investments in research and development;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ind w:left="0" w:right="0" w:firstLine="450"/>
        <w:jc w:val="left"/>
        <w:rPr/>
      </w:pPr>
      <w:r>
        <w:rPr/>
      </w:r>
    </w:p>
    <w:p>
      <w:pPr>
        <w:pStyle w:val="TextBody"/>
        <w:bidi w:val="0"/>
        <w:spacing w:lineRule="auto" w:line="276" w:before="140" w:after="140"/>
        <w:ind w:left="0" w:right="0" w:hanging="360"/>
        <w:jc w:val="left"/>
        <w:rPr/>
      </w:pPr>
      <w:r>
        <w:rPr>
          <w:color w:val="000000"/>
        </w:rPr>
        <w:t>•</w:t>
      </w:r>
      <w:r>
        <w:rPr>
          <w:rFonts w:ascii="Times New Roman;sans-serif" w:hAnsi="Times New Roman;sans-serif"/>
          <w:b w:val="false"/>
          <w:color w:val="000000"/>
          <w:sz w:val="20"/>
        </w:rPr>
        <w:t>the outcome of any pending or future litigation, including intellectual property litigation;</w:t>
      </w:r>
    </w:p>
    <w:p>
      <w:pPr>
        <w:pStyle w:val="TextBody"/>
        <w:bidi w:val="0"/>
        <w:spacing w:lineRule="auto" w:line="276" w:before="140" w:after="140"/>
        <w:ind w:left="0" w:right="0" w:hanging="360"/>
        <w:jc w:val="left"/>
        <w:rPr/>
      </w:pPr>
      <w:r>
        <w:rPr>
          <w:color w:val="000000"/>
        </w:rPr>
        <w:t>•</w:t>
      </w:r>
      <w:r>
        <w:rPr>
          <w:rFonts w:ascii="Times New Roman;sans-serif" w:hAnsi="Times New Roman;sans-serif"/>
          <w:b w:val="false"/>
          <w:color w:val="000000"/>
          <w:sz w:val="20"/>
        </w:rPr>
        <w:t>infringement claims with respect to intellectual property contained in our solutions;</w:t>
      </w:r>
    </w:p>
    <w:p>
      <w:pPr>
        <w:pStyle w:val="TextBody"/>
        <w:bidi w:val="0"/>
        <w:spacing w:lineRule="auto" w:line="276" w:before="140" w:after="140"/>
        <w:ind w:left="0" w:right="0" w:hanging="360"/>
        <w:jc w:val="left"/>
        <w:rPr/>
      </w:pPr>
      <w:r>
        <w:rPr>
          <w:color w:val="000000"/>
        </w:rPr>
        <w:t>•</w:t>
      </w:r>
      <w:r>
        <w:rPr>
          <w:rFonts w:ascii="Times New Roman;sans-serif" w:hAnsi="Times New Roman;sans-serif"/>
          <w:b w:val="false"/>
          <w:color w:val="000000"/>
          <w:sz w:val="20"/>
        </w:rPr>
        <w:t xml:space="preserve">our continued ability to license necessary third-party technology for the development and sale of our solutions; </w:t>
      </w:r>
    </w:p>
    <w:p>
      <w:pPr>
        <w:pStyle w:val="TextBody"/>
        <w:bidi w:val="0"/>
        <w:spacing w:lineRule="auto" w:line="276" w:before="140" w:after="140"/>
        <w:ind w:left="0" w:right="0" w:hanging="360"/>
        <w:jc w:val="left"/>
        <w:rPr/>
      </w:pPr>
      <w:r>
        <w:rPr>
          <w:color w:val="000000"/>
        </w:rPr>
        <w:t>•</w:t>
      </w:r>
      <w:r>
        <w:rPr>
          <w:rFonts w:ascii="Times New Roman;sans-serif" w:hAnsi="Times New Roman;sans-serif"/>
          <w:b w:val="false"/>
          <w:color w:val="000000"/>
          <w:sz w:val="20"/>
        </w:rPr>
        <w:t>the introduction of new products that could contain errors or defects;</w:t>
      </w:r>
    </w:p>
    <w:p>
      <w:pPr>
        <w:pStyle w:val="TextBody"/>
        <w:bidi w:val="0"/>
        <w:spacing w:lineRule="auto" w:line="276" w:before="140" w:after="140"/>
        <w:ind w:left="0" w:right="0" w:hanging="360"/>
        <w:jc w:val="left"/>
        <w:rPr/>
      </w:pPr>
      <w:r>
        <w:rPr>
          <w:color w:val="000000"/>
        </w:rPr>
        <w:t>•</w:t>
      </w:r>
      <w:r>
        <w:rPr>
          <w:rFonts w:ascii="Times New Roman;sans-serif" w:hAnsi="Times New Roman;sans-serif"/>
          <w:b w:val="false"/>
          <w:color w:val="000000"/>
          <w:sz w:val="20"/>
        </w:rPr>
        <w:t>conducting business abroad, including foreign currency risks;</w:t>
      </w:r>
    </w:p>
    <w:p>
      <w:pPr>
        <w:pStyle w:val="TextBody"/>
        <w:bidi w:val="0"/>
        <w:spacing w:lineRule="auto" w:line="276" w:before="140" w:after="140"/>
        <w:ind w:left="0" w:right="0" w:hanging="360"/>
        <w:jc w:val="left"/>
        <w:rPr/>
      </w:pPr>
      <w:r>
        <w:rPr>
          <w:color w:val="000000"/>
        </w:rPr>
        <w:t>•</w:t>
      </w:r>
      <w:r>
        <w:rPr>
          <w:rFonts w:ascii="Times New Roman;sans-serif" w:hAnsi="Times New Roman;sans-serif"/>
          <w:b w:val="false"/>
          <w:color w:val="000000"/>
          <w:sz w:val="20"/>
        </w:rPr>
        <w:t>our ability to hire, retain and manage qualified personnel to maintain and expand our business.</w:t>
      </w:r>
    </w:p>
    <w:p>
      <w:pPr>
        <w:pStyle w:val="TextBody"/>
        <w:bidi w:val="0"/>
        <w:spacing w:lineRule="auto" w:line="276" w:before="140" w:after="140"/>
        <w:ind w:left="0" w:right="0" w:hanging="360"/>
        <w:jc w:val="left"/>
        <w:rPr/>
      </w:pPr>
      <w:r>
        <w:rPr>
          <w:color w:val="000000"/>
        </w:rPr>
        <w:t>•</w:t>
      </w:r>
      <w:r>
        <w:rPr>
          <w:rFonts w:ascii="Times New Roman;sans-serif" w:hAnsi="Times New Roman;sans-serif"/>
          <w:b w:val="false"/>
          <w:color w:val="000000"/>
          <w:sz w:val="20"/>
        </w:rPr>
        <w:t>our ability to mitigate the impact of tariffs or other government-imposed sanctions;</w:t>
      </w:r>
    </w:p>
    <w:p>
      <w:pPr>
        <w:pStyle w:val="TextBody"/>
        <w:bidi w:val="0"/>
        <w:spacing w:lineRule="auto" w:line="276" w:before="140" w:after="140"/>
        <w:ind w:left="0" w:right="0" w:hanging="360"/>
        <w:jc w:val="left"/>
        <w:rPr/>
      </w:pPr>
      <w:r>
        <w:rPr>
          <w:color w:val="000000"/>
        </w:rPr>
        <w:t>•</w:t>
      </w:r>
      <w:r>
        <w:rPr>
          <w:rFonts w:ascii="Times New Roman;sans-serif" w:hAnsi="Times New Roman;sans-serif"/>
          <w:b w:val="false"/>
          <w:color w:val="000000"/>
          <w:sz w:val="20"/>
        </w:rPr>
        <w:t>the impact of high rates of inflation and rising interest rates;</w:t>
      </w:r>
    </w:p>
    <w:p>
      <w:pPr>
        <w:pStyle w:val="TextBody"/>
        <w:bidi w:val="0"/>
        <w:spacing w:lineRule="auto" w:line="276" w:before="140" w:after="140"/>
        <w:ind w:left="0" w:right="0" w:hanging="360"/>
        <w:jc w:val="left"/>
        <w:rPr/>
      </w:pPr>
      <w:r>
        <w:rPr>
          <w:color w:val="000000"/>
        </w:rPr>
        <w:t>•</w:t>
      </w:r>
      <w:r>
        <w:rPr>
          <w:rFonts w:ascii="Times New Roman;sans-serif" w:hAnsi="Times New Roman;sans-serif"/>
          <w:b w:val="false"/>
          <w:color w:val="000000"/>
          <w:sz w:val="20"/>
        </w:rPr>
        <w:t>the continuing impact of uncertain global economic conditions on the demand for our products; and</w:t>
      </w:r>
    </w:p>
    <w:p>
      <w:pPr>
        <w:pStyle w:val="TextBody"/>
        <w:bidi w:val="0"/>
        <w:spacing w:lineRule="auto" w:line="276" w:before="140" w:after="140"/>
        <w:ind w:left="0" w:right="0" w:hanging="360"/>
        <w:jc w:val="left"/>
        <w:rPr/>
      </w:pPr>
      <w:r>
        <w:rPr>
          <w:color w:val="000000"/>
        </w:rPr>
        <w:t>•</w:t>
      </w:r>
      <w:r>
        <w:rPr>
          <w:rFonts w:ascii="Times New Roman;sans-serif" w:hAnsi="Times New Roman;sans-serif"/>
          <w:b w:val="false"/>
          <w:color w:val="000000"/>
          <w:sz w:val="20"/>
        </w:rPr>
        <w:t>the impact of geopolitical instability on our business.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foregoing factors should not be construed as exhaustive and should be read together with the other cautionary statements included in this and other reports we file with or furnish to the Securities and Exchange Commission (“SEC”), including the information in “Item 1A. Risk Factors” included in Part I of our Annual Report on Form 10-K for the year ended December 31, 2023 (the “Form 10-K”). If one or more events related to these or other risks or uncertainties materialize, or if our underlying assumptions prove to be incorrect, actual results may differ materially from what we anticipate. As used in this report on Form 10-Q, unless the context otherwise requires, the terms “we,” “us,” “our,” the “Company” and “Inseego” refer to Inseego Corp., a Delaware corporation, and its wholly-owned subsidiaries. </w:t>
      </w:r>
    </w:p>
    <w:p>
      <w:pPr>
        <w:pStyle w:val="TextBody"/>
        <w:bidi w:val="0"/>
        <w:spacing w:lineRule="auto" w:line="276" w:before="180" w:after="283"/>
        <w:jc w:val="left"/>
        <w:rPr>
          <w:rFonts w:ascii="Times New Roman;sans-serif" w:hAnsi="Times New Roman;sans-serif"/>
          <w:b/>
          <w:color w:val="000000"/>
          <w:sz w:val="20"/>
        </w:rPr>
      </w:pPr>
      <w:r>
        <w:rPr>
          <w:rFonts w:ascii="Times New Roman;sans-serif" w:hAnsi="Times New Roman;sans-serif"/>
          <w:b/>
          <w:color w:val="000000"/>
          <w:sz w:val="20"/>
        </w:rPr>
        <w:t>Trademarks</w:t>
      </w:r>
    </w:p>
    <w:p>
      <w:pPr>
        <w:pStyle w:val="TextBody"/>
        <w:bidi w:val="0"/>
        <w:spacing w:lineRule="auto" w:line="276" w:before="180" w:after="180"/>
        <w:ind w:left="0" w:right="0" w:firstLine="450"/>
        <w:jc w:val="left"/>
        <w:rPr>
          <w:color w:val="000000"/>
        </w:rPr>
      </w:pPr>
      <w:r>
        <w:rPr>
          <w:color w:val="000000"/>
        </w:rPr>
        <w:t>“</w:t>
      </w:r>
      <w:r>
        <w:rPr>
          <w:rFonts w:ascii="Times New Roman;sans-serif" w:hAnsi="Times New Roman;sans-serif"/>
          <w:b w:val="false"/>
          <w:color w:val="000000"/>
          <w:sz w:val="20"/>
        </w:rPr>
        <w:t xml:space="preserve">Inseego”, “Inseego Subscribe”, “Inseego Manage”, “Inseego Secure”, “Inseego Vision”, the Inseego logo, “MiFi”, “MiFi Intelligent Mobile Hotspot”, ”Wavemaker”, “Clarity”, and “Skyus” are trademarks or registered trademarks of Inseego and its subsidiaries. Other trademarks, trade names or service marks used in this report are the property of their respective owners. </w:t>
      </w:r>
    </w:p>
    <w:p>
      <w:pPr>
        <w:pStyle w:val="TextBody"/>
        <w:bidi w:val="0"/>
        <w:spacing w:before="180" w:after="18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ind w:left="0" w:right="0" w:firstLine="450"/>
        <w:jc w:val="left"/>
        <w:rPr/>
      </w:pPr>
      <w:r>
        <w:rPr/>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information should be read in conjunction with the condensed consolidated financial statements and the accompanying notes included in Part I, Item 1 of this report, as well as the annual consolidated financial statements and accompanying notes and Management’s Discussion and Analysis of Financial Condition and Results of Operations for the year ended December 31, 2023, contained in our Form 10-K.</w:t>
      </w:r>
    </w:p>
    <w:p>
      <w:pPr>
        <w:pStyle w:val="TextBody"/>
        <w:bidi w:val="0"/>
        <w:spacing w:lineRule="auto" w:line="276" w:before="180" w:after="180"/>
        <w:jc w:val="left"/>
        <w:rPr>
          <w:rFonts w:ascii="Times New Roman;sans-serif" w:hAnsi="Times New Roman;sans-serif"/>
          <w:b/>
          <w:color w:val="000000"/>
          <w:sz w:val="20"/>
        </w:rPr>
      </w:pPr>
      <w:r>
        <w:rPr>
          <w:rFonts w:ascii="Times New Roman;sans-serif" w:hAnsi="Times New Roman;sans-serif"/>
          <w:b/>
          <w:color w:val="000000"/>
          <w:sz w:val="20"/>
        </w:rPr>
        <w:t>Business Overview</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Inseego Corp. is a leader in the design and development of cloud-managed wireless broadband and intelligent edge solutions. Our 4G and 5G wireless broadband portfolio is comprised of secure and high-performance mobile broadband and fixed wireless access (“FWA”) solutions with associated cloud solutions for real time WAN visibility, monitoring, automation and control with centralized orchestration of network functions. These solutions are specifically built for the enterprise and small and medium business (“SMB”) market segments with a focus on performance, scalability, quality and enterprise grade security. Our intelligent edge telematics solutions are designed to improve business outcomes for enterprise and SMB market segments. We also provide a wireless subscriber management solution for carriers to manage their government and complex enterprise customer subscriptions.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5G products and associated cloud solutions are designed and developed in the U.S. and are used in mission-critical applications requiring the highest levels of security and zero unscheduled downtime. These solutions support applications such as business broadband for both mobile and fixed use cases, enterprise networking and software-defined wide area network (“SD-WAN”) failover management.</w:t>
      </w:r>
    </w:p>
    <w:p>
      <w:pPr>
        <w:pStyle w:val="TextBody"/>
        <w:bidi w:val="0"/>
        <w:spacing w:lineRule="auto" w:line="276" w:before="180" w:after="180"/>
        <w:ind w:left="0" w:right="0" w:firstLine="450"/>
        <w:jc w:val="left"/>
        <w:rPr/>
      </w:pPr>
      <w:r>
        <w:rPr>
          <w:rFonts w:ascii="Times New Roman;sans-serif" w:hAnsi="Times New Roman;sans-serif"/>
          <w:b w:val="false"/>
          <w:color w:val="000000"/>
          <w:sz w:val="20"/>
        </w:rPr>
        <w:t xml:space="preserve">Inseego is at the forefront of providing high speed broadband through state-of-the-art 4G and 5G solutions to keep enterprise and SMB customers seamlessly connected. With multiple first-to-market innovations through several generations of 4G and 5G technologies, Inseego has been advancing wireless WAN technology and driving industry transformations for over 30 years. Our products currently operate on all major cellular networks in the US. Our mobile hotspots, sold under the MiFi </w:t>
      </w:r>
      <w:r>
        <w:rPr>
          <w:color w:val="353740"/>
        </w:rPr>
        <w:t xml:space="preserve">™ </w:t>
      </w:r>
      <w:r>
        <w:rPr>
          <w:rFonts w:ascii="Times New Roman;sans-serif" w:hAnsi="Times New Roman;sans-serif"/>
          <w:b w:val="false"/>
          <w:color w:val="000000"/>
          <w:sz w:val="20"/>
        </w:rPr>
        <w:t xml:space="preserve">brand, have been sold to millions of end users and provide secure and convenient high-speed broadband access to the Internet on the go. </w:t>
      </w:r>
    </w:p>
    <w:p>
      <w:pPr>
        <w:pStyle w:val="TextBody"/>
        <w:bidi w:val="0"/>
        <w:spacing w:lineRule="auto" w:line="276" w:before="180" w:after="180"/>
        <w:jc w:val="left"/>
        <w:rPr>
          <w:rFonts w:ascii="Times New Roman;sans-serif" w:hAnsi="Times New Roman;sans-serif"/>
          <w:b/>
          <w:color w:val="000000"/>
          <w:sz w:val="20"/>
        </w:rPr>
      </w:pPr>
      <w:r>
        <w:rPr>
          <w:rFonts w:ascii="Times New Roman;sans-serif" w:hAnsi="Times New Roman;sans-serif"/>
          <w:b/>
          <w:color w:val="000000"/>
          <w:sz w:val="20"/>
        </w:rPr>
        <w:t>Our Sources of Revenue</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classify our revenues from the sale of our products and services into two categories: Product Revenue, which consists of our Mobile Solutions and Fixed Wireless Access Solutions, and Services and Other. A description of each of the revenue classifications is as follows:</w:t>
      </w:r>
    </w:p>
    <w:p>
      <w:pPr>
        <w:pStyle w:val="TextBody"/>
        <w:bidi w:val="0"/>
        <w:spacing w:lineRule="auto" w:line="276" w:before="0" w:after="0"/>
        <w:jc w:val="left"/>
        <w:rPr/>
      </w:pPr>
      <w:r>
        <w:rPr>
          <w:rFonts w:ascii="Times New Roman;sans-serif" w:hAnsi="Times New Roman;sans-serif"/>
          <w:b w:val="false"/>
          <w:i/>
          <w:color w:val="000000"/>
          <w:sz w:val="20"/>
        </w:rPr>
        <w:t>Mobile solutions</w:t>
      </w:r>
      <w:r>
        <w:rPr>
          <w:rFonts w:ascii="Times New Roman;sans-serif" w:hAnsi="Times New Roman;sans-serif"/>
          <w:b w:val="false"/>
          <w:color w:val="000000"/>
          <w:sz w:val="20"/>
        </w:rPr>
        <w:t xml:space="preserve">: Our mobile broadband solutions, sold under the MiFi brand, are actively used by millions of end users to provide secure and convenient high-speed access to corporate, public and personal information through the Internet and enterprise networks. Our mobile portfolio is supported by our cloud offerings - Inseego Connect for device management, and 5G SD EDGE for secure networking enabling corporate managed mobile remote workforce. Our Mobile Solutions portfolio also includes 4G VoLTE products and 4G USB modems. Our Mobile Solutions customer base is primarily comprised of mobile operators. These mobile operators include Verizon Wireless, T-Mobile and U.S. Cellular in the United States, Rogers and Telus in Canada, Telstra in Australia, as well as other international wireless operators, distributors and various companies in other vertical markets and geographies. </w:t>
      </w:r>
    </w:p>
    <w:p>
      <w:pPr>
        <w:pStyle w:val="TextBody"/>
        <w:bidi w:val="0"/>
        <w:spacing w:before="0" w:after="0"/>
        <w:ind w:left="0" w:right="0" w:firstLine="450"/>
        <w:jc w:val="left"/>
        <w:rPr/>
      </w:pPr>
      <w:r>
        <w:rPr/>
      </w:r>
    </w:p>
    <w:p>
      <w:pPr>
        <w:pStyle w:val="TextBody"/>
        <w:bidi w:val="0"/>
        <w:spacing w:lineRule="auto" w:line="276" w:before="0" w:after="0"/>
        <w:jc w:val="left"/>
        <w:rPr/>
      </w:pPr>
      <w:r>
        <w:rPr>
          <w:rFonts w:ascii="Times New Roman;sans-serif" w:hAnsi="Times New Roman;sans-serif"/>
          <w:b w:val="false"/>
          <w:i/>
          <w:color w:val="000000"/>
          <w:sz w:val="20"/>
        </w:rPr>
        <w:t>Fixed wireless access solutions</w:t>
      </w:r>
      <w:r>
        <w:rPr>
          <w:rFonts w:ascii="Times New Roman;sans-serif" w:hAnsi="Times New Roman;sans-serif"/>
          <w:b w:val="false"/>
          <w:color w:val="000000"/>
          <w:sz w:val="20"/>
        </w:rPr>
        <w:t xml:space="preserve">: Our fixed wireless access solutions are deployed by enterprise and SMB customers for their distributed sites and employees as a fully secure and corporate managed wireless WWAN solution. The portfolio consists of indoor, outdoor and industrial routers and gateways supported by our cloud solutions – Inseego Connect for device management and 5G SD Edge for secure cloud networking. These solutions, sold under the Wavemaker and Skyus brands, are sold by mobile operators such as T-Mobile, U.S. Cellular and Verizon Wireless along with distribution and channel partners. </w:t>
      </w:r>
    </w:p>
    <w:p>
      <w:pPr>
        <w:pStyle w:val="TextBody"/>
        <w:bidi w:val="0"/>
        <w:spacing w:before="0" w:after="0"/>
        <w:jc w:val="left"/>
        <w:rPr/>
      </w:pPr>
      <w:r>
        <w:rPr/>
      </w:r>
    </w:p>
    <w:p>
      <w:pPr>
        <w:pStyle w:val="TextBody"/>
        <w:bidi w:val="0"/>
        <w:spacing w:lineRule="auto" w:line="276" w:before="0" w:after="0"/>
        <w:jc w:val="left"/>
        <w:rPr/>
      </w:pPr>
      <w:r>
        <w:rPr>
          <w:rFonts w:ascii="Times New Roman;sans-serif" w:hAnsi="Times New Roman;sans-serif"/>
          <w:b w:val="false"/>
          <w:i/>
          <w:color w:val="000000"/>
          <w:sz w:val="20"/>
        </w:rPr>
        <w:t>Services and other</w:t>
      </w:r>
      <w:r>
        <w:rPr>
          <w:rFonts w:ascii="Times New Roman;sans-serif" w:hAnsi="Times New Roman;sans-serif"/>
          <w:b w:val="false"/>
          <w:color w:val="000000"/>
          <w:sz w:val="20"/>
        </w:rPr>
        <w:t xml:space="preserve">: We sell certain other types of SaaS solutions. First is our telematics and asset tracking solution that is deployed across multiple vertical markets in Europe, UK, Australia and New Zealand. This solution provides real time visibility to fleet managers on their deployed vehicles with live maps and data to improve driver safety and performance. We have thousands of enterprise and SMB customers currently subscribed to this service. Second, we provide a wireless subscriber management solution (Inseego Subscribe) for carrier’s management of their government and complex enterprise customer subscriptions. We also categorize non-recurring engineering services we provide to our customers as Service and other revenue. </w:t>
      </w:r>
    </w:p>
    <w:p>
      <w:pPr>
        <w:pStyle w:val="TextBody"/>
        <w:bidi w:val="0"/>
        <w:spacing w:lineRule="auto" w:line="276" w:before="180" w:after="18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Business Segment Reporting</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operate as one business segment. Our principal executive officer, who is also our Chief Operating Decision Maker, evaluates the business as a single entity and reviews financial information and makes business decisions based on the overall results of the business. As such, our operations constitute a single operating segment and one reportable segment.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ind w:left="0" w:right="0" w:firstLine="450"/>
        <w:jc w:val="left"/>
        <w:rPr/>
      </w:pPr>
      <w:r>
        <w:rPr/>
      </w:r>
    </w:p>
    <w:p>
      <w:pPr>
        <w:pStyle w:val="TextBody"/>
        <w:bidi w:val="0"/>
        <w:spacing w:lineRule="auto" w:line="276" w:before="180" w:after="180"/>
        <w:jc w:val="left"/>
        <w:rPr>
          <w:rFonts w:ascii="Times New Roman;sans-serif" w:hAnsi="Times New Roman;sans-serif"/>
          <w:b/>
          <w:color w:val="000000"/>
          <w:sz w:val="20"/>
        </w:rPr>
      </w:pPr>
      <w:r>
        <w:rPr>
          <w:rFonts w:ascii="Times New Roman;sans-serif" w:hAnsi="Times New Roman;sans-serif"/>
          <w:b/>
          <w:color w:val="000000"/>
          <w:sz w:val="20"/>
        </w:rPr>
        <w:t>Financial Statement Presentation</w:t>
      </w:r>
    </w:p>
    <w:p>
      <w:pPr>
        <w:pStyle w:val="TextBody"/>
        <w:bidi w:val="0"/>
        <w:spacing w:lineRule="auto" w:line="276" w:before="180" w:after="180"/>
        <w:ind w:left="0" w:right="0" w:firstLine="450"/>
        <w:jc w:val="left"/>
        <w:rPr/>
      </w:pPr>
      <w:r>
        <w:rPr>
          <w:rFonts w:ascii="Times New Roman;sans-serif" w:hAnsi="Times New Roman;sans-serif"/>
          <w:b w:val="false"/>
          <w:color w:val="000000"/>
          <w:sz w:val="20"/>
        </w:rPr>
        <w:t>During the fourth quarter of 2023 the Company reclassified revenues on the in order to align with how management currently reviews revenue results. Historically, the Company classified revenues from products and services into two categories, IoT &amp; Mobile Solutions and Enterprise SaaS Solutions. The Company is now classifying revenues into the following two categories: Product Revenue, which consists of our Mobile Solutions and Fixed Wireless Access Solutions, and Services and Other.</w:t>
      </w:r>
      <w:r>
        <w:rPr>
          <w:color w:val="000000"/>
          <w:shd w:fill="FFFFFF" w:val="clear"/>
        </w:rPr>
        <w:t xml:space="preserve"> </w:t>
      </w:r>
    </w:p>
    <w:p>
      <w:pPr>
        <w:pStyle w:val="TextBody"/>
        <w:bidi w:val="0"/>
        <w:spacing w:lineRule="auto" w:line="276" w:before="180" w:after="180"/>
        <w:ind w:left="0" w:right="0" w:firstLine="450"/>
        <w:jc w:val="left"/>
        <w:rPr/>
      </w:pPr>
      <w:r>
        <w:rPr>
          <w:rFonts w:ascii="Times New Roman;sans-serif" w:hAnsi="Times New Roman;sans-serif"/>
          <w:b w:val="false"/>
          <w:color w:val="000000"/>
          <w:sz w:val="20"/>
        </w:rPr>
        <w:t xml:space="preserve">Additionally, during 2023 the Company reclassified all depreciation and amortization expense previously recorded in the operating expense line items of research and development, sales and marketing, and general and administrative expenses into a separate line labeled </w:t>
      </w:r>
      <w:r>
        <w:rPr>
          <w:rFonts w:ascii="Times New Roman;sans-serif" w:hAnsi="Times New Roman;sans-serif"/>
          <w:b w:val="false"/>
          <w:i/>
          <w:color w:val="000000"/>
          <w:sz w:val="20"/>
        </w:rPr>
        <w:t>Depreciation and amortization.</w:t>
      </w:r>
      <w:r>
        <w:rPr>
          <w:color w:val="000000"/>
        </w:rPr>
        <w:t xml:space="preserve"> </w:t>
      </w:r>
      <w:r>
        <w:rPr>
          <w:rFonts w:ascii="Times New Roman;sans-serif" w:hAnsi="Times New Roman;sans-serif"/>
          <w:b w:val="false"/>
          <w:color w:val="000000"/>
          <w:sz w:val="20"/>
        </w:rPr>
        <w:t>All prior periods have been reclassified to conform to the current period presentation for these changes.</w:t>
      </w:r>
    </w:p>
    <w:p>
      <w:pPr>
        <w:pStyle w:val="TextBody"/>
        <w:bidi w:val="0"/>
        <w:spacing w:lineRule="auto" w:line="276" w:before="180" w:after="180"/>
        <w:jc w:val="left"/>
        <w:rPr>
          <w:rFonts w:ascii="Times New Roman;sans-serif" w:hAnsi="Times New Roman;sans-serif"/>
          <w:b/>
          <w:color w:val="000000"/>
          <w:sz w:val="20"/>
        </w:rPr>
      </w:pPr>
      <w:r>
        <w:rPr>
          <w:rFonts w:ascii="Times New Roman;sans-serif" w:hAnsi="Times New Roman;sans-serif"/>
          <w:b/>
          <w:color w:val="000000"/>
          <w:sz w:val="20"/>
        </w:rPr>
        <w:t xml:space="preserve">Critical Accounting Estimates </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prepare our condensed consolidated financial statements in accordance with GAAP. The preparation of these condensed consolidated financial statements in conformity with GAAP requires us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We base our estimates on historical experience and other assumptions that we believe are reasonable under the circumstances. Our actual results could differ significantly from these estimates under different assumptions and conditions. </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our critical accounting estimates as compared to the critical accounting estimates discussed in the Form 10-K.</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 xml:space="preserve">Three Months Ended March 31, 2024 Compared to Three Months Ended March 31, 2023 </w:t>
      </w:r>
    </w:p>
    <w:p>
      <w:pPr>
        <w:pStyle w:val="TextBody"/>
        <w:bidi w:val="0"/>
        <w:spacing w:lineRule="auto" w:line="276" w:before="180" w:after="180"/>
        <w:ind w:left="0" w:right="0" w:firstLine="450"/>
        <w:jc w:val="left"/>
        <w:rPr/>
      </w:pPr>
      <w:r>
        <w:rPr>
          <w:rFonts w:ascii="Times New Roman;sans-serif" w:hAnsi="Times New Roman;sans-serif"/>
          <w:b/>
          <w:i/>
          <w:color w:val="000000"/>
          <w:sz w:val="20"/>
        </w:rPr>
        <w:t>Revenues</w:t>
      </w:r>
      <w:r>
        <w:rPr>
          <w:rFonts w:ascii="Times New Roman;sans-serif" w:hAnsi="Times New Roman;sans-serif"/>
          <w:b w:val="false"/>
          <w:color w:val="000000"/>
          <w:sz w:val="20"/>
        </w:rPr>
        <w:t xml:space="preserve">. Revenues for the three months ended March 31, 2024 were $45.0 million, compared to $50.8 million for the same period in 2023. </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net revenues by our two product categories (in thousands):</w:t>
      </w:r>
    </w:p>
    <w:tbl>
      <w:tblPr>
        <w:tblW w:w="7000" w:type="dxa"/>
        <w:jc w:val="left"/>
        <w:tblInd w:w="0" w:type="dxa"/>
        <w:tblLayout w:type="fixed"/>
        <w:tblCellMar>
          <w:top w:w="28" w:type="dxa"/>
          <w:left w:w="28" w:type="dxa"/>
          <w:bottom w:w="28" w:type="dxa"/>
          <w:right w:w="28" w:type="dxa"/>
        </w:tblCellMar>
      </w:tblPr>
      <w:tblGrid>
        <w:gridCol w:w="847"/>
        <w:gridCol w:w="746"/>
        <w:gridCol w:w="747"/>
        <w:gridCol w:w="196"/>
        <w:gridCol w:w="646"/>
        <w:gridCol w:w="109"/>
        <w:gridCol w:w="109"/>
        <w:gridCol w:w="109"/>
        <w:gridCol w:w="109"/>
        <w:gridCol w:w="196"/>
        <w:gridCol w:w="646"/>
        <w:gridCol w:w="109"/>
        <w:gridCol w:w="109"/>
        <w:gridCol w:w="109"/>
        <w:gridCol w:w="109"/>
        <w:gridCol w:w="196"/>
        <w:gridCol w:w="631"/>
        <w:gridCol w:w="109"/>
        <w:gridCol w:w="109"/>
        <w:gridCol w:w="109"/>
        <w:gridCol w:w="109"/>
        <w:gridCol w:w="269"/>
        <w:gridCol w:w="271"/>
        <w:gridCol w:w="301"/>
      </w:tblGrid>
      <w:tr>
        <w:trPr/>
        <w:tc>
          <w:tcPr>
            <w:tcW w:w="847"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Product Category</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Mobile solutions</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15,270 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23,040 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(7,770)</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w:t>
            </w:r>
          </w:p>
        </w:tc>
        <w:tc>
          <w:tcPr>
            <w:tcW w:w="3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Fixed wireless access solutions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 revenues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Services and 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50,794 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180"/>
        <w:ind w:left="0" w:right="0" w:firstLine="450"/>
        <w:jc w:val="left"/>
        <w:rPr/>
      </w:pPr>
      <w:r>
        <w:rPr>
          <w:rFonts w:ascii="Times New Roman;sans-serif" w:hAnsi="Times New Roman;sans-serif"/>
          <w:b w:val="false"/>
          <w:i/>
          <w:color w:val="000000"/>
          <w:sz w:val="20"/>
        </w:rPr>
        <w:t>Mobile solutions.</w:t>
      </w:r>
      <w:r>
        <w:rPr>
          <w:color w:val="000000"/>
        </w:rPr>
        <w:t xml:space="preserve"> </w:t>
      </w:r>
      <w:r>
        <w:rPr>
          <w:rFonts w:ascii="Times New Roman;sans-serif" w:hAnsi="Times New Roman;sans-serif"/>
          <w:b w:val="false"/>
          <w:color w:val="000000"/>
          <w:sz w:val="20"/>
        </w:rPr>
        <w:t xml:space="preserve">The $7.8 million decrease in mobile solutions revenues is primarily a result of investing more of our resources in the premium 5G MiFi category as opposed to developing a low-end, lower margin 5G MiFi, which resulted in lower sales during the three months ended March 31, 2024 as compared to the three months ended March 31, 2023. </w:t>
      </w:r>
    </w:p>
    <w:p>
      <w:pPr>
        <w:pStyle w:val="TextBody"/>
        <w:bidi w:val="0"/>
        <w:spacing w:lineRule="auto" w:line="276" w:before="180" w:after="180"/>
        <w:ind w:left="0" w:right="0" w:firstLine="450"/>
        <w:jc w:val="left"/>
        <w:rPr/>
      </w:pPr>
      <w:r>
        <w:rPr>
          <w:rFonts w:ascii="Times New Roman;sans-serif" w:hAnsi="Times New Roman;sans-serif"/>
          <w:b w:val="false"/>
          <w:i/>
          <w:color w:val="000000"/>
          <w:sz w:val="20"/>
        </w:rPr>
        <w:t>Fixed wireless access solutions.</w:t>
      </w:r>
      <w:r>
        <w:rPr>
          <w:color w:val="000000"/>
        </w:rPr>
        <w:t xml:space="preserve"> </w:t>
      </w:r>
      <w:r>
        <w:rPr>
          <w:rFonts w:ascii="Times New Roman;sans-serif" w:hAnsi="Times New Roman;sans-serif"/>
          <w:b w:val="false"/>
          <w:color w:val="000000"/>
          <w:sz w:val="20"/>
          <w:shd w:fill="FFFFFF" w:val="clear"/>
        </w:rPr>
        <w:t xml:space="preserve">The </w:t>
      </w:r>
      <w:r>
        <w:rPr>
          <w:rFonts w:ascii="Times New Roman;sans-serif" w:hAnsi="Times New Roman;sans-serif"/>
          <w:b w:val="false"/>
          <w:color w:val="000000"/>
          <w:sz w:val="20"/>
        </w:rPr>
        <w:t>$2.3 million</w:t>
      </w:r>
      <w:r>
        <w:rPr>
          <w:color w:val="000000"/>
          <w:shd w:fill="FFFFFF" w:val="clear"/>
        </w:rPr>
        <w:t xml:space="preserve"> </w:t>
      </w:r>
      <w:r>
        <w:rPr>
          <w:rFonts w:ascii="Times New Roman;sans-serif" w:hAnsi="Times New Roman;sans-serif"/>
          <w:b w:val="false"/>
          <w:color w:val="000000"/>
          <w:sz w:val="20"/>
        </w:rPr>
        <w:t>increase</w:t>
      </w:r>
      <w:r>
        <w:rPr>
          <w:color w:val="000000"/>
          <w:shd w:fill="FFFFFF" w:val="clear"/>
        </w:rPr>
        <w:t xml:space="preserve"> </w:t>
      </w:r>
      <w:r>
        <w:rPr>
          <w:rFonts w:ascii="Times New Roman;sans-serif" w:hAnsi="Times New Roman;sans-serif"/>
          <w:b w:val="false"/>
          <w:color w:val="000000"/>
          <w:sz w:val="20"/>
          <w:shd w:fill="FFFFFF" w:val="clear"/>
        </w:rPr>
        <w:t>in fixed wireless access solutions revenue</w:t>
      </w:r>
      <w:r>
        <w:rPr>
          <w:rFonts w:ascii="Times New Roman;sans-serif" w:hAnsi="Times New Roman;sans-serif"/>
          <w:b w:val="false"/>
          <w:color w:val="000000"/>
          <w:sz w:val="20"/>
        </w:rPr>
        <w:t>s is primarily due to the increased adoption of fixed wireless access products by our customers, specifically sales of a 5G fixed wireless access device that we launched in the second quarter of 2023.</w:t>
      </w:r>
    </w:p>
    <w:p>
      <w:pPr>
        <w:pStyle w:val="TextBody"/>
        <w:bidi w:val="0"/>
        <w:spacing w:lineRule="auto" w:line="276" w:before="180" w:after="180"/>
        <w:ind w:left="0" w:right="0" w:firstLine="450"/>
        <w:jc w:val="left"/>
        <w:rPr/>
      </w:pPr>
      <w:r>
        <w:rPr>
          <w:rFonts w:ascii="Times New Roman;sans-serif" w:hAnsi="Times New Roman;sans-serif"/>
          <w:b w:val="false"/>
          <w:i/>
          <w:color w:val="000000"/>
          <w:sz w:val="20"/>
        </w:rPr>
        <w:t xml:space="preserve">Services and other </w:t>
      </w:r>
      <w:r>
        <w:rPr>
          <w:rFonts w:ascii="Times New Roman;sans-serif" w:hAnsi="Times New Roman;sans-serif"/>
          <w:b w:val="false"/>
          <w:color w:val="000000"/>
          <w:sz w:val="20"/>
          <w:shd w:fill="FFFFFF" w:val="clear"/>
        </w:rPr>
        <w:t xml:space="preserve">The </w:t>
      </w:r>
      <w:r>
        <w:rPr>
          <w:rFonts w:ascii="Times New Roman;sans-serif" w:hAnsi="Times New Roman;sans-serif"/>
          <w:b w:val="false"/>
          <w:color w:val="000000"/>
          <w:sz w:val="20"/>
        </w:rPr>
        <w:t>$0.3 million</w:t>
      </w:r>
      <w:r>
        <w:rPr>
          <w:color w:val="000000"/>
          <w:shd w:fill="FFFFFF" w:val="clear"/>
        </w:rPr>
        <w:t xml:space="preserve"> </w:t>
      </w:r>
      <w:r>
        <w:rPr>
          <w:rFonts w:ascii="Times New Roman;sans-serif" w:hAnsi="Times New Roman;sans-serif"/>
          <w:b w:val="false"/>
          <w:color w:val="000000"/>
          <w:sz w:val="20"/>
        </w:rPr>
        <w:t>decrease</w:t>
      </w:r>
      <w:r>
        <w:rPr>
          <w:color w:val="000000"/>
          <w:shd w:fill="FFFFFF" w:val="clear"/>
        </w:rPr>
        <w:t xml:space="preserve"> </w:t>
      </w:r>
      <w:r>
        <w:rPr>
          <w:rFonts w:ascii="Times New Roman;sans-serif" w:hAnsi="Times New Roman;sans-serif"/>
          <w:b w:val="false"/>
          <w:color w:val="000000"/>
          <w:sz w:val="20"/>
          <w:shd w:fill="FFFFFF" w:val="clear"/>
        </w:rPr>
        <w:t>in services and other net revenues is</w:t>
      </w:r>
      <w:r>
        <w:rPr>
          <w:color w:val="000000"/>
        </w:rPr>
        <w:t xml:space="preserve"> </w:t>
      </w:r>
      <w:r>
        <w:rPr>
          <w:rFonts w:ascii="Times New Roman;sans-serif" w:hAnsi="Times New Roman;sans-serif"/>
          <w:b w:val="false"/>
          <w:color w:val="000000"/>
          <w:sz w:val="20"/>
        </w:rPr>
        <w:t xml:space="preserve">primarily due to decreased Inseego Subscribe revenues, partially offset by increased telematics subscription revenues. Based on the terms of a two-year service contract for Inseego Subscribe that was renewed in April 2024, we expect Inseego Subscribe revenues to increase in future periods. </w:t>
      </w:r>
    </w:p>
    <w:p>
      <w:pPr>
        <w:pStyle w:val="TextBody"/>
        <w:bidi w:val="0"/>
        <w:spacing w:lineRule="auto" w:line="276" w:before="180" w:after="180"/>
        <w:ind w:left="0" w:right="0" w:firstLine="450"/>
        <w:jc w:val="left"/>
        <w:rPr/>
      </w:pPr>
      <w:r>
        <w:rPr>
          <w:rFonts w:ascii="Times New Roman;sans-serif" w:hAnsi="Times New Roman;sans-serif"/>
          <w:b/>
          <w:i/>
          <w:color w:val="000000"/>
          <w:sz w:val="20"/>
        </w:rPr>
        <w:t xml:space="preserve">Cost of revenues. </w:t>
      </w:r>
      <w:r>
        <w:rPr>
          <w:rFonts w:ascii="Times New Roman;sans-serif" w:hAnsi="Times New Roman;sans-serif"/>
          <w:b w:val="false"/>
          <w:color w:val="000000"/>
          <w:sz w:val="20"/>
        </w:rPr>
        <w:t xml:space="preserve">Cost of revenues for the three months ended March 31, 2024 was $27.6 million, or 61.4% of revenues, compared to $32.6 million, or 64.2% of revenues, for the same period in 2023. </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cost of revenues by category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ind w:left="0" w:right="0" w:firstLine="450"/>
        <w:jc w:val="left"/>
        <w:rPr/>
      </w:pPr>
      <w:r>
        <w:rPr/>
      </w:r>
    </w:p>
    <w:tbl>
      <w:tblPr>
        <w:tblW w:w="6339" w:type="dxa"/>
        <w:jc w:val="left"/>
        <w:tblInd w:w="0" w:type="dxa"/>
        <w:tblLayout w:type="fixed"/>
        <w:tblCellMar>
          <w:top w:w="28" w:type="dxa"/>
          <w:left w:w="28" w:type="dxa"/>
          <w:bottom w:w="28" w:type="dxa"/>
          <w:right w:w="28" w:type="dxa"/>
        </w:tblCellMar>
      </w:tblPr>
      <w:tblGrid>
        <w:gridCol w:w="608"/>
        <w:gridCol w:w="535"/>
        <w:gridCol w:w="536"/>
        <w:gridCol w:w="196"/>
        <w:gridCol w:w="646"/>
        <w:gridCol w:w="109"/>
        <w:gridCol w:w="109"/>
        <w:gridCol w:w="109"/>
        <w:gridCol w:w="109"/>
        <w:gridCol w:w="196"/>
        <w:gridCol w:w="646"/>
        <w:gridCol w:w="109"/>
        <w:gridCol w:w="109"/>
        <w:gridCol w:w="109"/>
        <w:gridCol w:w="109"/>
        <w:gridCol w:w="196"/>
        <w:gridCol w:w="631"/>
        <w:gridCol w:w="109"/>
        <w:gridCol w:w="109"/>
        <w:gridCol w:w="109"/>
        <w:gridCol w:w="109"/>
        <w:gridCol w:w="269"/>
        <w:gridCol w:w="271"/>
        <w:gridCol w:w="301"/>
      </w:tblGrid>
      <w:tr>
        <w:trPr/>
        <w:tc>
          <w:tcPr>
            <w:tcW w:w="60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Product Category</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22,713 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27,967 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(5,254)</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w:t>
            </w:r>
          </w:p>
        </w:tc>
        <w:tc>
          <w:tcPr>
            <w:tcW w:w="3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Services and 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cost of revenues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180"/>
        <w:ind w:left="0" w:right="0" w:firstLine="450"/>
        <w:jc w:val="left"/>
        <w:rPr/>
      </w:pPr>
      <w:r>
        <w:rPr>
          <w:rFonts w:ascii="Times New Roman;sans-serif" w:hAnsi="Times New Roman;sans-serif"/>
          <w:b w:val="false"/>
          <w:i/>
          <w:color w:val="000000"/>
          <w:sz w:val="20"/>
        </w:rPr>
        <w:t>Product.</w:t>
      </w:r>
      <w:r>
        <w:rPr>
          <w:color w:val="000000"/>
        </w:rPr>
        <w:t xml:space="preserve"> </w:t>
      </w:r>
      <w:r>
        <w:rPr>
          <w:rFonts w:ascii="Times New Roman;sans-serif" w:hAnsi="Times New Roman;sans-serif"/>
          <w:b w:val="false"/>
          <w:color w:val="000000"/>
          <w:sz w:val="20"/>
        </w:rPr>
        <w:t>The $5.3 million decrease in Product cost of revenues is primarily is a result of lower sales of 4G hotspots, partially offset by increased sales of fixed wireless access solutions.</w:t>
      </w:r>
    </w:p>
    <w:p>
      <w:pPr>
        <w:pStyle w:val="TextBody"/>
        <w:bidi w:val="0"/>
        <w:spacing w:lineRule="auto" w:line="276" w:before="180" w:after="180"/>
        <w:ind w:left="0" w:right="0" w:firstLine="450"/>
        <w:jc w:val="left"/>
        <w:rPr/>
      </w:pPr>
      <w:r>
        <w:rPr>
          <w:rFonts w:ascii="Times New Roman;sans-serif" w:hAnsi="Times New Roman;sans-serif"/>
          <w:b w:val="false"/>
          <w:i/>
          <w:color w:val="000000"/>
          <w:sz w:val="20"/>
        </w:rPr>
        <w:t>Services and other.</w:t>
      </w:r>
      <w:r>
        <w:rPr>
          <w:color w:val="000000"/>
        </w:rPr>
        <w:t xml:space="preserve"> </w:t>
      </w:r>
      <w:r>
        <w:rPr>
          <w:rFonts w:ascii="Times New Roman;sans-serif" w:hAnsi="Times New Roman;sans-serif"/>
          <w:b w:val="false"/>
          <w:color w:val="000000"/>
          <w:sz w:val="20"/>
        </w:rPr>
        <w:t>The $0.3 million increase in Services and other cost of revenues is primarily due to product mix as higher cost telematics services increased in comparison to the prior period, both in total and as a percentage of total Services and other revenues.</w:t>
      </w:r>
    </w:p>
    <w:p>
      <w:pPr>
        <w:pStyle w:val="TextBody"/>
        <w:bidi w:val="0"/>
        <w:spacing w:lineRule="auto" w:line="276" w:before="180" w:after="180"/>
        <w:ind w:left="0" w:right="0" w:firstLine="450"/>
        <w:jc w:val="left"/>
        <w:rPr/>
      </w:pPr>
      <w:r>
        <w:rPr>
          <w:rFonts w:ascii="Times New Roman;sans-serif" w:hAnsi="Times New Roman;sans-serif"/>
          <w:b/>
          <w:i/>
          <w:color w:val="000000"/>
          <w:sz w:val="20"/>
        </w:rPr>
        <w:t>Gross profit.</w:t>
      </w:r>
      <w:r>
        <w:rPr>
          <w:color w:val="000000"/>
        </w:rPr>
        <w:t xml:space="preserve"> </w:t>
      </w:r>
      <w:r>
        <w:rPr>
          <w:rFonts w:ascii="Times New Roman;sans-serif" w:hAnsi="Times New Roman;sans-serif"/>
          <w:b w:val="false"/>
          <w:color w:val="000000"/>
          <w:sz w:val="20"/>
        </w:rPr>
        <w:t>Gross profit for the three months ended March 31, 2024 was $17.4 million, or a gross margin of 38.6%, compared to $18.2 million, or a gross margin of 35.8%, for the same period in 2023. The decrease in gross profit is primarily due to lower reven</w:t>
      </w:r>
      <w:r>
        <w:rPr>
          <w:rFonts w:ascii="Times New Roman;sans-serif" w:hAnsi="Times New Roman;sans-serif"/>
          <w:b w:val="false"/>
          <w:color w:val="000000"/>
          <w:sz w:val="20"/>
          <w:shd w:fill="FFFFFF" w:val="clear"/>
        </w:rPr>
        <w:t xml:space="preserve">ues. The increase in gross profit margin is due to a larger proportion of higher margin service revenues as a percentage of total revenues. </w:t>
      </w:r>
    </w:p>
    <w:p>
      <w:pPr>
        <w:pStyle w:val="TextBody"/>
        <w:bidi w:val="0"/>
        <w:spacing w:lineRule="auto" w:line="276" w:before="180" w:after="180"/>
        <w:ind w:left="0" w:right="0" w:firstLine="450"/>
        <w:jc w:val="left"/>
        <w:rPr/>
      </w:pPr>
      <w:r>
        <w:rPr>
          <w:rFonts w:ascii="Times New Roman;sans-serif" w:hAnsi="Times New Roman;sans-serif"/>
          <w:b/>
          <w:i/>
          <w:color w:val="000000"/>
          <w:sz w:val="20"/>
        </w:rPr>
        <w:t xml:space="preserve">Operating costs and expenses. </w:t>
      </w:r>
      <w:r>
        <w:rPr>
          <w:rFonts w:ascii="Times New Roman;sans-serif" w:hAnsi="Times New Roman;sans-serif"/>
          <w:b w:val="false"/>
          <w:color w:val="000000"/>
          <w:sz w:val="20"/>
        </w:rPr>
        <w:t>The following table summarizes operating costs and expenses (in thousands):</w:t>
      </w:r>
    </w:p>
    <w:tbl>
      <w:tblPr>
        <w:tblW w:w="7392" w:type="dxa"/>
        <w:jc w:val="left"/>
        <w:tblInd w:w="0" w:type="dxa"/>
        <w:tblLayout w:type="fixed"/>
        <w:tblCellMar>
          <w:top w:w="28" w:type="dxa"/>
          <w:left w:w="28" w:type="dxa"/>
          <w:bottom w:w="28" w:type="dxa"/>
          <w:right w:w="28" w:type="dxa"/>
        </w:tblCellMar>
      </w:tblPr>
      <w:tblGrid>
        <w:gridCol w:w="928"/>
        <w:gridCol w:w="817"/>
        <w:gridCol w:w="819"/>
        <w:gridCol w:w="211"/>
        <w:gridCol w:w="695"/>
        <w:gridCol w:w="117"/>
        <w:gridCol w:w="117"/>
        <w:gridCol w:w="117"/>
        <w:gridCol w:w="117"/>
        <w:gridCol w:w="211"/>
        <w:gridCol w:w="695"/>
        <w:gridCol w:w="117"/>
        <w:gridCol w:w="109"/>
        <w:gridCol w:w="109"/>
        <w:gridCol w:w="109"/>
        <w:gridCol w:w="196"/>
        <w:gridCol w:w="631"/>
        <w:gridCol w:w="109"/>
        <w:gridCol w:w="109"/>
        <w:gridCol w:w="109"/>
        <w:gridCol w:w="109"/>
        <w:gridCol w:w="269"/>
        <w:gridCol w:w="271"/>
        <w:gridCol w:w="301"/>
      </w:tblGrid>
      <w:tr>
        <w:trPr/>
        <w:tc>
          <w:tcPr>
            <w:tcW w:w="928"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costs and expenses</w:t>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5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5,043 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3,775 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33.6 </w:t>
            </w:r>
          </w:p>
        </w:tc>
        <w:tc>
          <w:tcPr>
            <w:tcW w:w="3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w:t>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6,466 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5,724 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5,309 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capitalized software</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19,076 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21,778 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180"/>
        <w:ind w:left="0" w:right="0" w:firstLine="450"/>
        <w:jc w:val="left"/>
        <w:rPr/>
      </w:pPr>
      <w:r>
        <w:rPr>
          <w:rFonts w:ascii="Times New Roman;sans-serif" w:hAnsi="Times New Roman;sans-serif"/>
          <w:b/>
          <w:i/>
          <w:color w:val="000000"/>
          <w:sz w:val="20"/>
        </w:rPr>
        <w:t>Research and development expenses.</w:t>
      </w:r>
      <w:r>
        <w:rPr>
          <w:color w:val="000000"/>
        </w:rPr>
        <w:t xml:space="preserve"> </w:t>
      </w:r>
      <w:r>
        <w:rPr>
          <w:rFonts w:ascii="Times New Roman;sans-serif" w:hAnsi="Times New Roman;sans-serif"/>
          <w:b w:val="false"/>
          <w:color w:val="000000"/>
          <w:sz w:val="20"/>
        </w:rPr>
        <w:t>Research and development expenses for the three months ended March 31, 2024 were $5.0 million, or 11.2% of net revenues, compared to $3.8 million</w:t>
      </w:r>
      <w:r>
        <w:rPr>
          <w:rFonts w:ascii="Times New Roman;sans-serif" w:hAnsi="Times New Roman;sans-serif"/>
          <w:b w:val="false"/>
          <w:color w:val="000000"/>
          <w:sz w:val="20"/>
          <w:shd w:fill="FFFFFF" w:val="clear"/>
        </w:rPr>
        <w:t xml:space="preserve">, or </w:t>
      </w:r>
      <w:r>
        <w:rPr>
          <w:rFonts w:ascii="Times New Roman;sans-serif" w:hAnsi="Times New Roman;sans-serif"/>
          <w:b w:val="false"/>
          <w:color w:val="000000"/>
          <w:sz w:val="20"/>
        </w:rPr>
        <w:t>7.4%</w:t>
      </w:r>
      <w:r>
        <w:rPr>
          <w:color w:val="000000"/>
          <w:shd w:fill="FFFFFF" w:val="clear"/>
        </w:rPr>
        <w:t xml:space="preserve"> </w:t>
      </w:r>
      <w:r>
        <w:rPr>
          <w:rFonts w:ascii="Times New Roman;sans-serif" w:hAnsi="Times New Roman;sans-serif"/>
          <w:b w:val="false"/>
          <w:color w:val="000000"/>
          <w:sz w:val="20"/>
          <w:shd w:fill="FFFFFF" w:val="clear"/>
        </w:rPr>
        <w:t xml:space="preserve">of net revenues, for the same period in 2023. </w:t>
      </w:r>
      <w:r>
        <w:rPr>
          <w:rFonts w:ascii="Times New Roman;sans-serif" w:hAnsi="Times New Roman;sans-serif"/>
          <w:b w:val="false"/>
          <w:color w:val="000000"/>
          <w:sz w:val="20"/>
        </w:rPr>
        <w:t xml:space="preserve">The increase in research and development expenses was primarily due to fewer research and development projects that were capitalizable during the three months ended March 31, 2024, which resulted in a higher percentage of research and development costs being recorded as operating expenses, partially offset by lower personnel related costs. </w:t>
      </w:r>
    </w:p>
    <w:p>
      <w:pPr>
        <w:pStyle w:val="TextBody"/>
        <w:bidi w:val="0"/>
        <w:spacing w:lineRule="auto" w:line="276" w:before="180" w:after="180"/>
        <w:ind w:left="0" w:right="0" w:firstLine="450"/>
        <w:jc w:val="left"/>
        <w:rPr/>
      </w:pPr>
      <w:r>
        <w:rPr>
          <w:rFonts w:ascii="Times New Roman;sans-serif" w:hAnsi="Times New Roman;sans-serif"/>
          <w:b/>
          <w:i/>
          <w:color w:val="000000"/>
          <w:sz w:val="20"/>
        </w:rPr>
        <w:t>Sales and marketing expenses.</w:t>
      </w:r>
      <w:r>
        <w:rPr>
          <w:color w:val="000000"/>
        </w:rPr>
        <w:t xml:space="preserve"> </w:t>
      </w:r>
      <w:r>
        <w:rPr>
          <w:rFonts w:ascii="Times New Roman;sans-serif" w:hAnsi="Times New Roman;sans-serif"/>
          <w:b w:val="false"/>
          <w:color w:val="000000"/>
          <w:sz w:val="20"/>
        </w:rPr>
        <w:t>Sales and marketing expenses for the three months ended March 31, 2024 were $5.0 million, or 11.1% of net revenues, compared to $6.5 million, or 12.7% of net revenues, for the same period in 2023. The decrease in sales and marketing expenses was primarily due to lower sales personnel-related costs as a result of the decrease in overall sales headcount compared to the same period in 2023.</w:t>
      </w:r>
    </w:p>
    <w:p>
      <w:pPr>
        <w:pStyle w:val="TextBody"/>
        <w:bidi w:val="0"/>
        <w:spacing w:lineRule="auto" w:line="276" w:before="180" w:after="180"/>
        <w:ind w:left="0" w:right="0" w:firstLine="450"/>
        <w:jc w:val="left"/>
        <w:rPr/>
      </w:pPr>
      <w:r>
        <w:rPr>
          <w:rFonts w:ascii="Times New Roman;sans-serif" w:hAnsi="Times New Roman;sans-serif"/>
          <w:b/>
          <w:i/>
          <w:color w:val="000000"/>
          <w:sz w:val="20"/>
        </w:rPr>
        <w:t>General and administrative expenses.</w:t>
      </w:r>
      <w:r>
        <w:rPr>
          <w:color w:val="000000"/>
        </w:rPr>
        <w:t xml:space="preserve"> </w:t>
      </w:r>
      <w:r>
        <w:rPr>
          <w:rFonts w:ascii="Times New Roman;sans-serif" w:hAnsi="Times New Roman;sans-serif"/>
          <w:b w:val="false"/>
          <w:color w:val="000000"/>
          <w:sz w:val="20"/>
        </w:rPr>
        <w:t>General and administrative expenses for the three months ended March 31, 2024 were $5.0 million, or 11.1% of net revenues, compared to $5.7 million, or 11.3% of net revenues, for the same period in 2023. The decrease in general and administrative expense was primarily due to a decrease in share-based compensation expense.</w:t>
      </w:r>
    </w:p>
    <w:p>
      <w:pPr>
        <w:pStyle w:val="TextBody"/>
        <w:bidi w:val="0"/>
        <w:spacing w:lineRule="auto" w:line="276" w:before="180" w:after="180"/>
        <w:ind w:left="0" w:right="0" w:firstLine="450"/>
        <w:jc w:val="left"/>
        <w:rPr/>
      </w:pPr>
      <w:r>
        <w:rPr>
          <w:rFonts w:ascii="Times New Roman;sans-serif" w:hAnsi="Times New Roman;sans-serif"/>
          <w:b/>
          <w:i/>
          <w:color w:val="000000"/>
          <w:sz w:val="20"/>
          <w:shd w:fill="FFFFFF" w:val="clear"/>
        </w:rPr>
        <w:t>Depreciation and amortization expenses</w:t>
      </w:r>
      <w:r>
        <w:rPr>
          <w:rFonts w:ascii="Times New Roman;sans-serif" w:hAnsi="Times New Roman;sans-serif"/>
          <w:b/>
          <w:color w:val="000000"/>
          <w:sz w:val="20"/>
          <w:shd w:fill="FFFFFF" w:val="clear"/>
        </w:rPr>
        <w:t>.</w:t>
      </w:r>
      <w:r>
        <w:rPr>
          <w:color w:val="000000"/>
          <w:shd w:fill="FFFFFF" w:val="clear"/>
        </w:rPr>
        <w:t xml:space="preserve"> </w:t>
      </w:r>
      <w:r>
        <w:rPr>
          <w:rFonts w:ascii="Times New Roman;sans-serif" w:hAnsi="Times New Roman;sans-serif"/>
          <w:b w:val="false"/>
          <w:color w:val="000000"/>
          <w:sz w:val="20"/>
          <w:shd w:fill="FFFFFF" w:val="clear"/>
        </w:rPr>
        <w:t xml:space="preserve">Depreciation and amortization expenses for the three months ended </w:t>
      </w:r>
      <w:r>
        <w:rPr>
          <w:rFonts w:ascii="Times New Roman;sans-serif" w:hAnsi="Times New Roman;sans-serif"/>
          <w:b w:val="false"/>
          <w:color w:val="000000"/>
          <w:sz w:val="20"/>
        </w:rPr>
        <w:t>March 31, 2024</w:t>
      </w:r>
      <w:r>
        <w:rPr>
          <w:color w:val="000000"/>
          <w:shd w:fill="FFFFFF" w:val="clear"/>
        </w:rPr>
        <w:t xml:space="preserve"> </w:t>
      </w:r>
      <w:r>
        <w:rPr>
          <w:rFonts w:ascii="Times New Roman;sans-serif" w:hAnsi="Times New Roman;sans-serif"/>
          <w:b w:val="false"/>
          <w:color w:val="000000"/>
          <w:sz w:val="20"/>
          <w:shd w:fill="FFFFFF" w:val="clear"/>
        </w:rPr>
        <w:t xml:space="preserve">were </w:t>
      </w:r>
      <w:r>
        <w:rPr>
          <w:rFonts w:ascii="Times New Roman;sans-serif" w:hAnsi="Times New Roman;sans-serif"/>
          <w:b w:val="false"/>
          <w:color w:val="000000"/>
          <w:sz w:val="20"/>
        </w:rPr>
        <w:t>$3.6 million</w:t>
      </w:r>
      <w:r>
        <w:rPr>
          <w:rFonts w:ascii="Times New Roman;sans-serif" w:hAnsi="Times New Roman;sans-serif"/>
          <w:b w:val="false"/>
          <w:color w:val="000000"/>
          <w:sz w:val="20"/>
          <w:shd w:fill="FFFFFF" w:val="clear"/>
        </w:rPr>
        <w:t xml:space="preserve">, or </w:t>
      </w:r>
      <w:r>
        <w:rPr>
          <w:rFonts w:ascii="Times New Roman;sans-serif" w:hAnsi="Times New Roman;sans-serif"/>
          <w:b w:val="false"/>
          <w:color w:val="000000"/>
          <w:sz w:val="20"/>
        </w:rPr>
        <w:t>8.1%</w:t>
      </w:r>
      <w:r>
        <w:rPr>
          <w:color w:val="000000"/>
          <w:shd w:fill="FFFFFF" w:val="clear"/>
        </w:rPr>
        <w:t xml:space="preserve"> </w:t>
      </w:r>
      <w:r>
        <w:rPr>
          <w:rFonts w:ascii="Times New Roman;sans-serif" w:hAnsi="Times New Roman;sans-serif"/>
          <w:b w:val="false"/>
          <w:color w:val="000000"/>
          <w:sz w:val="20"/>
          <w:shd w:fill="FFFFFF" w:val="clear"/>
        </w:rPr>
        <w:t xml:space="preserve">of net revenues, compared to </w:t>
      </w:r>
      <w:r>
        <w:rPr>
          <w:rFonts w:ascii="Times New Roman;sans-serif" w:hAnsi="Times New Roman;sans-serif"/>
          <w:b w:val="false"/>
          <w:color w:val="000000"/>
          <w:sz w:val="20"/>
        </w:rPr>
        <w:t>$5.3 million</w:t>
      </w:r>
      <w:r>
        <w:rPr>
          <w:rFonts w:ascii="Times New Roman;sans-serif" w:hAnsi="Times New Roman;sans-serif"/>
          <w:b w:val="false"/>
          <w:color w:val="000000"/>
          <w:sz w:val="20"/>
          <w:shd w:fill="FFFFFF" w:val="clear"/>
        </w:rPr>
        <w:t xml:space="preserve">, or </w:t>
      </w:r>
      <w:r>
        <w:rPr>
          <w:rFonts w:ascii="Times New Roman;sans-serif" w:hAnsi="Times New Roman;sans-serif"/>
          <w:b w:val="false"/>
          <w:color w:val="000000"/>
          <w:sz w:val="20"/>
        </w:rPr>
        <w:t>10.5%</w:t>
      </w:r>
      <w:r>
        <w:rPr>
          <w:color w:val="000000"/>
          <w:shd w:fill="FFFFFF" w:val="clear"/>
        </w:rPr>
        <w:t xml:space="preserve"> </w:t>
      </w:r>
      <w:r>
        <w:rPr>
          <w:rFonts w:ascii="Times New Roman;sans-serif" w:hAnsi="Times New Roman;sans-serif"/>
          <w:b w:val="false"/>
          <w:color w:val="000000"/>
          <w:sz w:val="20"/>
          <w:shd w:fill="FFFFFF" w:val="clear"/>
        </w:rPr>
        <w:t xml:space="preserve">of net revenues, for the same period in </w:t>
      </w:r>
      <w:r>
        <w:rPr>
          <w:rFonts w:ascii="Times New Roman;sans-serif" w:hAnsi="Times New Roman;sans-serif"/>
          <w:b w:val="false"/>
          <w:color w:val="000000"/>
          <w:sz w:val="20"/>
        </w:rPr>
        <w:t>2023</w:t>
      </w:r>
      <w:r>
        <w:rPr>
          <w:rFonts w:ascii="Times New Roman;sans-serif" w:hAnsi="Times New Roman;sans-serif"/>
          <w:b w:val="false"/>
          <w:color w:val="000000"/>
          <w:sz w:val="20"/>
          <w:shd w:fill="FFFFFF" w:val="clear"/>
        </w:rPr>
        <w:t xml:space="preserve">. The </w:t>
      </w:r>
      <w:r>
        <w:rPr>
          <w:rFonts w:ascii="Times New Roman;sans-serif" w:hAnsi="Times New Roman;sans-serif"/>
          <w:b w:val="false"/>
          <w:color w:val="000000"/>
          <w:sz w:val="20"/>
        </w:rPr>
        <w:t>decrease</w:t>
      </w:r>
      <w:r>
        <w:rPr>
          <w:color w:val="000000"/>
          <w:shd w:fill="FFFFFF" w:val="clear"/>
        </w:rPr>
        <w:t xml:space="preserve"> </w:t>
      </w:r>
      <w:r>
        <w:rPr>
          <w:rFonts w:ascii="Times New Roman;sans-serif" w:hAnsi="Times New Roman;sans-serif"/>
          <w:b w:val="false"/>
          <w:color w:val="000000"/>
          <w:sz w:val="20"/>
          <w:shd w:fill="FFFFFF" w:val="clear"/>
        </w:rPr>
        <w:t xml:space="preserve">in depreciation and amortization expenses was primarily due to lower amortization related to capitalized software projects during the three months ended </w:t>
      </w:r>
      <w:r>
        <w:rPr>
          <w:rFonts w:ascii="Times New Roman;sans-serif" w:hAnsi="Times New Roman;sans-serif"/>
          <w:b w:val="false"/>
          <w:color w:val="000000"/>
          <w:sz w:val="20"/>
        </w:rPr>
        <w:t>March 31, 2024</w:t>
      </w:r>
      <w:r>
        <w:rPr>
          <w:color w:val="000000"/>
          <w:shd w:fill="FFFFFF" w:val="clear"/>
        </w:rPr>
        <w:t xml:space="preserve"> </w:t>
      </w:r>
      <w:r>
        <w:rPr>
          <w:rFonts w:ascii="Times New Roman;sans-serif" w:hAnsi="Times New Roman;sans-serif"/>
          <w:b w:val="false"/>
          <w:color w:val="000000"/>
          <w:sz w:val="20"/>
          <w:shd w:fill="FFFFFF" w:val="clear"/>
        </w:rPr>
        <w:t xml:space="preserve">compared to the same period in </w:t>
      </w:r>
      <w:r>
        <w:rPr>
          <w:rFonts w:ascii="Times New Roman;sans-serif" w:hAnsi="Times New Roman;sans-serif"/>
          <w:b w:val="false"/>
          <w:color w:val="000000"/>
          <w:sz w:val="20"/>
        </w:rPr>
        <w:t>2023</w:t>
      </w:r>
      <w:r>
        <w:rPr>
          <w:rFonts w:ascii="Times New Roman;sans-serif" w:hAnsi="Times New Roman;sans-serif"/>
          <w:b w:val="false"/>
          <w:color w:val="000000"/>
          <w:sz w:val="20"/>
          <w:shd w:fill="FFFFFF" w:val="clear"/>
        </w:rPr>
        <w:t xml:space="preserve">. </w:t>
      </w:r>
    </w:p>
    <w:p>
      <w:pPr>
        <w:pStyle w:val="TextBody"/>
        <w:bidi w:val="0"/>
        <w:spacing w:lineRule="auto" w:line="276" w:before="180" w:after="180"/>
        <w:ind w:left="0" w:right="0" w:firstLine="450"/>
        <w:jc w:val="left"/>
        <w:rPr/>
      </w:pPr>
      <w:r>
        <w:rPr>
          <w:rFonts w:ascii="Times New Roman;sans-serif" w:hAnsi="Times New Roman;sans-serif"/>
          <w:b/>
          <w:i/>
          <w:color w:val="000000"/>
          <w:sz w:val="20"/>
        </w:rPr>
        <w:t xml:space="preserve">Impairment of capitalized software. </w:t>
      </w:r>
      <w:r>
        <w:rPr>
          <w:rFonts w:ascii="Times New Roman;sans-serif" w:hAnsi="Times New Roman;sans-serif"/>
          <w:b w:val="false"/>
          <w:color w:val="000000"/>
          <w:sz w:val="20"/>
        </w:rPr>
        <w:t xml:space="preserve">For the </w:t>
      </w:r>
      <w:r>
        <w:rPr>
          <w:rFonts w:ascii="Times New Roman;sans-serif" w:hAnsi="Times New Roman;sans-serif"/>
          <w:b w:val="false"/>
          <w:color w:val="000000"/>
          <w:sz w:val="20"/>
          <w:shd w:fill="FFFFFF" w:val="clear"/>
        </w:rPr>
        <w:t xml:space="preserve">three months ended </w:t>
      </w:r>
      <w:r>
        <w:rPr>
          <w:rFonts w:ascii="Times New Roman;sans-serif" w:hAnsi="Times New Roman;sans-serif"/>
          <w:b w:val="false"/>
          <w:color w:val="000000"/>
          <w:sz w:val="20"/>
        </w:rPr>
        <w:t>March 31, 2024 and 2023, we recorded</w:t>
      </w:r>
      <w:r>
        <w:rPr>
          <w:color w:val="000000"/>
          <w:shd w:fill="FFFFFF" w:val="clear"/>
        </w:rPr>
        <w:t xml:space="preserve"> </w:t>
      </w:r>
      <w:r>
        <w:rPr>
          <w:rFonts w:ascii="Times New Roman;sans-serif" w:hAnsi="Times New Roman;sans-serif"/>
          <w:b w:val="false"/>
          <w:color w:val="000000"/>
          <w:sz w:val="20"/>
          <w:shd w:fill="FFFFFF" w:val="clear"/>
        </w:rPr>
        <w:t>impairments of</w:t>
      </w:r>
      <w:r>
        <w:rPr>
          <w:color w:val="000000"/>
        </w:rPr>
        <w:t xml:space="preserve"> </w:t>
      </w:r>
      <w:r>
        <w:rPr>
          <w:rFonts w:ascii="Times New Roman;sans-serif" w:hAnsi="Times New Roman;sans-serif"/>
          <w:b w:val="false"/>
          <w:color w:val="000000"/>
          <w:sz w:val="20"/>
        </w:rPr>
        <w:t>$0.4 million and $0.5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ind w:left="0" w:right="0" w:firstLine="450"/>
        <w:jc w:val="left"/>
        <w:rPr/>
      </w:pPr>
      <w:r>
        <w:rPr/>
      </w:r>
    </w:p>
    <w:p>
      <w:pPr>
        <w:pStyle w:val="TextBody"/>
        <w:bidi w:val="0"/>
        <w:spacing w:lineRule="auto" w:line="276" w:before="180" w:after="180"/>
        <w:ind w:left="0" w:right="0" w:firstLine="450"/>
        <w:jc w:val="left"/>
        <w:rPr/>
      </w:pPr>
      <w:r>
        <w:rPr>
          <w:rFonts w:ascii="Times New Roman;sans-serif" w:hAnsi="Times New Roman;sans-serif"/>
          <w:b/>
          <w:i/>
          <w:color w:val="000000"/>
          <w:sz w:val="20"/>
        </w:rPr>
        <w:t xml:space="preserve">Other (expense) income. </w:t>
      </w:r>
      <w:r>
        <w:rPr>
          <w:rFonts w:ascii="Times New Roman;sans-serif" w:hAnsi="Times New Roman;sans-serif"/>
          <w:b w:val="false"/>
          <w:color w:val="000000"/>
          <w:sz w:val="20"/>
        </w:rPr>
        <w:t>The following table summarizes other (expense) income (in thousands):</w:t>
      </w:r>
    </w:p>
    <w:tbl>
      <w:tblPr>
        <w:tblW w:w="6887" w:type="dxa"/>
        <w:jc w:val="left"/>
        <w:tblInd w:w="0" w:type="dxa"/>
        <w:tblLayout w:type="fixed"/>
        <w:tblCellMar>
          <w:top w:w="28" w:type="dxa"/>
          <w:left w:w="28" w:type="dxa"/>
          <w:bottom w:w="28" w:type="dxa"/>
          <w:right w:w="28" w:type="dxa"/>
        </w:tblCellMar>
      </w:tblPr>
      <w:tblGrid>
        <w:gridCol w:w="764"/>
        <w:gridCol w:w="674"/>
        <w:gridCol w:w="676"/>
        <w:gridCol w:w="214"/>
        <w:gridCol w:w="688"/>
        <w:gridCol w:w="119"/>
        <w:gridCol w:w="119"/>
        <w:gridCol w:w="119"/>
        <w:gridCol w:w="119"/>
        <w:gridCol w:w="214"/>
        <w:gridCol w:w="688"/>
        <w:gridCol w:w="119"/>
        <w:gridCol w:w="109"/>
        <w:gridCol w:w="109"/>
        <w:gridCol w:w="109"/>
        <w:gridCol w:w="196"/>
        <w:gridCol w:w="631"/>
        <w:gridCol w:w="109"/>
        <w:gridCol w:w="109"/>
        <w:gridCol w:w="109"/>
        <w:gridCol w:w="109"/>
        <w:gridCol w:w="314"/>
        <w:gridCol w:w="316"/>
        <w:gridCol w:w="154"/>
      </w:tblGrid>
      <w:tr>
        <w:trPr/>
        <w:tc>
          <w:tcPr>
            <w:tcW w:w="76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Other (expense) income</w:t>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1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(2,174)</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(1,997)</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 income, net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(2,534)</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(1,202)</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180"/>
        <w:ind w:left="0" w:right="0" w:firstLine="450"/>
        <w:jc w:val="left"/>
        <w:rPr/>
      </w:pPr>
      <w:r>
        <w:rPr>
          <w:rFonts w:ascii="Times New Roman;sans-serif" w:hAnsi="Times New Roman;sans-serif"/>
          <w:b/>
          <w:i/>
          <w:color w:val="000000"/>
          <w:sz w:val="20"/>
        </w:rPr>
        <w:t>Interest expense, net.</w:t>
      </w:r>
      <w:r>
        <w:rPr>
          <w:color w:val="000000"/>
        </w:rPr>
        <w:t xml:space="preserve"> </w:t>
      </w:r>
      <w:r>
        <w:rPr>
          <w:rFonts w:ascii="Times New Roman;sans-serif" w:hAnsi="Times New Roman;sans-serif"/>
          <w:b w:val="false"/>
          <w:color w:val="000000"/>
          <w:sz w:val="20"/>
        </w:rPr>
        <w:t>The $0.2 million increase in interest expense, net for the three months ended March 31, 2024 over the same period in 2023 was primarily a result of interest expense associated with the Company’s Credit Facility.</w:t>
      </w:r>
    </w:p>
    <w:p>
      <w:pPr>
        <w:pStyle w:val="TextBody"/>
        <w:bidi w:val="0"/>
        <w:spacing w:lineRule="auto" w:line="276" w:before="180" w:after="180"/>
        <w:ind w:left="0" w:right="0" w:firstLine="450"/>
        <w:jc w:val="left"/>
        <w:rPr/>
      </w:pPr>
      <w:r>
        <w:rPr>
          <w:rFonts w:ascii="Times New Roman;sans-serif" w:hAnsi="Times New Roman;sans-serif"/>
          <w:b/>
          <w:i/>
          <w:color w:val="000000"/>
          <w:sz w:val="20"/>
        </w:rPr>
        <w:t>Other (expense) income, net.</w:t>
      </w:r>
      <w:r>
        <w:rPr>
          <w:color w:val="000000"/>
        </w:rPr>
        <w:t xml:space="preserve"> </w:t>
      </w:r>
      <w:r>
        <w:rPr>
          <w:rFonts w:ascii="Times New Roman;sans-serif" w:hAnsi="Times New Roman;sans-serif"/>
          <w:b w:val="false"/>
          <w:color w:val="000000"/>
          <w:sz w:val="20"/>
        </w:rPr>
        <w:t>The $1.2 million decrease in other (expense) income, net for the three months ended March 31, 2024 over the same period in 2023 is primarily due to foreign currency exchange gains in the prior period.</w:t>
      </w:r>
    </w:p>
    <w:p>
      <w:pPr>
        <w:pStyle w:val="TextBody"/>
        <w:bidi w:val="0"/>
        <w:spacing w:lineRule="auto" w:line="276" w:before="0" w:after="0"/>
        <w:ind w:left="0" w:right="0" w:firstLine="450"/>
        <w:jc w:val="left"/>
        <w:rPr/>
      </w:pPr>
      <w:r>
        <w:rPr>
          <w:rFonts w:ascii="Times New Roman;sans-serif" w:hAnsi="Times New Roman;sans-serif"/>
          <w:b/>
          <w:i/>
          <w:color w:val="000000"/>
          <w:sz w:val="20"/>
        </w:rPr>
        <w:t xml:space="preserve">Income tax provision. </w:t>
      </w:r>
      <w:r>
        <w:rPr>
          <w:rFonts w:ascii="Times New Roman;sans-serif" w:hAnsi="Times New Roman;sans-serif"/>
          <w:b w:val="false"/>
          <w:color w:val="000000"/>
          <w:sz w:val="20"/>
        </w:rPr>
        <w:t xml:space="preserve">Income tax provision for the three months ended March 31, 2024 and 2023 was a provision of $0.2 million and $0.3 million, respectively. </w:t>
      </w:r>
    </w:p>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pPr>
      <w:r>
        <w:rPr>
          <w:rFonts w:ascii="Times New Roman;sans-serif" w:hAnsi="Times New Roman;sans-serif"/>
          <w:b/>
          <w:i/>
          <w:color w:val="000000"/>
          <w:sz w:val="20"/>
        </w:rPr>
        <w:t xml:space="preserve">Series E preferred stock dividends. </w:t>
      </w:r>
      <w:r>
        <w:rPr>
          <w:rFonts w:ascii="Times New Roman;sans-serif" w:hAnsi="Times New Roman;sans-serif"/>
          <w:b w:val="false"/>
          <w:color w:val="000000"/>
          <w:sz w:val="20"/>
        </w:rPr>
        <w:t>During the three months ended March 31, 2024 and 2023, we recorded dividends of $0.8 million and $0.7 million, respectively, on our Series E Preferred Stock.</w:t>
      </w:r>
    </w:p>
    <w:p>
      <w:pPr>
        <w:pStyle w:val="TextBody"/>
        <w:bidi w:val="0"/>
        <w:spacing w:lineRule="auto" w:line="276" w:before="180" w:after="180"/>
        <w:jc w:val="left"/>
        <w:rPr>
          <w:rFonts w:ascii="Times New Roman;sans-serif" w:hAnsi="Times New Roman;sans-serif"/>
          <w:b/>
          <w:color w:val="000000"/>
          <w:sz w:val="20"/>
        </w:rPr>
      </w:pPr>
      <w:r>
        <w:rPr>
          <w:rFonts w:ascii="Times New Roman;sans-serif" w:hAnsi="Times New Roman;sans-serif"/>
          <w:b/>
          <w:color w:val="000000"/>
          <w:sz w:val="20"/>
        </w:rPr>
        <w:t>Reverse Stock Split</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24, 2024, the Company completed a 1-for-10 reverse stock split of its issued and outstanding common stock (the “Reverse Stock Split”). As a result of the Reverse Stock Split, each share of common stock issued and outstanding immediately prior to January 24, 2024 were automatically converted into one-tenth (1/10) of a share of common stock. The Reverse Stock Split did not change the par value of the common stock or the authorized number of shares of common stock. All outstanding convertible notes, stock options and RSUs entitling their holders to purchase or obtain or convert into shares of our common stock were adjusted, as required by the terms of these securities. All applicable common share and per share amounts have been retrospectively restated to show the effect of the reverse split.</w:t>
      </w:r>
    </w:p>
    <w:p>
      <w:pPr>
        <w:pStyle w:val="TextBody"/>
        <w:bidi w:val="0"/>
        <w:spacing w:lineRule="auto" w:line="276" w:before="18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2024, the Company had available cash and cash equivalents totaling $12.3 million and working capital of $3.6 million. The Company’s Credit Facility (as defined in Note 4 – Debt in the accompanying condensed consolidated financial statements), which had an outstanding balance of $4.7 million as of March 31, 2024, was voluntarily paid-off and terminated by the Company effective April 18, 2024.</w:t>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generated positive cash flow from operations both for the year ended December 31, 2023 and in the three months ended March 31, 2024. In April 2024, the Company received a $15.0 million upfront payment from a customer in connection with a two-year service contract. Based on the factors above, and to reduce financing costs, the Company voluntarily paid-off and terminated the Credit Facility effective April 18, 2024. These factors have had a positive impact on our liquidity. </w:t>
      </w:r>
    </w:p>
    <w:p>
      <w:pPr>
        <w:pStyle w:val="TextBody"/>
        <w:bidi w:val="0"/>
        <w:spacing w:lineRule="auto" w:line="268"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2025 Notes have a principal balance of $161.9 million and mature on May 1, 2025. The Company’s intention is to restructure or refinance the 2025 Notes, and the Company is in active negotiations to do so, however there can be no assurance that any required or desired restructuring or financing will be available on terms favorable to the Company, or at all. As the refinancing of the 2025 Notes cannot be assured, accounting guidance requires disclosure that this raises substantial doubt about the Company’s ability to continue as a going concern within one year of the issuance of these financial statements. </w:t>
      </w:r>
    </w:p>
    <w:p>
      <w:pPr>
        <w:pStyle w:val="TextBody"/>
        <w:bidi w:val="0"/>
        <w:spacing w:lineRule="auto" w:line="268"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While the Company’s liquidity has had several positive developments recently, as noted above, the Company has a history of operating and net losses and overall usage of cash from operating and investing activities. The Company’s ability to attain profitable operations and continue to generate positive cash flows is dependent upon achieving a level and mix of revenues adequate to support its evolving cost structure. In order to effect a restructuring or refinancing of the 2025 Notes, or if events or circumstances occur such that the Company does not meet its operating plan as expected, or if the Company becomes obligated to pay unforeseen expenditures as a result of potential litigation or otherwise, the Company may be required to raise capital, reduce planned research and development activities, incur additional restructuring charges or reduce other operating expenses and capital expenditures, which could have an adverse impact on the Company’s ability to achieve its intended business objectives.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ind w:left="0" w:right="0" w:firstLine="450"/>
        <w:jc w:val="left"/>
        <w:rPr/>
      </w:pPr>
      <w:r>
        <w:rPr/>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liquidity could be compromised if there is any interruption in our business operations, a material failure to satisfy our contractual commitments or a failure to generate revenue from new or existing products. If additional funds are raised by the issuance of equity securities, or in connection with any restructuring or refinancing of the 2025 Notes, Company stockholders could experience significant dilution of their ownership interests and securities issued may have rights senior to those of the holders of the Company’s common stock.</w:t>
      </w:r>
    </w:p>
    <w:p>
      <w:pPr>
        <w:pStyle w:val="TextBody"/>
        <w:bidi w:val="0"/>
        <w:spacing w:lineRule="auto" w:line="276"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Revolving Credit Facility</w:t>
      </w:r>
    </w:p>
    <w:p>
      <w:pPr>
        <w:pStyle w:val="TextBody"/>
        <w:bidi w:val="0"/>
        <w:spacing w:lineRule="auto" w:line="268"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On August 5, 2022, we entered into a Loan and Security Agreement (the “Credit Agreement”) with Siena Lending Group LLC, as lender (“Lender”). The Credit Agreement established a $50.0 million secured asset-backed revolving credit facility (“Credit Facility”) with a final maturity date of December 31, 2024. On February 25, 2023, we entered into an amendment of the Credit Agreement with an effective date of December 15, 2022, which clarified certain terms within the Credit Agreement. On May 2, 2023, we entered into a third amendment of the Credit Agreement which increased the borrowing base under the Credit Facility by $4.0 million, increased the minimum borrowing amount for interest calculations to $8.5 million, and modified certain covenants (as so amended, the “Amended Credit Agreement”). On February 20, 2024, we entered into a fourth amendment (the “Fourth Amendment”) of the Credit Agreement which relaxed the financial covenants under the Credit Agreement by decreasing the minimum liquidity level we are required to maintain from $10 million to $8 million. Availability under the Credit Facility was determined monthly by a Borrowing Base (as defined in the Amended Credit Agreement) comprised of a percentage of eligible accounts receivable and eligible inventory of the Borrowers. Outstanding amounts exceeding the borrowing base must be repaid immediately.</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Effective April 18, 2024, the Company exercised its right to voluntarily pay-off and terminate its Credit Facility with Siena Lending Group LLC. As a result of the termination, the Company paid the outstanding balance and related termination fees on the Credit Facility of approximately $3.0 million. The Company has also paid an exit fee in the aggregate amount of $0.4 million to South Ocean Funding, LLC and North Sound Ventures, LP (collectively, the “Participants”) as a result of the early redemption of the Participants’ $4.0 million last-out subordinated participation interest in the Loan and Security Agreement pursuant to a Participation Agreement between the Participants and Siena Lending Group. South Ocean Funding, LLC is an affiliate of Golden Harbor, Ltd. and North Sound Ventures, LP is an affiliate of North Sound Management, Inc. As of April 18, 2024, each of Golden Harbor, Ltd. and North Sound Management, Inc. were beneficial owners of in excess of 5% of the Company’s outstanding common stock.</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Borrowings under the Credit Facility could take the form of base rate (“Base Rate”) loans or Secured Overnight Financing Rate (“SOFR”) loans. SOFR loans bore interest at a rate per annum equal to Term SOFR (as defined in the Amended Credit Agreement as the Term SOFR Reference Rate for a term of one month on the day) plus the Applicable Margin (as defined in the Amended Credit Agreement), with a Term SOFR floor of 1%. Base Rate loans bore interest at a rate per annum equal to the Applicable Margin plus the greatest of (a) the per annum rate of interest which is identified as the “Prime Rate” and normally published in the Money Rates section of The Wall Street Journal, (b) the sum of the Federal Funds Rate (as defined in the Amended Credit Agreement) plus 0.5% and (c) 3.50% per annum.</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Applicable Margin varied depending on the average outstanding amount for a preceding month. If the average outstanding amount for a preceding month was less than $15 million, the Applicable Margin would be 2.50% for Base Rate loans and 3.50% for SOFR loans. If the average outstanding amount for a preceding month was between $15 million and $25 million, the Applicable Margin would be 3.00% for Base Rate loans and 4.00% for SOFR loans. If the average outstanding amount for a preceding month was greater than $25 million, the Applicable Margin would be 4.5% for Base Rate loans and 5.50% for SOFR loans.</w:t>
      </w:r>
    </w:p>
    <w:p>
      <w:pPr>
        <w:pStyle w:val="TextBody"/>
        <w:bidi w:val="0"/>
        <w:spacing w:lineRule="auto" w:line="268" w:before="0" w:after="0"/>
        <w:ind w:left="0" w:right="0" w:firstLine="45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On May 2, 2023, in addition to the amendment to the Credit Agreement entered into as described above, South Ocean Funding, LLC and North Sound Ventures, LP (the “Participants”) collectively purchased a $4.0 million last-out subordinated participation interest in the Amended Credit Agreement (the “Participation Interest”) from the Lender pursuant to a Participation Agreement between the Participants and the Lender (the “Participation Agreement”). In connection with the purchase of the Participation Interest, we agreed to pay the Participants an exit fee upon the earlier of (a) the scheduled maturity date of the Amended Credit Agreement, (b) the termination of the Lender’s commitment to make revolving loans prior to the scheduled maturity date of the Amended Credit Agreement, and (c) the early redemption of the Participants’ Participation Interest under the Participation Agreement (the earliest to occur of the foregoing, the “Exit Event”). The aggregate exit fee payable to the Participants is equal to (i) 7.5% of the Participation Interest, if the Exit Event occurs on or before December 31, 2023, (ii) 10.0% of the Participation Interest, if the Exit Event occurs between January 1, 2024 and June 30, 2024 and (iii) 12.5% of the Participation Interest, if the Exit Events occurs after June 30, 2024. Further, the purchase of the Participation Interest granted an option for the Participants to purchase the subject revolving loan or to redeem its Participation Interest under certain circumstances. South Ocean Funding, LLC is an affiliate of Golden Harbor, Ltd. and North Sound Ventures, LP is an affiliate of North Sound Management, Inc. As of the date hereof, each of Golden Harbor, Ltd. and North Sound Management,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ind w:left="0" w:right="0" w:firstLine="450"/>
        <w:jc w:val="left"/>
        <w:rPr/>
      </w:pPr>
      <w:r>
        <w:rPr/>
      </w:r>
    </w:p>
    <w:p>
      <w:pPr>
        <w:pStyle w:val="TextBody"/>
        <w:bidi w:val="0"/>
        <w:spacing w:lineRule="auto" w:line="26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Inc. hold in excess of 5% of the Company’s outstanding common stock. James Avery, a member of our Board of Directors, currently serves as Senior Managing Director of Tavistock Group, an affiliate of South Ocean Funding, LLC. </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Amended Credit Agreement contained a financial covenant whereby the Loan Parties shall not permit the consolidated Liquidity (as defined in the Amended Credit Agreement) to be less than $8 million at any time. The Amended Credit Agreement also contained certain customary covenants, including restrictions on indebtedness, liens, fundamental changes, restricted payments, asset sales, and investments, and placed limits on various other payments. We were in compliance with the financial covenants contained in the Amended Credit Agreement as of March 31, 2024.</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2024, we had outstanding borrowings under the Credit Agreement of $4.7 million. The Company voluntarily paid-off and terminated the Credit Facility effective April 18, 2024.</w:t>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2025 Notes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After taking into account exchanges and redemptions occurring in prior periods, the outstanding principal balance of the Company’s 3.5% convertible senior notes due in May 2025 (the “2025 Notes”) was $161.9 million as of both March 31, 2024 and December 31, 2023. Assuming no repurchases or conversions of the 2025 Notes prior to May 1, 2025, the entire principal balance of $161.9 million is due on May 1, 2025. The 2025 Notes are senior unsecured obligations of the Company and bear interest at an annual rate of 3.25%, payable semi-annually in arrears on May 1 and November 1 of each year.</w:t>
      </w:r>
    </w:p>
    <w:p>
      <w:pPr>
        <w:pStyle w:val="TextBody"/>
        <w:bidi w:val="0"/>
        <w:spacing w:lineRule="auto" w:line="276"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Equity Distribution Agreement</w:t>
      </w:r>
    </w:p>
    <w:p>
      <w:pPr>
        <w:pStyle w:val="TextBody"/>
        <w:bidi w:val="0"/>
        <w:spacing w:lineRule="auto" w:line="268" w:before="180" w:after="180"/>
        <w:ind w:left="0" w:right="0" w:firstLine="450"/>
        <w:jc w:val="both"/>
        <w:rPr/>
      </w:pPr>
      <w:r>
        <w:rPr>
          <w:rFonts w:ascii="Times New Roman;sans-serif" w:hAnsi="Times New Roman;sans-serif"/>
          <w:b w:val="false"/>
          <w:color w:val="000000"/>
          <w:sz w:val="20"/>
        </w:rPr>
        <w:t>On January 25, 2021, we entered into an Equity Distribution Agreement with Canaccord Genuity LLC (the “Agent”), pursuant to which we could offer and sell, from time to time, through or to the Agent, up to $40.0 million of shares of our common stock (the “ATM Offering”) pursuant to the Company’s Registration Statement on Form S-3ASR (File No. 333-238057), as filed with the SEC on May 7, 2020 and amended from time to time. D</w:t>
      </w:r>
      <w:r>
        <w:rPr>
          <w:rFonts w:ascii="Times New Roman;sans-serif" w:hAnsi="Times New Roman;sans-serif"/>
          <w:b w:val="false"/>
          <w:color w:val="000000"/>
          <w:sz w:val="20"/>
          <w:shd w:fill="FFFFFF" w:val="clear"/>
        </w:rPr>
        <w:t xml:space="preserve">uring the three months ended </w:t>
      </w:r>
      <w:r>
        <w:rPr>
          <w:rFonts w:ascii="Times New Roman;sans-serif" w:hAnsi="Times New Roman;sans-serif"/>
          <w:b w:val="false"/>
          <w:color w:val="000000"/>
          <w:sz w:val="20"/>
        </w:rPr>
        <w:t xml:space="preserve">March 31, 2023, the Company </w:t>
      </w:r>
      <w:r>
        <w:rPr>
          <w:rFonts w:ascii="Times New Roman;sans-serif" w:hAnsi="Times New Roman;sans-serif"/>
          <w:b w:val="false"/>
          <w:color w:val="000000"/>
          <w:sz w:val="20"/>
          <w:shd w:fill="FFFFFF" w:val="clear"/>
        </w:rPr>
        <w:t>sold 85,810</w:t>
      </w:r>
      <w:r>
        <w:rPr>
          <w:color w:val="000000"/>
        </w:rPr>
        <w:t xml:space="preserve"> </w:t>
      </w:r>
      <w:r>
        <w:rPr>
          <w:rFonts w:ascii="Times New Roman;sans-serif" w:hAnsi="Times New Roman;sans-serif"/>
          <w:b w:val="false"/>
          <w:color w:val="000000"/>
          <w:sz w:val="20"/>
          <w:shd w:fill="FFFFFF" w:val="clear"/>
        </w:rPr>
        <w:t xml:space="preserve">shares of common stock, at an average price of $6.17 per share, for net proceeds of $0.5 million, after deducting underwriter fees and discounts. </w:t>
      </w:r>
      <w:r>
        <w:rPr>
          <w:rFonts w:ascii="Times New Roman;sans-serif" w:hAnsi="Times New Roman;sans-serif"/>
          <w:b w:val="false"/>
          <w:color w:val="000000"/>
          <w:sz w:val="20"/>
        </w:rPr>
        <w:t>Effective as of November 2, 2023</w:t>
      </w:r>
      <w:r>
        <w:rPr>
          <w:rFonts w:ascii="Times New Roman;sans-serif" w:hAnsi="Times New Roman;sans-serif"/>
          <w:b w:val="false"/>
          <w:color w:val="000000"/>
          <w:sz w:val="20"/>
          <w:shd w:fill="FFFFFF" w:val="clear"/>
        </w:rPr>
        <w:t>, the Equity Distribution Agreement was terminated by the Company, and there will be no further sales under the ATM Offering</w:t>
      </w:r>
      <w:r>
        <w:rPr>
          <w:rFonts w:ascii="Times New Roman;sans-serif" w:hAnsi="Times New Roman;sans-serif"/>
          <w:b w:val="false"/>
          <w:color w:val="000000"/>
          <w:sz w:val="20"/>
        </w:rPr>
        <w:t xml:space="preserve">. </w:t>
      </w:r>
    </w:p>
    <w:p>
      <w:pPr>
        <w:pStyle w:val="TextBody"/>
        <w:bidi w:val="0"/>
        <w:spacing w:lineRule="auto" w:line="276"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Contractual Obligations and Commitments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2024, our material contractual obligations consisted of the following: </w:t>
      </w:r>
    </w:p>
    <w:p>
      <w:pPr>
        <w:pStyle w:val="TextBody"/>
        <w:bidi w:val="0"/>
        <w:spacing w:lineRule="auto" w:line="276" w:before="180" w:after="180"/>
        <w:ind w:left="0" w:right="0" w:hanging="360"/>
        <w:jc w:val="left"/>
        <w:rPr/>
      </w:pPr>
      <w:r>
        <w:rPr>
          <w:color w:val="000000"/>
        </w:rPr>
        <w:t>•</w:t>
      </w:r>
      <w:r>
        <w:rPr>
          <w:rFonts w:ascii="Times New Roman;sans-serif" w:hAnsi="Times New Roman;sans-serif"/>
          <w:b w:val="false"/>
          <w:color w:val="000000"/>
          <w:sz w:val="20"/>
        </w:rPr>
        <w:t>To mitigate the risk of material shortages and price increases, we enter into non-cancellable purchase obligations with certain key contract manufacturers for the purchase of goods and services in the three to four quarters following the balance sheet date. Our purchase obligations consist of agreements to purchase goods and services entered into in the ordinary course of business. As of March 31, 2024, our future payments under these noncancellable purchase obligations were approximately $60.1 million.</w:t>
      </w:r>
    </w:p>
    <w:p>
      <w:pPr>
        <w:pStyle w:val="TextBody"/>
        <w:bidi w:val="0"/>
        <w:spacing w:lineRule="auto" w:line="276" w:before="180" w:after="180"/>
        <w:ind w:left="0" w:right="0" w:hanging="360"/>
        <w:jc w:val="left"/>
        <w:rPr/>
      </w:pPr>
      <w:r>
        <w:rPr>
          <w:color w:val="000000"/>
        </w:rPr>
        <w:t>•</w:t>
      </w:r>
      <w:r>
        <w:rPr>
          <w:rFonts w:ascii="Times New Roman;sans-serif" w:hAnsi="Times New Roman;sans-serif"/>
          <w:b w:val="false"/>
          <w:color w:val="000000"/>
          <w:sz w:val="20"/>
        </w:rPr>
        <w:t xml:space="preserve">$161.9 million in outstanding principal amount of 2025 Notes with required interest payments; see </w:t>
      </w:r>
      <w:r>
        <w:rPr>
          <w:rFonts w:ascii="Times New Roman;sans-serif" w:hAnsi="Times New Roman;sans-serif"/>
          <w:b w:val="false"/>
          <w:i/>
          <w:color w:val="000000"/>
          <w:sz w:val="20"/>
        </w:rPr>
        <w:t>Note 5 – Debt</w:t>
      </w:r>
      <w:r>
        <w:rPr>
          <w:color w:val="000000"/>
        </w:rPr>
        <w:t xml:space="preserve"> </w:t>
      </w:r>
      <w:r>
        <w:rPr>
          <w:rFonts w:ascii="Times New Roman;sans-serif" w:hAnsi="Times New Roman;sans-serif"/>
          <w:b w:val="false"/>
          <w:color w:val="000000"/>
          <w:sz w:val="20"/>
        </w:rPr>
        <w:t>in the accompanying condensed consolidated financial statements;</w:t>
      </w:r>
    </w:p>
    <w:p>
      <w:pPr>
        <w:pStyle w:val="TextBody"/>
        <w:bidi w:val="0"/>
        <w:spacing w:lineRule="auto" w:line="276" w:before="180" w:after="180"/>
        <w:ind w:left="0" w:right="0" w:hanging="360"/>
        <w:jc w:val="left"/>
        <w:rPr/>
      </w:pPr>
      <w:r>
        <w:rPr>
          <w:color w:val="000000"/>
        </w:rPr>
        <w:t>•</w:t>
      </w:r>
      <w:r>
        <w:rPr>
          <w:rFonts w:ascii="Times New Roman;sans-serif" w:hAnsi="Times New Roman;sans-serif"/>
          <w:b w:val="false"/>
          <w:color w:val="000000"/>
          <w:sz w:val="20"/>
        </w:rPr>
        <w:t xml:space="preserve">$4.7 million in outstanding borrowings under the Credit Facility; see </w:t>
      </w:r>
      <w:r>
        <w:rPr>
          <w:rFonts w:ascii="Times New Roman;sans-serif" w:hAnsi="Times New Roman;sans-serif"/>
          <w:b w:val="false"/>
          <w:i/>
          <w:color w:val="000000"/>
          <w:sz w:val="20"/>
        </w:rPr>
        <w:t xml:space="preserve">Note 4 – Debt </w:t>
      </w:r>
      <w:r>
        <w:rPr>
          <w:rFonts w:ascii="Times New Roman;sans-serif" w:hAnsi="Times New Roman;sans-serif"/>
          <w:b w:val="false"/>
          <w:color w:val="000000"/>
          <w:sz w:val="20"/>
        </w:rPr>
        <w:t>in the accompanying condensed consolidated financial statements; and</w:t>
      </w:r>
    </w:p>
    <w:p>
      <w:pPr>
        <w:pStyle w:val="TextBody"/>
        <w:bidi w:val="0"/>
        <w:spacing w:lineRule="auto" w:line="276" w:before="180" w:after="180"/>
        <w:ind w:left="0" w:right="0" w:hanging="360"/>
        <w:jc w:val="left"/>
        <w:rPr/>
      </w:pPr>
      <w:r>
        <w:rPr>
          <w:color w:val="000000"/>
        </w:rPr>
        <w:t>•</w:t>
      </w:r>
      <w:r>
        <w:rPr>
          <w:rFonts w:ascii="Times New Roman;sans-serif" w:hAnsi="Times New Roman;sans-serif"/>
          <w:b w:val="false"/>
          <w:color w:val="000000"/>
          <w:sz w:val="20"/>
        </w:rPr>
        <w:t>Operating lease liabilities that are included on our consolidated balance sheet.</w:t>
      </w:r>
    </w:p>
    <w:p>
      <w:pPr>
        <w:pStyle w:val="TextBody"/>
        <w:bidi w:val="0"/>
        <w:spacing w:lineRule="auto" w:line="276" w:before="18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no material changes in our other contractual obligations during the three months ended March 31,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ind w:left="0" w:right="0" w:firstLine="450"/>
        <w:jc w:val="left"/>
        <w:rPr/>
      </w:pPr>
      <w:r>
        <w:rPr/>
      </w:r>
    </w:p>
    <w:p>
      <w:pPr>
        <w:pStyle w:val="TextBody"/>
        <w:bidi w:val="0"/>
        <w:spacing w:lineRule="auto" w:line="276"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Historical Cash Flows</w:t>
      </w:r>
    </w:p>
    <w:p>
      <w:pPr>
        <w:pStyle w:val="TextBody"/>
        <w:bidi w:val="0"/>
        <w:spacing w:lineRule="auto" w:line="276" w:before="180" w:after="180"/>
        <w:ind w:left="0" w:right="0" w:firstLine="495"/>
        <w:jc w:val="left"/>
        <w:rPr/>
      </w:pPr>
      <w:r>
        <w:rPr>
          <w:rFonts w:ascii="Times New Roman;sans-serif" w:hAnsi="Times New Roman;sans-serif"/>
          <w:b w:val="false"/>
          <w:color w:val="000000"/>
          <w:sz w:val="20"/>
        </w:rPr>
        <w:t>The following table summarizes our unaudited condensed consolidated statements of cash flows for the periods indicated (in thousands):</w:t>
      </w:r>
      <w:r>
        <w:rPr>
          <w:color w:val="000000"/>
        </w:rPr>
        <w:t> </w:t>
      </w:r>
    </w:p>
    <w:tbl>
      <w:tblPr>
        <w:tblW w:w="6338" w:type="dxa"/>
        <w:jc w:val="left"/>
        <w:tblInd w:w="0" w:type="dxa"/>
        <w:tblLayout w:type="fixed"/>
        <w:tblCellMar>
          <w:top w:w="28" w:type="dxa"/>
          <w:left w:w="28" w:type="dxa"/>
          <w:bottom w:w="28" w:type="dxa"/>
          <w:right w:w="28" w:type="dxa"/>
        </w:tblCellMar>
      </w:tblPr>
      <w:tblGrid>
        <w:gridCol w:w="1506"/>
        <w:gridCol w:w="1318"/>
        <w:gridCol w:w="1330"/>
        <w:gridCol w:w="196"/>
        <w:gridCol w:w="646"/>
        <w:gridCol w:w="109"/>
        <w:gridCol w:w="109"/>
        <w:gridCol w:w="109"/>
        <w:gridCol w:w="109"/>
        <w:gridCol w:w="196"/>
        <w:gridCol w:w="556"/>
        <w:gridCol w:w="154"/>
      </w:tblGrid>
      <w:tr>
        <w:trPr/>
        <w:tc>
          <w:tcPr>
            <w:tcW w:w="1506"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7,659 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financing activities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exchange rates on cash</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in cash and cash equivalents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beginning of period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end of period</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8,686 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18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Operating activities.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operating activities for the three months ended March 31, 2024 is comprised of a $4.5 million net loss incurred during the period, which was offset by net cash provided by working capital of $2.9 million and total non-cash charges, including depreciation and amortization of $4.4 million and share-based compensation expense of $0.7 million. </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for three months ended March 31, 2023 is comprised of a $5.1 million net loss incurred during the period, which was offset by cash provided by working capital of $4.2 million and total non-cash charges, including depreciation and amortization of $5.4 million and share-based compensation expense of $1.8 million.</w:t>
      </w:r>
    </w:p>
    <w:p>
      <w:pPr>
        <w:pStyle w:val="TextBody"/>
        <w:bidi w:val="0"/>
        <w:spacing w:lineRule="auto" w:line="276" w:before="180" w:after="180"/>
        <w:ind w:left="0" w:right="0" w:firstLine="45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Investing activities.</w:t>
      </w:r>
    </w:p>
    <w:p>
      <w:pPr>
        <w:pStyle w:val="TextBody"/>
        <w:bidi w:val="0"/>
        <w:spacing w:lineRule="auto" w:line="276" w:before="180" w:after="180"/>
        <w:ind w:left="0" w:right="0" w:firstLine="450"/>
        <w:jc w:val="left"/>
        <w:rPr/>
      </w:pPr>
      <w:r>
        <w:rPr>
          <w:rFonts w:ascii="Times New Roman;sans-serif" w:hAnsi="Times New Roman;sans-serif"/>
          <w:b w:val="false"/>
          <w:color w:val="000000"/>
          <w:sz w:val="20"/>
          <w:shd w:fill="FFFFFF" w:val="clear"/>
        </w:rPr>
        <w:t xml:space="preserve">Net cash used in investing activities during the three months ended March 31, 2024 is comprised of </w:t>
      </w:r>
      <w:r>
        <w:rPr>
          <w:rFonts w:ascii="Times New Roman;sans-serif" w:hAnsi="Times New Roman;sans-serif"/>
          <w:b w:val="false"/>
          <w:color w:val="000000"/>
          <w:sz w:val="20"/>
        </w:rPr>
        <w:t>$0.6 million of c</w:t>
      </w:r>
      <w:r>
        <w:rPr>
          <w:rFonts w:ascii="Times New Roman;sans-serif" w:hAnsi="Times New Roman;sans-serif"/>
          <w:b w:val="false"/>
          <w:color w:val="000000"/>
          <w:sz w:val="20"/>
          <w:shd w:fill="FFFFFF" w:val="clear"/>
        </w:rPr>
        <w:t>ash outflows related to the development of software in support of our products and services.</w:t>
      </w:r>
    </w:p>
    <w:p>
      <w:pPr>
        <w:pStyle w:val="TextBody"/>
        <w:bidi w:val="0"/>
        <w:spacing w:lineRule="auto" w:line="276" w:before="180" w:after="180"/>
        <w:ind w:left="0" w:right="0" w:firstLine="450"/>
        <w:jc w:val="left"/>
        <w:rPr/>
      </w:pPr>
      <w:r>
        <w:rPr>
          <w:rFonts w:ascii="Times New Roman;sans-serif" w:hAnsi="Times New Roman;sans-serif"/>
          <w:b w:val="false"/>
          <w:color w:val="000000"/>
          <w:sz w:val="20"/>
          <w:shd w:fill="FFFFFF" w:val="clear"/>
        </w:rPr>
        <w:t xml:space="preserve">Net cash used in investing activities during the same period in 2023 is primarily comprised of $2.4 million </w:t>
      </w:r>
      <w:r>
        <w:rPr>
          <w:rFonts w:ascii="Times New Roman;sans-serif" w:hAnsi="Times New Roman;sans-serif"/>
          <w:b w:val="false"/>
          <w:color w:val="000000"/>
          <w:sz w:val="20"/>
        </w:rPr>
        <w:t>of c</w:t>
      </w:r>
      <w:r>
        <w:rPr>
          <w:rFonts w:ascii="Times New Roman;sans-serif" w:hAnsi="Times New Roman;sans-serif"/>
          <w:b w:val="false"/>
          <w:color w:val="000000"/>
          <w:sz w:val="20"/>
          <w:shd w:fill="FFFFFF" w:val="clear"/>
        </w:rPr>
        <w:t xml:space="preserve">ash outflows related to the development of software in support of our products and services and $0.1 million of property, plant and equipment purchases. </w:t>
      </w:r>
    </w:p>
    <w:p>
      <w:pPr>
        <w:pStyle w:val="TextBody"/>
        <w:bidi w:val="0"/>
        <w:spacing w:lineRule="auto" w:line="276" w:before="180" w:after="180"/>
        <w:ind w:left="0" w:right="0" w:firstLine="45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Financing activities.</w:t>
      </w:r>
    </w:p>
    <w:p>
      <w:pPr>
        <w:pStyle w:val="TextBody"/>
        <w:bidi w:val="0"/>
        <w:spacing w:lineRule="auto" w:line="276" w:before="180" w:after="180"/>
        <w:ind w:left="0" w:right="0" w:firstLine="45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Net cash provided by financing activities during the three months ended March 31, 2024 is comprised of $0.6 million of cash inflow related to net borrowings on our revolving credit facility.</w:t>
      </w:r>
    </w:p>
    <w:p>
      <w:pPr>
        <w:pStyle w:val="TextBody"/>
        <w:bidi w:val="0"/>
        <w:spacing w:lineRule="auto" w:line="276" w:before="180" w:after="180"/>
        <w:ind w:left="0" w:right="0" w:firstLine="450"/>
        <w:jc w:val="left"/>
        <w:rPr/>
      </w:pPr>
      <w:r>
        <w:rPr>
          <w:rFonts w:ascii="Times New Roman;sans-serif" w:hAnsi="Times New Roman;sans-serif"/>
          <w:b w:val="false"/>
          <w:color w:val="000000"/>
          <w:sz w:val="20"/>
          <w:shd w:fill="FFFFFF" w:val="clear"/>
        </w:rPr>
        <w:t>Net cash used in financing activities for the same period in 2023 is primarily comprised of $3.4 million</w:t>
      </w:r>
      <w:r>
        <w:rPr>
          <w:color w:val="000000"/>
        </w:rPr>
        <w:t xml:space="preserve"> </w:t>
      </w:r>
      <w:r>
        <w:rPr>
          <w:rFonts w:ascii="Times New Roman;sans-serif" w:hAnsi="Times New Roman;sans-serif"/>
          <w:b w:val="false"/>
          <w:color w:val="000000"/>
          <w:sz w:val="20"/>
          <w:shd w:fill="FFFFFF" w:val="clear"/>
        </w:rPr>
        <w:t>of cash outflow related to net repayments of our revolving credit facility, partially offset by</w:t>
      </w:r>
      <w:r>
        <w:rPr>
          <w:color w:val="000000"/>
        </w:rPr>
        <w:t xml:space="preserve"> </w:t>
      </w:r>
      <w:r>
        <w:rPr>
          <w:rFonts w:ascii="Times New Roman;sans-serif" w:hAnsi="Times New Roman;sans-serif"/>
          <w:b w:val="false"/>
          <w:color w:val="000000"/>
          <w:sz w:val="20"/>
          <w:shd w:fill="FFFFFF" w:val="clear"/>
        </w:rPr>
        <w:t xml:space="preserve">$0.5 million </w:t>
      </w:r>
      <w:r>
        <w:rPr>
          <w:rFonts w:ascii="Times New Roman;sans-serif" w:hAnsi="Times New Roman;sans-serif"/>
          <w:b w:val="false"/>
          <w:color w:val="000000"/>
          <w:sz w:val="20"/>
        </w:rPr>
        <w:t>in proceeds from the ATM offering</w:t>
      </w:r>
      <w:r>
        <w:rPr>
          <w:rFonts w:ascii="Times New Roman;sans-serif" w:hAnsi="Times New Roman;sans-serif"/>
          <w:b w:val="false"/>
          <w:color w:val="000000"/>
          <w:sz w:val="20"/>
          <w:shd w:fill="FFFFFF" w:val="clear"/>
        </w:rPr>
        <w:t xml:space="preserve">. </w:t>
      </w:r>
    </w:p>
    <w:p>
      <w:pPr>
        <w:pStyle w:val="TextBody"/>
        <w:bidi w:val="0"/>
        <w:spacing w:before="180" w:after="18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ind w:left="0" w:right="0" w:hanging="1080"/>
        <w:jc w:val="left"/>
        <w:rPr/>
      </w:pPr>
      <w:r>
        <w:rPr>
          <w:rFonts w:ascii="Times New Roman;sans-serif" w:hAnsi="Times New Roman;sans-serif"/>
          <w:b/>
          <w:color w:val="000000"/>
          <w:sz w:val="20"/>
        </w:rPr>
        <w:t>Item 3.     </w:t>
      </w:r>
      <w:r>
        <w:rPr>
          <w:rFonts w:ascii="Times New Roman;sans-serif" w:hAnsi="Times New Roman;sans-serif"/>
          <w:b/>
          <w:i/>
          <w:color w:val="000000"/>
          <w:sz w:val="20"/>
        </w:rPr>
        <w:t>Quantitative and Qualitative Disclosures About Market Risk.</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are exposed to market risk in the ordinary course of our business. Our revenue, earnings, cash flows, receivables, and payables are subject to fluctuations due to changes in foreign currency exchange rates.</w:t>
      </w:r>
    </w:p>
    <w:p>
      <w:pPr>
        <w:pStyle w:val="TextBody"/>
        <w:bidi w:val="0"/>
        <w:spacing w:lineRule="auto" w:line="276" w:before="180" w:after="180"/>
        <w:jc w:val="left"/>
        <w:rPr>
          <w:rFonts w:ascii="Times New Roman;sans-serif" w:hAnsi="Times New Roman;sans-serif"/>
          <w:b/>
          <w:color w:val="000000"/>
          <w:sz w:val="20"/>
        </w:rPr>
      </w:pPr>
      <w:r>
        <w:rPr>
          <w:rFonts w:ascii="Times New Roman;sans-serif" w:hAnsi="Times New Roman;sans-serif"/>
          <w:b/>
          <w:color w:val="000000"/>
          <w:sz w:val="20"/>
        </w:rPr>
        <w:t>Interest Rate Risk</w:t>
      </w:r>
    </w:p>
    <w:p>
      <w:pPr>
        <w:pStyle w:val="TextBody"/>
        <w:bidi w:val="0"/>
        <w:spacing w:lineRule="auto" w:line="276" w:before="180" w:after="180"/>
        <w:jc w:val="left"/>
        <w:rPr>
          <w:rFonts w:ascii="Times New Roman;sans-serif" w:hAnsi="Times New Roman;sans-serif"/>
          <w:b/>
          <w:i/>
          <w:color w:val="000000"/>
          <w:sz w:val="20"/>
        </w:rPr>
      </w:pPr>
      <w:r>
        <w:rPr>
          <w:rFonts w:ascii="Times New Roman;sans-serif" w:hAnsi="Times New Roman;sans-serif"/>
          <w:b/>
          <w:i/>
          <w:color w:val="000000"/>
          <w:sz w:val="20"/>
        </w:rPr>
        <w:t>2025 Notes and Embedded Derivative</w:t>
      </w:r>
    </w:p>
    <w:p>
      <w:pPr>
        <w:pStyle w:val="TextBody"/>
        <w:bidi w:val="0"/>
        <w:spacing w:lineRule="auto" w:line="276" w:before="180" w:after="180"/>
        <w:ind w:left="0" w:right="0" w:firstLine="450"/>
        <w:jc w:val="left"/>
        <w:rPr/>
      </w:pPr>
      <w:r>
        <w:rPr>
          <w:rFonts w:ascii="Times New Roman;sans-serif" w:hAnsi="Times New Roman;sans-serif"/>
          <w:b w:val="false"/>
          <w:color w:val="000000"/>
          <w:sz w:val="20"/>
        </w:rPr>
        <w:t>Our total fixed-rate borrowings under the 2025 Notes as of both March 31, 2024 and December 31, 2023 were</w:t>
      </w:r>
      <w:r>
        <w:rPr>
          <w:color w:val="000000"/>
          <w:shd w:fill="FFFFFF" w:val="clear"/>
        </w:rPr>
        <w:t xml:space="preserve"> </w:t>
      </w:r>
      <w:r>
        <w:rPr>
          <w:rFonts w:ascii="Times New Roman;sans-serif" w:hAnsi="Times New Roman;sans-serif"/>
          <w:b w:val="false"/>
          <w:color w:val="000000"/>
          <w:sz w:val="20"/>
          <w:shd w:fill="FFFFFF" w:val="clear"/>
        </w:rPr>
        <w:t>$161.9 million</w:t>
      </w:r>
      <w:r>
        <w:rPr>
          <w:rFonts w:ascii="Times New Roman;sans-serif" w:hAnsi="Times New Roman;sans-serif"/>
          <w:b w:val="false"/>
          <w:color w:val="000000"/>
          <w:sz w:val="20"/>
        </w:rPr>
        <w:t xml:space="preserve">. We record all of our fixed-rate borrowings at amortized cost and therefore, any changes in interest rates do not impact the values that we report for these senior notes on our consolidated financial statements. As of March 31, 2024 and December 31, 2023, we had no variable-rate borrowings related to the 2025 Notes. </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2025 Notes include an embedded derivative which was marked to a fair value of zero at both March 31, 2024 and December 31, 2023. The fair value inputs to the derivative valuation include dividend yield, term, volatility, stock price, and risk-free rate. Consequently we may incur gains and losses on the derivative as changes occur in the stock price, volatility,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180" w:after="180"/>
        <w:jc w:val="left"/>
        <w:rPr/>
      </w:pPr>
      <w:r>
        <w:rPr>
          <w:rFonts w:ascii="Times New Roman;sans-serif" w:hAnsi="Times New Roman;sans-serif"/>
          <w:b w:val="false"/>
          <w:color w:val="000000"/>
          <w:sz w:val="20"/>
        </w:rPr>
        <w:t xml:space="preserve">risk-free rate at each reporting period. Additional details regarding our 2025 Notes and the embedded derivative are included in Part 1 Item 1 </w:t>
      </w:r>
      <w:r>
        <w:rPr>
          <w:rFonts w:ascii="Times New Roman;sans-serif" w:hAnsi="Times New Roman;sans-serif"/>
          <w:b w:val="false"/>
          <w:i/>
          <w:color w:val="000000"/>
          <w:sz w:val="20"/>
        </w:rPr>
        <w:t>Note 3 – Fair Value Measurements</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Note 4 – Debt</w:t>
      </w:r>
      <w:r>
        <w:rPr>
          <w:color w:val="000000"/>
        </w:rPr>
        <w:t xml:space="preserve"> </w:t>
      </w:r>
      <w:r>
        <w:rPr>
          <w:rFonts w:ascii="Times New Roman;sans-serif" w:hAnsi="Times New Roman;sans-serif"/>
          <w:b w:val="false"/>
          <w:color w:val="000000"/>
          <w:sz w:val="20"/>
        </w:rPr>
        <w:t>in this Quarterly Report on Form 10-Q.</w:t>
      </w:r>
    </w:p>
    <w:p>
      <w:pPr>
        <w:pStyle w:val="TextBody"/>
        <w:bidi w:val="0"/>
        <w:spacing w:lineRule="auto" w:line="276" w:before="180" w:after="180"/>
        <w:jc w:val="left"/>
        <w:rPr>
          <w:rFonts w:ascii="Times New Roman;sans-serif" w:hAnsi="Times New Roman;sans-serif"/>
          <w:b/>
          <w:i/>
          <w:color w:val="000000"/>
          <w:sz w:val="20"/>
        </w:rPr>
      </w:pPr>
      <w:r>
        <w:rPr>
          <w:rFonts w:ascii="Times New Roman;sans-serif" w:hAnsi="Times New Roman;sans-serif"/>
          <w:b/>
          <w:i/>
          <w:color w:val="000000"/>
          <w:sz w:val="20"/>
        </w:rPr>
        <w:t>Revolving Credit Facility</w:t>
      </w:r>
    </w:p>
    <w:p>
      <w:pPr>
        <w:pStyle w:val="TextBody"/>
        <w:bidi w:val="0"/>
        <w:spacing w:lineRule="auto" w:line="276" w:before="180" w:after="180"/>
        <w:ind w:left="0" w:right="0" w:firstLine="450"/>
        <w:jc w:val="left"/>
        <w:rPr/>
      </w:pPr>
      <w:r>
        <w:rPr>
          <w:rFonts w:ascii="Times New Roman;sans-serif" w:hAnsi="Times New Roman;sans-serif"/>
          <w:b w:val="false"/>
          <w:color w:val="000000"/>
          <w:sz w:val="20"/>
        </w:rPr>
        <w:t xml:space="preserve">We have been exposed to interest rate risk associated with fluctuations in interest rates on our revolving credit facility. As of March 31, 2024, assuming our revolving credit facility was fully drawn up to the </w:t>
      </w:r>
      <w:r>
        <w:rPr>
          <w:rFonts w:ascii="Times New Roman;sans-serif" w:hAnsi="Times New Roman;sans-serif"/>
          <w:b w:val="false"/>
          <w:color w:val="000000"/>
          <w:sz w:val="20"/>
          <w:shd w:fill="FFFFFF" w:val="clear"/>
        </w:rPr>
        <w:t>$15.0 million</w:t>
      </w:r>
      <w:r>
        <w:rPr>
          <w:color w:val="000000"/>
        </w:rPr>
        <w:t xml:space="preserve"> </w:t>
      </w:r>
      <w:r>
        <w:rPr>
          <w:rFonts w:ascii="Times New Roman;sans-serif" w:hAnsi="Times New Roman;sans-serif"/>
          <w:b w:val="false"/>
          <w:color w:val="000000"/>
          <w:sz w:val="20"/>
        </w:rPr>
        <w:t xml:space="preserve">borrowing base, a 1% change in interest rates would result in a </w:t>
      </w:r>
      <w:r>
        <w:rPr>
          <w:rFonts w:ascii="Times New Roman;sans-serif" w:hAnsi="Times New Roman;sans-serif"/>
          <w:b w:val="false"/>
          <w:color w:val="000000"/>
          <w:sz w:val="20"/>
          <w:shd w:fill="FFFFFF" w:val="clear"/>
        </w:rPr>
        <w:t>$0.2 million</w:t>
      </w:r>
      <w:r>
        <w:rPr>
          <w:color w:val="000000"/>
        </w:rPr>
        <w:t xml:space="preserve"> </w:t>
      </w:r>
      <w:r>
        <w:rPr>
          <w:rFonts w:ascii="Times New Roman;sans-serif" w:hAnsi="Times New Roman;sans-serif"/>
          <w:b w:val="false"/>
          <w:color w:val="000000"/>
          <w:sz w:val="20"/>
        </w:rPr>
        <w:t>change in annualized interest expense. Effective April 18, 2024, the Company exercised its right to voluntarily pay-off and terminate the Credit Agreement.</w:t>
      </w:r>
    </w:p>
    <w:p>
      <w:pPr>
        <w:pStyle w:val="TextBody"/>
        <w:bidi w:val="0"/>
        <w:spacing w:lineRule="auto" w:line="276" w:before="180" w:after="180"/>
        <w:jc w:val="left"/>
        <w:rPr>
          <w:rFonts w:ascii="Times New Roman;sans-serif" w:hAnsi="Times New Roman;sans-serif"/>
          <w:b/>
          <w:color w:val="000000"/>
          <w:sz w:val="20"/>
        </w:rPr>
      </w:pPr>
      <w:r>
        <w:rPr>
          <w:rFonts w:ascii="Times New Roman;sans-serif" w:hAnsi="Times New Roman;sans-serif"/>
          <w:b/>
          <w:color w:val="000000"/>
          <w:sz w:val="20"/>
        </w:rPr>
        <w:t>Inflation Risk</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Inflation has increased during the period covered by this Quarterly Report on Form 10-Q, and is expected to continue to increase for the near future. Inflationary factors, such as increases in the cost of our materials, supplies, and overhead costs may adversely affect our operating results. Although we do not believe that inflation has had a material impact on our financial position or results of operations to date, we may experience an effect if inflation rates continue to rise. Significant adverse changes in inflation and prices in the future could result in material losses.</w:t>
      </w:r>
    </w:p>
    <w:p>
      <w:pPr>
        <w:pStyle w:val="TextBody"/>
        <w:bidi w:val="0"/>
        <w:spacing w:lineRule="auto" w:line="276" w:before="180" w:after="180"/>
        <w:jc w:val="left"/>
        <w:rPr>
          <w:rFonts w:ascii="Times New Roman;sans-serif" w:hAnsi="Times New Roman;sans-serif"/>
          <w:b/>
          <w:color w:val="000000"/>
          <w:sz w:val="20"/>
        </w:rPr>
      </w:pPr>
      <w:r>
        <w:rPr>
          <w:rFonts w:ascii="Times New Roman;sans-serif" w:hAnsi="Times New Roman;sans-serif"/>
          <w:b/>
          <w:color w:val="000000"/>
          <w:sz w:val="20"/>
        </w:rPr>
        <w:t>Currency Risk</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Foreign Currency Exchange Risk</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results of operations and cash flows are subject to fluctuations due to changes in foreign currency exchange rates. A majority of our revenue is denominated in U.S. Dollars. However, as we have operations in foreign countries, primarily in Europe, a stronger U.S. Dollar could make our products and services more expensive in foreign countries and therefore reduce demand. A weaker U.S. Dollar could have the opposite effect. Such economic exposure to currency fluctuations is difficult to measure or predict because our sales are also influenced by many other factors.</w:t>
      </w:r>
    </w:p>
    <w:p>
      <w:pPr>
        <w:pStyle w:val="TextBody"/>
        <w:bidi w:val="0"/>
        <w:spacing w:lineRule="auto" w:line="276" w:before="180" w:after="180"/>
        <w:ind w:left="0" w:right="0" w:firstLine="450"/>
        <w:jc w:val="left"/>
        <w:rPr/>
      </w:pPr>
      <w:r>
        <w:rPr>
          <w:rFonts w:ascii="Times New Roman;sans-serif" w:hAnsi="Times New Roman;sans-serif"/>
          <w:b w:val="false"/>
          <w:color w:val="000000"/>
          <w:sz w:val="20"/>
          <w:shd w:fill="FFFFFF" w:val="clear"/>
        </w:rPr>
        <w:t>F</w:t>
      </w:r>
      <w:r>
        <w:rPr>
          <w:rFonts w:ascii="Times New Roman;sans-serif" w:hAnsi="Times New Roman;sans-serif"/>
          <w:b w:val="false"/>
          <w:color w:val="000000"/>
          <w:sz w:val="20"/>
        </w:rPr>
        <w:t>or the three months ended March 31, 2024, sales denominated in foreign currencies were approximately 21.2% of total revenue. Our results of operations and cash flows are, therefore, subject to fluctuations due to changes in foreign currency exchange rates and may be adversely affected in the future due to changes in foreign exchange rates. These foreign currencies primarily consist of the South African Rand, British Pound, Euro, and Australian Dollar</w:t>
      </w:r>
      <w:r>
        <w:rPr>
          <w:rFonts w:ascii="Times New Roman;sans-serif" w:hAnsi="Times New Roman;sans-serif"/>
          <w:b w:val="false"/>
          <w:color w:val="000000"/>
          <w:sz w:val="20"/>
          <w:shd w:fill="FFFFFF" w:val="clear"/>
        </w:rPr>
        <w:t xml:space="preserve">. For the </w:t>
      </w:r>
      <w:r>
        <w:rPr>
          <w:rFonts w:ascii="Times New Roman;sans-serif" w:hAnsi="Times New Roman;sans-serif"/>
          <w:b w:val="false"/>
          <w:color w:val="000000"/>
          <w:sz w:val="20"/>
        </w:rPr>
        <w:t>three</w:t>
      </w:r>
      <w:r>
        <w:rPr>
          <w:color w:val="000000"/>
          <w:shd w:fill="FFFFFF" w:val="clear"/>
        </w:rPr>
        <w:t xml:space="preserve"> </w:t>
      </w:r>
      <w:r>
        <w:rPr>
          <w:rFonts w:ascii="Times New Roman;sans-serif" w:hAnsi="Times New Roman;sans-serif"/>
          <w:b w:val="false"/>
          <w:color w:val="000000"/>
          <w:sz w:val="20"/>
          <w:shd w:fill="FFFFFF" w:val="clear"/>
        </w:rPr>
        <w:t xml:space="preserve">months ended March 31, 2024, </w:t>
      </w:r>
      <w:r>
        <w:rPr>
          <w:rFonts w:ascii="Times New Roman;sans-serif" w:hAnsi="Times New Roman;sans-serif"/>
          <w:b w:val="false"/>
          <w:color w:val="000000"/>
          <w:sz w:val="20"/>
        </w:rPr>
        <w:t>a hypothetical 10% change in these foreign currencies would have increased or decreased our revenue by approximately $1.0 million. Actual gains and losses in the future may differ materially from the hypothetical gains and losses discussed above based on changes in the timing and amount of foreign currency exchange rate movements.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hanging="1080"/>
        <w:jc w:val="left"/>
        <w:rPr/>
      </w:pPr>
      <w:r>
        <w:rPr>
          <w:rFonts w:ascii="Times New Roman;sans-serif" w:hAnsi="Times New Roman;sans-serif"/>
          <w:b/>
          <w:color w:val="000000"/>
          <w:sz w:val="20"/>
        </w:rPr>
        <w:t>Item 4.     </w:t>
      </w:r>
      <w:r>
        <w:rPr>
          <w:rFonts w:ascii="Times New Roman;sans-serif" w:hAnsi="Times New Roman;sans-serif"/>
          <w:b/>
          <w:i/>
          <w:color w:val="000000"/>
          <w:sz w:val="20"/>
        </w:rPr>
        <w:t>Controls and Procedures.</w:t>
      </w:r>
    </w:p>
    <w:p>
      <w:pPr>
        <w:pStyle w:val="TextBody"/>
        <w:bidi w:val="0"/>
        <w:spacing w:lineRule="auto" w:line="276" w:before="180" w:after="180"/>
        <w:jc w:val="left"/>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maintain disclosure controls and procedures, as defined in Rule 13a-15(e) and 15d-15(e) promulgated under the Exchange Act, that are designed to ensure that information required to be disclosed in our reports to the SEC are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required by Rule 13a-15(b) promulgated under the Exchange Act, we carried out an evaluation, under the supervision and with the participation of our management, including our principal executive officer and principal financial officer, of the effectiveness of the design and operation of our disclosure controls and procedures as of March 31, 2024, the end of the period covered by this report. Based on the foregoing, our principal executive officer and principal financial officer concluded that our disclosure controls and procedures were effective as of March 31, 2024.</w:t>
      </w:r>
    </w:p>
    <w:p>
      <w:pPr>
        <w:pStyle w:val="TextBody"/>
        <w:bidi w:val="0"/>
        <w:spacing w:lineRule="auto" w:line="276" w:before="180" w:after="180"/>
        <w:jc w:val="left"/>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76"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as defined in Rule 13a-15(f) and 15d-15(f) promulgated under the Exchange Act, during the quarter ended March 31, 2024, that have materially affected, or are reasonably likely to materially affect, our internal control over financial reporting.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80" w:after="283"/>
        <w:ind w:left="0" w:right="0" w:hanging="1080"/>
        <w:jc w:val="left"/>
        <w:rPr/>
      </w:pPr>
      <w:r>
        <w:rPr>
          <w:rFonts w:ascii="Times New Roman;sans-serif" w:hAnsi="Times New Roman;sans-serif"/>
          <w:b/>
          <w:color w:val="000000"/>
          <w:sz w:val="20"/>
        </w:rPr>
        <w:t>Item  1.</w:t>
      </w:r>
      <w:r>
        <w:rPr>
          <w:color w:val="000000"/>
        </w:rPr>
        <w:t>    </w:t>
      </w:r>
      <w:r>
        <w:rPr>
          <w:rFonts w:ascii="Times New Roman;sans-serif" w:hAnsi="Times New Roman;sans-serif"/>
          <w:b/>
          <w:i/>
          <w:color w:val="000000"/>
          <w:sz w:val="20"/>
        </w:rPr>
        <w:t xml:space="preserve">Legal Proceedings. </w:t>
      </w:r>
    </w:p>
    <w:p>
      <w:pPr>
        <w:pStyle w:val="TextBody"/>
        <w:bidi w:val="0"/>
        <w:spacing w:lineRule="auto" w:line="276"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are, from time to time, party to various legal proceedings arising in the ordinary course of business. We are currently not party to any litigation, the outcome of which, if determined adversely to us, would individually or in the aggregate be reasonably expected to have a material and adverse effect on our business, financial position or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ind w:left="0" w:right="0" w:hanging="1080"/>
        <w:jc w:val="left"/>
        <w:rPr/>
      </w:pPr>
      <w:r>
        <w:rPr>
          <w:rFonts w:ascii="Times New Roman;sans-serif" w:hAnsi="Times New Roman;sans-serif"/>
          <w:b/>
          <w:color w:val="000000"/>
          <w:sz w:val="20"/>
        </w:rPr>
        <w:t>Item  1A.</w:t>
      </w:r>
      <w:r>
        <w:rPr>
          <w:color w:val="000000"/>
        </w:rPr>
        <w:t>    </w:t>
      </w:r>
      <w:r>
        <w:rPr>
          <w:rFonts w:ascii="Times New Roman;sans-serif" w:hAnsi="Times New Roman;sans-serif"/>
          <w:b/>
          <w:i/>
          <w:color w:val="000000"/>
          <w:sz w:val="20"/>
        </w:rPr>
        <w:t xml:space="preserve">Risk Factors. </w:t>
      </w:r>
    </w:p>
    <w:p>
      <w:pPr>
        <w:pStyle w:val="TextBody"/>
        <w:bidi w:val="0"/>
        <w:spacing w:lineRule="auto" w:line="276" w:before="120" w:after="180"/>
        <w:ind w:left="0" w:right="0" w:firstLine="450"/>
        <w:jc w:val="left"/>
        <w:rPr/>
      </w:pPr>
      <w:r>
        <w:rPr>
          <w:rFonts w:ascii="Times New Roman;sans-serif" w:hAnsi="Times New Roman;sans-serif"/>
          <w:b w:val="false"/>
          <w:color w:val="000000"/>
          <w:sz w:val="20"/>
        </w:rPr>
        <w:t>There were no material changes to the risk factors disclosed in P</w:t>
      </w:r>
      <w:r>
        <w:rPr>
          <w:rFonts w:ascii="Times New Roman;sans-serif" w:hAnsi="Times New Roman;sans-serif"/>
          <w:b w:val="false"/>
          <w:color w:val="000000"/>
          <w:sz w:val="20"/>
          <w:shd w:fill="FFFFFF" w:val="clear"/>
        </w:rPr>
        <w:t>art I, Item 1A, Risk Factors of the Form 10-K, which was filed with the Securities and Exchange Commission on February 21, 2024. Any of the risks discussed in such report, as well as additional risks and uncertainties not currently known to us or that we currently deem immaterial, could materially and adversely affect our results of operations, financial condition or prospects.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ind w:left="0" w:right="0" w:hanging="1080"/>
        <w:jc w:val="left"/>
        <w:rPr/>
      </w:pPr>
      <w:r>
        <w:rPr>
          <w:rFonts w:ascii="Times New Roman;sans-serif" w:hAnsi="Times New Roman;sans-serif"/>
          <w:b/>
          <w:color w:val="000000"/>
          <w:sz w:val="20"/>
        </w:rPr>
        <w:t>Item  2.</w:t>
      </w:r>
      <w:r>
        <w:rPr>
          <w:color w:val="000000"/>
        </w:rPr>
        <w:t xml:space="preserve">     </w:t>
      </w:r>
      <w:r>
        <w:rPr>
          <w:rFonts w:ascii="Times New Roman;sans-serif" w:hAnsi="Times New Roman;sans-serif"/>
          <w:b/>
          <w:i/>
          <w:color w:val="000000"/>
          <w:sz w:val="20"/>
        </w:rPr>
        <w:t>Unregistered Sales of Equity Securities and Use of Proceeds.</w:t>
      </w:r>
    </w:p>
    <w:p>
      <w:pPr>
        <w:pStyle w:val="TextBody"/>
        <w:bidi w:val="0"/>
        <w:spacing w:lineRule="auto" w:line="276"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pPr>
      <w:r>
        <w:rPr>
          <w:rFonts w:ascii="Times New Roman;sans-serif" w:hAnsi="Times New Roman;sans-serif"/>
          <w:b/>
          <w:color w:val="000000"/>
          <w:sz w:val="20"/>
        </w:rPr>
        <w:t>Item  3.</w:t>
      </w:r>
      <w:r>
        <w:rPr>
          <w:color w:val="000000"/>
        </w:rPr>
        <w:t>    </w:t>
      </w:r>
      <w:r>
        <w:rPr>
          <w:rFonts w:ascii="Times New Roman;sans-serif" w:hAnsi="Times New Roman;sans-serif"/>
          <w:b/>
          <w:i/>
          <w:color w:val="000000"/>
          <w:sz w:val="20"/>
        </w:rPr>
        <w:t xml:space="preserve">Defaults Upon Senior Securities. </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None. </w:t>
      </w:r>
    </w:p>
    <w:p>
      <w:pPr>
        <w:pStyle w:val="TextBody"/>
        <w:bidi w:val="0"/>
        <w:spacing w:before="120" w:after="12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ind w:left="0" w:right="0" w:hanging="1080"/>
        <w:jc w:val="left"/>
        <w:rPr/>
      </w:pPr>
      <w:r>
        <w:rPr>
          <w:rFonts w:ascii="Times New Roman;sans-serif" w:hAnsi="Times New Roman;sans-serif"/>
          <w:b/>
          <w:color w:val="000000"/>
          <w:sz w:val="20"/>
        </w:rPr>
        <w:t>Item 4.</w:t>
      </w:r>
      <w:r>
        <w:rPr>
          <w:color w:val="000000"/>
        </w:rPr>
        <w:t>    </w:t>
      </w:r>
      <w:r>
        <w:rPr>
          <w:rFonts w:ascii="Times New Roman;sans-serif" w:hAnsi="Times New Roman;sans-serif"/>
          <w:b/>
          <w:i/>
          <w:color w:val="000000"/>
          <w:sz w:val="20"/>
        </w:rPr>
        <w:t xml:space="preserve">Mine Safety Disclosures. </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Not applicable. </w:t>
      </w:r>
    </w:p>
    <w:p>
      <w:pPr>
        <w:pStyle w:val="TextBody"/>
        <w:bidi w:val="0"/>
        <w:spacing w:before="120" w:after="12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ind w:left="0" w:right="0" w:hanging="1080"/>
        <w:jc w:val="left"/>
        <w:rPr/>
      </w:pPr>
      <w:r>
        <w:rPr>
          <w:rFonts w:ascii="Times New Roman;sans-serif" w:hAnsi="Times New Roman;sans-serif"/>
          <w:b/>
          <w:color w:val="000000"/>
          <w:sz w:val="20"/>
        </w:rPr>
        <w:t>Item 5.     </w:t>
      </w:r>
      <w:r>
        <w:rPr>
          <w:rFonts w:ascii="Times New Roman;sans-serif" w:hAnsi="Times New Roman;sans-serif"/>
          <w:b/>
          <w:i/>
          <w:color w:val="000000"/>
          <w:sz w:val="20"/>
        </w:rPr>
        <w:t xml:space="preserve">Other Information. </w:t>
      </w:r>
    </w:p>
    <w:p>
      <w:pPr>
        <w:pStyle w:val="TextBody"/>
        <w:bidi w:val="0"/>
        <w:spacing w:lineRule="auto" w:line="268" w:before="0" w:after="0"/>
        <w:ind w:left="0" w:right="0" w:firstLine="450"/>
        <w:jc w:val="left"/>
        <w:rPr>
          <w:rFonts w:ascii="Times New Roman;sans-serif" w:hAnsi="Times New Roman;sans-serif"/>
          <w:b w:val="false"/>
          <w:color w:val="000000"/>
          <w:sz w:val="22"/>
        </w:rPr>
      </w:pPr>
      <w:r>
        <w:rPr>
          <w:rFonts w:ascii="Times New Roman;sans-serif" w:hAnsi="Times New Roman;sans-serif"/>
          <w:b w:val="false"/>
          <w:color w:val="000000"/>
          <w:sz w:val="22"/>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rPr>
        <w:t>Item 6.     </w:t>
      </w:r>
      <w:r>
        <w:rPr>
          <w:rFonts w:ascii="Times New Roman;sans-serif" w:hAnsi="Times New Roman;sans-serif"/>
          <w:b/>
          <w:i/>
          <w:color w:val="000000"/>
          <w:sz w:val="20"/>
        </w:rPr>
        <w:t xml:space="preserve">Exhibits. </w:t>
      </w:r>
    </w:p>
    <w:tbl>
      <w:tblPr>
        <w:tblW w:w="10205" w:type="dxa"/>
        <w:jc w:val="left"/>
        <w:tblInd w:w="0" w:type="dxa"/>
        <w:tblLayout w:type="fixed"/>
        <w:tblCellMar>
          <w:top w:w="28" w:type="dxa"/>
          <w:left w:w="28" w:type="dxa"/>
          <w:bottom w:w="28" w:type="dxa"/>
          <w:right w:w="28" w:type="dxa"/>
        </w:tblCellMar>
      </w:tblPr>
      <w:tblGrid>
        <w:gridCol w:w="262"/>
        <w:gridCol w:w="230"/>
        <w:gridCol w:w="232"/>
        <w:gridCol w:w="109"/>
        <w:gridCol w:w="109"/>
        <w:gridCol w:w="109"/>
        <w:gridCol w:w="2757"/>
        <w:gridCol w:w="2635"/>
        <w:gridCol w:w="3762"/>
      </w:tblGrid>
      <w:tr>
        <w:trPr/>
        <w:tc>
          <w:tcPr>
            <w:tcW w:w="26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7" w:type="dxa"/>
            <w:tcBorders/>
            <w:vAlign w:val="center"/>
          </w:tcPr>
          <w:p>
            <w:pPr>
              <w:pStyle w:val="TableContents"/>
              <w:bidi w:val="0"/>
              <w:spacing w:before="0" w:after="283"/>
              <w:jc w:val="left"/>
              <w:rPr>
                <w:sz w:val="4"/>
                <w:szCs w:val="4"/>
              </w:rPr>
            </w:pPr>
            <w:r>
              <w:rPr>
                <w:sz w:val="4"/>
                <w:szCs w:val="4"/>
              </w:rPr>
            </w:r>
          </w:p>
        </w:tc>
        <w:tc>
          <w:tcPr>
            <w:tcW w:w="2635" w:type="dxa"/>
            <w:tcBorders/>
            <w:vAlign w:val="center"/>
          </w:tcPr>
          <w:p>
            <w:pPr>
              <w:pStyle w:val="TableContents"/>
              <w:bidi w:val="0"/>
              <w:spacing w:before="0" w:after="283"/>
              <w:jc w:val="left"/>
              <w:rPr>
                <w:sz w:val="4"/>
                <w:szCs w:val="4"/>
              </w:rPr>
            </w:pPr>
            <w:r>
              <w:rPr>
                <w:sz w:val="4"/>
                <w:szCs w:val="4"/>
              </w:rPr>
            </w:r>
          </w:p>
        </w:tc>
        <w:tc>
          <w:tcPr>
            <w:tcW w:w="3762" w:type="dxa"/>
            <w:tcBorders/>
            <w:vAlign w:val="center"/>
          </w:tcPr>
          <w:p>
            <w:pPr>
              <w:pStyle w:val="TableContents"/>
              <w:bidi w:val="0"/>
              <w:spacing w:before="0" w:after="283"/>
              <w:jc w:val="left"/>
              <w:rPr>
                <w:sz w:val="4"/>
                <w:szCs w:val="4"/>
              </w:rPr>
            </w:pPr>
            <w:r>
              <w:rPr>
                <w:sz w:val="4"/>
                <w:szCs w:val="4"/>
              </w:rPr>
            </w:r>
          </w:p>
        </w:tc>
      </w:tr>
      <w:tr>
        <w:trPr/>
        <w:tc>
          <w:tcPr>
            <w:tcW w:w="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7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4" w:type="dxa"/>
            <w:gridSpan w:val="3"/>
            <w:tcBorders/>
            <w:tcMar>
              <w:top w:w="0" w:type="dxa"/>
              <w:left w:w="0" w:type="dxa"/>
              <w:bottom w:w="0" w:type="dxa"/>
              <w:right w:w="0" w:type="dxa"/>
            </w:tcMar>
            <w:vAlign w:val="center"/>
          </w:tcPr>
          <w:p>
            <w:pPr>
              <w:pStyle w:val="TableContents"/>
              <w:bidi w:val="0"/>
              <w:spacing w:lineRule="auto" w:line="264" w:before="60" w:after="60"/>
              <w:jc w:val="left"/>
              <w:rPr/>
            </w:pPr>
            <w:hyperlink r:id="rId2">
              <w:r>
                <w:rPr>
                  <w:rStyle w:val="InternetLink"/>
                  <w:rFonts w:ascii="Times New Roman;sans-serif" w:hAnsi="Times New Roman;sans-serif"/>
                  <w:b w:val="false"/>
                  <w:color w:val="0000FF"/>
                  <w:sz w:val="20"/>
                  <w:u w:val="single"/>
                </w:rPr>
                <w:t>Amended and Restated Certificate of Incorporation (incorporated by reference to Exhibit 3.1 to the Company’s Current Report on Form 8-K, filed November 9, 2016).</w:t>
              </w:r>
            </w:hyperlink>
          </w:p>
        </w:tc>
      </w:tr>
      <w:tr>
        <w:trPr/>
        <w:tc>
          <w:tcPr>
            <w:tcW w:w="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4" w:type="dxa"/>
            <w:gridSpan w:val="3"/>
            <w:tcBorders/>
            <w:tcMar>
              <w:top w:w="0" w:type="dxa"/>
              <w:left w:w="0" w:type="dxa"/>
              <w:bottom w:w="0" w:type="dxa"/>
              <w:right w:w="0" w:type="dxa"/>
            </w:tcMar>
            <w:vAlign w:val="center"/>
          </w:tcPr>
          <w:p>
            <w:pPr>
              <w:pStyle w:val="TableContents"/>
              <w:bidi w:val="0"/>
              <w:spacing w:lineRule="auto" w:line="264" w:before="60" w:after="60"/>
              <w:jc w:val="left"/>
              <w:rPr/>
            </w:pPr>
            <w:hyperlink r:id="rId3">
              <w:r>
                <w:rPr>
                  <w:rStyle w:val="InternetLink"/>
                  <w:rFonts w:ascii="Times New Roman;sans-serif" w:hAnsi="Times New Roman;sans-serif"/>
                  <w:b w:val="false"/>
                  <w:color w:val="0000FF"/>
                  <w:sz w:val="20"/>
                  <w:u w:val="single"/>
                </w:rPr>
                <w:t>Amended and Restated Bylaws (incorporated by reference to Exhibit 3.2 to the Company’s Current Report on Form 8-K, filed November 9, 2016).</w:t>
              </w:r>
            </w:hyperlink>
          </w:p>
        </w:tc>
      </w:tr>
      <w:tr>
        <w:trPr/>
        <w:tc>
          <w:tcPr>
            <w:tcW w:w="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Certificate of Designation of Series E Fixed-Rate Cumulative Perpetual Preferred Stock filed with the Secretary of State of the State of Delaware on August 8, 2019 (incorporated by reference to Exhibit 3.1 to the Company’s Current Report on Form 8-K, filed August 13, 2019).</w:t>
              </w:r>
            </w:hyperlink>
          </w:p>
        </w:tc>
      </w:tr>
      <w:tr>
        <w:trPr/>
        <w:tc>
          <w:tcPr>
            <w:tcW w:w="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20"/>
                  <w:u w:val="single"/>
                </w:rPr>
                <w:t>Certificate of Amendment to Certificate of Designation of Series E Fixed-Rate Cumulative Perpetual Preferred Stock (incorporated by reference to Exhibit 3.1 to the Company’s Current Report on Form 8-K, filed March 10, 2020).</w:t>
              </w:r>
            </w:hyperlink>
          </w:p>
        </w:tc>
      </w:tr>
      <w:tr>
        <w:trPr/>
        <w:tc>
          <w:tcPr>
            <w:tcW w:w="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20"/>
                  <w:u w:val="single"/>
                </w:rPr>
                <w:t>Fourth Amendment, dated as of February 8, 2024, to Loan and Security Agreement, dated as of August 5, 2022, among Siena Lending Group LLC (as Lender), Inseego Wireless, Inc., and Inseego North America LLC (as Borrowers), and Inseego Corp. (as Guarantor) (incorporated by reference to Exhibit 10.1 to the Company’s Current Report on Form 8-K, filed February 21, 2024).</w:t>
              </w:r>
            </w:hyperlink>
          </w:p>
        </w:tc>
      </w:tr>
      <w:tr>
        <w:trPr/>
        <w:tc>
          <w:tcPr>
            <w:tcW w:w="724" w:type="dxa"/>
            <w:gridSpan w:val="3"/>
            <w:tcBorders/>
            <w:tcMar>
              <w:top w:w="0" w:type="dxa"/>
              <w:left w:w="0" w:type="dxa"/>
              <w:bottom w:w="0" w:type="dxa"/>
              <w:right w:w="0" w:type="dxa"/>
            </w:tcMar>
            <w:vAlign w:val="center"/>
          </w:tcPr>
          <w:p>
            <w:pPr>
              <w:pStyle w:val="TableContents"/>
              <w:bidi w:val="0"/>
              <w:spacing w:lineRule="auto" w:line="264" w:before="60" w:after="60"/>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4" w:type="dxa"/>
            <w:gridSpan w:val="3"/>
            <w:tcBorders/>
            <w:tcMar>
              <w:top w:w="0" w:type="dxa"/>
              <w:left w:w="0" w:type="dxa"/>
              <w:bottom w:w="0" w:type="dxa"/>
              <w:right w:w="0" w:type="dxa"/>
            </w:tcMar>
            <w:vAlign w:val="center"/>
          </w:tcPr>
          <w:p>
            <w:pPr>
              <w:pStyle w:val="TableContents"/>
              <w:bidi w:val="0"/>
              <w:spacing w:lineRule="auto" w:line="268" w:before="60" w:after="60"/>
              <w:jc w:val="left"/>
              <w:rPr/>
            </w:pPr>
            <w:hyperlink w:anchor="insg20240331ex311.htm">
              <w:r>
                <w:rPr>
                  <w:rStyle w:val="InternetLink"/>
                  <w:rFonts w:ascii="Times New Roman;sans-serif" w:hAnsi="Times New Roman;sans-serif"/>
                  <w:b w:val="false"/>
                  <w:color w:val="0000FF"/>
                  <w:sz w:val="20"/>
                  <w:u w:val="single"/>
                </w:rPr>
                <w:t>Certification of our Principal Executive Officer adopted pursuant to Section 302 of the Sarbanes-Oxley Act of 2002.</w:t>
              </w:r>
            </w:hyperlink>
          </w:p>
        </w:tc>
      </w:tr>
      <w:tr>
        <w:trPr/>
        <w:tc>
          <w:tcPr>
            <w:tcW w:w="724" w:type="dxa"/>
            <w:gridSpan w:val="3"/>
            <w:tcBorders/>
            <w:tcMar>
              <w:top w:w="0" w:type="dxa"/>
              <w:left w:w="0" w:type="dxa"/>
              <w:bottom w:w="0" w:type="dxa"/>
              <w:right w:w="0" w:type="dxa"/>
            </w:tcMar>
            <w:vAlign w:val="center"/>
          </w:tcPr>
          <w:p>
            <w:pPr>
              <w:pStyle w:val="TableContents"/>
              <w:bidi w:val="0"/>
              <w:spacing w:lineRule="auto" w:line="264" w:before="60" w:after="60"/>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4" w:type="dxa"/>
            <w:gridSpan w:val="3"/>
            <w:tcBorders/>
            <w:tcMar>
              <w:top w:w="0" w:type="dxa"/>
              <w:left w:w="0" w:type="dxa"/>
              <w:bottom w:w="0" w:type="dxa"/>
              <w:right w:w="0" w:type="dxa"/>
            </w:tcMar>
            <w:vAlign w:val="center"/>
          </w:tcPr>
          <w:p>
            <w:pPr>
              <w:pStyle w:val="TableContents"/>
              <w:bidi w:val="0"/>
              <w:spacing w:lineRule="auto" w:line="268" w:before="60" w:after="60"/>
              <w:jc w:val="left"/>
              <w:rPr/>
            </w:pPr>
            <w:hyperlink w:anchor="insg20240331ex312.htm">
              <w:r>
                <w:rPr>
                  <w:rStyle w:val="InternetLink"/>
                  <w:rFonts w:ascii="Times New Roman;sans-serif" w:hAnsi="Times New Roman;sans-serif"/>
                  <w:b w:val="false"/>
                  <w:color w:val="0000FF"/>
                  <w:sz w:val="20"/>
                  <w:u w:val="single"/>
                </w:rPr>
                <w:t>Certification of our Principal Financial Officer adopted pursuant to Section 302 of the Sarbanes-Oxley Act of 2002.</w:t>
              </w:r>
            </w:hyperlink>
          </w:p>
        </w:tc>
      </w:tr>
      <w:tr>
        <w:trPr/>
        <w:tc>
          <w:tcPr>
            <w:tcW w:w="724" w:type="dxa"/>
            <w:gridSpan w:val="3"/>
            <w:tcBorders/>
            <w:tcMar>
              <w:top w:w="0" w:type="dxa"/>
              <w:left w:w="0" w:type="dxa"/>
              <w:bottom w:w="0" w:type="dxa"/>
              <w:right w:w="0" w:type="dxa"/>
            </w:tcMar>
            <w:vAlign w:val="center"/>
          </w:tcPr>
          <w:p>
            <w:pPr>
              <w:pStyle w:val="TableContents"/>
              <w:bidi w:val="0"/>
              <w:spacing w:lineRule="auto" w:line="264" w:before="60" w:after="60"/>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4" w:type="dxa"/>
            <w:gridSpan w:val="3"/>
            <w:tcBorders/>
            <w:tcMar>
              <w:top w:w="0" w:type="dxa"/>
              <w:left w:w="0" w:type="dxa"/>
              <w:bottom w:w="0" w:type="dxa"/>
              <w:right w:w="0" w:type="dxa"/>
            </w:tcMar>
            <w:vAlign w:val="center"/>
          </w:tcPr>
          <w:p>
            <w:pPr>
              <w:pStyle w:val="TableContents"/>
              <w:bidi w:val="0"/>
              <w:spacing w:lineRule="auto" w:line="268" w:before="60" w:after="60"/>
              <w:jc w:val="left"/>
              <w:rPr/>
            </w:pPr>
            <w:hyperlink w:anchor="insg20240331ex321.htm">
              <w:r>
                <w:rPr>
                  <w:rStyle w:val="InternetLink"/>
                  <w:rFonts w:ascii="Times New Roman;sans-serif" w:hAnsi="Times New Roman;sans-serif"/>
                  <w:b w:val="false"/>
                  <w:color w:val="0000FF"/>
                  <w:sz w:val="20"/>
                  <w:u w:val="single"/>
                </w:rPr>
                <w:t>Certification of Principal Executive Officer pursuant to 18 U.S.C. Section 1350, as adopted pursuant to Section 906 of the Sarbanes-Oxley Act of 2002.</w:t>
              </w:r>
            </w:hyperlink>
          </w:p>
        </w:tc>
      </w:tr>
      <w:tr>
        <w:trPr/>
        <w:tc>
          <w:tcPr>
            <w:tcW w:w="724" w:type="dxa"/>
            <w:gridSpan w:val="3"/>
            <w:tcBorders/>
            <w:tcMar>
              <w:top w:w="0" w:type="dxa"/>
              <w:left w:w="0" w:type="dxa"/>
              <w:bottom w:w="0" w:type="dxa"/>
              <w:right w:w="0" w:type="dxa"/>
            </w:tcMar>
            <w:vAlign w:val="center"/>
          </w:tcPr>
          <w:p>
            <w:pPr>
              <w:pStyle w:val="TableContents"/>
              <w:bidi w:val="0"/>
              <w:spacing w:lineRule="auto" w:line="264" w:before="60" w:after="60"/>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4" w:type="dxa"/>
            <w:gridSpan w:val="3"/>
            <w:tcBorders/>
            <w:tcMar>
              <w:top w:w="0" w:type="dxa"/>
              <w:left w:w="0" w:type="dxa"/>
              <w:bottom w:w="0" w:type="dxa"/>
              <w:right w:w="0" w:type="dxa"/>
            </w:tcMar>
            <w:vAlign w:val="center"/>
          </w:tcPr>
          <w:p>
            <w:pPr>
              <w:pStyle w:val="TableContents"/>
              <w:bidi w:val="0"/>
              <w:spacing w:lineRule="auto" w:line="268" w:before="60" w:after="60"/>
              <w:jc w:val="left"/>
              <w:rPr/>
            </w:pPr>
            <w:hyperlink w:anchor="insg20240331ex322.htm">
              <w:r>
                <w:rPr>
                  <w:rStyle w:val="InternetLink"/>
                  <w:rFonts w:ascii="Times New Roman;sans-serif" w:hAnsi="Times New Roman;sans-serif"/>
                  <w:b w:val="false"/>
                  <w:color w:val="0000FF"/>
                  <w:sz w:val="20"/>
                  <w:u w:val="single"/>
                </w:rPr>
                <w:t>Certification of Principal Financial Officer pursuant to 18 U.S.C. Section 1350, as adopted pursuant to Section 906 of the Sarbanes-Oxley Act of 2002.</w:t>
              </w:r>
            </w:hyperlink>
          </w:p>
        </w:tc>
      </w:tr>
      <w:tr>
        <w:trPr/>
        <w:tc>
          <w:tcPr>
            <w:tcW w:w="724" w:type="dxa"/>
            <w:gridSpan w:val="3"/>
            <w:tcBorders/>
            <w:tcMar>
              <w:top w:w="0" w:type="dxa"/>
              <w:left w:w="0" w:type="dxa"/>
              <w:bottom w:w="0" w:type="dxa"/>
              <w:right w:w="0" w:type="dxa"/>
            </w:tcMar>
            <w:vAlign w:val="center"/>
          </w:tcPr>
          <w:p>
            <w:pPr>
              <w:pStyle w:val="TableContents"/>
              <w:bidi w:val="0"/>
              <w:spacing w:lineRule="auto" w:line="264" w:before="60" w:after="60"/>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4" w:type="dxa"/>
            <w:gridSpan w:val="3"/>
            <w:tcBorders/>
            <w:tcMar>
              <w:top w:w="0" w:type="dxa"/>
              <w:left w:w="0" w:type="dxa"/>
              <w:bottom w:w="0" w:type="dxa"/>
              <w:right w:w="0" w:type="dxa"/>
            </w:tcMar>
            <w:vAlign w:val="center"/>
          </w:tcPr>
          <w:p>
            <w:pPr>
              <w:pStyle w:val="TableContents"/>
              <w:bidi w:val="0"/>
              <w:spacing w:lineRule="auto" w:line="264" w:before="60" w:after="6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 the instance document does not appear in the Interactive Data File because its XBRL tags are embedded within the Inline XBRL document.</w:t>
            </w:r>
          </w:p>
        </w:tc>
      </w:tr>
      <w:tr>
        <w:trPr/>
        <w:tc>
          <w:tcPr>
            <w:tcW w:w="724" w:type="dxa"/>
            <w:gridSpan w:val="3"/>
            <w:tcBorders/>
            <w:tcMar>
              <w:top w:w="0" w:type="dxa"/>
              <w:left w:w="0" w:type="dxa"/>
              <w:bottom w:w="0" w:type="dxa"/>
              <w:right w:w="0" w:type="dxa"/>
            </w:tcMar>
            <w:vAlign w:val="center"/>
          </w:tcPr>
          <w:p>
            <w:pPr>
              <w:pStyle w:val="TableContents"/>
              <w:bidi w:val="0"/>
              <w:spacing w:lineRule="auto" w:line="264" w:before="60" w:after="60"/>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4" w:type="dxa"/>
            <w:gridSpan w:val="3"/>
            <w:tcBorders/>
            <w:tcMar>
              <w:top w:w="0" w:type="dxa"/>
              <w:left w:w="0" w:type="dxa"/>
              <w:bottom w:w="0" w:type="dxa"/>
              <w:right w:w="0" w:type="dxa"/>
            </w:tcMar>
            <w:vAlign w:val="center"/>
          </w:tcPr>
          <w:p>
            <w:pPr>
              <w:pStyle w:val="TableContents"/>
              <w:bidi w:val="0"/>
              <w:spacing w:lineRule="auto" w:line="264" w:before="60" w:after="6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724" w:type="dxa"/>
            <w:gridSpan w:val="3"/>
            <w:tcBorders/>
            <w:tcMar>
              <w:top w:w="0" w:type="dxa"/>
              <w:left w:w="0" w:type="dxa"/>
              <w:bottom w:w="0" w:type="dxa"/>
              <w:right w:w="0" w:type="dxa"/>
            </w:tcMar>
            <w:vAlign w:val="center"/>
          </w:tcPr>
          <w:p>
            <w:pPr>
              <w:pStyle w:val="TableContents"/>
              <w:bidi w:val="0"/>
              <w:spacing w:lineRule="auto" w:line="264" w:before="60" w:after="60"/>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4" w:type="dxa"/>
            <w:gridSpan w:val="3"/>
            <w:tcBorders/>
            <w:tcMar>
              <w:top w:w="0" w:type="dxa"/>
              <w:left w:w="0" w:type="dxa"/>
              <w:bottom w:w="0" w:type="dxa"/>
              <w:right w:w="0" w:type="dxa"/>
            </w:tcMar>
            <w:vAlign w:val="center"/>
          </w:tcPr>
          <w:p>
            <w:pPr>
              <w:pStyle w:val="TableContents"/>
              <w:bidi w:val="0"/>
              <w:spacing w:lineRule="auto" w:line="264" w:before="60" w:after="6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724" w:type="dxa"/>
            <w:gridSpan w:val="3"/>
            <w:tcBorders/>
            <w:tcMar>
              <w:top w:w="0" w:type="dxa"/>
              <w:left w:w="0" w:type="dxa"/>
              <w:bottom w:w="0" w:type="dxa"/>
              <w:right w:w="0" w:type="dxa"/>
            </w:tcMar>
            <w:vAlign w:val="center"/>
          </w:tcPr>
          <w:p>
            <w:pPr>
              <w:pStyle w:val="TableContents"/>
              <w:bidi w:val="0"/>
              <w:spacing w:lineRule="auto" w:line="264" w:before="60" w:after="60"/>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4" w:type="dxa"/>
            <w:gridSpan w:val="3"/>
            <w:tcBorders/>
            <w:tcMar>
              <w:top w:w="0" w:type="dxa"/>
              <w:left w:w="0" w:type="dxa"/>
              <w:bottom w:w="0" w:type="dxa"/>
              <w:right w:w="0" w:type="dxa"/>
            </w:tcMar>
            <w:vAlign w:val="center"/>
          </w:tcPr>
          <w:p>
            <w:pPr>
              <w:pStyle w:val="TableContents"/>
              <w:bidi w:val="0"/>
              <w:spacing w:lineRule="auto" w:line="264" w:before="60" w:after="6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724" w:type="dxa"/>
            <w:gridSpan w:val="3"/>
            <w:tcBorders/>
            <w:tcMar>
              <w:top w:w="0" w:type="dxa"/>
              <w:left w:w="0" w:type="dxa"/>
              <w:bottom w:w="0" w:type="dxa"/>
              <w:right w:w="0" w:type="dxa"/>
            </w:tcMar>
            <w:vAlign w:val="center"/>
          </w:tcPr>
          <w:p>
            <w:pPr>
              <w:pStyle w:val="TableContents"/>
              <w:bidi w:val="0"/>
              <w:spacing w:lineRule="auto" w:line="264" w:before="60" w:after="60"/>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4" w:type="dxa"/>
            <w:gridSpan w:val="3"/>
            <w:tcBorders/>
            <w:tcMar>
              <w:top w:w="0" w:type="dxa"/>
              <w:left w:w="0" w:type="dxa"/>
              <w:bottom w:w="0" w:type="dxa"/>
              <w:right w:w="0" w:type="dxa"/>
            </w:tcMar>
            <w:vAlign w:val="center"/>
          </w:tcPr>
          <w:p>
            <w:pPr>
              <w:pStyle w:val="TableContents"/>
              <w:bidi w:val="0"/>
              <w:spacing w:lineRule="auto" w:line="264" w:before="60" w:after="6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724" w:type="dxa"/>
            <w:gridSpan w:val="3"/>
            <w:tcBorders/>
            <w:tcMar>
              <w:top w:w="0" w:type="dxa"/>
              <w:left w:w="0" w:type="dxa"/>
              <w:bottom w:w="0" w:type="dxa"/>
              <w:right w:w="0" w:type="dxa"/>
            </w:tcMar>
            <w:vAlign w:val="center"/>
          </w:tcPr>
          <w:p>
            <w:pPr>
              <w:pStyle w:val="TableContents"/>
              <w:bidi w:val="0"/>
              <w:spacing w:lineRule="auto" w:line="264" w:before="60" w:after="60"/>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4" w:type="dxa"/>
            <w:gridSpan w:val="3"/>
            <w:tcBorders/>
            <w:tcMar>
              <w:top w:w="0" w:type="dxa"/>
              <w:left w:w="0" w:type="dxa"/>
              <w:bottom w:w="0" w:type="dxa"/>
              <w:right w:w="0" w:type="dxa"/>
            </w:tcMar>
            <w:vAlign w:val="center"/>
          </w:tcPr>
          <w:p>
            <w:pPr>
              <w:pStyle w:val="TableContents"/>
              <w:bidi w:val="0"/>
              <w:spacing w:lineRule="auto" w:line="264" w:before="60" w:after="6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r>
        <w:trPr/>
        <w:tc>
          <w:tcPr>
            <w:tcW w:w="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54" w:type="dxa"/>
            <w:gridSpan w:val="3"/>
            <w:tcBorders/>
            <w:vAlign w:val="center"/>
          </w:tcPr>
          <w:p>
            <w:pPr>
              <w:pStyle w:val="TableContents"/>
              <w:bidi w:val="0"/>
              <w:spacing w:before="0" w:after="283"/>
              <w:jc w:val="left"/>
              <w:rPr>
                <w:sz w:val="4"/>
                <w:szCs w:val="4"/>
              </w:rPr>
            </w:pPr>
            <w:r>
              <w:rPr>
                <w:sz w:val="4"/>
                <w:szCs w:val="4"/>
              </w:rPr>
            </w:r>
          </w:p>
        </w:tc>
      </w:tr>
      <w:tr>
        <w:trPr/>
        <w:tc>
          <w:tcPr>
            <w:tcW w:w="724" w:type="dxa"/>
            <w:gridSpan w:val="3"/>
            <w:tcBorders/>
            <w:tcMar>
              <w:top w:w="0" w:type="dxa"/>
              <w:left w:w="0" w:type="dxa"/>
              <w:bottom w:w="0" w:type="dxa"/>
              <w:right w:w="0" w:type="dxa"/>
            </w:tcMar>
            <w:vAlign w:val="center"/>
          </w:tcPr>
          <w:p>
            <w:pPr>
              <w:pStyle w:val="TableContents"/>
              <w:bidi w:val="0"/>
              <w:spacing w:lineRule="auto" w:line="264" w:before="60" w:after="6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4" w:type="dxa"/>
            <w:gridSpan w:val="3"/>
            <w:tcBorders/>
            <w:tcMar>
              <w:top w:w="0" w:type="dxa"/>
              <w:left w:w="0" w:type="dxa"/>
              <w:bottom w:w="0" w:type="dxa"/>
              <w:right w:w="0" w:type="dxa"/>
            </w:tcMar>
            <w:vAlign w:val="center"/>
          </w:tcPr>
          <w:p>
            <w:pPr>
              <w:pStyle w:val="TableContents"/>
              <w:bidi w:val="0"/>
              <w:spacing w:lineRule="auto" w:line="264" w:before="60" w:after="60"/>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72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Furnished herewith</w:t>
            </w:r>
          </w:p>
        </w:tc>
      </w:tr>
    </w:tbl>
    <w:p>
      <w:pPr>
        <w:pStyle w:val="TextBody"/>
        <w:bidi w:val="0"/>
        <w:spacing w:before="0" w:after="10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4481" w:type="dxa"/>
        <w:jc w:val="left"/>
        <w:tblInd w:w="0" w:type="dxa"/>
        <w:tblLayout w:type="fixed"/>
        <w:tblCellMar>
          <w:top w:w="28" w:type="dxa"/>
          <w:left w:w="28" w:type="dxa"/>
          <w:bottom w:w="28" w:type="dxa"/>
          <w:right w:w="28" w:type="dxa"/>
        </w:tblCellMar>
      </w:tblPr>
      <w:tblGrid>
        <w:gridCol w:w="591"/>
        <w:gridCol w:w="520"/>
        <w:gridCol w:w="523"/>
        <w:gridCol w:w="109"/>
        <w:gridCol w:w="109"/>
        <w:gridCol w:w="109"/>
        <w:gridCol w:w="135"/>
        <w:gridCol w:w="135"/>
        <w:gridCol w:w="135"/>
        <w:gridCol w:w="135"/>
        <w:gridCol w:w="135"/>
        <w:gridCol w:w="135"/>
        <w:gridCol w:w="501"/>
        <w:gridCol w:w="501"/>
        <w:gridCol w:w="708"/>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9,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Inseego Corp.</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    PHILIP BRACE</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Philip Brace</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Executive Chairman</w:t>
            </w:r>
          </w:p>
        </w:tc>
      </w:tr>
    </w:tbl>
    <w:p>
      <w:pPr>
        <w:pStyle w:val="TextBody"/>
        <w:bidi w:val="0"/>
        <w:spacing w:lineRule="auto" w:line="288" w:before="0" w:after="0"/>
        <w:jc w:val="left"/>
        <w:rPr>
          <w:color w:val="000000"/>
        </w:rPr>
      </w:pPr>
      <w:r>
        <w:rPr>
          <w:color w:val="000000"/>
        </w:rPr>
        <w:t> </w:t>
      </w:r>
    </w:p>
    <w:tbl>
      <w:tblPr>
        <w:tblW w:w="33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34"/>
        <w:gridCol w:w="134"/>
        <w:gridCol w:w="136"/>
        <w:gridCol w:w="109"/>
        <w:gridCol w:w="109"/>
        <w:gridCol w:w="109"/>
        <w:gridCol w:w="570"/>
        <w:gridCol w:w="570"/>
        <w:gridCol w:w="8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    STEVEN GATOFF</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Steven Gatoff</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Chief Financial Officer</w:t>
              <w:b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260" w:after="60"/>
        <w:jc w:val="center"/>
        <w:rPr>
          <w:rFonts w:ascii="Times New Roman;sans-serif" w:hAnsi="Times New Roman;sans-serif"/>
          <w:b/>
          <w:color w:val="000000"/>
          <w:sz w:val="20"/>
        </w:rPr>
      </w:pPr>
      <w:r>
        <w:rPr>
          <w:rFonts w:ascii="Times New Roman;sans-serif" w:hAnsi="Times New Roman;sans-serif"/>
          <w:b/>
          <w:color w:val="000000"/>
          <w:sz w:val="20"/>
        </w:rPr>
        <w:t>CERTIFICATION OF PRINCIPAL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Rule 13a-14(a) adopted pursuant to Section 302 of the Sarbanes-Oxley Act of 2002</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Philip Brace, certify that:</w:t>
      </w:r>
    </w:p>
    <w:p>
      <w:pPr>
        <w:pStyle w:val="TextBody"/>
        <w:bidi w:val="0"/>
        <w:spacing w:lineRule="auto" w:line="288" w:before="18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Inseego Corp.;</w:t>
      </w:r>
    </w:p>
    <w:p>
      <w:pPr>
        <w:pStyle w:val="TextBody"/>
        <w:bidi w:val="0"/>
        <w:spacing w:lineRule="auto" w:line="288" w:before="18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2"/>
        <w:gridCol w:w="2882"/>
        <w:gridCol w:w="40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40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lineRule="auto" w:line="288" w:before="8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94"/>
        <w:gridCol w:w="2886"/>
        <w:gridCol w:w="40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4"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lineRule="auto" w:line="288" w:before="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9, 2024 </w:t>
      </w:r>
    </w:p>
    <w:tbl>
      <w:tblPr>
        <w:tblW w:w="2445" w:type="dxa"/>
        <w:jc w:val="center"/>
        <w:tblInd w:w="0" w:type="dxa"/>
        <w:tblLayout w:type="fixed"/>
        <w:tblCellMar>
          <w:top w:w="28" w:type="dxa"/>
          <w:left w:w="28" w:type="dxa"/>
          <w:bottom w:w="28" w:type="dxa"/>
          <w:right w:w="28" w:type="dxa"/>
        </w:tblCellMar>
      </w:tblPr>
      <w:tblGrid>
        <w:gridCol w:w="781"/>
        <w:gridCol w:w="687"/>
        <w:gridCol w:w="977"/>
      </w:tblGrid>
      <w:tr>
        <w:trPr/>
        <w:tc>
          <w:tcPr>
            <w:tcW w:w="7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/s/    Philip Brace</w:t>
            </w:r>
          </w:p>
        </w:tc>
      </w:tr>
      <w:tr>
        <w:trPr/>
        <w:tc>
          <w:tcPr>
            <w:tcW w:w="2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60"/>
              <w:jc w:val="left"/>
              <w:rPr>
                <w:rFonts w:ascii="Times New Roman;sans-serif" w:hAnsi="Times New Roman;sans-serif"/>
                <w:b/>
                <w:color w:val="000000"/>
                <w:sz w:val="20"/>
              </w:rPr>
            </w:pPr>
            <w:r>
              <w:rPr>
                <w:rFonts w:ascii="Times New Roman;sans-serif" w:hAnsi="Times New Roman;sans-serif"/>
                <w:b/>
                <w:color w:val="000000"/>
                <w:sz w:val="20"/>
              </w:rPr>
              <w:t>Philip Brace</w:t>
            </w:r>
          </w:p>
        </w:tc>
      </w:tr>
      <w:tr>
        <w:trPr/>
        <w:tc>
          <w:tcPr>
            <w:tcW w:w="2445" w:type="dxa"/>
            <w:gridSpan w:val="3"/>
            <w:tcBorders/>
            <w:tcMar>
              <w:top w:w="0" w:type="dxa"/>
              <w:left w:w="0" w:type="dxa"/>
              <w:bottom w:w="0" w:type="dxa"/>
              <w:right w:w="0" w:type="dxa"/>
            </w:tcMar>
            <w:vAlign w:val="center"/>
          </w:tcPr>
          <w:p>
            <w:pPr>
              <w:pStyle w:val="TableContents"/>
              <w:bidi w:val="0"/>
              <w:spacing w:lineRule="auto" w:line="288" w:before="20" w:after="20"/>
              <w:jc w:val="left"/>
              <w:rPr>
                <w:rFonts w:ascii="Times New Roman;sans-serif" w:hAnsi="Times New Roman;sans-serif"/>
                <w:b w:val="false"/>
                <w:i/>
                <w:color w:val="000000"/>
                <w:sz w:val="20"/>
              </w:rPr>
            </w:pPr>
            <w:r>
              <w:rPr>
                <w:rFonts w:ascii="Times New Roman;sans-serif" w:hAnsi="Times New Roman;sans-serif"/>
                <w:b w:val="false"/>
                <w:i/>
                <w:color w:val="000000"/>
                <w:sz w:val="20"/>
              </w:rPr>
              <w:t>Executive Chairman</w:t>
            </w:r>
          </w:p>
          <w:p>
            <w:pPr>
              <w:pStyle w:val="TableContents"/>
              <w:bidi w:val="0"/>
              <w:spacing w:lineRule="auto" w:line="288" w:before="20" w:after="2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9"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260" w:after="60"/>
        <w:jc w:val="center"/>
        <w:rPr>
          <w:rFonts w:ascii="Times New Roman;sans-serif" w:hAnsi="Times New Roman;sans-serif"/>
          <w:b/>
          <w:color w:val="000000"/>
          <w:sz w:val="20"/>
        </w:rPr>
      </w:pPr>
      <w:r>
        <w:rPr>
          <w:rFonts w:ascii="Times New Roman;sans-serif" w:hAnsi="Times New Roman;sans-serif"/>
          <w:b/>
          <w:color w:val="000000"/>
          <w:sz w:val="20"/>
        </w:rPr>
        <w:t>CERTIFICATION OF PRINCIPAL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Rule 13a-14(a) adopted pursuant to Section 302 of the Sarbanes-Oxley Act of 2002</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Steven Gatoff, certify that:</w:t>
      </w:r>
    </w:p>
    <w:p>
      <w:pPr>
        <w:pStyle w:val="TextBody"/>
        <w:bidi w:val="0"/>
        <w:spacing w:lineRule="auto" w:line="288" w:before="180" w:after="14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Inseego Corp.;</w:t>
      </w:r>
    </w:p>
    <w:p>
      <w:pPr>
        <w:pStyle w:val="TextBody"/>
        <w:bidi w:val="0"/>
        <w:spacing w:lineRule="auto" w:line="288" w:before="180" w:after="14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14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14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2"/>
        <w:gridCol w:w="2882"/>
        <w:gridCol w:w="40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40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lineRule="auto" w:line="288" w:before="8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94"/>
        <w:gridCol w:w="2886"/>
        <w:gridCol w:w="40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4"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9, 2024 </w:t>
      </w:r>
    </w:p>
    <w:tbl>
      <w:tblPr>
        <w:tblW w:w="2430" w:type="dxa"/>
        <w:jc w:val="center"/>
        <w:tblInd w:w="0" w:type="dxa"/>
        <w:tblLayout w:type="fixed"/>
        <w:tblCellMar>
          <w:top w:w="28" w:type="dxa"/>
          <w:left w:w="28" w:type="dxa"/>
          <w:bottom w:w="28" w:type="dxa"/>
          <w:right w:w="28" w:type="dxa"/>
        </w:tblCellMar>
      </w:tblPr>
      <w:tblGrid>
        <w:gridCol w:w="778"/>
        <w:gridCol w:w="682"/>
        <w:gridCol w:w="970"/>
      </w:tblGrid>
      <w:tr>
        <w:trPr/>
        <w:tc>
          <w:tcPr>
            <w:tcW w:w="778"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/s/    Steven Gatoff</w:t>
            </w:r>
          </w:p>
        </w:tc>
      </w:tr>
      <w:tr>
        <w:trPr/>
        <w:tc>
          <w:tcPr>
            <w:tcW w:w="2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80" w:after="60"/>
              <w:jc w:val="left"/>
              <w:rPr>
                <w:rFonts w:ascii="Times New Roman;sans-serif" w:hAnsi="Times New Roman;sans-serif"/>
                <w:b/>
                <w:color w:val="000000"/>
                <w:sz w:val="20"/>
              </w:rPr>
            </w:pPr>
            <w:r>
              <w:rPr>
                <w:rFonts w:ascii="Times New Roman;sans-serif" w:hAnsi="Times New Roman;sans-serif"/>
                <w:b/>
                <w:color w:val="000000"/>
                <w:sz w:val="20"/>
              </w:rPr>
              <w:t>Steven Gatoff</w:t>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20" w:after="20"/>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p>
            <w:pPr>
              <w:pStyle w:val="TableContents"/>
              <w:bidi w:val="0"/>
              <w:spacing w:lineRule="auto" w:line="288" w:before="20" w:after="2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30"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6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80" w:after="6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80" w:after="6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80" w:after="6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w:t>
      </w:r>
    </w:p>
    <w:p>
      <w:pPr>
        <w:pStyle w:val="TextBody"/>
        <w:bidi w:val="0"/>
        <w:spacing w:lineRule="auto" w:line="288" w:before="80" w:after="200"/>
        <w:jc w:val="center"/>
        <w:rPr>
          <w:rFonts w:ascii="Times New Roman;sans-serif" w:hAnsi="Times New Roman;sans-serif"/>
          <w:b/>
          <w:color w:val="000000"/>
          <w:sz w:val="20"/>
        </w:rPr>
      </w:pPr>
      <w:r>
        <w:rPr>
          <w:rFonts w:ascii="Times New Roman;sans-serif" w:hAnsi="Times New Roman;sans-serif"/>
          <w:b/>
          <w:color w:val="000000"/>
          <w:sz w:val="20"/>
        </w:rPr>
        <w:t>OF THE SARBANES-OXLEY ACT OF 2002</w:t>
      </w:r>
    </w:p>
    <w:p>
      <w:pPr>
        <w:pStyle w:val="TextBody"/>
        <w:bidi w:val="0"/>
        <w:spacing w:lineRule="auto" w:line="288" w:before="180" w:after="140"/>
        <w:jc w:val="left"/>
        <w:rPr>
          <w:rFonts w:ascii="Times New Roman;sans-serif" w:hAnsi="Times New Roman;sans-serif"/>
          <w:b w:val="false"/>
          <w:color w:val="000000"/>
          <w:sz w:val="20"/>
        </w:rPr>
      </w:pPr>
      <w:r>
        <w:rPr>
          <w:rFonts w:ascii="Times New Roman;sans-serif" w:hAnsi="Times New Roman;sans-serif"/>
          <w:b w:val="false"/>
          <w:color w:val="000000"/>
          <w:sz w:val="20"/>
        </w:rPr>
        <w:t>I, Philip Brace, Executive Chairman of Inseego Corp. (the “Company”), do hereby certify, pursuant to 18 U.S.C. Section 1350, as adopted pursuant to Section 906 of the Sarbanes-Oxley Act of 2002, that to the best of my knowledge:</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1"/>
        <w:gridCol w:w="2691"/>
        <w:gridCol w:w="38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3827"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Quarterly Report on Form 10-Q of the Company for the quarter ended March 31, 2024 (the “Report”) fully complies with the requirements of Section 13(a) or 15(d) of the Securities Exchange Act of 1934, as amended; and</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3"/>
        <w:gridCol w:w="2693"/>
        <w:gridCol w:w="38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3823"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the Report fairly presents, in all material respects, the financial condition and results of operations of the Company.</w:t>
            </w:r>
          </w:p>
        </w:tc>
      </w:tr>
    </w:tbl>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9, 2024 </w:t>
      </w:r>
    </w:p>
    <w:tbl>
      <w:tblPr>
        <w:tblW w:w="2445" w:type="dxa"/>
        <w:jc w:val="center"/>
        <w:tblInd w:w="0" w:type="dxa"/>
        <w:tblLayout w:type="fixed"/>
        <w:tblCellMar>
          <w:top w:w="28" w:type="dxa"/>
          <w:left w:w="28" w:type="dxa"/>
          <w:bottom w:w="28" w:type="dxa"/>
          <w:right w:w="28" w:type="dxa"/>
        </w:tblCellMar>
      </w:tblPr>
      <w:tblGrid>
        <w:gridCol w:w="781"/>
        <w:gridCol w:w="687"/>
        <w:gridCol w:w="977"/>
      </w:tblGrid>
      <w:tr>
        <w:trPr/>
        <w:tc>
          <w:tcPr>
            <w:tcW w:w="7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/s/    Philip Brace</w:t>
            </w:r>
          </w:p>
        </w:tc>
      </w:tr>
      <w:tr>
        <w:trPr/>
        <w:tc>
          <w:tcPr>
            <w:tcW w:w="2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color w:val="000000"/>
                <w:sz w:val="20"/>
              </w:rPr>
            </w:pPr>
            <w:r>
              <w:rPr>
                <w:rFonts w:ascii="Times New Roman;sans-serif" w:hAnsi="Times New Roman;sans-serif"/>
                <w:b/>
                <w:color w:val="000000"/>
                <w:sz w:val="20"/>
              </w:rPr>
              <w:t>Philip Brace</w:t>
            </w:r>
          </w:p>
        </w:tc>
      </w:tr>
      <w:tr>
        <w:trPr/>
        <w:tc>
          <w:tcPr>
            <w:tcW w:w="2445" w:type="dxa"/>
            <w:gridSpan w:val="3"/>
            <w:tcBorders/>
            <w:tcMar>
              <w:top w:w="0" w:type="dxa"/>
              <w:left w:w="0" w:type="dxa"/>
              <w:bottom w:w="0" w:type="dxa"/>
              <w:right w:w="0" w:type="dxa"/>
            </w:tcMar>
            <w:vAlign w:val="center"/>
          </w:tcPr>
          <w:p>
            <w:pPr>
              <w:pStyle w:val="TableContents"/>
              <w:bidi w:val="0"/>
              <w:spacing w:lineRule="auto" w:line="288" w:before="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Executive Chairman</w:t>
            </w:r>
          </w:p>
          <w:p>
            <w:pPr>
              <w:pStyle w:val="TableContents"/>
              <w:bidi w:val="0"/>
              <w:spacing w:lineRule="auto" w:line="288" w:before="0" w:after="2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1"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6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w:t>
      </w:r>
    </w:p>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OF THE SARBANES-OXLEY ACT OF 2002</w:t>
      </w:r>
    </w:p>
    <w:p>
      <w:pPr>
        <w:pStyle w:val="TextBody"/>
        <w:bidi w:val="0"/>
        <w:spacing w:lineRule="auto" w:line="288" w:before="260" w:after="140"/>
        <w:jc w:val="left"/>
        <w:rPr>
          <w:rFonts w:ascii="Times New Roman;sans-serif" w:hAnsi="Times New Roman;sans-serif"/>
          <w:b w:val="false"/>
          <w:color w:val="000000"/>
          <w:sz w:val="20"/>
        </w:rPr>
      </w:pPr>
      <w:r>
        <w:rPr>
          <w:rFonts w:ascii="Times New Roman;sans-serif" w:hAnsi="Times New Roman;sans-serif"/>
          <w:b w:val="false"/>
          <w:color w:val="000000"/>
          <w:sz w:val="20"/>
        </w:rPr>
        <w:t>I, Steven Gatoff, Chief Financial Officer of Inseego Corp. (the “Company”), do hereby certify, pursuant to 18 U.S.C. Section 1350, as adopted pursuant to Section 906 of the Sarbanes-Oxley Act of 2002, that to the best of my knowledge:</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1"/>
        <w:gridCol w:w="2691"/>
        <w:gridCol w:w="38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3827"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Quarterly Report on Form 10-Q of the Company for the quarter ended March 31, 2024 (the “Report”) fully complies with the requirements of Section 13(a) or 15(d) of the Securities Exchange Act of 1934, as amended; and</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3"/>
        <w:gridCol w:w="2693"/>
        <w:gridCol w:w="38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3823"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the Report fairly presents, in all material respects, the financial condition and results of operations of the Company.</w:t>
            </w:r>
          </w:p>
        </w:tc>
      </w:tr>
    </w:tbl>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9, 2024 </w:t>
      </w:r>
    </w:p>
    <w:tbl>
      <w:tblPr>
        <w:tblW w:w="2430" w:type="dxa"/>
        <w:jc w:val="center"/>
        <w:tblInd w:w="0" w:type="dxa"/>
        <w:tblLayout w:type="fixed"/>
        <w:tblCellMar>
          <w:top w:w="28" w:type="dxa"/>
          <w:left w:w="28" w:type="dxa"/>
          <w:bottom w:w="28" w:type="dxa"/>
          <w:right w:w="28" w:type="dxa"/>
        </w:tblCellMar>
      </w:tblPr>
      <w:tblGrid>
        <w:gridCol w:w="778"/>
        <w:gridCol w:w="682"/>
        <w:gridCol w:w="970"/>
      </w:tblGrid>
      <w:tr>
        <w:trPr/>
        <w:tc>
          <w:tcPr>
            <w:tcW w:w="778"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/s/    Steven Gatoff</w:t>
            </w:r>
          </w:p>
        </w:tc>
      </w:tr>
      <w:tr>
        <w:trPr/>
        <w:tc>
          <w:tcPr>
            <w:tcW w:w="2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80" w:after="20"/>
              <w:jc w:val="left"/>
              <w:rPr>
                <w:rFonts w:ascii="Times New Roman;sans-serif" w:hAnsi="Times New Roman;sans-serif"/>
                <w:b/>
                <w:color w:val="000000"/>
                <w:sz w:val="20"/>
              </w:rPr>
            </w:pPr>
            <w:r>
              <w:rPr>
                <w:rFonts w:ascii="Times New Roman;sans-serif" w:hAnsi="Times New Roman;sans-serif"/>
                <w:b/>
                <w:color w:val="000000"/>
                <w:sz w:val="20"/>
              </w:rPr>
              <w:t>Steven Gatoff</w:t>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Chief Financial Officer </w:t>
            </w:r>
          </w:p>
          <w:p>
            <w:pPr>
              <w:pStyle w:val="TableContents"/>
              <w:bidi w:val="0"/>
              <w:spacing w:lineRule="auto" w:line="288" w:before="0" w:after="2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22652/000119312516763609/d261554dex31.htm" TargetMode="External"/><Relationship Id="rId3" Type="http://schemas.openxmlformats.org/officeDocument/2006/relationships/hyperlink" Target="https://www.sec.gov/Archives/edgar/data/1022652/000119312516763609/d261554dex32.htm" TargetMode="External"/><Relationship Id="rId4" Type="http://schemas.openxmlformats.org/officeDocument/2006/relationships/hyperlink" Target="https://www.sec.gov/Archives/edgar/data/1022652/000119312519219943/d792529dex31.htm" TargetMode="External"/><Relationship Id="rId5" Type="http://schemas.openxmlformats.org/officeDocument/2006/relationships/hyperlink" Target="https://www.sec.gov/Archives/edgar/data/1022652/000119312520067668/d824727dex31.htm" TargetMode="External"/><Relationship Id="rId6" Type="http://schemas.openxmlformats.org/officeDocument/2006/relationships/hyperlink" Target="https://www.sec.gov/Archives/edgar/data/1022652/000168316824001098/inseego_ex1001.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15076</Words>
  <Characters>83320</Characters>
  <CharactersWithSpaces>97650</CharactersWithSpaces>
  <Paragraphs>1500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