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137160</wp:posOffset>
            </wp:positionV>
            <wp:extent cx="1534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11" w:lineRule="exact"/>
        <w:rPr>
          <w:sz w:val="24"/>
          <w:szCs w:val="24"/>
          <w:color w:val="auto"/>
        </w:rPr>
      </w:pPr>
    </w:p>
    <w:p>
      <w:pPr>
        <w:jc w:val="center"/>
        <w:ind w:left="4300"/>
        <w:spacing w:after="0"/>
        <w:tabs>
          <w:tab w:leader="none" w:pos="400" w:val="left"/>
        </w:tabs>
        <w:rPr>
          <w:sz w:val="20"/>
          <w:szCs w:val="20"/>
          <w:color w:val="auto"/>
        </w:rPr>
      </w:pPr>
      <w:r>
        <w:rPr>
          <w:rFonts w:ascii="Times New Roman" w:cs="Times New Roman" w:eastAsia="Times New Roman" w:hAnsi="Times New Roman"/>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70485</wp:posOffset>
            </wp:positionV>
            <wp:extent cx="1534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0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October 28, 2026, was 18,486,890.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24,886</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$179 and $159,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64,087</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$11,897 and $26,063,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$37,098 and $32,336,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24,856</w:t>
            </w:r>
          </w:p>
        </w:tc>
        <w:tc>
          <w:tcPr>
            <w:tcW w:w="0" w:type="dxa"/>
            <w:vAlign w:val="bottom"/>
          </w:tcPr>
          <w:p>
            <w:pPr>
              <w:spacing w:after="0"/>
              <w:rPr>
                <w:sz w:val="1"/>
                <w:szCs w:val="1"/>
                <w:color w:val="auto"/>
              </w:rPr>
            </w:pPr>
          </w:p>
        </w:tc>
      </w:tr>
      <w:tr>
        <w:trPr>
          <w:trHeight w:val="207"/>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Working Capital Facility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2029 Senior Secured Notes,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97,851</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Preferred stock, par value $0.001; 39,500 shares designated, no shares outstanding as of September 30, 2026, 25,000 issued</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and outstanding as of December 31, 2025 (aggregate liquidation preference of $41,966 as of December 31, 2025)</w:t>
            </w: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par value $0.001; 150,000,000 shares authorized, 16,502,329 and 15,388,978 shares issued and outstanding as of</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2026 and December 31, 2025, respectively</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903,899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(908,361)</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Mobile solutions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47,499</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81,563</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36,226</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117,789</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63,014</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67,207</w:t>
            </w:r>
          </w:p>
        </w:tc>
        <w:tc>
          <w:tcPr>
            <w:tcW w:w="0" w:type="dxa"/>
            <w:vAlign w:val="bottom"/>
          </w:tcPr>
          <w:p>
            <w:pPr>
              <w:spacing w:after="0"/>
              <w:rPr>
                <w:sz w:val="1"/>
                <w:szCs w:val="1"/>
                <w:color w:val="auto"/>
              </w:rPr>
            </w:pPr>
          </w:p>
        </w:tc>
      </w:tr>
      <w:tr>
        <w:trPr>
          <w:trHeight w:val="207"/>
        </w:trPr>
        <w:tc>
          <w:tcPr>
            <w:tcW w:w="61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50,582</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47,571</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165"/>
        </w:trPr>
        <w:tc>
          <w:tcPr>
            <w:tcW w:w="61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Income (loss) from discontinued operations (net of income tax provision (benefit) of $—, $</w:t>
            </w: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 and $400, respectively)</w:t>
            </w: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exchange deemed contribution</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7"/>
        </w:trPr>
        <w:tc>
          <w:tcPr>
            <w:tcW w:w="6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7"/>
        </w:trPr>
        <w:tc>
          <w:tcPr>
            <w:tcW w:w="6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earnings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16,284,707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15,056,458</w:t>
            </w: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16,439,278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15,522,042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16,284,707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15,056,458</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*Rounding may impact summation of amounts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11240"/>
          </w:cols>
          <w:pgMar w:left="320" w:top="10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20"/>
          </w:cols>
          <w:pgMar w:left="340" w:top="104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304"/>
        </w:trPr>
        <w:tc>
          <w:tcPr>
            <w:tcW w:w="372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Borders>
              <w:top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7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6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7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exchange</w:t>
            </w:r>
          </w:p>
        </w:tc>
        <w:tc>
          <w:tcPr>
            <w:tcW w:w="66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6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5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8"/>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892,534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(905,625)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(12,858)</w:t>
            </w:r>
          </w:p>
        </w:tc>
        <w:tc>
          <w:tcPr>
            <w:tcW w:w="0" w:type="dxa"/>
            <w:vAlign w:val="bottom"/>
          </w:tcPr>
          <w:p>
            <w:pPr>
              <w:spacing w:after="0"/>
              <w:rPr>
                <w:sz w:val="1"/>
                <w:szCs w:val="1"/>
                <w:color w:val="auto"/>
              </w:rPr>
            </w:pPr>
          </w:p>
        </w:tc>
      </w:tr>
      <w:tr>
        <w:trPr>
          <w:trHeight w:val="19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48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202"/>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899,808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(907,906)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903,899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(908,361)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(21,077)</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48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(18,692)</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877,307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(914,338)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(36,576)</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-2262505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-2005330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-1568450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-1285240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-993775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-736600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-299720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100"/>
            <w:col w:w="5960"/>
          </w:cols>
          <w:pgMar w:left="340" w:top="104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49"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20"/>
          </w:cols>
          <w:pgMar w:left="340" w:top="113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4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304"/>
        </w:trPr>
        <w:tc>
          <w:tcPr>
            <w:tcW w:w="366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60" w:type="dxa"/>
            <w:vAlign w:val="bottom"/>
            <w:gridSpan w:val="4"/>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9"/>
        </w:trPr>
        <w:tc>
          <w:tcPr>
            <w:tcW w:w="15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6"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6"/>
        </w:trPr>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897,591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(908,435)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0" w:type="dxa"/>
            <w:vAlign w:val="bottom"/>
          </w:tcPr>
          <w:p>
            <w:pPr>
              <w:spacing w:after="0"/>
              <w:rPr>
                <w:sz w:val="1"/>
                <w:szCs w:val="1"/>
                <w:color w:val="auto"/>
              </w:rPr>
            </w:pPr>
          </w:p>
        </w:tc>
      </w:tr>
      <w:tr>
        <w:trPr>
          <w:trHeight w:val="19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48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899,808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(907,906)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0" w:type="dxa"/>
            <w:vAlign w:val="bottom"/>
          </w:tcPr>
          <w:p>
            <w:pPr>
              <w:spacing w:after="0"/>
              <w:rPr>
                <w:sz w:val="1"/>
                <w:szCs w:val="1"/>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875,237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(30,562)</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48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877,307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(914,338)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(36,576)</w:t>
            </w:r>
          </w:p>
        </w:tc>
        <w:tc>
          <w:tcPr>
            <w:tcW w:w="0" w:type="dxa"/>
            <w:vAlign w:val="bottom"/>
          </w:tcPr>
          <w:p>
            <w:pPr>
              <w:spacing w:after="0"/>
              <w:rPr>
                <w:sz w:val="1"/>
                <w:szCs w:val="1"/>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-2133600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-1876425</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-1439545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-1156335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-864870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-607695</wp:posOffset>
            </wp:positionV>
            <wp:extent cx="71323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-170815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100"/>
            <w:col w:w="6040"/>
          </w:cols>
          <w:pgMar w:left="340" w:top="1130" w:right="339" w:bottom="1440" w:gutter="0" w:footer="0" w:header="0"/>
          <w:type w:val="continuous"/>
        </w:sect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30"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(Income) Loss from discontinued operations, net of tax</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6,079</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Gain on early lease termination</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5,105</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Amortization of debt discount (premium) and debt issuance costs,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(14,047)</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4,463</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(1,164)</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(5,325)</w:t>
            </w:r>
          </w:p>
        </w:tc>
      </w:tr>
      <w:tr>
        <w:trPr>
          <w:trHeight w:val="200"/>
        </w:trPr>
        <w:tc>
          <w:tcPr>
            <w:tcW w:w="86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flows from continuing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(3,855)</w:t>
            </w:r>
          </w:p>
        </w:tc>
      </w:tr>
      <w:tr>
        <w:trPr>
          <w:trHeight w:val="200"/>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flows from discontinued operations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w:t>
            </w:r>
          </w:p>
        </w:tc>
      </w:tr>
      <w:tr>
        <w:trPr>
          <w:trHeight w:val="198"/>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r>
      <w:tr>
        <w:trPr>
          <w:trHeight w:val="20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(10,084)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(6,121)</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Investing cash flows from continuing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(6,442)</w:t>
            </w:r>
          </w:p>
        </w:tc>
      </w:tr>
      <w:tr>
        <w:trPr>
          <w:trHeight w:val="200"/>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Investing cash flows from discontinued operations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198"/>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(5,732)</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Payments related to repayments of 2025 Convertible Notes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(14,949)</w:t>
            </w:r>
          </w:p>
        </w:tc>
      </w:tr>
      <w:tr>
        <w:trPr>
          <w:trHeight w:val="200"/>
        </w:trPr>
        <w:tc>
          <w:tcPr>
            <w:tcW w:w="86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Draws on Working Capital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Repayments of Working Capital Facility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payments as part of preferred stock exchange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stock option exercises and employee stock purchase plan, net of taxes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cash flows from continuing operations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(14,641)</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Financing cash flows from discontinued operations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(14,641)</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(25,037)</w:t>
            </w: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39,596</w:t>
            </w:r>
          </w:p>
        </w:tc>
      </w:tr>
      <w:tr>
        <w:trPr>
          <w:trHeight w:val="198"/>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6,611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14,559</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2,103</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investing and 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1,068</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Fair value of common stock, debt, and cash payables issued as part of preferred stock exchange</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Carrying value of preferred stock removed as part of preferred stock exchange</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41,966</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leases liabilities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w:t>
            </w:r>
          </w:p>
        </w:tc>
      </w:tr>
    </w:tbl>
    <w:p>
      <w:pPr>
        <w:spacing w:after="0" w:line="200" w:lineRule="exact"/>
        <w:rPr>
          <w:sz w:val="20"/>
          <w:szCs w:val="20"/>
          <w:color w:val="auto"/>
        </w:rPr>
      </w:pPr>
    </w:p>
    <w:p>
      <w:pPr>
        <w:sectPr>
          <w:pgSz w:w="11900" w:h="16838" w:orient="portrait"/>
          <w:cols w:equalWidth="0" w:num="1">
            <w:col w:w="11240"/>
          </w:cols>
          <w:pgMar w:left="320" w:top="455"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(“Financial Statements”) have been prepared by Inseego Corp. (the</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2025, included in the Company's Annual Report on Form 10-K for the year ended December 31, 2025 (the “Form 10-K”).</w:t>
      </w:r>
    </w:p>
    <w:p>
      <w:pPr>
        <w:spacing w:after="0" w:line="130"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w:t>
      </w:r>
    </w:p>
    <w:p>
      <w:pPr>
        <w:spacing w:after="0" w:line="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 xml:space="preserve">As such, our operations constitute a single operating segment and one reportable segment. See </w:t>
      </w:r>
      <w:r>
        <w:rPr>
          <w:rFonts w:ascii="Times New Roman" w:cs="Times New Roman" w:eastAsia="Times New Roman" w:hAnsi="Times New Roman"/>
          <w:sz w:val="18"/>
          <w:szCs w:val="18"/>
          <w:i w:val="1"/>
          <w:iCs w:val="1"/>
          <w:color w:val="auto"/>
        </w:rPr>
        <w:t>Note 8 – Segment, Geographic, and Concentrations of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more information.</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with Nokia</w:t>
      </w:r>
    </w:p>
    <w:p>
      <w:pPr>
        <w:spacing w:after="0" w:line="16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On April 30, 2026, the Company entered into an Asset Purchase Agreement (as subsequently amended, the “Purchase Agreement”) with Nokia Solutions and Networks Oy (“Nokia”), pursuant to which Inseego agreed to purchase substantially all of the assets (the “Purchased Assets”) comprising Nokia’s fixed wireless access business (the “FastMile FWA Business”).</w:t>
      </w:r>
    </w:p>
    <w:p>
      <w:pPr>
        <w:spacing w:after="0" w:line="115"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Inseego and Nokia completed the transactions (the “Closing”) contemplated by the Purchase Agreement on October 1, 2026, at which time Inseego purchased the Purchased Assets from Nokia for a purchase price consisting of (i) 1,163,693 shares (the “Shares”) of Inseego’s common stock (“Common Stock”), (ii) warrants to purchase an aggregate of 521,139 shares of Common Stock, at an exercise price of $4.26 per share and (iii) the assumption of certain liabilities relating to the FastMile FWA Business. The warrants are exercisable for a period of four years following the Closing and are exercisable on a cash basis.</w:t>
      </w:r>
    </w:p>
    <w:p>
      <w:pPr>
        <w:spacing w:after="0" w:line="123" w:lineRule="exact"/>
        <w:rPr>
          <w:sz w:val="20"/>
          <w:szCs w:val="20"/>
          <w:color w:val="auto"/>
        </w:rPr>
      </w:pPr>
    </w:p>
    <w:p>
      <w:pPr>
        <w:ind w:right="60" w:firstLine="405"/>
        <w:spacing w:after="0" w:line="24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indemnities made or given by each of Nokia and Inseego.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FastMile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wired and cellular radio access and use products or technology comprising part of the Purchased Assets, Nokia will provide Inseego with a right of first offer to provide such products.</w:t>
      </w:r>
    </w:p>
    <w:p>
      <w:pPr>
        <w:spacing w:after="0" w:line="122"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In addition, pursuant to the Purchase Agreement, Nokia has agreed that if the EBITDA (as defined in the Purchase Agreement) of the FastMile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FastMile FWA Business, if any, ranging from 0% to 50%, dependent upon the FastMile FWA Business achieving certain revenue thresholds.</w:t>
      </w:r>
    </w:p>
    <w:p>
      <w:pPr>
        <w:spacing w:after="0" w:line="127"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Also pursuant to the Purchase Agreement, on October 14, 2026, Nokia made an additional cash payment of $10.0 million to Inseego in support of Inseego’s engineering investment to drive the interoperability between Inseego’s device OS and cloud offerings and certain of Nokia’s technology ecosystems over the year following the Closing.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Nokia Investment in Inseego</w:t>
      </w:r>
    </w:p>
    <w:p>
      <w:pPr>
        <w:spacing w:after="0" w:line="175"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On April 30, 2026, Inseego and Nokia also entered into a Subscription Agreement (the “Subscription Agreement”), pursuant to which at the Closing, Nokia invested $10.0 million in cash in Inseego, for which it received 775,795 shares of Common Stock and warrants to purchase an aggregate of 260,569 shares of Common Stock, at an exercise price of $4.26 per share and otherwise in the same form as the warrants issued pursuant to the terms of the Purchase Agreement, except that such warrants are exercisable for cash or on a cashless exercise basis.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right="280" w:firstLine="405"/>
        <w:spacing w:after="0" w:line="211" w:lineRule="exact"/>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 Update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for Accounts Receivable and Contract Assets</w:t>
      </w:r>
      <w:r>
        <w:rPr>
          <w:rFonts w:ascii="Times New Roman" w:cs="Times New Roman" w:eastAsia="Times New Roman" w:hAnsi="Times New Roman"/>
          <w:sz w:val="18"/>
          <w:szCs w:val="18"/>
          <w:color w:val="auto"/>
        </w:rPr>
        <w:t>. ASU 2025-05 provides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the estimation of expected credit losses for current accounts receivable and current contract assets that arise from transactions accounted for under Accounting Standards Codification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The practical expedient permits an entity to assume that current conditions as of the balance sheet date do not change for the remaining life of the current accounts receivable and current contract assets. The Company adopted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during the first quarter of 2026. The adoption of this guidance did not have an impact on the Company’s financial statements or related disclosures.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60"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disclosure on an annual and interim basis, in the notes to the financial statements, of disaggregated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categories underlying certain income statement expense line items. The guidance is effective for annual periods beginning after December 15, 2026, and interim periods within annual reporting periods beginning after December 15, 2027, on a retrospective basis. The Company is currently evaluating the impact of this standard on our consolidated financial statements and related disclosures.</w:t>
      </w:r>
    </w:p>
    <w:p>
      <w:pPr>
        <w:spacing w:after="0" w:line="136" w:lineRule="exact"/>
        <w:rPr>
          <w:sz w:val="20"/>
          <w:szCs w:val="20"/>
          <w:color w:val="auto"/>
        </w:rPr>
      </w:pPr>
    </w:p>
    <w:p>
      <w:pPr>
        <w:ind w:right="120" w:firstLine="405"/>
        <w:spacing w:after="0" w:line="24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updates the recognition and capitalization framework to reflect current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March 31, 2028. Early adoption is permitted as of the beginning of an annual reporting period. The Company is currently evaluating the impact of adopting this ASU on its consolidated financial statements and disclosures.</w:t>
      </w:r>
    </w:p>
    <w:p>
      <w:pPr>
        <w:spacing w:after="0" w:line="87" w:lineRule="exact"/>
        <w:rPr>
          <w:sz w:val="20"/>
          <w:szCs w:val="20"/>
          <w:color w:val="auto"/>
        </w:rPr>
      </w:pPr>
    </w:p>
    <w:p>
      <w:pPr>
        <w:ind w:right="20" w:firstLine="405"/>
        <w:spacing w:after="0" w:line="220" w:lineRule="exact"/>
        <w:rPr>
          <w:sz w:val="20"/>
          <w:szCs w:val="20"/>
          <w:color w:val="auto"/>
        </w:rPr>
      </w:pPr>
      <w:r>
        <w:rPr>
          <w:rFonts w:ascii="Times New Roman" w:cs="Times New Roman" w:eastAsia="Times New Roman" w:hAnsi="Times New Roman"/>
          <w:sz w:val="18"/>
          <w:szCs w:val="18"/>
          <w:color w:val="auto"/>
        </w:rPr>
        <w:t>In November 2025, the FASB issued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This ASU provides targeted amendments to improve and clarify the application of hedge accounting and better align hedge accounting results with an entity’s risk management activities. The guidance is effective for annual periods beginning after December 15, 2026, including interim periods within those annual periods, with early adoption permitted. The amendments are required to be applied prospectively. The Company is currently evaluating the impact of adopting this ASU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Prepaid inventory costs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color w:val="auto"/>
              </w:rPr>
              <w:t>(1) Prepaid inventory costs primarily relate to prepayments to secure memory supply.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payable for preferred stock exchange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w:t>
            </w:r>
          </w:p>
        </w:tc>
      </w:tr>
      <w:tr>
        <w:trPr>
          <w:trHeight w:val="234"/>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5"/>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firstLine="405"/>
        <w:spacing w:after="0" w:line="296" w:lineRule="auto"/>
        <w:rPr>
          <w:sz w:val="20"/>
          <w:szCs w:val="20"/>
          <w:color w:val="auto"/>
        </w:rPr>
      </w:pPr>
      <w:r>
        <w:rPr>
          <w:rFonts w:ascii="Times New Roman" w:cs="Times New Roman" w:eastAsia="Times New Roman" w:hAnsi="Times New Roman"/>
          <w:sz w:val="17"/>
          <w:szCs w:val="17"/>
          <w:color w:val="auto"/>
        </w:rPr>
        <w:t>As of September 30, 2026, of the $3.3 million long-term deferred revenue balance, $2.6 million relates to performance obligations expected to be satisfied between one and two years from September 30, 2026, and $0.7 million relates to performance obligations expected to be satisfied thereafter.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measured on a recurring basis and indicates the fair value hierarchy utilized to determine such fair value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455"/>
        </w:trPr>
        <w:tc>
          <w:tcPr>
            <w:tcW w:w="6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Pr>
          <w:p>
            <w:pPr>
              <w:spacing w:after="0"/>
              <w:rPr>
                <w:sz w:val="24"/>
                <w:szCs w:val="24"/>
                <w:color w:val="auto"/>
              </w:rPr>
            </w:pPr>
          </w:p>
        </w:tc>
      </w:tr>
      <w:tr>
        <w:trPr>
          <w:trHeight w:val="23"/>
        </w:trPr>
        <w:tc>
          <w:tcPr>
            <w:tcW w:w="6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17,737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17,737</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bl>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transfers between levels occurred during the three or nine months ended September 30, 2026 or September 30, 2025.</w:t>
      </w:r>
    </w:p>
    <w:p>
      <w:pPr>
        <w:spacing w:after="0" w:line="156" w:lineRule="exact"/>
        <w:rPr>
          <w:sz w:val="20"/>
          <w:szCs w:val="20"/>
          <w:color w:val="auto"/>
        </w:rPr>
      </w:pPr>
    </w:p>
    <w:p>
      <w:pPr>
        <w:jc w:val="both"/>
        <w:ind w:right="4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Company also had an interest make-whole payment derivative liability on its 2025 Convertible Notes (as defined in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that was measured at fair value on a recurring basis prior to the maturity and full repayment of the 2025 Convertible Notes on May 1, 2025. The interest make-whole payment derivative liability was a Level 3 instrument and was valued using a Monte Carlo model.</w:t>
      </w:r>
    </w:p>
    <w:p>
      <w:pPr>
        <w:spacing w:after="0" w:line="11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conversions of the 2025 Convertible Notes into shares of the Company’s common stock. There were also no changes in the fair value of the interest make-whole liability during the nine months ended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 xml:space="preserve">The carrying values of the Company’s other financial assets and liabilities approximate their fair values because of their short-term nature, with the exception of the 2029 Senior Secured Notes (as defined in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and 2025 Convertible Notes. The 2029 Senior Secured Notes and 2025 Convertible Notes are carried at amortized cost, and the 2025 Convertible notes were adjusted for changes in fair value of the embedded interest make-whole payment derivative.</w:t>
      </w:r>
    </w:p>
    <w:p>
      <w:pPr>
        <w:spacing w:after="0" w:line="135"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 xml:space="preserve">As detailed in </w:t>
      </w:r>
      <w:r>
        <w:rPr>
          <w:rFonts w:ascii="Times New Roman" w:cs="Times New Roman" w:eastAsia="Times New Roman" w:hAnsi="Times New Roman"/>
          <w:sz w:val="18"/>
          <w:szCs w:val="18"/>
          <w:i w:val="1"/>
          <w:iCs w:val="1"/>
          <w:color w:val="auto"/>
        </w:rPr>
        <w:t>Note 7 – Stockholders' Equity (Deficit)</w:t>
      </w:r>
      <w:r>
        <w:rPr>
          <w:rFonts w:ascii="Times New Roman" w:cs="Times New Roman" w:eastAsia="Times New Roman" w:hAnsi="Times New Roman"/>
          <w:sz w:val="18"/>
          <w:szCs w:val="18"/>
          <w:color w:val="auto"/>
        </w:rPr>
        <w:t xml:space="preserve"> below, the additional $8.0 million in 2029 Senior Secured Notes principal and $10.0 million cash payable issued during the nine months ended September 30, 2026, as part of the Preferred Stock Exchange Agreement were initially recorded upon issuance at fair value, which were $8.9 million and $9.7 million, respectively. The fair value of both the additional 2029 Senior Secured Notes principal and cash payable were determined based on a discounted cash flow model, which represents a Level 3 measurement. The fair value of the additional 2029 Senior Secured Notes principal was estimated using probability-weighted scenarios which include assumptions that are highly subjective and required judgment regarding significant matters, such as the timing of redemption, amount and timing of future cash flows and an adjusted market yield of 5.29%. The fair value of the cash payable was estimated using an adjusted market yield of 4.91%. The use of different assumptions could have a material effect on the fair value estimates.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48"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On August 5, 2025, the Company entered into a Credit and Security Agreement (the “Working Capital Facility Agreement”) with BMO Bank N.A. (“BMO”) that provides up to a maximum $15.0 million secured asset-backed revolving credit facility (the “Working Capital Facility”). On May 22, 2026, the Company amended the Working Capital Facility Agreement to increase the maximum borrowing capacity to $20.0 million. The facility matures on August 5, 2028 and contains certain financial and non-financial covenants. The Company was in compliance with all covenants under the Working Capital Facility Agreement as of September 30, 2026.</w:t>
      </w:r>
    </w:p>
    <w:p>
      <w:pPr>
        <w:spacing w:after="0" w:line="131" w:lineRule="exact"/>
        <w:rPr>
          <w:sz w:val="20"/>
          <w:szCs w:val="20"/>
          <w:color w:val="auto"/>
        </w:rPr>
      </w:pPr>
    </w:p>
    <w:p>
      <w:pPr>
        <w:ind w:right="60" w:firstLine="405"/>
        <w:spacing w:after="0" w:line="242" w:lineRule="auto"/>
        <w:rPr>
          <w:sz w:val="20"/>
          <w:szCs w:val="20"/>
          <w:color w:val="auto"/>
        </w:rPr>
      </w:pPr>
      <w:r>
        <w:rPr>
          <w:rFonts w:ascii="Times New Roman" w:cs="Times New Roman" w:eastAsia="Times New Roman" w:hAnsi="Times New Roman"/>
          <w:sz w:val="18"/>
          <w:szCs w:val="18"/>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and issued letters of credit outstanding under the Working Capital Facility. If the aggregate outstanding amount of the Working Capital Facility, including outstanding letters of credit, exceeds the Borrowing Base at any time, the excess amount shall be payable on demand by BMO.</w:t>
      </w:r>
    </w:p>
    <w:p>
      <w:pPr>
        <w:spacing w:after="0" w:line="131" w:lineRule="exact"/>
        <w:rPr>
          <w:sz w:val="20"/>
          <w:szCs w:val="20"/>
          <w:color w:val="auto"/>
        </w:rPr>
      </w:pPr>
    </w:p>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the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Swap Contracts with a termination value (determined in accordance with the terms of the Working Capital Facility Agreement) in excess of $1.0 million, as set forth in the Working Capital Facility Agreement.</w:t>
      </w:r>
    </w:p>
    <w:p>
      <w:pPr>
        <w:spacing w:after="0" w:line="13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12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$3.0 million of outstanding letters of credit issued under the Working Capital Facility to support inventory purchases. $2.0 million had been drawn under the letters of credit as of September 30, 2026, and no funded obligations were payable to BMO.</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outstanding borrowings and availability to borrow under the Working Capital Facility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Availability to borrow</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14,452</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62"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spacing w:after="0" w:line="141"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spacing w:after="0" w:line="121" w:lineRule="exact"/>
        <w:rPr>
          <w:sz w:val="20"/>
          <w:szCs w:val="20"/>
          <w:color w:val="auto"/>
        </w:rPr>
      </w:pPr>
    </w:p>
    <w:p>
      <w:pPr>
        <w:ind w:right="200" w:firstLine="405"/>
        <w:spacing w:after="0" w:line="268" w:lineRule="auto"/>
        <w:rPr>
          <w:sz w:val="20"/>
          <w:szCs w:val="20"/>
          <w:color w:val="auto"/>
        </w:rPr>
      </w:pPr>
      <w:r>
        <w:rPr>
          <w:rFonts w:ascii="Times New Roman" w:cs="Times New Roman" w:eastAsia="Times New Roman" w:hAnsi="Times New Roman"/>
          <w:sz w:val="18"/>
          <w:szCs w:val="18"/>
          <w:color w:val="auto"/>
        </w:rPr>
        <w:t xml:space="preserve">On January 14, 2026, as part of the exchange of its outstanding preferred stock, which is discussed in further detail in </w:t>
      </w:r>
      <w:r>
        <w:rPr>
          <w:rFonts w:ascii="Times New Roman" w:cs="Times New Roman" w:eastAsia="Times New Roman" w:hAnsi="Times New Roman"/>
          <w:sz w:val="18"/>
          <w:szCs w:val="18"/>
          <w:i w:val="1"/>
          <w:iCs w:val="1"/>
          <w:color w:val="auto"/>
        </w:rPr>
        <w:t>Note 7 – Stockholders'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 the Company issued an additional $8.0 million in principal amount of 2029 Senior Secured Notes.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$48.9 million of principal of the 2029 Senior Secured Notes was outstanding, $31.8 million of which was held by related parties.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2029 Senior Secured Notes, net consists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gross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unamortized debt premium</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50,166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41,611</w:t>
            </w:r>
          </w:p>
        </w:tc>
      </w:tr>
      <w:tr>
        <w:trPr>
          <w:trHeight w:val="21"/>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2020, the Company completed both a registered public offering and a privately negotiated exchange agreement that resulted in the issuance of 3.25% convertible senior notes due in 2025 (the “2025 Convertible Notes”).</w:t>
      </w:r>
    </w:p>
    <w:p>
      <w:pPr>
        <w:spacing w:after="0" w:line="122"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2025 Convertible Notes matured on May 1, 2025. The 2025 Convertible Notes were senior unsecured obligations of the Company and bore interest at an annual rate of 3.25%, which was payable semi-annually in arrears on May 1 and November 1 of each year.</w:t>
      </w:r>
    </w:p>
    <w:p>
      <w:pPr>
        <w:spacing w:after="0" w:line="108" w:lineRule="exact"/>
        <w:rPr>
          <w:sz w:val="20"/>
          <w:szCs w:val="20"/>
          <w:color w:val="auto"/>
        </w:rPr>
      </w:pPr>
    </w:p>
    <w:p>
      <w:pPr>
        <w:ind w:firstLine="405"/>
        <w:spacing w:after="0" w:line="430" w:lineRule="auto"/>
        <w:rPr>
          <w:sz w:val="20"/>
          <w:szCs w:val="20"/>
          <w:color w:val="auto"/>
        </w:rPr>
      </w:pPr>
      <w:r>
        <w:rPr>
          <w:rFonts w:ascii="Times New Roman" w:cs="Times New Roman" w:eastAsia="Times New Roman" w:hAnsi="Times New Roman"/>
          <w:sz w:val="18"/>
          <w:szCs w:val="18"/>
          <w:color w:val="auto"/>
        </w:rPr>
        <w:t xml:space="preserve">The 2025 Convertible Notes matured on May 1, 2025, at which time all outstanding principal of $14.9 million and related accrued interest was repaid. </w:t>
      </w:r>
      <w:r>
        <w:rPr>
          <w:rFonts w:ascii="Times New Roman" w:cs="Times New Roman" w:eastAsia="Times New Roman" w:hAnsi="Times New Roman"/>
          <w:sz w:val="18"/>
          <w:szCs w:val="18"/>
          <w:b w:val="1"/>
          <w:bCs w:val="1"/>
          <w:i w:val="1"/>
          <w:iCs w:val="1"/>
          <w:color w:val="auto"/>
        </w:rPr>
        <w:t>Interest Expense, Summary</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total interest expense, annualized effective interest rate, and interest expense related to related parties, if applicable, for each of the debt instruments detailed above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2029 Senior Secured Notes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2,760</w:t>
            </w:r>
          </w:p>
        </w:tc>
      </w:tr>
      <w:tr>
        <w:trPr>
          <w:trHeight w:val="21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r>
      <w:tr>
        <w:trPr>
          <w:trHeight w:val="212"/>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2,594</w:t>
            </w: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Effective interest rate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2,017</w:t>
            </w:r>
          </w:p>
        </w:tc>
      </w:tr>
      <w:tr>
        <w:trPr>
          <w:trHeight w:val="270"/>
        </w:trPr>
        <w:tc>
          <w:tcPr>
            <w:tcW w:w="5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Working Capital Facility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Effective interest rate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7"/>
        </w:trPr>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 Convertible Notes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58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Effective interest rate</w:t>
            </w:r>
          </w:p>
        </w:tc>
        <w:tc>
          <w:tcPr>
            <w:tcW w:w="30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59"/>
        </w:trPr>
        <w:tc>
          <w:tcPr>
            <w:tcW w:w="5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interest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Share-based Compensation</w:t>
      </w:r>
    </w:p>
    <w:p>
      <w:pPr>
        <w:spacing w:after="0" w:line="175" w:lineRule="exact"/>
        <w:rPr>
          <w:sz w:val="20"/>
          <w:szCs w:val="20"/>
          <w:color w:val="auto"/>
        </w:rPr>
      </w:pPr>
    </w:p>
    <w:p>
      <w:pPr>
        <w:ind w:right="200" w:firstLine="405"/>
        <w:spacing w:after="0" w:line="244"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restricted stock units (“RSUs”) or other awards, including awards with alternative vesting schedules such as performance-based criteria. The 2018 Plan authorizes 5,775,308 shares, of which 1,534,915 remain available for future grants as of September 30, 2026.</w:t>
      </w:r>
    </w:p>
    <w:p>
      <w:pPr>
        <w:spacing w:after="0" w:line="14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and nine months ended September 30, 2026 and 2025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200" w:type="dxa"/>
            <w:vAlign w:val="bottom"/>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100" w:type="dxa"/>
            <w:vAlign w:val="bottom"/>
            <w:vMerge w:val="continue"/>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0" w:type="dxa"/>
            <w:vAlign w:val="bottom"/>
          </w:tcPr>
          <w:p>
            <w:pPr>
              <w:spacing w:after="0"/>
              <w:rPr>
                <w:sz w:val="1"/>
                <w:szCs w:val="1"/>
                <w:color w:val="auto"/>
              </w:rPr>
            </w:pPr>
          </w:p>
        </w:tc>
      </w:tr>
      <w:tr>
        <w:trPr>
          <w:trHeight w:val="207"/>
        </w:trPr>
        <w:tc>
          <w:tcPr>
            <w:tcW w:w="6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1,517,039</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(38,672)</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(83,743)</w:t>
            </w:r>
          </w:p>
        </w:tc>
      </w:tr>
      <w:tr>
        <w:trPr>
          <w:trHeight w:val="183"/>
        </w:trPr>
        <w:tc>
          <w:tcPr>
            <w:tcW w:w="10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September 30, 2026</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1,394,624</w:t>
            </w:r>
          </w:p>
        </w:tc>
      </w:tr>
      <w:tr>
        <w:trPr>
          <w:trHeight w:val="20"/>
        </w:trPr>
        <w:tc>
          <w:tcPr>
            <w:tcW w:w="10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September 30,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567,675</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stock options to the CEO in connection with his hiring 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$6.7 million and will be expensed over the four-year vesting term of the awards.</w:t>
      </w:r>
    </w:p>
    <w:p>
      <w:pPr>
        <w:spacing w:after="0" w:line="14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These options granted to the Company’s CEO were valued using a Monte Carlo simulation model. The following table details the key assumptions utilized in the Monte Carlo simulation model used to calculate the grant-date fair value of the awards: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(January 6, 2025) stock price</w:t>
            </w:r>
          </w:p>
        </w:tc>
        <w:tc>
          <w:tcPr>
            <w:tcW w:w="39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84.00 %</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3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2026, total unrecognized compensation expense related to stock options was $4.9 million, which is expected to be recognized over a weighted-average period of 2.43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nine months ended September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1,846,156</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383,826</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(400,331)</w:t>
            </w:r>
          </w:p>
        </w:tc>
      </w:tr>
      <w:tr>
        <w:trPr>
          <w:trHeight w:val="216"/>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(234,370)</w:t>
            </w:r>
          </w:p>
        </w:tc>
      </w:tr>
      <w:tr>
        <w:trPr>
          <w:trHeight w:val="212"/>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September 30, 2026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1,595,281</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60"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RSUs to the CEO in connection with his hiring on January 6, 2025. The Company granted the CEO 124,347 RSUs that contain a time-based vesting requirement (“Time-based CEO RSUs”) with a total grant-date fair value of $1.4 million that vest over four years. The Company also granted the CEO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RSUs that contain a market-based vesting condition in addition to a time-based vesting requirement (“Market-based CEO RSUs”). The Company granted 167,910 of these Market-based CEO RSUs with a total grant-date fair value of $3.2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(January 6, 2025) stock price</w:t>
            </w:r>
          </w:p>
        </w:tc>
        <w:tc>
          <w:tcPr>
            <w:tcW w:w="38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4.25 %</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105.63 %</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0.3741</w:t>
            </w:r>
          </w:p>
        </w:tc>
      </w:tr>
    </w:tbl>
    <w:p>
      <w:pPr>
        <w:spacing w:after="0" w:line="244"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2026, total unrecognized compensation expense related to RSUs, including the RSUs with a market based condition discussed above, was $11.2 million, which is expected to be recognized over a weighted-average period of 2.45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17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warrants, stock options and RSUs calculated using the treasury stock method) are excluded from the diluted EPS computation in loss periods and when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EPS was as follows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Per-Share Amount*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4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gridSpan w:val="3"/>
          </w:tcPr>
          <w:p>
            <w:pPr>
              <w:ind w:left="220"/>
              <w:spacing w:after="0" w:line="183" w:lineRule="exact"/>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(8,103)</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16,439</w:t>
            </w:r>
          </w:p>
        </w:tc>
        <w:tc>
          <w:tcPr>
            <w:tcW w:w="80" w:type="dxa"/>
            <w:vAlign w:val="bottom"/>
          </w:tcPr>
          <w:p>
            <w:pPr>
              <w:spacing w:after="0"/>
              <w:rPr>
                <w:sz w:val="15"/>
                <w:szCs w:val="15"/>
                <w:color w:val="auto"/>
              </w:rPr>
            </w:pPr>
          </w:p>
        </w:tc>
        <w:tc>
          <w:tcPr>
            <w:tcW w:w="5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dilutive stock options and unvested restricted stock</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EPS from net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80" w:type="dxa"/>
            <w:vAlign w:val="bottom"/>
          </w:tcPr>
          <w:p>
            <w:pPr>
              <w:spacing w:after="0"/>
              <w:rPr>
                <w:sz w:val="17"/>
                <w:szCs w:val="17"/>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Add: preferred stock exchange deemed contribution</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67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15,056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Rounding may affect summation.</w:t>
      </w:r>
    </w:p>
    <w:p>
      <w:pPr>
        <w:spacing w:after="0" w:line="16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 (in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14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3"/>
                <w:szCs w:val="13"/>
                <w:color w:val="auto"/>
              </w:rPr>
            </w:pPr>
          </w:p>
        </w:tc>
      </w:tr>
      <w:tr>
        <w:trPr>
          <w:trHeight w:val="195"/>
        </w:trPr>
        <w:tc>
          <w:tcPr>
            <w:tcW w:w="55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r>
      <w:tr>
        <w:trPr>
          <w:trHeight w:val="195"/>
        </w:trPr>
        <w:tc>
          <w:tcPr>
            <w:tcW w:w="5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r>
      <w:tr>
        <w:trPr>
          <w:trHeight w:val="216"/>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2,930</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2,930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r>
      <w:tr>
        <w:trPr>
          <w:trHeight w:val="21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1,395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1,395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1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1,595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1,595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2"/>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5,948</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5,948</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(Deficit)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firstLine="405"/>
        <w:spacing w:after="0" w:line="227" w:lineRule="exact"/>
        <w:rPr>
          <w:sz w:val="20"/>
          <w:szCs w:val="20"/>
          <w:color w:val="auto"/>
        </w:rPr>
      </w:pPr>
      <w:r>
        <w:rPr>
          <w:rFonts w:ascii="Times New Roman" w:cs="Times New Roman" w:eastAsia="Times New Roman" w:hAnsi="Times New Roman"/>
          <w:sz w:val="18"/>
          <w:szCs w:val="18"/>
          <w:color w:val="auto"/>
        </w:rPr>
        <w:t xml:space="preserve">The Company has outstanding warrants to purchase shares of its common stock that were issued in prior periods. The terms and conditions of these warrants, including exercise prices, contractual lives, and settlement provisions, are described in detail in </w:t>
      </w:r>
      <w:r>
        <w:rPr>
          <w:rFonts w:ascii="Times New Roman" w:cs="Times New Roman" w:eastAsia="Times New Roman" w:hAnsi="Times New Roman"/>
          <w:sz w:val="18"/>
          <w:szCs w:val="18"/>
          <w:i w:val="1"/>
          <w:iCs w:val="1"/>
          <w:color w:val="auto"/>
        </w:rPr>
        <w:t>Note 8. Stockholders’ Equity (Deficit)</w:t>
      </w:r>
      <w:r>
        <w:rPr>
          <w:rFonts w:ascii="Times New Roman" w:cs="Times New Roman" w:eastAsia="Times New Roman" w:hAnsi="Times New Roman"/>
          <w:sz w:val="18"/>
          <w:szCs w:val="18"/>
          <w:color w:val="auto"/>
        </w:rPr>
        <w:t xml:space="preserve"> to the Company’s consolidated financial statements included in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103"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warrants are classified as equity instruments as they are indexed to the Company’s own stock and meet the criteria for equity classification under applicable accounting guidance. Accordingly, the warrants are not remeasured at fair value subsequent to issuance.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nine months ended September 30,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1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17"/>
                <w:szCs w:val="17"/>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Remaining Term (Years)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3,018,304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3,018,304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December 31, 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2,929,770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September 30, 2026</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December 31, 2025, the Company had 25,000 shares of Series E preferred stock issued and outstanding.</w:t>
      </w:r>
    </w:p>
    <w:p>
      <w:pPr>
        <w:spacing w:after="0" w:line="11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On January 14, 2026 (the “Preferred Stock Exchange Closing Date”), the Company entered into an Exchange Agreement (the “Preferred Stock Exchange Agreement”) with an affiliate of Mubadala Capital (the “Preferred Stock Holder”), which held all 25,000 outstanding shares of the Company’s Series E Preferred Stock.</w:t>
      </w:r>
    </w:p>
    <w:p>
      <w:pPr>
        <w:spacing w:after="0" w:line="115" w:lineRule="exact"/>
        <w:rPr>
          <w:sz w:val="20"/>
          <w:szCs w:val="20"/>
          <w:color w:val="auto"/>
        </w:rPr>
      </w:pPr>
    </w:p>
    <w:p>
      <w:pPr>
        <w:ind w:right="140" w:firstLine="405"/>
        <w:spacing w:after="0" w:line="247" w:lineRule="auto"/>
        <w:rPr>
          <w:sz w:val="20"/>
          <w:szCs w:val="20"/>
          <w:color w:val="auto"/>
        </w:rPr>
      </w:pPr>
      <w:r>
        <w:rPr>
          <w:rFonts w:ascii="Times New Roman" w:cs="Times New Roman" w:eastAsia="Times New Roman" w:hAnsi="Times New Roman"/>
          <w:sz w:val="18"/>
          <w:szCs w:val="18"/>
          <w:color w:val="auto"/>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$10.0 million in cash, one-third of which was paid on the Preferred Stock Exchange Closing Date and the balance of which will be paid in two equal installments on the six and twelve month anniversaries of the Preferred Stock Exchange Closing Date, 767,165 shares of the Company’s common stock, and $8.0 million in additional principal amount of the Company’s existing 9.0% 2029 Senior Secured Notes. The shares of common stock and 2029 Senior Secured Notes were issued to the Preferred Stock Holder on the Preferred Stock Exchange Closing Date.</w:t>
      </w:r>
    </w:p>
    <w:p>
      <w:pPr>
        <w:spacing w:after="0" w:line="1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2029 Senior Secured Notes principal, common stock, and cash payable issued to the Preferred Stock Holder as part of the Preferred Stock</w:t>
      </w:r>
    </w:p>
    <w:p>
      <w:pPr>
        <w:spacing w:after="0" w:line="2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Exchange Agreement were all recorded at cumulative fair value of $26.9 million. The 2029 Senior Secured Notes principal was determined to have a fair value of $8.9 million. The resulting $0.9 million premium is included in the value of the 2029 Senior Secured Notes on the condensed consolidated balance sheet and will be amortized over the term of the 2029 Senior Secured Notes as a reduction to interest expense. The fair value of the common stock, based on the closing price of the Company’s common stock on the issuance date, was $8.2 million and was recorded within stockholders’ equity on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condensed consolidated balance sheet. The fair value of the $10.0 million cash payable was determined to be $9.7 million and was recorded initially within accrued expenses and other current liabilities on the condensed consolidated balance sheet. The $0.3 million difference between the total cash payable and its fair value will be amortized to interest expense over the 12-month total repayment period.</w:t>
      </w:r>
    </w:p>
    <w:p>
      <w:pPr>
        <w:spacing w:after="0" w:line="115" w:lineRule="exact"/>
        <w:rPr>
          <w:sz w:val="20"/>
          <w:szCs w:val="20"/>
          <w:color w:val="auto"/>
        </w:rPr>
      </w:pPr>
    </w:p>
    <w:p>
      <w:pPr>
        <w:ind w:right="260" w:firstLine="405"/>
        <w:spacing w:after="0" w:line="250" w:lineRule="auto"/>
        <w:rPr>
          <w:sz w:val="20"/>
          <w:szCs w:val="20"/>
          <w:color w:val="auto"/>
        </w:rPr>
      </w:pPr>
      <w:r>
        <w:rPr>
          <w:rFonts w:ascii="Times New Roman" w:cs="Times New Roman" w:eastAsia="Times New Roman" w:hAnsi="Times New Roman"/>
          <w:sz w:val="18"/>
          <w:szCs w:val="18"/>
          <w:color w:val="auto"/>
        </w:rPr>
        <w:t>The total liquidation preference of the outstanding preferred stock, which was $42.0 million at the time of the Preferred Stock Exchange Closing Date, was removed from stockholder’s equity as a result of the exchange. The $15.1 million difference between the $42.0 million liquidation preference and the $26.9 million cumulative fair value of the exchange consideration was recorded as a deemed contribution within accumulated deficit on the condensed consolidated statements of stockholders’ deficit.</w:t>
      </w:r>
    </w:p>
    <w:p>
      <w:pPr>
        <w:spacing w:after="0" w:line="123" w:lineRule="exact"/>
        <w:rPr>
          <w:sz w:val="20"/>
          <w:szCs w:val="20"/>
          <w:color w:val="auto"/>
        </w:rPr>
      </w:pPr>
    </w:p>
    <w:p>
      <w:pPr>
        <w:ind w:right="2300" w:firstLine="405"/>
        <w:spacing w:after="0" w:line="525" w:lineRule="auto"/>
        <w:rPr>
          <w:sz w:val="20"/>
          <w:szCs w:val="20"/>
          <w:color w:val="auto"/>
        </w:rPr>
      </w:pPr>
      <w:r>
        <w:rPr>
          <w:rFonts w:ascii="Times New Roman" w:cs="Times New Roman" w:eastAsia="Times New Roman" w:hAnsi="Times New Roman"/>
          <w:sz w:val="18"/>
          <w:szCs w:val="18"/>
          <w:color w:val="auto"/>
        </w:rPr>
        <w:t xml:space="preserve">Subsequent to the Preferred Stock Exchange Agreement, the Company no longer has any outstanding preferred stock. </w:t>
      </w:r>
      <w:r>
        <w:rPr>
          <w:rFonts w:ascii="Times New Roman" w:cs="Times New Roman" w:eastAsia="Times New Roman" w:hAnsi="Times New Roman"/>
          <w:sz w:val="18"/>
          <w:szCs w:val="18"/>
          <w:b w:val="1"/>
          <w:bCs w:val="1"/>
          <w:color w:val="auto"/>
        </w:rPr>
        <w:t xml:space="preserve">Note 8. Segment, Geographic, and Concentrations of Risk Information </w:t>
      </w:r>
      <w:r>
        <w:rPr>
          <w:rFonts w:ascii="Times New Roman" w:cs="Times New Roman" w:eastAsia="Times New Roman" w:hAnsi="Times New Roman"/>
          <w:sz w:val="18"/>
          <w:szCs w:val="18"/>
          <w:b w:val="1"/>
          <w:bCs w:val="1"/>
          <w:i w:val="1"/>
          <w:iCs w:val="1"/>
          <w:color w:val="auto"/>
        </w:rPr>
        <w:t>Segment Information</w:t>
      </w:r>
    </w:p>
    <w:p>
      <w:pPr>
        <w:spacing w:after="0" w:line="213"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As previously detailed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xml:space="preserve">, the Company operates as one reportable segment. As of September 30, 2026, the Company’s CODM was its CEO. The Company’s CODM does not manage any part of the Company separately, and the allocation of resources and assessment of performance is based solely on the Company’s consolidated operations and financial results. The accounting policies of our single reportable segment are the same as those described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revenues, significant expenses and other segment items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111,585</w:t>
            </w:r>
          </w:p>
        </w:tc>
        <w:tc>
          <w:tcPr>
            <w:tcW w:w="5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117,789</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90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68,368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67,007</w:t>
            </w:r>
          </w:p>
        </w:tc>
      </w:tr>
      <w:tr>
        <w:trPr>
          <w:trHeight w:val="216"/>
        </w:trPr>
        <w:tc>
          <w:tcPr>
            <w:tcW w:w="59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research and development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15,510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13,441</w:t>
            </w:r>
          </w:p>
        </w:tc>
      </w:tr>
      <w:tr>
        <w:trPr>
          <w:trHeight w:val="216"/>
        </w:trPr>
        <w:tc>
          <w:tcPr>
            <w:tcW w:w="59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sales and marketing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14,764</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11,594</w:t>
            </w:r>
          </w:p>
        </w:tc>
      </w:tr>
      <w:tr>
        <w:trPr>
          <w:trHeight w:val="216"/>
        </w:trPr>
        <w:tc>
          <w:tcPr>
            <w:tcW w:w="59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general and administrative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11,761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w:t>
            </w:r>
          </w:p>
        </w:tc>
      </w:tr>
      <w:tr>
        <w:trPr>
          <w:trHeight w:val="216"/>
        </w:trPr>
        <w:tc>
          <w:tcPr>
            <w:tcW w:w="59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depreciation and amortization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6,459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r>
      <w:tr>
        <w:trPr>
          <w:trHeight w:val="213"/>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Capitalizable software development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8,265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w:t>
            </w:r>
          </w:p>
        </w:tc>
      </w:tr>
      <w:tr>
        <w:trPr>
          <w:trHeight w:val="21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expenditures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w:t>
            </w:r>
          </w:p>
        </w:tc>
      </w:tr>
      <w:tr>
        <w:trPr>
          <w:trHeight w:val="213"/>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7,646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21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purchased intangible assets related to business combinations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early lease termination</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6"/>
        </w:trPr>
        <w:tc>
          <w:tcPr>
            <w:tcW w:w="59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recurring transaction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costs</w:t>
            </w:r>
            <w:r>
              <w:rPr>
                <w:rFonts w:ascii="Times New Roman" w:cs="Times New Roman" w:eastAsia="Times New Roman" w:hAnsi="Times New Roman"/>
                <w:sz w:val="21"/>
                <w:szCs w:val="21"/>
                <w:color w:val="auto"/>
                <w:vertAlign w:val="superscript"/>
              </w:rPr>
              <w:t>(5)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4,711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3,189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13"/>
        </w:trPr>
        <w:tc>
          <w:tcPr>
            <w:tcW w:w="5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profit or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5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bl>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share-based compensation expense and non-recurring transaction-related costs.</w:t>
      </w:r>
    </w:p>
    <w:p>
      <w:pPr>
        <w:spacing w:after="0" w:line="30"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and non-recurring transaction-related costs.</w:t>
      </w:r>
    </w:p>
    <w:p>
      <w:pPr>
        <w:spacing w:after="0" w:line="41" w:lineRule="exact"/>
        <w:rPr>
          <w:rFonts w:ascii="Times New Roman" w:cs="Times New Roman" w:eastAsia="Times New Roman" w:hAnsi="Times New Roman"/>
          <w:sz w:val="14"/>
          <w:szCs w:val="14"/>
          <w:i w:val="1"/>
          <w:iCs w:val="1"/>
          <w:color w:val="auto"/>
        </w:rPr>
      </w:pPr>
    </w:p>
    <w:p>
      <w:pPr>
        <w:ind w:left="20" w:right="40" w:firstLine="6"/>
        <w:spacing w:after="0" w:line="252" w:lineRule="auto"/>
        <w:tabs>
          <w:tab w:leader="none" w:pos="224"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right-of-use asset impairments, gain on early lease terminations, debt restructuring costs, and non-recurring transaction-related costs.</w:t>
      </w: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of purchased intangible assets.</w:t>
      </w:r>
    </w:p>
    <w:p>
      <w:pPr>
        <w:spacing w:after="0" w:line="40"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Non-recurring transaction costs related to the Preferred Stock Exchange Agreement and Purchase Agreement for Nokia’s FWA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-685800</wp:posOffset>
            </wp:positionV>
            <wp:extent cx="3394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September 30,</w:t>
            </w:r>
          </w:p>
        </w:tc>
      </w:tr>
      <w:tr>
        <w:trPr>
          <w:trHeight w:val="190"/>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110,340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117,582</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111,585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117,789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long-term assets are located within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173"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two customers accounted for 47.4% and 37.6% of revenues, respectively. For the three months ended September 30, 2025, two customers accounted for 71.6% and 23.6% of revenues,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three customers accounted for 47.3%, 24.3%, and 17.2% of revenues, respectively. For the nine months ended September 30, 2025, two customers accounted for 63.9% and 26.9% of revenues, respectively.</w:t>
      </w:r>
    </w:p>
    <w:p>
      <w:pPr>
        <w:spacing w:after="0" w:line="12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three customers accounted for 40.4%, 29.2%, and 18.6% of accounts receivable, net, respectively. As of December 31, 2025, two customers accounted for 52.9% and 16.0% of accounts receivable, net,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Concentrations in the Available Sources of Supply of Materials and Product</w:t>
      </w:r>
    </w:p>
    <w:p>
      <w:pPr>
        <w:spacing w:after="0" w:line="173"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9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and other vendors that require future purchases of goods or services in the three to four quarters following the balance sheet date. Such commitments are noncancellable (“noncancellable purchase obligations”). As of September 30, 2026, future payments under these noncancellable purchase obligations were approximately $98.5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Income tax expense was inconsequential for the three and nine months ended September 30, 2026 and September 30, 2025, consisting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w:t>
      </w:r>
    </w:p>
    <w:p>
      <w:pPr>
        <w:spacing w:after="0" w:line="115"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among other things, provided a permanent extension of certain tax measures initially established under the 2017 Tax Cuts and Jobs Act, which were set to expire at the end of 2025, and modified tax legislation affecting bonus depreciation rules and the tax treatment of research and development expenses and interest deductions. Specifically, the OBBBA provides for 100% bonus depreciation and eliminates the requirement under Internal Revenue Code Section 174 to capitalize and amortize U.S. based research and experimental expenditures over five years, making these expenditures fully deductible in the period incurred beginning after 2024. The Company currently does not expect the OBBBA to have a material impact to our effective tax for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08"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As discussed in Note 1, on October 1, 2026, the transactions contemplated by the Purchase Agreement and the Subscription Agreement were consummated, see Note 1 for further details. Pursuant to the terms of the Purchase Agreement, at the Closing, the Company and Nokia entered into a Lock-Up Agreement (the “Lock-Up Agreement”) pursuant to which Nokia agreed not to transfer any of the shares of Common Stock or warrants (the “Warrants”) issued pursuant to the terms of the Purchase Agreement or the Subscription Agreement, or any shares of Common Stock underlying the Warrants (collectively, the “Securities”), subject to limited exceptions, for a period of (i) with respect to 50% of each type of the Securities, one year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following the Closing and (ii) with respect to the remaining 50% of each type of the Securities, two years following the Closing. In addition, the Company and Nokia entered into a Registration Rights Agreement (the “Registration Rights Agreement”). Pursuant to the Registration Rights Agreement, the Company agreed to file a registration statement with the U.S. Securities and Exchange Commission (the “SEC”) within one year of the Closing in order to effect a registration for the resale by Nokia of the shares of Common Stock issuable pursuant to the terms of the Purchase Agreement and the Subscription Agreement, as well as the shares of Common Stock underlying the Warrants. The Registration Rights Agreement also grants Nokia certain demand and “piggyback” registration rights and will require the Company, under certain circumstances, to assist with underwritten offerings for the Securities.</w:t>
      </w: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3" w:name="page24"/>
    <w:bookmarkEnd w:id="2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4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and wireless modem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and execute successfully with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expand into new markets;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third parties to manufacture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 such as the evolving 5G New Radio (“5G NR”) price and performance standards;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on our business, including the adoption of new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trade restrictions, tariffs, or other government-imposed sanctions;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3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4" w:name="page25"/>
    <w:bookmarkEnd w:id="24"/>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71"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2025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“Inseego”, the “Inseego logo”, “MiFi”, “Skyus”, “Inseego Connect”, “Inseego Subscribe” and “Inseego Wavemaker”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5" w:name="page26"/>
    <w:bookmarkEnd w:id="25"/>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2025,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spacing w:after="0" w:line="112" w:lineRule="exact"/>
        <w:rPr>
          <w:sz w:val="20"/>
          <w:szCs w:val="20"/>
          <w:color w:val="auto"/>
        </w:rPr>
      </w:pPr>
    </w:p>
    <w:p>
      <w:pPr>
        <w:ind w:right="420" w:firstLine="405"/>
        <w:spacing w:after="0" w:line="250"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spacing w:after="0" w:line="13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 of Preferred Stock</w:t>
      </w:r>
    </w:p>
    <w:p>
      <w:pPr>
        <w:spacing w:after="0" w:line="173"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On January 14, 2026 (the “Preferred Stock Exchange Closing Date’), the Company entered into an Exchange Agreement (the “Preferred Stock Exchange Agreement”) with an affiliate of Mubadala Capital (the “Preferred Stock Holder”), which held all 25,000 outstanding shares of the Company’s Fixed-Rate Cumulative Perpetual Preferred Stock, Series E (the “Series E Preferred Stock”).</w:t>
      </w:r>
    </w:p>
    <w:p>
      <w:pPr>
        <w:spacing w:after="0" w:line="136"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the following consideration, having an aggregate value of approximately $26 million and representing a discount of approximately 38% to the liquidation value: (i) $10.0 million in cash, one-third of which was paid on the Preferred Stock Exchange Closing Date and the balance of which will be paid in two equal installments on the six and twelve month anniversaries of the Preferred Stock Exchange Closing Date; (ii) 767,165 shares of the Company’s common stock (the “Common Shares”), and (iii) $8.0 million in additional principal amount of the Company’s existing 2029 Senior Secured Notes. The Common Shares and the 2029 Senior Secured Notes were issued to the Preferred Stock Holder on the Preferred Stock Exchange Closing Date.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Asset Purchase Agreement with Nokia</w:t>
      </w:r>
    </w:p>
    <w:p>
      <w:pPr>
        <w:spacing w:after="0" w:line="160"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On April 30, 2026, the Company entered into an Asset Purchase Agreement (as subsequently amended, the “Purchase Agreement”) with Nokia Solutions and Networks Oy (“Nokia”), pursuant to which Inseego agreed to purchase substantially all of the assets (the “Purchased Assets”) comprising Nokia’s fixed wireless access business (the “FastMile FWA Business”). Inseego and Nokia completed the transactions (the “Closing”) contemplated by the Purchase Agreement on October 1, 2026, at which time Inseego purchased the Purchased Assets from Nokia for a purchase price consisting of (i) 1,163,693 shares (the “Shares”) of Inseego’s common stock (“Common Stock”), (ii) warrants to purchase an aggregate of 521,139 shares of Common Stock, at an exercise price of $4.26 per share and (iii) the assumption of certain liabilities relating to the FastMile FWA Business. The warrants are exercisable for a period of four years following the Closing and are exercisable on a cash basis.</w:t>
      </w:r>
    </w:p>
    <w:p>
      <w:pPr>
        <w:spacing w:after="0" w:line="141"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indemnities made or given by each of Nokia and Inseego.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FastMile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 wired and cellular radio access and use products or technology comprising part of the Purchased Assets, Nokia will provide Inseego with a right of first offer to provide such products.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In addition, pursuant to the Purchase Agreement, Nokia has agreed that if the EBITDA (as defined in the Purchase Agreement) of the FastMile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FastMile FWA Business, if any, ranging from 0% to 50%, dependent upon the FastMile FWA Business achieving certain revenue thresholds.</w:t>
      </w:r>
    </w:p>
    <w:p>
      <w:pPr>
        <w:spacing w:after="0" w:line="141" w:lineRule="exact"/>
        <w:rPr>
          <w:sz w:val="20"/>
          <w:szCs w:val="20"/>
          <w:color w:val="auto"/>
        </w:rPr>
      </w:pPr>
    </w:p>
    <w:p>
      <w:pPr>
        <w:ind w:right="320" w:firstLine="405"/>
        <w:spacing w:after="0" w:line="250" w:lineRule="auto"/>
        <w:rPr>
          <w:sz w:val="20"/>
          <w:szCs w:val="20"/>
          <w:color w:val="auto"/>
        </w:rPr>
      </w:pPr>
      <w:r>
        <w:rPr>
          <w:rFonts w:ascii="Times New Roman" w:cs="Times New Roman" w:eastAsia="Times New Roman" w:hAnsi="Times New Roman"/>
          <w:sz w:val="18"/>
          <w:szCs w:val="18"/>
          <w:color w:val="auto"/>
        </w:rPr>
        <w:t>Also pursuant to the Purchase Agreement, on October 14, 2026, Nokia made an additional cash payment of $10.0 million to Inseego in support of Inseego’s engineering investment to drive the interoperability between Inseego’s device OS and cloud offerings and certain of Nokia’s technology ecosystems over the year following the Closing.</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Nokia Investment in Inseego</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On April 30, 2026, Inseego and Nokia also entered into a Subscription Agreement (the “Subscription Agreement”), pursuant to which at the Closing, Nokia invested $10.0 million in cash in Inseego, for which it received 775,795 shares of Common Stock and warrants to purchase an aggregate of 260,569 shares of Common Stock, at an exercise price of $4.26 per share and otherwise in the same form as the warrants issued pursuant to the terms of the Purchase Agreement, except that such warrants are exercisable for cash or on a cashless exercise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Wireless Access Solutions, and Software Services and Other. A description of each of the revenue classifications is as follows:</w:t>
      </w:r>
    </w:p>
    <w:p>
      <w:pPr>
        <w:spacing w:after="0" w:line="136" w:lineRule="exact"/>
        <w:rPr>
          <w:sz w:val="20"/>
          <w:szCs w:val="20"/>
          <w:color w:val="auto"/>
        </w:rPr>
      </w:pPr>
    </w:p>
    <w:p>
      <w:pPr>
        <w:ind w:left="660" w:right="80"/>
        <w:spacing w:after="0" w:line="251"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18"/>
          <w:szCs w:val="18"/>
          <w:color w:val="auto"/>
        </w:rPr>
        <w:t>: Our mobile broadband devices,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T-Mobile, Verizon Wireless, and AT&amp;T in the United States, Rogers and Telus in Canada, and various companies in other vertical markets</w:t>
      </w:r>
    </w:p>
    <w:p>
      <w:pPr>
        <w:spacing w:after="0" w:line="200" w:lineRule="exact"/>
        <w:rPr>
          <w:sz w:val="20"/>
          <w:szCs w:val="20"/>
          <w:color w:val="auto"/>
        </w:rPr>
      </w:pPr>
    </w:p>
    <w:p>
      <w:pPr>
        <w:ind w:left="660" w:right="80"/>
        <w:spacing w:after="0" w:line="247" w:lineRule="auto"/>
        <w:rPr>
          <w:sz w:val="20"/>
          <w:szCs w:val="20"/>
          <w:color w:val="auto"/>
        </w:rPr>
      </w:pPr>
      <w:r>
        <w:rPr>
          <w:rFonts w:ascii="Times New Roman" w:cs="Times New Roman" w:eastAsia="Times New Roman" w:hAnsi="Times New Roman"/>
          <w:sz w:val="18"/>
          <w:szCs w:val="18"/>
          <w:i w:val="1"/>
          <w:iCs w:val="1"/>
          <w:color w:val="auto"/>
        </w:rPr>
        <w:t>Fixed Wireless Access Solutions</w:t>
      </w:r>
      <w:r>
        <w:rPr>
          <w:rFonts w:ascii="Times New Roman" w:cs="Times New Roman" w:eastAsia="Times New Roman" w:hAnsi="Times New Roman"/>
          <w:sz w:val="18"/>
          <w:szCs w:val="18"/>
          <w:color w:val="auto"/>
        </w:rPr>
        <w:t>: 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xml:space="preserve"> below. These devices, sold under the Wavemaker and Skyus brands, are sold by mobile operators such as T-Mobile, Verizon Wireless, and AT&amp;T along with distribution and channel partners.</w:t>
      </w:r>
    </w:p>
    <w:p>
      <w:pPr>
        <w:spacing w:after="0" w:line="217" w:lineRule="exact"/>
        <w:rPr>
          <w:sz w:val="20"/>
          <w:szCs w:val="20"/>
          <w:color w:val="auto"/>
        </w:rPr>
      </w:pPr>
    </w:p>
    <w:p>
      <w:pPr>
        <w:ind w:left="660" w:right="200"/>
        <w:spacing w:after="0" w:line="251" w:lineRule="auto"/>
        <w:rPr>
          <w:sz w:val="20"/>
          <w:szCs w:val="20"/>
          <w:color w:val="auto"/>
        </w:rPr>
      </w:pP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A substantial majority of our software services and other revenue comes from providing a SaaS CSP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As such, our operations constitute a single operating segment and one reportable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discussed in the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three months ended September 30, 2026 were $33.3 million, compared to $45.9 million for the same period in 2025.</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category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19,100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16,037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33,687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33,263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45,893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right="1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$3.1 million increase in mobile solutions revenues is primarily due to higher sales of our current-generation mobile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carrier partners during the three months ended September 30, 2026.</w:t>
      </w:r>
    </w:p>
    <w:p>
      <w:pPr>
        <w:spacing w:after="0" w:line="91" w:lineRule="exact"/>
        <w:rPr>
          <w:sz w:val="20"/>
          <w:szCs w:val="20"/>
          <w:color w:val="auto"/>
        </w:rPr>
      </w:pPr>
    </w:p>
    <w:p>
      <w:pPr>
        <w:ind w:left="120" w:right="1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$13.5 million decrease in fixed wireless access solutions revenues is primarily due to substantially lower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carrier partner during the three months ended September 30, 2026. This decrease was partially offset by higher sales of a broader mix of fixed wireless access products through our channel partners compared with the prior-year period.</w:t>
      </w:r>
    </w:p>
    <w:p>
      <w:pPr>
        <w:spacing w:after="0" w:line="113" w:lineRule="exact"/>
        <w:rPr>
          <w:sz w:val="20"/>
          <w:szCs w:val="20"/>
          <w:color w:val="auto"/>
        </w:rPr>
      </w:pPr>
    </w:p>
    <w:p>
      <w:pPr>
        <w:ind w:left="120" w:right="1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$2.2 million decrease in software services and other revenues is primarily due to decreased Inseego Subscribe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related to the terms of an 18-month service contract renewal with a major customer that was effective in July 2026, partially offset by increased revenue from Inseego Connect, primarily on our fixed wireless access devices.</w:t>
      </w:r>
    </w:p>
    <w:p>
      <w:pPr>
        <w:spacing w:after="0" w:line="111" w:lineRule="exact"/>
        <w:rPr>
          <w:sz w:val="20"/>
          <w:szCs w:val="20"/>
          <w:color w:val="auto"/>
        </w:rPr>
      </w:pPr>
    </w:p>
    <w:p>
      <w:pPr>
        <w:ind w:right="4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three months ended September 30, 2026 was $22.2 million, or 66.7% of revenues, compared to $26.8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58.4% of revenues, for the same period in 2025.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21,022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25,253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22,177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26,809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580" w:firstLine="405"/>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Product. </w:t>
      </w:r>
      <w:r>
        <w:rPr>
          <w:rFonts w:ascii="Times New Roman" w:cs="Times New Roman" w:eastAsia="Times New Roman" w:hAnsi="Times New Roman"/>
          <w:sz w:val="17"/>
          <w:szCs w:val="17"/>
          <w:color w:val="auto"/>
        </w:rPr>
        <w:t>The $4.2 million decrease in product cost of revenues is primarily due to decreased product revenues, partially offset by increased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costs, specifically memory costs, and lower margin on the current year’s generation of products in comparison to the prior year period.</w:t>
      </w:r>
    </w:p>
    <w:p>
      <w:pPr>
        <w:spacing w:after="0" w:line="82" w:lineRule="exact"/>
        <w:rPr>
          <w:sz w:val="20"/>
          <w:szCs w:val="20"/>
          <w:color w:val="auto"/>
        </w:rPr>
      </w:pPr>
    </w:p>
    <w:p>
      <w:pPr>
        <w:ind w:left="1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decrease in software services and other cost of revenues is primarily due to decreased annual incentive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during the three months ended September 30, 2026. Outside of the decrease in bonus accruals, software services and other cost of revenues was consistent with the prior period, as the underlying cost drivers — primarily personnel costs related to Inseego Subscribe and Inseego Connect — remained relatively stable period over period.</w:t>
      </w:r>
    </w:p>
    <w:p>
      <w:pPr>
        <w:spacing w:after="0" w:line="131"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2026 was $11.1 million, or a gross margin of 33.3%, compared to $19.1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 gross margin of 41.6%, for the same period in 2025. The decrease in gross profit and gross margin is primarily due to decreased Inseego Subscribe revenues related to the terms of an 18-month service contract renewal with a major customer that was effective in July 2026 and an inventory reserve on an FWA product of $1.8m taken during the three months ended September 30, 2026. Other impacts included increased product component costs, specifically memory costs, and lower margin on the current year’s generation of mobile and fixed wireless access products in comparison to the prior year.</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18,259</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65" w:lineRule="exact"/>
        <w:rPr>
          <w:sz w:val="20"/>
          <w:szCs w:val="20"/>
          <w:color w:val="auto"/>
        </w:rPr>
      </w:pPr>
    </w:p>
    <w:p>
      <w:pPr>
        <w:ind w:right="1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September 30, 2026 were $5.1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15.4% of revenues, compared to $4.9 million, or 10.6% of revenues, for the same period in 2025. The increase in research and development expenses was primarily due to increased costs related to the Company's development efforts for its next generation of products during the three months ended September 30, 2026, partially offset by decreased annual incentive bonus accruals during the three months ended September 30, 2026.</w:t>
      </w:r>
    </w:p>
    <w:p>
      <w:pPr>
        <w:spacing w:after="0" w:line="116" w:lineRule="exact"/>
        <w:rPr>
          <w:sz w:val="20"/>
          <w:szCs w:val="20"/>
          <w:color w:val="auto"/>
        </w:rPr>
      </w:pPr>
    </w:p>
    <w:p>
      <w:pPr>
        <w:ind w:right="1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September 30, 2026 were $4.6 million, or 13.7%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$4.2 million, or 9.1% of revenues, for the same period in 2025. The increase in sales and marketing expenses was primarily due to increased share-based compensation expense related to equity awards granted in late 2025, severance costs and increased travel expenses, partially offset by decreased annual incentive bonus accruals during the three months ended September 30, 2026.</w:t>
      </w:r>
    </w:p>
    <w:p>
      <w:pPr>
        <w:spacing w:after="0" w:line="130" w:lineRule="exact"/>
        <w:rPr>
          <w:sz w:val="20"/>
          <w:szCs w:val="20"/>
          <w:color w:val="auto"/>
        </w:rPr>
      </w:pPr>
    </w:p>
    <w:p>
      <w:pPr>
        <w:ind w:right="180" w:firstLine="40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September 30, 2026 were $6.2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18.5% of revenues, compared to $5.7 million, or 12.4% of revenues, for the same period in 2025. The increase in general and administrative expense was primarily due to non-recurring transaction costs related to the Purchase Agreement for Nokia’s FWA business and a gain on early lease termination recorded during the three months ended September 30, 2025, for which there was no equivalent in the current period, partially offset by decreased annual incentive bonus accruals during the three months ended September 30, 2026.</w:t>
      </w:r>
    </w:p>
    <w:p>
      <w:pPr>
        <w:spacing w:after="0" w:line="123"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three months ended September 30, 2026 were $2.4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7.3% of revenues, compared to $2.2 million, or 4.7% of revenues, for the same period in 2025. The increase in depreciation and amortization expenses was primarily due to higher capitalized software balances being amortized in the current period related to significant development efforts relating to our current generation of mobile and fixed wireless products, as well as efforts related to further development of our software services.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Impairment of capitalized software. </w:t>
      </w:r>
      <w:r>
        <w:rPr>
          <w:rFonts w:ascii="Times New Roman" w:cs="Times New Roman" w:eastAsia="Times New Roman" w:hAnsi="Times New Roman"/>
          <w:sz w:val="17"/>
          <w:szCs w:val="17"/>
          <w:color w:val="auto"/>
        </w:rPr>
        <w:t>We recorded no impairments of capitalized software during the three months ended September 30, 2026 or 2025.</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w w:val="97"/>
              </w:rPr>
              <w:t>(885)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w w:val="99"/>
              </w:rPr>
              <w:t>126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w w:val="97"/>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79" w:lineRule="exact"/>
        <w:rPr>
          <w:sz w:val="20"/>
          <w:szCs w:val="20"/>
          <w:color w:val="auto"/>
        </w:rPr>
      </w:pPr>
    </w:p>
    <w:p>
      <w:pPr>
        <w:ind w:right="380" w:firstLine="405"/>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The increase in interest expense is primarily due to the $8.0 million increase in 2029 Senior Secured Notes principal in January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as part of the Preferred Stock Exchange Agreement and drawn balances on the Working Capital Facility that was executed in August 2025.</w:t>
      </w:r>
    </w:p>
    <w:p>
      <w:pPr>
        <w:spacing w:after="0" w:line="77" w:lineRule="exact"/>
        <w:rPr>
          <w:sz w:val="20"/>
          <w:szCs w:val="20"/>
          <w:color w:val="auto"/>
        </w:rPr>
      </w:pPr>
    </w:p>
    <w:p>
      <w:pPr>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months ended September 30, 2026 and 2025 was less than $0.1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$0.1 million, respectively. The decrease in other income, net was primarily due to lower interest bearing cash balances in the current quarter.</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(benefit) was less than $0.1 million for both the three months ended September 30, 2026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9" w:name="page30"/>
    <w:bookmarkEnd w:id="29"/>
    <w:p>
      <w:pPr>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three months ended September 30, 2025, we recorded dividends of $0.9 million. There were no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during the three months ended September 30, 2026 as all outstanding preferred stock was surrendered and forfeited by the Preferred Stock Holder as part of the Preferred Stock Exchange Agreement on January 14, 2026.</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nine months ended September 30, 2026 were $111.6 million, compared to $117.8 million for the same period in 2025.</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product categories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53,079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47,499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76,936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81,563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111,585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117,789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right="1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$5.6 million increase in mobile solutions revenues is primarily due to higher sales of our current-generation mobile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carrier partners during the nine months ended September 30, 2026, partially offset by lower sales of prior-generation products. The increase also reflects higher sales through our channel partners and changes in the mix of products sold compared with the prior-year period.</w:t>
      </w:r>
    </w:p>
    <w:p>
      <w:pPr>
        <w:spacing w:after="0" w:line="113" w:lineRule="exact"/>
        <w:rPr>
          <w:sz w:val="20"/>
          <w:szCs w:val="20"/>
          <w:color w:val="auto"/>
        </w:rPr>
      </w:pPr>
    </w:p>
    <w:p>
      <w:pPr>
        <w:ind w:left="120" w:right="2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$10.2 million decrease in fixed wireless access solutions revenues is primarily due to lower sales to a carrier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during the nine months ended September 30, 2026, partially offset by higher sales through our channel partners, including sales of current generation fixed wireless access products.</w:t>
      </w:r>
    </w:p>
    <w:p>
      <w:pPr>
        <w:spacing w:after="0" w:line="99" w:lineRule="exact"/>
        <w:rPr>
          <w:sz w:val="20"/>
          <w:szCs w:val="20"/>
          <w:color w:val="auto"/>
        </w:rPr>
      </w:pPr>
    </w:p>
    <w:p>
      <w:pPr>
        <w:ind w:left="120" w:right="1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$1.6 million decrease in software services and other revenues is primarily due to decreased Inseego Subscribe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related to the terms of an 18-month service contract renewal with a major customer that was effective in July 2026, partially offset by increased revenue from Inseego Connect, primarily on our fixed wireless access devices.</w:t>
      </w:r>
    </w:p>
    <w:p>
      <w:pPr>
        <w:spacing w:after="0" w:line="118" w:lineRule="exact"/>
        <w:rPr>
          <w:sz w:val="20"/>
          <w:szCs w:val="20"/>
          <w:color w:val="auto"/>
        </w:rPr>
      </w:pPr>
    </w:p>
    <w:p>
      <w:pPr>
        <w:ind w:right="4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nine months ended September 30, 2026 was $69.1 million, or 61.9% of revenues, compared to $67.2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57.1% of revenues, for the same period in 2025.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65,160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63,014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69,056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67,207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left="120" w:right="420"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$2.1 million increase in product cost of revenues is primarily due to increased mobile product revenues and lower margins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year's generation of mobile products due to product mix and increased component costs, specifically memory costs, and an inventory reserve recorded during the three months ended September 30, 2026 related to our prior generation indoor FWA solution, partially offset by decreased fixed wireless access product revenues.</w:t>
      </w:r>
    </w:p>
    <w:p>
      <w:pPr>
        <w:spacing w:after="0" w:line="123" w:lineRule="exact"/>
        <w:rPr>
          <w:sz w:val="20"/>
          <w:szCs w:val="20"/>
          <w:color w:val="auto"/>
        </w:rPr>
      </w:pPr>
    </w:p>
    <w:p>
      <w:pPr>
        <w:ind w:left="120" w:firstLine="405"/>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decrease in software services and other cost of revenues is primarily due to decreased annual incentive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during the nine months ended September 30, 2026. Outside of the decrease in bonus accruals, software services and other cost of revenues was consistent with the prior period, as the underlying cost drivers — primarily personnel costs related to Inseego Subscribe and Inseego Connect — remained relatively stable period over period. The largely fixed cost structure of the Company's software and services operations meant that the change in revenue activity did not require a meaningful change in the resources required to deliver those services.</w:t>
      </w:r>
    </w:p>
    <w:p>
      <w:pPr>
        <w:spacing w:after="0" w:line="125" w:lineRule="exact"/>
        <w:rPr>
          <w:sz w:val="20"/>
          <w:szCs w:val="20"/>
          <w:color w:val="auto"/>
        </w:rPr>
      </w:pPr>
    </w:p>
    <w:p>
      <w:pPr>
        <w:ind w:right="100" w:firstLine="40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Gross profit. </w:t>
      </w:r>
      <w:r>
        <w:rPr>
          <w:rFonts w:ascii="Times New Roman" w:cs="Times New Roman" w:eastAsia="Times New Roman" w:hAnsi="Times New Roman"/>
          <w:sz w:val="17"/>
          <w:szCs w:val="17"/>
          <w:color w:val="auto"/>
        </w:rPr>
        <w:t>Gross profit for the nine months ended September 30, 2026 was $42.5 million, or a gross margin of 38.1%, compared to $50.6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a gross margin of 42.9%, for the same period in 2025. The decrease in gross profit and gross margin is primarily due to decreased Inseego Subscribe revenues related to the terms of an 18-month service contract renewal with a major customer that was effective in July 2026, product component costs, specifically memory costs, and lower margin on the current year’s generation of mobile and fixed wireless access products in comparison to the prior year.</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16,225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60,504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nine months ended September 30, 2026 were $16.2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14.5% of revenues, compared to $14.2 million, or 12.1% of revenues, for the same period in 2025. The increase in research and development expenses was primarily due to increased compensation costs due to increased headcount, temporary agency costs, and prototype costs related to the Company’s development efforts for its next generation of products during the nine months ended September 30, 2026, partially offset by decreased annual incentive bonus accruals during the nine months ended September 30, 2026.</w:t>
      </w:r>
    </w:p>
    <w:p>
      <w:pPr>
        <w:spacing w:after="0" w:line="130"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nine months ended September 30, 2026 were $16.6 million, or 14.9%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$12.1 million, or 10.3% of revenues, for the same period in 2025. The increase in sales and marketing expenses was primarily due to increased compensation costs due to an increase in overall headcount, increased share-based compensation expense related to equity awards granted in late 2025, and increased marketing spend on demo units, partially offset by decreased annual incentive bonus accruals during the nine months ended September 30, 2026.</w:t>
      </w:r>
    </w:p>
    <w:p>
      <w:pPr>
        <w:spacing w:after="0" w:line="127" w:lineRule="exact"/>
        <w:rPr>
          <w:sz w:val="20"/>
          <w:szCs w:val="20"/>
          <w:color w:val="auto"/>
        </w:rPr>
      </w:pPr>
    </w:p>
    <w:p>
      <w:pPr>
        <w:ind w:right="100"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nine months ended September 30, 2026 were $20.9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18.7% of revenues, compared to $14.9 million, or 12.6% of revenues, for the same period in 2025. The increase in general and administrative expense was primarily due to non-recurring transaction costs related to the Preferred Stock Exchange Agreement and Purchase Agreement for Nokia’s FWA business, increased share-based compensation expense related to equity awards granted in late 2025, and a gain on early lease termination recorded during the nine months ended September 30, 2025, for which there was no equivalent in the current period, partially offset by decreased annual incentive bonus accruals during the nine months ended September 30, 2026.</w:t>
      </w:r>
    </w:p>
    <w:p>
      <w:pPr>
        <w:spacing w:after="0" w:line="140"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nine months ended September 30, 2026 were $6.5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5.8% of revenues, compared to $6.0 million, or 5.1% of revenues, for the same period in 2025. The increase in depreciation and amortization expenses was primarily due to higher capitalized software balances being amortized in the current period related to significant development efforts relating to our current generation of mobile and fixed wireless products, as well as efforts related to further development of our software services.</w:t>
      </w:r>
    </w:p>
    <w:p>
      <w:pPr>
        <w:spacing w:after="0" w:line="130" w:lineRule="exact"/>
        <w:rPr>
          <w:sz w:val="20"/>
          <w:szCs w:val="20"/>
          <w:color w:val="auto"/>
        </w:rPr>
      </w:pPr>
    </w:p>
    <w:p>
      <w:pPr>
        <w:ind w:right="3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nine months ended September 30, 2026 and 2025, we recorded impairments of $0.3 million and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13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left="321"/>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ind w:left="341"/>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79"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$0.3 million increase in interest expense for the nine months ended September 30, 2026 over the same period in 2025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$8.0 million increase in 2029 Senior Secured Notes principal in January 2026 as part of the Preferred Stock Exchange Agreement and drawn balances on the Working Capital Facility that was executed in August 2025, partially offset by the repayment of the 2025 Convertible Notes in May 2025.</w:t>
      </w:r>
    </w:p>
    <w:p>
      <w:pPr>
        <w:spacing w:after="0" w:line="116" w:lineRule="exact"/>
        <w:rPr>
          <w:sz w:val="20"/>
          <w:szCs w:val="20"/>
          <w:color w:val="auto"/>
        </w:rPr>
      </w:pPr>
    </w:p>
    <w:p>
      <w:pPr>
        <w:ind w:right="5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nine months ended September 30, 2026 and 2025 was $0.2 million and $0.6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The decrease in other income, net was primarily due to lower interest bearing cash balances in the current period.</w:t>
      </w:r>
    </w:p>
    <w:p>
      <w:pPr>
        <w:spacing w:after="0" w:line="87" w:lineRule="exact"/>
        <w:rPr>
          <w:sz w:val="20"/>
          <w:szCs w:val="20"/>
          <w:color w:val="auto"/>
        </w:rPr>
      </w:pPr>
    </w:p>
    <w:p>
      <w:pPr>
        <w:ind w:right="4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(benefit) for the nine months ended September 30, 2026 and 2025 was a provision of $0.1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less than $0.1 million, respectively.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2" w:name="page33"/>
    <w:bookmarkEnd w:id="32"/>
    <w:p>
      <w:pPr>
        <w:ind w:right="2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discontinued operations, net of tax. </w:t>
      </w:r>
      <w:r>
        <w:rPr>
          <w:rFonts w:ascii="Times New Roman" w:cs="Times New Roman" w:eastAsia="Times New Roman" w:hAnsi="Times New Roman"/>
          <w:sz w:val="18"/>
          <w:szCs w:val="18"/>
          <w:color w:val="auto"/>
        </w:rPr>
        <w:t>Income (loss) from discontinued operations, net of tax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was $(0.4) million. There was no income (loss) from discontinued operations during the nine months ended September 30, 2026 as the Telematics Business was sold in November 2024.</w:t>
      </w:r>
    </w:p>
    <w:p>
      <w:pPr>
        <w:spacing w:after="0" w:line="110"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nine months ended September 30, 2025, we recorded dividends of $2.7 million. There were no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during the nine months ended September 30, 2026 as all outstanding preferred stock was surrendered and forfeited by the Preferred Stock Holder as part of the Preferred Stock Exchange Agreement on January 14, 2026.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cash and cash equivalents totaling $6.6 million but had negative working capital of $(5.1) million. The Company had negative cash flows from operations of $9.2 million for the nine months ended September 30, 2026.</w:t>
      </w:r>
    </w:p>
    <w:p>
      <w:pPr>
        <w:spacing w:after="0" w:line="8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$7.6 million in outstanding borrowings under the Working Capital Facility, as defined below, and remaining availability to borrow was $6.7 million.</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$3.0 million of outstanding letters of credit issued under the Working Capital Facility to support inventory purchases. $2.0 million had been drawn under the letters of credit as of September 30, 2026, and no funded obligations were payable to BMO.</w:t>
      </w:r>
    </w:p>
    <w:p>
      <w:pPr>
        <w:spacing w:after="0" w:line="108"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In October 2026, in connection with the Company's acquisition of the FastMile FWA Business and Nokia's concurrent equity investment in Inseego as described more fully above, the Company received payments of $29.5 million, comprised of (i) $10.0 million under the Subscription Agreement; (ii) $10.0 million under the Purchase Agreement (in support of Inseego’s engineering investment to drive the interoperability between Inseego’s device OS and cloud offerings and certain of Nokia’s technology ecosystems over the year following the Closing), and (iii) $9.5 million under the Purchase Agreement (as the first payment under the EBITDA construct discussed above). Part of these payments were used to repay the outstanding balance under the Working Capital Facility.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7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On August 5, 2025, the Company entered into a Credit and Security Agreement (the “Working Capital Facility Agreement”) with BMO Bank N.A. (“BMO”) that provides up to a maximum $15.0 million secured asset-backed revolving credit facility (the “Working Capital Facility”). On May 22, 2026, the Company amended the Working Capital Facility Agreement to increase the maximum borrowing capacity to $20.0 million. The facility matures on August 5, 2028 and contains certain financial and non-financial covenants. The Company was in compliance with all covenants under the Working Capital Facility Agreement as of September 30, 2026.</w:t>
      </w:r>
    </w:p>
    <w:p>
      <w:pPr>
        <w:spacing w:after="0" w:line="127"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and issued letters of credit outstanding under the Working Capital Facility. If the aggregate outstanding amount of the Working Capital Facility, including outstanding letters of credit, exceeds the Borrowing Base at any time, the excess amount shall be payable on demand by BMO.</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Term Debt</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3.25% convertible notes due in 2025 (the “2025 Convertible Notes”) matured on May 1, 2025, at which time all outstanding principal and related accrued interest was paid-off in full. The Company’s 9.0% senior secured notes due in 2029 (the “2029 Senior Secured Notes”) had a principal balance of $48.9 million as of September 30, 2026 and mature on May 1, 2029.</w:t>
      </w:r>
    </w:p>
    <w:p>
      <w:pPr>
        <w:spacing w:after="0" w:line="102" w:lineRule="exact"/>
        <w:rPr>
          <w:sz w:val="20"/>
          <w:szCs w:val="20"/>
          <w:color w:val="auto"/>
        </w:rPr>
      </w:pPr>
    </w:p>
    <w:p>
      <w:pPr>
        <w:ind w:right="20" w:firstLine="405"/>
        <w:spacing w:after="0" w:line="241" w:lineRule="auto"/>
        <w:rPr>
          <w:sz w:val="20"/>
          <w:szCs w:val="20"/>
          <w:color w:val="auto"/>
        </w:rPr>
      </w:pPr>
      <w:r>
        <w:rPr>
          <w:rFonts w:ascii="Times New Roman" w:cs="Times New Roman" w:eastAsia="Times New Roman" w:hAnsi="Times New Roman"/>
          <w:sz w:val="18"/>
          <w:szCs w:val="18"/>
          <w:color w:val="auto"/>
        </w:rPr>
        <w:t>While the Company’s liquidity and financial results had several positive developments in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ind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our material contractual obligations consisted of the following:</w:t>
      </w:r>
    </w:p>
    <w:p>
      <w:pPr>
        <w:spacing w:after="0" w:line="171" w:lineRule="exact"/>
        <w:rPr>
          <w:sz w:val="20"/>
          <w:szCs w:val="20"/>
          <w:color w:val="auto"/>
        </w:rPr>
      </w:pPr>
    </w:p>
    <w:p>
      <w:pPr>
        <w:ind w:left="660" w:right="360" w:hanging="328"/>
        <w:spacing w:after="0" w:line="250" w:lineRule="auto"/>
        <w:tabs>
          <w:tab w:leader="none" w:pos="655" w:val="left"/>
        </w:tabs>
        <w:numPr>
          <w:ilvl w:val="0"/>
          <w:numId w:val="6"/>
        </w:numPr>
        <w:rPr>
          <w:rFonts w:ascii="Arial" w:cs="Arial" w:eastAsia="Arial" w:hAnsi="Arial"/>
          <w:sz w:val="18"/>
          <w:szCs w:val="18"/>
          <w:b w:val="1"/>
          <w:bCs w:val="1"/>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and other vendors for the purchase of goods and services to be received up to three to four quarters following the balance sheet date. Our purchase obligations consist of agreements to purchase goods and services entered into in the ordinary course of business. As of September 30, 2026, our future payments under these noncancellable purchase obligations were approximately $98.5 million.</w:t>
      </w:r>
    </w:p>
    <w:p>
      <w:pPr>
        <w:spacing w:after="0" w:line="12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$48.9 million in long-term debt outstanding under the 2029 Senior Secured Notes; see Part I Item 1,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$7.6 million in outstanding borrowings under the Working Capital Facility; see Part I Item 1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on our consolidated balance sheet.</w:t>
      </w:r>
    </w:p>
    <w:p>
      <w:pPr>
        <w:spacing w:after="0" w:line="15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other contractual obligations, other than the full repayment upon maturity of the 2025 Convertible Notes on May 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197"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continuing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(14,641)</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(14,641)</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7"/>
        </w:trPr>
        <w:tc>
          <w:tcPr>
            <w:tcW w:w="8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(25,037)</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14,559</w:t>
            </w:r>
          </w:p>
        </w:tc>
      </w:tr>
      <w:tr>
        <w:trPr>
          <w:trHeight w:val="2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260" w:firstLine="405"/>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2026 is primarily comprised of a $21.1 million net loss during the period and net cash used for working capital of $5.3 million, partially offset by non-cash charges during the period, including share-based compensation expense of $7.6 million, depreciation and amortization of $6.5 million, and provision for excess and obsolete inventory of $2.9 million.</w:t>
      </w:r>
    </w:p>
    <w:p>
      <w:pPr>
        <w:spacing w:after="0" w:line="13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nine months ended September 30, 2025 is primarily comprised of a $0.8 million net income from continuing operations during the period and net cash used for working capital of $16.3 million, which was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5" w:name="page36"/>
    <w:bookmarkEnd w:id="35"/>
    <w:p>
      <w:pPr>
        <w:ind w:right="160"/>
        <w:spacing w:after="0" w:line="266" w:lineRule="auto"/>
        <w:rPr>
          <w:sz w:val="20"/>
          <w:szCs w:val="20"/>
          <w:color w:val="auto"/>
        </w:rPr>
      </w:pPr>
      <w:r>
        <w:rPr>
          <w:rFonts w:ascii="Times New Roman" w:cs="Times New Roman" w:eastAsia="Times New Roman" w:hAnsi="Times New Roman"/>
          <w:sz w:val="18"/>
          <w:szCs w:val="18"/>
          <w:color w:val="auto"/>
        </w:rPr>
        <w:t>largely due to the payout of the annual bonus that was accrued for at December 31, 2024, partially offset by non-cash charges, including depreciation and amortization of $6.1 million and share-based compensation expense of $5.1 million.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2026 is primarily comprised of $10.1 million of cash outflows related to the development of software in support of our products and services.</w:t>
      </w:r>
    </w:p>
    <w:p>
      <w:pPr>
        <w:spacing w:after="0" w:line="122" w:lineRule="exact"/>
        <w:rPr>
          <w:sz w:val="20"/>
          <w:szCs w:val="20"/>
          <w:color w:val="auto"/>
        </w:rPr>
      </w:pPr>
    </w:p>
    <w:p>
      <w:pPr>
        <w:ind w:right="320" w:firstLine="405"/>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is comprised of $6.1 million of cash outflows related to the development of software in support of our products and services, partially offset by $0.7 million received during the period related to a working capital adjustment payment from the purchaser of the Company’s Telematics Business that was sold in 2024.</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2026 is primarily comprised of $7.6 million of net drawdowns on the Working Capital Facility and $0.7 million of cash received from exercises of stock options and purchases through the Company’s employee stock purchase plan, partially offset by the $6.7 million in payments made as part of the Preferred Stock Exchange Agreement.</w:t>
      </w:r>
    </w:p>
    <w:p>
      <w:pPr>
        <w:spacing w:after="0" w:line="115"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is primarily comprised of the repayment of the remaining $14.9 million 2025 Convertible Notes principal balance, partially offset by $0.3 million of cash received from exercises of stock options.</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6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Company’s only fixed-rate borrowings, made under the 2029 Senior Secured Notes, had an outstanding principal balance of $48.9 million as of September 30, 2026. We record all fixed-rate borrowings at amortized cost and therefore, any changes in interest rates do not impact the values that we report for these senior notes on our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Working Capital Facility. As of September 30, 2026, assuming our Working Capital Facility was fully drawn up to the $20.0 million maximum, a 1% change in interest rates would result in a $0.2 million change in annualized interest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5" w:lineRule="exact"/>
        <w:rPr>
          <w:sz w:val="20"/>
          <w:szCs w:val="20"/>
          <w:color w:val="auto"/>
        </w:rPr>
      </w:pPr>
    </w:p>
    <w:p>
      <w:pPr>
        <w:jc w:val="both"/>
        <w:ind w:right="80" w:firstLine="405"/>
        <w:spacing w:after="0" w:line="250" w:lineRule="auto"/>
        <w:rPr>
          <w:sz w:val="20"/>
          <w:szCs w:val="20"/>
          <w:color w:val="auto"/>
        </w:rPr>
      </w:pPr>
      <w:r>
        <w:rPr>
          <w:rFonts w:ascii="Times New Roman" w:cs="Times New Roman" w:eastAsia="Times New Roman" w:hAnsi="Times New Roman"/>
          <w:sz w:val="18"/>
          <w:szCs w:val="18"/>
          <w:color w:val="auto"/>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23"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For the nine months ended September 30, 2026, sales denominated in foreign currencies were approximately 1.0%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Canadian Dollar, and Australian Dollar. For the nine months ended September 30, 2026, a hypothetical 10% change in these foreign currencies would have increased or decreased our</w:t>
      </w:r>
    </w:p>
    <w:p>
      <w:pPr>
        <w:sectPr>
          <w:pgSz w:w="11900" w:h="16838" w:orient="portrait"/>
          <w:cols w:equalWidth="0" w:num="1">
            <w:col w:w="11200"/>
          </w:cols>
          <w:pgMar w:left="320" w:top="10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type w:val="continuous"/>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revenue by approximately $0.1 million. Actual gains and losses in the future may differ materially from the hypothetical gains and losses discussed above based on changes in the timing and amount of foreign currency exchange rate movements.</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2026, the end of the period covered by this report. Based on the foregoing, our principal executive officer and principal financial officer concluded that our disclosure controls and procedures were effective as of September 30,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Other than the additional risk factors set forth below, there were no material changes to the risk factors disclosed in Part I, Item 1A, Risk Factors of the Form 10-K, which was filed with the Securities and Exchange Commission on February 20, 2026. Any of the risks discussed in such report, as well as additional risks and uncertainties not currently known to us or that we currently deem immaterial, could materially and adversely affect our results of operations, financial condition or prospects.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acquisition of the FastMile FWA Business.</w:t>
      </w:r>
    </w:p>
    <w:p>
      <w:pPr>
        <w:spacing w:after="0" w:line="108"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On October 1, 2026, we completed the acquisition from Nokia of the Purchased Assets, comprising the FastMile FWA Business. Our ability to realize the anticipated benefits of the acquisition will depend, in part, on our ability to integrate the FastMile FWA Business’s operations, personnel, systems, customer relationships, contracts and business processes into the Company’s existing business, as well as our ability to maintain the customers and/or employees of the FastMile FWA Business. The integration process may be complex, costly and time-consuming and may divert management’s attention from other business matters. The Company may not successfully integrate the FastMile FWA Business or realize the anticipated strategic, operational or financial benefits of the acquisition within the expected timeframe or at 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in connection with the acquisition of the FastMile FWA Business.</w:t>
      </w:r>
    </w:p>
    <w:p>
      <w:pPr>
        <w:spacing w:after="0" w:line="121"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Pursuant to the Purchase Agreement, at the Closing we assumed certain liabilities of the FastMile FWA Business. As a result, we may be exposed to known and unknown liabilities relating to the FastMile FWA Business, including liabilities arising from prior contracts, employment matters, litigation, regulatory compliance, customer claims, vendor disputes and other matters. We may have limited recourse against Nokia for certain liabilities, and any such liabilities could be material or could adversely affect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and warrants in connection with the acquisition of the FastMile FWA Business resulted in dilution to existing stockholders.</w:t>
      </w:r>
    </w:p>
    <w:p>
      <w:pPr>
        <w:spacing w:after="0" w:line="108"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of FastMile FWA Business and Nokia’s investment in the Company, at the Closing we issued an aggregate of 1,939,488 shares of our common stock and warrants to purchase, at an exercise price of $4.26 per share, 781,708 shares of our common stock. The issuance of these shares resulted, and the issuance of additional shares upon exercise of such warrants may result, in dilution to the Company’s existing stockholders and may increase the number of shares eligible for resale in the market, which could adversely affect the market price of the Company’s common stock.</w:t>
      </w:r>
    </w:p>
    <w:p>
      <w:pPr>
        <w:spacing w:after="0" w:line="79"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acquisition of the FastMile FWA Business exposes us to inherent risks arising from those geographies where the FastMile FWA Business currently operates, which could adversely affect our business.</w:t>
      </w:r>
    </w:p>
    <w:p>
      <w:pPr>
        <w:spacing w:after="0" w:line="50" w:lineRule="exact"/>
        <w:rPr>
          <w:sz w:val="20"/>
          <w:szCs w:val="20"/>
          <w:color w:val="auto"/>
        </w:rPr>
      </w:pPr>
    </w:p>
    <w:p>
      <w:pPr>
        <w:ind w:right="360" w:firstLine="405"/>
        <w:spacing w:after="0" w:line="250" w:lineRule="auto"/>
        <w:rPr>
          <w:sz w:val="20"/>
          <w:szCs w:val="20"/>
          <w:color w:val="auto"/>
        </w:rPr>
      </w:pPr>
      <w:r>
        <w:rPr>
          <w:rFonts w:ascii="Times New Roman" w:cs="Times New Roman" w:eastAsia="Times New Roman" w:hAnsi="Times New Roman"/>
          <w:sz w:val="18"/>
          <w:szCs w:val="18"/>
          <w:color w:val="auto"/>
        </w:rPr>
        <w:t>The acquisition of the FastMile FWA Business represents a significant expansion of our business, including expanding our operations to those geographies where the FastMile FWA Business currently operates. As a result of the acquisition, we are subject to a variety of risks associated with the FastMile FWA Business, in addition to those we already face in our current business, including risks inherent in operating in a significant number of geographies in which we have not operated or have been less present in the past. These risks include, among others:</w:t>
      </w:r>
    </w:p>
    <w:p>
      <w:pPr>
        <w:spacing w:after="0" w:line="83"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foreign offices;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travel, infrastructure, legal, and compliance costs associated with new international locations;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sanctions, trade barriers, trade disputes, and other regulatory or contractual limitations on our ability to operate in new foreign markets;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risk;</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seizure of our assets in certain countries;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adaptation to different business cultures, languages, and market structures; and</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 other geopolitical issues.</w:t>
      </w:r>
    </w:p>
    <w:p>
      <w:pPr>
        <w:spacing w:after="0" w:line="117"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As we expand our business, our success will depend, in large part, on our ability to anticipate and effectively manage these risks and other risks associated with growing international operations. We cannot predict how such conditions may affect our business, or those with whom we do business, and any ongoing or new conflicts could adversely impact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and services are subject to laws and regulations in the U.S. and other regions in which we operate.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ind w:firstLine="405"/>
        <w:spacing w:after="0" w:line="242" w:lineRule="auto"/>
        <w:rPr>
          <w:sz w:val="20"/>
          <w:szCs w:val="20"/>
          <w:color w:val="auto"/>
        </w:rPr>
      </w:pPr>
      <w:r>
        <w:rPr>
          <w:rFonts w:ascii="Times New Roman" w:cs="Times New Roman" w:eastAsia="Times New Roman" w:hAnsi="Times New Roman"/>
          <w:sz w:val="18"/>
          <w:szCs w:val="18"/>
          <w:color w:val="auto"/>
        </w:rPr>
        <w:t>Certain of our products and services are subject to laws and regulations in the U.S. and other regions in which we operate. From time to time in the ordinary course we may be required to obtain regulatory approvals or licenses in order to sell certain products and services, which could result in increased costs and inability to sell our products and services. For example, in the U.S., the Federal Communications Commission (“FCC”) regulates many aspects of communications devices and services. Further, regulatory requirements may change, or we may not be able to receive approvals, registrations or licenses from jurisdictions in which we may desire to sell products and services in the future. In addition, many laws and regulations are still evolving and being tested in courts and by regulatory authorities and could be interpreted in ways that could harm our business. For example, on March 23, 2026, the FCC updated the “Covered List” of communications equipment deemed to pose an unacceptable risk to U.S. national security to include all consumer-grade routers produced in foreign countries, effectively prohibiting the importation, marketing, or sale in the United States of such routers. Although previously authorized routers may continue to be imported and sold in the United States, modifications to such routers, including firmware and software updates, often require additional FCC authorization. While we believe that the routers we currently offer are enterprise-grade, not consumer-grade, and thus not subject to the recent FCC update, the FCC may disagree with our determination, and our ability to deliver future products may be impacted. These restrictions may inhibit our ability to introduce new or upgraded products on our desired timeline and we may be required to: (i) delay, redesign, or discontinue certain offerings; (ii) shift manufacturing, assembly, or development activities to the United States or other approved pathways at higher cost; (iii) maintain older product models longer than planned, potentially reducing competitiveness; (iv) carry higher inventory levels or incur write-downs if demand shifts or products become non-viable; and/or (v) devote significant management attention and resources to engineering changes, testing, certification, and vendor transitions. Any of these outcomes could adversely affect our revenue, gross margins, and cash flows. Further, any changes that broaden the definition of covered devices, limit waivers or transition periods, or otherwise extend restrictions to additional categories of equipment could further increase our compliance costs and operational risks.</w:t>
      </w:r>
    </w:p>
    <w:p>
      <w:pPr>
        <w:spacing w:after="0" w:line="77"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The application and interpretation of these laws and regulations often are uncertain, particularly in the new and rapidly evolving industry in which we operate. Because laws and regulations have continued to develop and evolve rapidly, it is possible that we or our products or services may not be, or may not have been, compliant with each applicable law or regulation. Compliance with applicable laws and regulations may impose substantial costs on our business, and if we fail to comply we may be subject to regulatory and civil liability, additional costs (including fines), reputational harm, and in severe cases, may be prevented from selling our products and services in certain jurisdictions, all of which could materially and adversely affect our business, financial position, results of operation, and cash flows.</w:t>
      </w:r>
    </w:p>
    <w:p>
      <w:pPr>
        <w:spacing w:after="0" w:line="1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0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23"/>
        </w:trPr>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1"/>
        </w:trPr>
        <w:tc>
          <w:tcPr>
            <w:tcW w:w="7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3"/>
          </w:tcPr>
          <w:p>
            <w:pPr>
              <w:spacing w:after="0" w:line="201"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Amendment No. 1 to Asset Purchase Agreement, dated September 30, 2026, between Nokia Solutions</w:t>
              </w:r>
            </w:hyperlink>
          </w:p>
        </w:tc>
        <w:tc>
          <w:tcPr>
            <w:tcW w:w="7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right"/>
              <w:ind w:right="219"/>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jc w:val="right"/>
              <w:ind w:right="119"/>
              <w:spacing w:after="0" w:line="201" w:lineRule="exact"/>
              <w:rPr>
                <w:sz w:val="20"/>
                <w:szCs w:val="20"/>
                <w:color w:val="auto"/>
              </w:rPr>
            </w:pPr>
            <w:r>
              <w:rPr>
                <w:rFonts w:ascii="Times New Roman" w:cs="Times New Roman" w:eastAsia="Times New Roman" w:hAnsi="Times New Roman"/>
                <w:sz w:val="18"/>
                <w:szCs w:val="18"/>
                <w:color w:val="auto"/>
              </w:rPr>
              <w:t>10/1/2026</w:t>
            </w:r>
          </w:p>
        </w:tc>
      </w:tr>
      <w:tr>
        <w:trPr>
          <w:trHeight w:val="169"/>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and Networks Oy and Inseego Corp.</w:t>
              </w:r>
            </w:hyperlink>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887" w:right="339" w:bottom="1440" w:gutter="0" w:footer="0" w:header="0"/>
        </w:sectPr>
      </w:pPr>
    </w:p>
    <w:tbl>
      <w:tblPr>
        <w:tblLayout w:type="fixed"/>
        <w:tblInd w:w="20" w:type="dxa"/>
        <w:tblCellMar>
          <w:top w:w="0" w:type="dxa"/>
          <w:left w:w="0" w:type="dxa"/>
          <w:bottom w:w="0" w:type="dxa"/>
          <w:right w:w="0" w:type="dxa"/>
        </w:tblCellMar>
      </w:tblPr>
      <w:tr>
        <w:trPr>
          <w:trHeight w:val="24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gridSpan w:val="17"/>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Amended and Restated Certificate of Incorporation.</w:t>
              </w:r>
            </w:hyperlink>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Amended and Restated Bylaws.</w:t>
              </w:r>
            </w:hyperlink>
          </w:p>
        </w:tc>
        <w:tc>
          <w:tcPr>
            <w:tcW w:w="1420" w:type="dxa"/>
            <w:vAlign w:val="bottom"/>
            <w:tcBorders>
              <w:top w:val="single" w:sz="8" w:color="0000FF"/>
            </w:tcBorders>
            <w:gridSpan w:val="3"/>
          </w:tcPr>
          <w:p>
            <w:pPr>
              <w:spacing w:after="0"/>
              <w:rPr>
                <w:sz w:val="24"/>
                <w:szCs w:val="24"/>
                <w:color w:val="auto"/>
              </w:rPr>
            </w:pPr>
          </w:p>
        </w:tc>
        <w:tc>
          <w:tcPr>
            <w:tcW w:w="3680" w:type="dxa"/>
            <w:vAlign w:val="bottom"/>
            <w:gridSpan w:val="9"/>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400" w:type="dxa"/>
            <w:vAlign w:val="bottom"/>
            <w:gridSpan w:val="1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Designation of Series E Fixed-Rate Cumulative Perpetual Preferred Stock.</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400" w:type="dxa"/>
            <w:vAlign w:val="bottom"/>
            <w:gridSpan w:val="1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Amendment to Certificate of Designation of Series E Fixed-Rate Cumulative Perpetual</w:t>
              </w:r>
            </w:hyperlink>
          </w:p>
        </w:tc>
      </w:tr>
      <w:tr>
        <w:trPr>
          <w:trHeight w:val="156"/>
        </w:trPr>
        <w:tc>
          <w:tcPr>
            <w:tcW w:w="1120" w:type="dxa"/>
            <w:vAlign w:val="bottom"/>
          </w:tcPr>
          <w:p>
            <w:pPr>
              <w:spacing w:after="0"/>
              <w:rPr>
                <w:sz w:val="13"/>
                <w:szCs w:val="13"/>
                <w:color w:val="auto"/>
              </w:rPr>
            </w:pPr>
          </w:p>
        </w:tc>
        <w:tc>
          <w:tcPr>
            <w:tcW w:w="7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Preferred Stock.</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1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Certificate of Amendment of Certificate of Incorporation of Inseego Corp., dated January 23, 2024.</w:t>
              </w:r>
            </w:hyperlink>
          </w:p>
        </w:tc>
        <w:tc>
          <w:tcPr>
            <w:tcW w:w="240" w:type="dxa"/>
            <w:vAlign w:val="bottom"/>
            <w:gridSpan w:val="5"/>
          </w:tcPr>
          <w:p>
            <w:pPr>
              <w:spacing w:after="0"/>
              <w:rPr>
                <w:sz w:val="19"/>
                <w:szCs w:val="19"/>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1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Subscription Agreement, dated April 30, 2026, between Inseego Corp. and Nokia Solutions and</w:t>
              </w:r>
            </w:hyperlink>
          </w:p>
        </w:tc>
      </w:tr>
      <w:tr>
        <w:trPr>
          <w:trHeight w:val="183"/>
        </w:trPr>
        <w:tc>
          <w:tcPr>
            <w:tcW w:w="112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6"/>
              </w:rPr>
            </w:pPr>
            <w:hyperlink r:id="rId72">
              <w:r>
                <w:rPr>
                  <w:rFonts w:ascii="Times New Roman" w:cs="Times New Roman" w:eastAsia="Times New Roman" w:hAnsi="Times New Roman"/>
                  <w:sz w:val="18"/>
                  <w:szCs w:val="18"/>
                  <w:color w:val="0000FF"/>
                  <w:w w:val="96"/>
                </w:rPr>
                <w:t>Networks Oy.</w:t>
              </w:r>
            </w:hyperlink>
          </w:p>
        </w:tc>
        <w:tc>
          <w:tcPr>
            <w:tcW w:w="588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w:t>
            </w:r>
          </w:p>
        </w:tc>
      </w:tr>
      <w:tr>
        <w:trPr>
          <w:trHeight w:val="183"/>
        </w:trPr>
        <w:tc>
          <w:tcPr>
            <w:tcW w:w="1120" w:type="dxa"/>
            <w:vAlign w:val="bottom"/>
          </w:tcPr>
          <w:p>
            <w:pPr>
              <w:spacing w:after="0"/>
              <w:rPr>
                <w:sz w:val="15"/>
                <w:szCs w:val="15"/>
                <w:color w:val="auto"/>
              </w:rPr>
            </w:pPr>
          </w:p>
        </w:tc>
        <w:tc>
          <w:tcPr>
            <w:tcW w:w="698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64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w:t>
            </w:r>
          </w:p>
        </w:tc>
      </w:tr>
      <w:tr>
        <w:trPr>
          <w:trHeight w:val="183"/>
        </w:trPr>
        <w:tc>
          <w:tcPr>
            <w:tcW w:w="112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3580" w:type="dxa"/>
            <w:vAlign w:val="bottom"/>
            <w:tcBorders>
              <w:top w:val="single" w:sz="8" w:color="0000FF"/>
            </w:tcBorders>
            <w:gridSpan w:val="6"/>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r>
      <w:tr>
        <w:trPr>
          <w:trHeight w:val="183"/>
        </w:trPr>
        <w:tc>
          <w:tcPr>
            <w:tcW w:w="11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90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120" w:type="dxa"/>
            <w:vAlign w:val="bottom"/>
          </w:tcPr>
          <w:p>
            <w:pPr>
              <w:spacing w:after="0"/>
              <w:rPr>
                <w:sz w:val="20"/>
                <w:szCs w:val="20"/>
                <w:color w:val="auto"/>
              </w:rPr>
            </w:pP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140" w:hanging="111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1140" w:hanging="111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11/9/2016</w:t>
            </w:r>
          </w:p>
        </w:tc>
      </w:tr>
      <w:tr>
        <w:trPr>
          <w:trHeight w:val="36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5/9/2025</w:t>
            </w:r>
          </w:p>
        </w:tc>
      </w:tr>
      <w:tr>
        <w:trPr>
          <w:trHeight w:val="365"/>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8/13/2019</w:t>
            </w:r>
          </w:p>
        </w:tc>
      </w:tr>
      <w:tr>
        <w:trPr>
          <w:trHeight w:val="41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3/10/2020</w:t>
            </w:r>
          </w:p>
        </w:tc>
      </w:t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1/23/2024</w:t>
            </w:r>
          </w:p>
        </w:tc>
      </w:tr>
      <w:tr>
        <w:trPr>
          <w:trHeight w:val="459"/>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4/30/2026</w:t>
            </w:r>
          </w:p>
        </w:tc>
      </w:tr>
    </w:tbl>
    <w:p>
      <w:pPr>
        <w:spacing w:after="0" w:line="5640" w:lineRule="exact"/>
        <w:rPr>
          <w:sz w:val="20"/>
          <w:szCs w:val="20"/>
          <w:color w:val="auto"/>
        </w:rPr>
      </w:pPr>
    </w:p>
    <w:p>
      <w:pPr>
        <w:sectPr>
          <w:pgSz w:w="11900" w:h="16838" w:orient="portrait"/>
          <w:cols w:equalWidth="0" w:num="2">
            <w:col w:w="8500" w:space="260"/>
            <w:col w:w="248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84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Inseego Corp.</w:t>
            </w:r>
          </w:p>
        </w:tc>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4160" w:type="dxa"/>
            <w:vAlign w:val="bottom"/>
          </w:tcPr>
          <w:p>
            <w:pPr>
              <w:spacing w:after="0"/>
              <w:rPr>
                <w:sz w:val="24"/>
                <w:szCs w:val="24"/>
                <w:color w:val="auto"/>
              </w:rPr>
            </w:pPr>
          </w:p>
        </w:tc>
        <w:tc>
          <w:tcPr>
            <w:tcW w:w="384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JUHO SARVIKAS</w:t>
            </w:r>
          </w:p>
        </w:tc>
      </w:tr>
      <w:tr>
        <w:trPr>
          <w:trHeight w:val="184"/>
        </w:trPr>
        <w:tc>
          <w:tcPr>
            <w:tcW w:w="41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Juho Sarvikas</w:t>
            </w:r>
          </w:p>
        </w:tc>
      </w:tr>
      <w:tr>
        <w:trPr>
          <w:trHeight w:val="191"/>
        </w:trPr>
        <w:tc>
          <w:tcPr>
            <w:tcW w:w="4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658"/>
        </w:trPr>
        <w:tc>
          <w:tcPr>
            <w:tcW w:w="4160" w:type="dxa"/>
            <w:vAlign w:val="bottom"/>
          </w:tcPr>
          <w:p>
            <w:pPr>
              <w:spacing w:after="0"/>
              <w:rPr>
                <w:sz w:val="24"/>
                <w:szCs w:val="24"/>
                <w:color w:val="auto"/>
              </w:rPr>
            </w:pPr>
          </w:p>
        </w:tc>
        <w:tc>
          <w:tcPr>
            <w:tcW w:w="384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STEVEN GATOFF</w:t>
            </w:r>
          </w:p>
        </w:tc>
      </w:tr>
      <w:tr>
        <w:trPr>
          <w:trHeight w:val="184"/>
        </w:trPr>
        <w:tc>
          <w:tcPr>
            <w:tcW w:w="41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40" w:type="dxa"/>
            <w:vAlign w:val="bottom"/>
          </w:tcPr>
          <w:p>
            <w:pPr>
              <w:spacing w:after="0"/>
              <w:rPr>
                <w:sz w:val="15"/>
                <w:szCs w:val="15"/>
                <w:color w:val="auto"/>
              </w:rPr>
            </w:pPr>
          </w:p>
        </w:tc>
      </w:tr>
      <w:tr>
        <w:trPr>
          <w:trHeight w:val="191"/>
        </w:trPr>
        <w:tc>
          <w:tcPr>
            <w:tcW w:w="4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certify that:</w:t>
      </w:r>
    </w:p>
    <w:p>
      <w:pPr>
        <w:spacing w:after="0" w:line="171" w:lineRule="exact"/>
        <w:rPr>
          <w:sz w:val="20"/>
          <w:szCs w:val="20"/>
          <w:color w:val="auto"/>
        </w:rPr>
      </w:pPr>
    </w:p>
    <w:p>
      <w:pPr>
        <w:ind w:left="680" w:hanging="18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16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32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6" Type="http://schemas.openxmlformats.org/officeDocument/2006/relationships/hyperlink" Target="https://www.sec.gov/Archives/edgar/data/1022652/000168316826007512/inseego_ex0201.htm" TargetMode="External"/><Relationship Id="rId67" Type="http://schemas.openxmlformats.org/officeDocument/2006/relationships/hyperlink" Target="https://www.sec.gov/Archives/edgar/data/1022652/000119312516763609/d261554dex31.htm" TargetMode="External"/><Relationship Id="rId68" Type="http://schemas.openxmlformats.org/officeDocument/2006/relationships/hyperlink" Target="https://www.sec.gov/Archives/edgar/data/1022652/000102265225000012/insg20250331ex32-amendedan.htm" TargetMode="External"/><Relationship Id="rId69" Type="http://schemas.openxmlformats.org/officeDocument/2006/relationships/hyperlink" Target="https://www.sec.gov/Archives/edgar/data/1022652/000119312519219943/d792529dex31.htm" TargetMode="External"/><Relationship Id="rId70" Type="http://schemas.openxmlformats.org/officeDocument/2006/relationships/hyperlink" Target="https://www.sec.gov/Archives/edgar/data/1022652/000119312520067668/d824727dex31.htm" TargetMode="External"/><Relationship Id="rId71" Type="http://schemas.openxmlformats.org/officeDocument/2006/relationships/hyperlink" Target="https://www.sec.gov/Archives/edgar/data/1022652/000168316824000396/inseego_ex0301.htm" TargetMode="External"/><Relationship Id="rId72" Type="http://schemas.openxmlformats.org/officeDocument/2006/relationships/hyperlink" Target="https://www.sec.gov/Archives/edgar/data/1022652/000168316826003379/inseeg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2026-11-05T05:15:12Z</dcterms:created>
  <dcterms:modified xsi:type="dcterms:W3CDTF">2026-11-05T05:15:12Z</dcterms:modified>
</cp:coreProperties>
</file>