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McClaskey James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INSEEGO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9710 SCRANTON ROAD,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INSEEGO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16"/>
        <w:gridCol w:w="504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5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465</w:t>
            </w:r>
          </w:p>
        </w:tc>
        <w:tc>
          <w:tcPr>
            <w:tcW w:w="5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39,631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satisfy the reporting person's tax withholding obligations in connection with the vesting of restricted stock units (RSUs) granted on 7/30/2024. The RSU grant was previously reported in Table I of the reporting person's Form 3 filed on 10/2/2024. The vesting schedule for the award was subsequently modified from an initial structure of monthly vesting over four years (with one-fourth vesting on the first anniversary of the grant date and 1/48th vesting monthly thereafter) to a quarterly vesting schedule, including a 7.5% acceleration of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Frances Wong,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0558" TargetMode="External"/><Relationship Id="rId5" Type="http://schemas.openxmlformats.org/officeDocument/2006/relationships/hyperlink" Target="http://www.sec.gov/cgi-bin/browse-edgar?action=getcompany&amp;CIK=00010226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656</Words>
  <Characters>3585</Characters>
  <CharactersWithSpaces>4173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