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00" w:right="320" w:hanging="97"/>
        <w:spacing w:after="0" w:line="282" w:lineRule="auto"/>
        <w:rPr>
          <w:sz w:val="20"/>
          <w:szCs w:val="20"/>
          <w:color w:val="auto"/>
        </w:rPr>
      </w:pPr>
      <w:r>
        <w:rPr>
          <w:rFonts w:ascii="Arial" w:cs="Arial" w:eastAsia="Arial" w:hAnsi="Arial"/>
          <w:sz w:val="18"/>
          <w:szCs w:val="18"/>
          <w:color w:val="auto"/>
        </w:rPr>
        <w:t>SEC 1745</w:t>
      </w:r>
      <w:r>
        <w:rPr>
          <w:sz w:val="20"/>
          <w:szCs w:val="20"/>
          <w:color w:val="auto"/>
        </w:rPr>
        <w:t xml:space="preserve"> </w:t>
      </w:r>
      <w:r>
        <w:rPr>
          <w:rFonts w:ascii="Arial" w:cs="Arial" w:eastAsia="Arial" w:hAnsi="Arial"/>
          <w:sz w:val="18"/>
          <w:szCs w:val="18"/>
          <w:b w:val="1"/>
          <w:bCs w:val="1"/>
          <w:color w:val="auto"/>
        </w:rPr>
        <w:t xml:space="preserve">Potential persons who are to respond to the collection of information contained in this form are not required to respond unless the </w:t>
      </w:r>
      <w:r>
        <w:rPr>
          <w:rFonts w:ascii="Arial" w:cs="Arial" w:eastAsia="Arial" w:hAnsi="Arial"/>
          <w:sz w:val="18"/>
          <w:szCs w:val="18"/>
          <w:color w:val="auto"/>
        </w:rPr>
        <w:t xml:space="preserve">(02-02) </w:t>
      </w:r>
      <w:r>
        <w:rPr>
          <w:rFonts w:ascii="Arial" w:cs="Arial" w:eastAsia="Arial" w:hAnsi="Arial"/>
          <w:sz w:val="18"/>
          <w:szCs w:val="18"/>
          <w:b w:val="1"/>
          <w:bCs w:val="1"/>
          <w:color w:val="auto"/>
        </w:rPr>
        <w:t>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0" w:orient="portrait"/>
          <w:cols w:equalWidth="0" w:num="1">
            <w:col w:w="11420"/>
          </w:cols>
          <w:pgMar w:left="240" w:top="472" w:right="239" w:bottom="0" w:gutter="0" w:footer="0" w:header="0"/>
        </w:sectPr>
      </w:pPr>
    </w:p>
    <w:p>
      <w:pPr>
        <w:spacing w:after="0" w:line="382" w:lineRule="exact"/>
        <w:rPr>
          <w:sz w:val="24"/>
          <w:szCs w:val="24"/>
          <w:color w:val="auto"/>
        </w:rPr>
      </w:pPr>
    </w:p>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jc w:val="center"/>
        <w:ind w:left="2980"/>
        <w:spacing w:after="0"/>
        <w:rPr>
          <w:sz w:val="20"/>
          <w:szCs w:val="20"/>
          <w:color w:val="auto"/>
        </w:rPr>
      </w:pPr>
      <w:r>
        <w:rPr>
          <w:rFonts w:ascii="Arial" w:cs="Arial" w:eastAsia="Arial" w:hAnsi="Arial"/>
          <w:sz w:val="32"/>
          <w:szCs w:val="32"/>
          <w:b w:val="1"/>
          <w:bCs w:val="1"/>
          <w:color w:val="auto"/>
        </w:rPr>
        <w:t>SCHEDULE 13G</w:t>
      </w:r>
    </w:p>
    <w:p>
      <w:pPr>
        <w:spacing w:after="0" w:line="12"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(Rule 13d-102)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-215900</wp:posOffset>
            </wp:positionV>
            <wp:extent cx="1457960" cy="1217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121793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Expires: December 31, 2005</w:t>
      </w:r>
    </w:p>
    <w:p>
      <w:pPr>
        <w:spacing w:after="0" w:line="46" w:lineRule="exact"/>
        <w:rPr>
          <w:sz w:val="24"/>
          <w:szCs w:val="24"/>
          <w:color w:val="auto"/>
        </w:rPr>
      </w:pPr>
    </w:p>
    <w:p>
      <w:pPr>
        <w:ind w:right="400"/>
        <w:spacing w:after="0" w:line="380" w:lineRule="auto"/>
        <w:rPr>
          <w:sz w:val="20"/>
          <w:szCs w:val="20"/>
          <w:color w:val="auto"/>
        </w:rPr>
      </w:pPr>
      <w:r>
        <w:rPr>
          <w:rFonts w:ascii="Arial" w:cs="Arial" w:eastAsia="Arial" w:hAnsi="Arial"/>
          <w:sz w:val="15"/>
          <w:szCs w:val="15"/>
          <w:color w:val="auto"/>
        </w:rPr>
        <w:t>Estimated average burden hours per response. . 11</w:t>
      </w:r>
    </w:p>
    <w:p>
      <w:pPr>
        <w:spacing w:after="0" w:line="227" w:lineRule="exact"/>
        <w:rPr>
          <w:sz w:val="24"/>
          <w:szCs w:val="24"/>
          <w:color w:val="auto"/>
        </w:rPr>
      </w:pPr>
    </w:p>
    <w:p>
      <w:pPr>
        <w:sectPr>
          <w:pgSz w:w="11900" w:h="16870" w:orient="portrait"/>
          <w:cols w:equalWidth="0" w:num="2">
            <w:col w:w="8440" w:space="720"/>
            <w:col w:w="2260"/>
          </w:cols>
          <w:pgMar w:left="240" w:top="472" w:right="239" w:bottom="0" w:gutter="0" w:footer="0" w:header="0"/>
          <w:type w:val="continuous"/>
        </w:sectPr>
      </w:pPr>
    </w:p>
    <w:p>
      <w:pPr>
        <w:spacing w:after="0" w:line="19"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Novatel Wireless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66987M109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660" w:hanging="28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117" w:lineRule="exact"/>
        <w:rPr>
          <w:rFonts w:ascii="Arial" w:cs="Arial" w:eastAsia="Arial" w:hAnsi="Arial"/>
          <w:sz w:val="18"/>
          <w:szCs w:val="18"/>
          <w:color w:val="auto"/>
        </w:rPr>
      </w:pPr>
    </w:p>
    <w:p>
      <w:pPr>
        <w:ind w:left="480" w:hanging="10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w:t>
      </w:r>
      <w:r>
        <w:rPr>
          <w:rFonts w:ascii="Arial" w:cs="Arial" w:eastAsia="Arial" w:hAnsi="Arial"/>
          <w:sz w:val="16"/>
          <w:szCs w:val="16"/>
          <w:color w:val="auto"/>
        </w:rPr>
        <w:t>Rule 13d-1(c)</w:t>
      </w:r>
    </w:p>
    <w:p>
      <w:pPr>
        <w:spacing w:after="0" w:line="117" w:lineRule="exact"/>
        <w:rPr>
          <w:sz w:val="24"/>
          <w:szCs w:val="24"/>
          <w:color w:val="auto"/>
        </w:rPr>
      </w:pPr>
    </w:p>
    <w:p>
      <w:pPr>
        <w:ind w:left="660" w:hanging="28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ind w:left="660" w:right="160"/>
        <w:spacing w:after="0" w:line="308" w:lineRule="auto"/>
        <w:rPr>
          <w:rFonts w:ascii="Arial" w:cs="Arial" w:eastAsia="Arial" w:hAnsi="Arial"/>
          <w:sz w:val="18"/>
          <w:szCs w:val="18"/>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Arial" w:cs="Arial" w:eastAsia="Arial" w:hAnsi="Arial"/>
          <w:sz w:val="18"/>
          <w:szCs w:val="18"/>
          <w:color w:val="auto"/>
        </w:rPr>
      </w:pPr>
    </w:p>
    <w:p>
      <w:pPr>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66987M109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3760" w:hanging="620"/>
        <w:spacing w:after="0" w:line="261"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Aether Systems, Inc.</w:t>
      </w:r>
    </w:p>
    <w:p>
      <w:pPr>
        <w:ind w:left="1060"/>
        <w:spacing w:after="0"/>
        <w:rPr>
          <w:rFonts w:ascii="Arial" w:cs="Arial" w:eastAsia="Arial" w:hAnsi="Arial"/>
          <w:sz w:val="18"/>
          <w:szCs w:val="18"/>
          <w:b w:val="1"/>
          <w:bCs w:val="1"/>
          <w:color w:val="auto"/>
        </w:rPr>
      </w:pPr>
      <w:r>
        <w:rPr>
          <w:rFonts w:ascii="Arial" w:cs="Arial" w:eastAsia="Arial" w:hAnsi="Arial"/>
          <w:sz w:val="18"/>
          <w:szCs w:val="18"/>
          <w:color w:val="auto"/>
        </w:rPr>
        <w:t>52-2186634</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120" w:hanging="1059"/>
        <w:spacing w:after="0"/>
        <w:tabs>
          <w:tab w:leader="none" w:pos="21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 X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60" w:hanging="620"/>
        <w:spacing w:after="0"/>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60" w:right="7560" w:hanging="620"/>
        <w:spacing w:after="0" w:line="282"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-1805940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-1179830</wp:posOffset>
            </wp:positionV>
            <wp:extent cx="59347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-965200</wp:posOffset>
            </wp:positionV>
            <wp:extent cx="5934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-545465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200" w:type="dxa"/>
            <w:vAlign w:val="bottom"/>
          </w:tcPr>
          <w:p>
            <w:pPr>
              <w:spacing w:after="0"/>
              <w:rPr>
                <w:sz w:val="18"/>
                <w:szCs w:val="18"/>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449,313</w:t>
            </w:r>
          </w:p>
        </w:tc>
        <w:tc>
          <w:tcPr>
            <w:tcW w:w="0" w:type="dxa"/>
            <w:vAlign w:val="bottom"/>
          </w:tcPr>
          <w:p>
            <w:pPr>
              <w:spacing w:after="0"/>
              <w:rPr>
                <w:sz w:val="1"/>
                <w:szCs w:val="1"/>
                <w:color w:val="auto"/>
              </w:rPr>
            </w:pPr>
          </w:p>
        </w:tc>
      </w:tr>
      <w:tr>
        <w:trPr>
          <w:trHeight w:val="72"/>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472"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1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Person With</w:t>
            </w:r>
          </w:p>
        </w:tc>
        <w:tc>
          <w:tcPr>
            <w:tcW w:w="118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20" w:right="7100" w:hanging="911"/>
        <w:spacing w:after="0" w:line="282" w:lineRule="auto"/>
        <w:tabs>
          <w:tab w:leader="none" w:pos="25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449,313</w:t>
      </w:r>
    </w:p>
    <w:p>
      <w:pPr>
        <w:spacing w:after="0" w:line="391" w:lineRule="exact"/>
        <w:rPr>
          <w:rFonts w:ascii="Arial" w:cs="Arial" w:eastAsia="Arial" w:hAnsi="Arial"/>
          <w:sz w:val="18"/>
          <w:szCs w:val="18"/>
          <w:b w:val="1"/>
          <w:bCs w:val="1"/>
          <w:color w:val="auto"/>
        </w:rPr>
      </w:pPr>
    </w:p>
    <w:p>
      <w:pPr>
        <w:ind w:left="2520" w:right="6880" w:hanging="911"/>
        <w:spacing w:after="0" w:line="282" w:lineRule="auto"/>
        <w:tabs>
          <w:tab w:leader="none" w:pos="25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449,313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-1102995</wp:posOffset>
            </wp:positionV>
            <wp:extent cx="565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-545465</wp:posOffset>
            </wp:positionV>
            <wp:extent cx="5651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980" w:val="left"/>
          <w:tab w:leader="none" w:pos="79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189230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6360" w:hanging="620"/>
        <w:spacing w:after="0" w:line="282" w:lineRule="auto"/>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6.3%</w:t>
      </w:r>
    </w:p>
    <w:p>
      <w:pPr>
        <w:spacing w:after="0" w:line="391" w:lineRule="exact"/>
        <w:rPr>
          <w:rFonts w:ascii="Arial" w:cs="Arial" w:eastAsia="Arial" w:hAnsi="Arial"/>
          <w:sz w:val="18"/>
          <w:szCs w:val="18"/>
          <w:b w:val="1"/>
          <w:bCs w:val="1"/>
          <w:color w:val="auto"/>
        </w:rPr>
      </w:pPr>
    </w:p>
    <w:p>
      <w:pPr>
        <w:ind w:left="1000" w:hanging="620"/>
        <w:spacing w:after="0"/>
        <w:tabs>
          <w:tab w:leader="none" w:pos="10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-516890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right="3760" w:hanging="620"/>
        <w:spacing w:after="0" w:line="282" w:lineRule="auto"/>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Aether Capital, LLC</w:t>
      </w:r>
    </w:p>
    <w:p>
      <w:pPr>
        <w:spacing w:after="0" w:line="391" w:lineRule="exact"/>
        <w:rPr>
          <w:rFonts w:ascii="Arial" w:cs="Arial" w:eastAsia="Arial" w:hAnsi="Arial"/>
          <w:sz w:val="18"/>
          <w:szCs w:val="18"/>
          <w:b w:val="1"/>
          <w:bCs w:val="1"/>
          <w:color w:val="auto"/>
        </w:rPr>
      </w:pPr>
    </w:p>
    <w:p>
      <w:pPr>
        <w:ind w:left="1000" w:hanging="620"/>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X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-1805940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-1179830</wp:posOffset>
            </wp:positionV>
            <wp:extent cx="5934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-965200</wp:posOffset>
            </wp:positionV>
            <wp:extent cx="5934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-545465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80" w:type="dxa"/>
            <w:vAlign w:val="bottom"/>
          </w:tcPr>
          <w:p>
            <w:pPr>
              <w:spacing w:after="0"/>
              <w:rPr>
                <w:sz w:val="19"/>
                <w:szCs w:val="19"/>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b w:val="1"/>
                <w:bCs w:val="1"/>
                <w:color w:val="auto"/>
              </w:rPr>
              <w:t>5.</w:t>
            </w:r>
          </w:p>
        </w:tc>
        <w:tc>
          <w:tcPr>
            <w:tcW w:w="8900" w:type="dxa"/>
            <w:vAlign w:val="bottom"/>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tcPr>
          <w:p>
            <w:pPr>
              <w:ind w:left="60"/>
              <w:spacing w:after="0"/>
              <w:rPr>
                <w:sz w:val="20"/>
                <w:szCs w:val="20"/>
                <w:color w:val="auto"/>
              </w:rPr>
            </w:pPr>
            <w:r>
              <w:rPr>
                <w:rFonts w:ascii="Arial" w:cs="Arial" w:eastAsia="Arial" w:hAnsi="Arial"/>
                <w:sz w:val="18"/>
                <w:szCs w:val="18"/>
                <w:color w:val="auto"/>
              </w:rPr>
              <w:t>449,313</w:t>
            </w:r>
          </w:p>
        </w:tc>
        <w:tc>
          <w:tcPr>
            <w:tcW w:w="0" w:type="dxa"/>
            <w:vAlign w:val="bottom"/>
          </w:tcPr>
          <w:p>
            <w:pPr>
              <w:spacing w:after="0"/>
              <w:rPr>
                <w:sz w:val="1"/>
                <w:szCs w:val="1"/>
                <w:color w:val="auto"/>
              </w:rPr>
            </w:pPr>
          </w:p>
        </w:tc>
      </w:tr>
      <w:tr>
        <w:trPr>
          <w:trHeight w:val="54"/>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1280" w:type="dxa"/>
            <w:vAlign w:val="bottom"/>
            <w:vMerge w:val="continue"/>
          </w:tcPr>
          <w:p>
            <w:pPr>
              <w:spacing w:after="0"/>
              <w:rPr>
                <w:sz w:val="24"/>
                <w:szCs w:val="24"/>
                <w:color w:val="auto"/>
              </w:rPr>
            </w:pP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Beneficially</w:t>
            </w:r>
          </w:p>
        </w:tc>
        <w:tc>
          <w:tcPr>
            <w:tcW w:w="1180" w:type="dxa"/>
            <w:vAlign w:val="bottom"/>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1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449,313</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Person With</w:t>
            </w:r>
          </w:p>
        </w:tc>
        <w:tc>
          <w:tcPr>
            <w:tcW w:w="118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20" w:right="6880" w:hanging="911"/>
        <w:spacing w:after="0" w:line="282" w:lineRule="auto"/>
        <w:tabs>
          <w:tab w:leader="none" w:pos="25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449,313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-545465</wp:posOffset>
            </wp:positionV>
            <wp:extent cx="5651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980" w:val="left"/>
          <w:tab w:leader="none" w:pos="79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189230</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ectPr>
          <w:pgSz w:w="11900" w:h="16838" w:orient="portrait"/>
          <w:cols w:equalWidth="0" w:num="1">
            <w:col w:w="11360"/>
          </w:cols>
          <w:pgMar w:left="300" w:top="121" w:right="239" w:bottom="0" w:gutter="0" w:footer="0" w:header="0"/>
        </w:sectPr>
      </w:pPr>
    </w:p>
    <w:bookmarkStart w:id="2" w:name="page3"/>
    <w:bookmarkEnd w:id="2"/>
    <w:p>
      <w:pPr>
        <w:ind w:left="10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0" w:hanging="620"/>
        <w:spacing w:after="0"/>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right="3760" w:hanging="620"/>
        <w:spacing w:after="0" w:line="261" w:lineRule="auto"/>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I.R.S. Identification Nos. of above persons (entities only) </w:t>
      </w:r>
      <w:r>
        <w:rPr>
          <w:rFonts w:ascii="Arial" w:cs="Arial" w:eastAsia="Arial" w:hAnsi="Arial"/>
          <w:sz w:val="18"/>
          <w:szCs w:val="18"/>
          <w:color w:val="auto"/>
        </w:rPr>
        <w:t>David S. Oros</w:t>
      </w: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Not Applicable (natural person)</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21"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130" w:lineRule="exact"/>
        <w:rPr>
          <w:rFonts w:ascii="Arial" w:cs="Arial" w:eastAsia="Arial" w:hAnsi="Arial"/>
          <w:sz w:val="18"/>
          <w:szCs w:val="18"/>
          <w:b w:val="1"/>
          <w:bCs w:val="1"/>
          <w:color w:val="auto"/>
        </w:rPr>
      </w:pPr>
    </w:p>
    <w:p>
      <w:pPr>
        <w:ind w:left="2060" w:hanging="1059"/>
        <w:spacing w:after="0"/>
        <w:tabs>
          <w:tab w:leader="none" w:pos="206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X ]</w:t>
      </w:r>
    </w:p>
    <w:p>
      <w:pPr>
        <w:spacing w:after="0" w:line="200" w:lineRule="exact"/>
        <w:rPr>
          <w:rFonts w:ascii="Arial" w:cs="Arial" w:eastAsia="Arial" w:hAnsi="Arial"/>
          <w:sz w:val="18"/>
          <w:szCs w:val="18"/>
          <w:b w:val="1"/>
          <w:bCs w:val="1"/>
          <w:color w:val="auto"/>
        </w:rPr>
      </w:pPr>
    </w:p>
    <w:p>
      <w:pPr>
        <w:spacing w:after="0" w:line="250"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1000" w:right="7560" w:hanging="620"/>
        <w:spacing w:after="0" w:line="282" w:lineRule="auto"/>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w:t>
      </w:r>
    </w:p>
    <w:p>
      <w:pPr>
        <w:spacing w:after="0" w:line="391" w:lineRule="exact"/>
        <w:rPr>
          <w:rFonts w:ascii="Arial" w:cs="Arial" w:eastAsia="Arial" w:hAnsi="Arial"/>
          <w:sz w:val="18"/>
          <w:szCs w:val="18"/>
          <w:b w:val="1"/>
          <w:bCs w:val="1"/>
          <w:color w:val="auto"/>
        </w:rPr>
      </w:pPr>
    </w:p>
    <w:p>
      <w:pPr>
        <w:ind w:left="2520" w:right="7440" w:hanging="911"/>
        <w:spacing w:after="0" w:line="282" w:lineRule="auto"/>
        <w:tabs>
          <w:tab w:leader="none" w:pos="2520"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-2363470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-1737360</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-1522730</wp:posOffset>
            </wp:positionV>
            <wp:extent cx="5934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-1102995</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-545465</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11430</wp:posOffset>
            </wp:positionV>
            <wp:extent cx="5651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6.</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180" w:type="dxa"/>
            <w:vAlign w:val="bottom"/>
            <w:vMerge w:val="continue"/>
          </w:tcPr>
          <w:p>
            <w:pPr>
              <w:spacing w:after="0"/>
              <w:rPr>
                <w:sz w:val="8"/>
                <w:szCs w:val="8"/>
                <w:color w:val="auto"/>
              </w:rPr>
            </w:pPr>
          </w:p>
        </w:tc>
        <w:tc>
          <w:tcPr>
            <w:tcW w:w="8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Beneficially</w:t>
            </w:r>
          </w:p>
        </w:tc>
        <w:tc>
          <w:tcPr>
            <w:tcW w:w="1180" w:type="dxa"/>
            <w:vAlign w:val="bottom"/>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1180" w:type="dxa"/>
            <w:vAlign w:val="bottom"/>
          </w:tcPr>
          <w:p>
            <w:pPr>
              <w:spacing w:after="0"/>
              <w:rPr>
                <w:sz w:val="21"/>
                <w:szCs w:val="21"/>
                <w:color w:val="auto"/>
              </w:rPr>
            </w:pPr>
          </w:p>
        </w:tc>
        <w:tc>
          <w:tcPr>
            <w:tcW w:w="8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11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7.</w:t>
            </w:r>
          </w:p>
        </w:tc>
        <w:tc>
          <w:tcPr>
            <w:tcW w:w="89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2"/>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Reporting</w:t>
            </w:r>
          </w:p>
        </w:tc>
        <w:tc>
          <w:tcPr>
            <w:tcW w:w="1180" w:type="dxa"/>
            <w:vAlign w:val="bottom"/>
            <w:vMerge w:val="continue"/>
          </w:tcPr>
          <w:p>
            <w:pPr>
              <w:spacing w:after="0"/>
              <w:rPr>
                <w:sz w:val="9"/>
                <w:szCs w:val="9"/>
                <w:color w:val="auto"/>
              </w:rPr>
            </w:pPr>
          </w:p>
        </w:tc>
        <w:tc>
          <w:tcPr>
            <w:tcW w:w="8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2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900" w:type="dxa"/>
            <w:vAlign w:val="bottom"/>
            <w:vMerge w:val="restart"/>
          </w:tcPr>
          <w:p>
            <w:pPr>
              <w:ind w:left="6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126"/>
        </w:trPr>
        <w:tc>
          <w:tcPr>
            <w:tcW w:w="1280" w:type="dxa"/>
            <w:vAlign w:val="bottom"/>
            <w:vMerge w:val="restart"/>
          </w:tcPr>
          <w:p>
            <w:pPr>
              <w:spacing w:after="0" w:line="160" w:lineRule="exact"/>
              <w:rPr>
                <w:sz w:val="20"/>
                <w:szCs w:val="20"/>
                <w:color w:val="auto"/>
              </w:rPr>
            </w:pPr>
            <w:r>
              <w:rPr>
                <w:rFonts w:ascii="Arial" w:cs="Arial" w:eastAsia="Arial" w:hAnsi="Arial"/>
                <w:sz w:val="18"/>
                <w:szCs w:val="18"/>
                <w:b w:val="1"/>
                <w:bCs w:val="1"/>
                <w:color w:val="auto"/>
              </w:rPr>
              <w:t>Person With</w:t>
            </w:r>
          </w:p>
        </w:tc>
        <w:tc>
          <w:tcPr>
            <w:tcW w:w="1180" w:type="dxa"/>
            <w:vAlign w:val="bottom"/>
          </w:tcPr>
          <w:p>
            <w:pPr>
              <w:spacing w:after="0"/>
              <w:rPr>
                <w:sz w:val="10"/>
                <w:szCs w:val="10"/>
                <w:color w:val="auto"/>
              </w:rPr>
            </w:pPr>
          </w:p>
        </w:tc>
        <w:tc>
          <w:tcPr>
            <w:tcW w:w="8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8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520" w:right="6880" w:hanging="911"/>
        <w:spacing w:after="0" w:line="282" w:lineRule="auto"/>
        <w:tabs>
          <w:tab w:leader="none" w:pos="25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391" w:lineRule="exact"/>
        <w:rPr>
          <w:rFonts w:ascii="Arial" w:cs="Arial" w:eastAsia="Arial" w:hAnsi="Arial"/>
          <w:sz w:val="18"/>
          <w:szCs w:val="18"/>
          <w:b w:val="1"/>
          <w:bCs w:val="1"/>
          <w:color w:val="auto"/>
        </w:rPr>
      </w:pPr>
    </w:p>
    <w:p>
      <w:pPr>
        <w:ind w:left="1000" w:right="5280" w:hanging="620"/>
        <w:spacing w:after="0" w:line="282" w:lineRule="auto"/>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-545465</wp:posOffset>
            </wp:positionV>
            <wp:extent cx="5651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0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11430</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p>
      <w:pPr>
        <w:ind w:left="380"/>
        <w:spacing w:after="0"/>
        <w:tabs>
          <w:tab w:leader="none" w:pos="980" w:val="left"/>
          <w:tab w:leader="none" w:pos="79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7"/>
          <w:szCs w:val="17"/>
          <w:b w:val="1"/>
          <w:bCs w:val="1"/>
          <w:color w:val="auto"/>
        </w:rPr>
        <w:t xml:space="preserve">Check if the Aggregate Amount in Row (9) Excludes Certain Shares (See Instructions)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189230</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right="6360" w:hanging="620"/>
        <w:spacing w:after="0" w:line="282" w:lineRule="auto"/>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391" w:lineRule="exact"/>
        <w:rPr>
          <w:rFonts w:ascii="Arial" w:cs="Arial" w:eastAsia="Arial" w:hAnsi="Arial"/>
          <w:sz w:val="18"/>
          <w:szCs w:val="18"/>
          <w:b w:val="1"/>
          <w:bCs w:val="1"/>
          <w:color w:val="auto"/>
        </w:rPr>
      </w:pPr>
    </w:p>
    <w:p>
      <w:pPr>
        <w:ind w:left="1000" w:hanging="620"/>
        <w:spacing w:after="0"/>
        <w:tabs>
          <w:tab w:leader="none" w:pos="10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-516890</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ind w:left="1440" w:hanging="506"/>
        <w:spacing w:after="0"/>
        <w:tabs>
          <w:tab w:leader="none" w:pos="1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Novatel Wireless Inc. (the “Issuer”)</w:t>
      </w:r>
    </w:p>
    <w:p>
      <w:pPr>
        <w:spacing w:after="0" w:line="98"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address of the Issuer’s principal executive offices is 9360 Town Centre Drive, Suite 110, San Diego, CA 92121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1440" w:hanging="506"/>
        <w:spacing w:after="0"/>
        <w:tabs>
          <w:tab w:leader="none" w:pos="1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7"/>
          <w:szCs w:val="17"/>
          <w:color w:val="auto"/>
        </w:rPr>
        <w:t>This statement is filed on behalf of Aether Systems, Inc., its wholly-owned subsidiary, Aether Capital, LLC, and David S. Oros, who</w:t>
      </w:r>
    </w:p>
    <w:p>
      <w:pPr>
        <w:sectPr>
          <w:pgSz w:w="11900" w:h="16838" w:orient="portrait"/>
          <w:cols w:equalWidth="0" w:num="1">
            <w:col w:w="11360"/>
          </w:cols>
          <w:pgMar w:left="300" w:top="125" w:right="239" w:bottom="0" w:gutter="0" w:footer="0" w:header="0"/>
        </w:sectPr>
      </w:pPr>
    </w:p>
    <w:bookmarkStart w:id="3" w:name="page4"/>
    <w:bookmarkEnd w:id="3"/>
    <w:p>
      <w:pPr>
        <w:ind w:left="1440"/>
        <w:spacing w:after="0"/>
        <w:rPr>
          <w:sz w:val="20"/>
          <w:szCs w:val="20"/>
          <w:color w:val="auto"/>
        </w:rPr>
      </w:pPr>
      <w:r>
        <w:rPr>
          <w:rFonts w:ascii="Arial" w:cs="Arial" w:eastAsia="Arial" w:hAnsi="Arial"/>
          <w:sz w:val="18"/>
          <w:szCs w:val="18"/>
          <w:color w:val="auto"/>
        </w:rPr>
        <w:t>serves as the Chairman of the Board and Chief Executive Officer of Aether Systems, Inc.</w:t>
      </w:r>
    </w:p>
    <w:p>
      <w:pPr>
        <w:spacing w:after="0" w:line="113" w:lineRule="exact"/>
        <w:rPr>
          <w:sz w:val="20"/>
          <w:szCs w:val="20"/>
          <w:color w:val="auto"/>
        </w:rPr>
      </w:pPr>
    </w:p>
    <w:p>
      <w:pPr>
        <w:ind w:left="1440" w:hanging="506"/>
        <w:spacing w:after="0"/>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7" w:lineRule="exact"/>
        <w:rPr>
          <w:rFonts w:ascii="Arial" w:cs="Arial" w:eastAsia="Arial" w:hAnsi="Arial"/>
          <w:sz w:val="18"/>
          <w:szCs w:val="18"/>
          <w:b w:val="1"/>
          <w:bCs w:val="1"/>
          <w:color w:val="auto"/>
        </w:rPr>
      </w:pPr>
    </w:p>
    <w:p>
      <w:pPr>
        <w:ind w:left="144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principal place of business of Aether Systems, Inc., Aether Capital, LLC, and David S. Oros is 11460 Cronridge Drive, Owings Mills, Maryland 21117.</w:t>
      </w:r>
    </w:p>
    <w:p>
      <w:pPr>
        <w:spacing w:after="0" w:line="71"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citizenship or place of organization of each of the Reporting Persons is set forth on the cover page.</w:t>
      </w:r>
    </w:p>
    <w:p>
      <w:pPr>
        <w:spacing w:after="0" w:line="98"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title of the securities is common stock, par value $0.001 per share (the “Common Stock”).</w:t>
      </w:r>
    </w:p>
    <w:p>
      <w:pPr>
        <w:spacing w:after="0" w:line="98"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The CUSIP number of the Common Stock is set forth on the cover page.</w:t>
      </w:r>
    </w:p>
    <w:p>
      <w:pPr>
        <w:spacing w:after="0" w:line="200" w:lineRule="exact"/>
        <w:rPr>
          <w:sz w:val="20"/>
          <w:szCs w:val="20"/>
          <w:color w:val="auto"/>
        </w:rPr>
      </w:pPr>
    </w:p>
    <w:p>
      <w:pPr>
        <w:spacing w:after="0" w:line="22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17" w:lineRule="exact"/>
        <w:rPr>
          <w:sz w:val="20"/>
          <w:szCs w:val="20"/>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Broker or dealer registered under section 15 of the Act (15 U.S.C. 78o).</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Bank as defined in section 3(a)(6) of the Act (15 U.S.C. 78c).</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Insurance company as defined in section 3(a)(19) of the Act (15 U.S.C. 78c).</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An investment adviser in accordance with §240.13d-1(b)(1)(ii)(E);</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An employee benefit plan or endowment fund in accordance with §240.13d-1(b)(1)(ii)(F);</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 parent holding company or control person in accordance with § 240.13d-1(b)(1)(ii)(G);</w:t>
      </w:r>
    </w:p>
    <w:p>
      <w:pPr>
        <w:spacing w:after="0" w:line="117"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A savings associations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2060" w:right="180" w:hanging="1126"/>
        <w:spacing w:after="0" w:line="282" w:lineRule="auto"/>
        <w:tabs>
          <w:tab w:leader="none" w:pos="143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]A church plan that is excluded from the definition of an investment company under section 3(c)(14) of the Investment Company Act of 1940 (15 U.S.C. 80a-3);</w:t>
      </w:r>
    </w:p>
    <w:p>
      <w:pPr>
        <w:spacing w:after="0" w:line="53" w:lineRule="exact"/>
        <w:rPr>
          <w:rFonts w:ascii="Arial" w:cs="Arial" w:eastAsia="Arial" w:hAnsi="Arial"/>
          <w:sz w:val="18"/>
          <w:szCs w:val="18"/>
          <w:b w:val="1"/>
          <w:bCs w:val="1"/>
          <w:color w:val="auto"/>
        </w:rPr>
      </w:pPr>
    </w:p>
    <w:p>
      <w:pPr>
        <w:ind w:left="1440" w:hanging="506"/>
        <w:spacing w:after="0"/>
        <w:tabs>
          <w:tab w:leader="none" w:pos="1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w:t>
      </w:r>
      <w:r>
        <w:rPr>
          <w:rFonts w:ascii="Arial" w:cs="Arial" w:eastAsia="Arial" w:hAnsi="Arial"/>
          <w:sz w:val="16"/>
          <w:szCs w:val="16"/>
          <w:b w:val="1"/>
          <w:bCs w:val="1"/>
          <w:color w:val="auto"/>
        </w:rPr>
        <w:t>Group, in accordance with §240.13d-1(b)(1)(ii)(J).</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1600" w:hanging="477"/>
        <w:spacing w:after="0"/>
        <w:tabs>
          <w:tab w:leader="none" w:pos="1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Aether Systems, Inc.</w:t>
            </w:r>
          </w:p>
        </w:tc>
        <w:tc>
          <w:tcPr>
            <w:tcW w:w="1260" w:type="dxa"/>
            <w:vAlign w:val="bottom"/>
          </w:tcPr>
          <w:p>
            <w:pPr>
              <w:ind w:left="680"/>
              <w:spacing w:after="0"/>
              <w:rPr>
                <w:sz w:val="20"/>
                <w:szCs w:val="20"/>
                <w:color w:val="auto"/>
              </w:rPr>
            </w:pPr>
            <w:r>
              <w:rPr>
                <w:rFonts w:ascii="Arial" w:cs="Arial" w:eastAsia="Arial" w:hAnsi="Arial"/>
                <w:sz w:val="18"/>
                <w:szCs w:val="18"/>
                <w:color w:val="auto"/>
                <w:w w:val="86"/>
              </w:rPr>
              <w:t>449,313</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Aether Capital, LLC</w:t>
            </w:r>
          </w:p>
        </w:tc>
        <w:tc>
          <w:tcPr>
            <w:tcW w:w="1260" w:type="dxa"/>
            <w:vAlign w:val="bottom"/>
          </w:tcPr>
          <w:p>
            <w:pPr>
              <w:ind w:left="680"/>
              <w:spacing w:after="0"/>
              <w:rPr>
                <w:sz w:val="20"/>
                <w:szCs w:val="20"/>
                <w:color w:val="auto"/>
              </w:rPr>
            </w:pPr>
            <w:r>
              <w:rPr>
                <w:rFonts w:ascii="Arial" w:cs="Arial" w:eastAsia="Arial" w:hAnsi="Arial"/>
                <w:sz w:val="18"/>
                <w:szCs w:val="18"/>
                <w:color w:val="auto"/>
                <w:w w:val="86"/>
              </w:rPr>
              <w:t>449,313</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David S. Oros</w:t>
            </w:r>
          </w:p>
        </w:tc>
        <w:tc>
          <w:tcPr>
            <w:tcW w:w="1260" w:type="dxa"/>
            <w:vAlign w:val="bottom"/>
          </w:tcPr>
          <w:p>
            <w:pPr>
              <w:ind w:left="680"/>
              <w:spacing w:after="0"/>
              <w:rPr>
                <w:sz w:val="20"/>
                <w:szCs w:val="20"/>
                <w:color w:val="auto"/>
              </w:rPr>
            </w:pPr>
            <w:r>
              <w:rPr>
                <w:rFonts w:ascii="Arial" w:cs="Arial" w:eastAsia="Arial" w:hAnsi="Arial"/>
                <w:sz w:val="18"/>
                <w:szCs w:val="18"/>
                <w:color w:val="auto"/>
              </w:rPr>
              <w:t>3,713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197485</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*All amounts of shares of Common Stock beneficially owned reflect the 15:1 reverse stock split effective as of October 29, 2002.</w:t>
      </w:r>
    </w:p>
    <w:p>
      <w:pPr>
        <w:spacing w:after="0" w:line="113" w:lineRule="exact"/>
        <w:rPr>
          <w:sz w:val="20"/>
          <w:szCs w:val="20"/>
          <w:color w:val="auto"/>
        </w:rPr>
      </w:pPr>
    </w:p>
    <w:tbl>
      <w:tblPr>
        <w:tblLayout w:type="fixed"/>
        <w:tblInd w:w="112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Arial" w:cs="Arial" w:eastAsia="Arial" w:hAnsi="Arial"/>
                <w:sz w:val="18"/>
                <w:szCs w:val="18"/>
                <w:b w:val="1"/>
                <w:bCs w:val="1"/>
                <w:color w:val="auto"/>
              </w:rPr>
              <w:t>(b)   Percent of class:</w:t>
            </w:r>
          </w:p>
        </w:tc>
        <w:tc>
          <w:tcPr>
            <w:tcW w:w="1060" w:type="dxa"/>
            <w:vAlign w:val="bottom"/>
          </w:tcPr>
          <w:p>
            <w:pPr>
              <w:spacing w:after="0"/>
              <w:rPr>
                <w:sz w:val="19"/>
                <w:szCs w:val="19"/>
                <w:color w:val="auto"/>
              </w:rPr>
            </w:pPr>
          </w:p>
        </w:tc>
      </w:tr>
      <w:tr>
        <w:trPr>
          <w:trHeight w:val="216"/>
        </w:trPr>
        <w:tc>
          <w:tcPr>
            <w:tcW w:w="2660" w:type="dxa"/>
            <w:vAlign w:val="bottom"/>
          </w:tcPr>
          <w:p>
            <w:pPr>
              <w:ind w:left="480"/>
              <w:spacing w:after="0"/>
              <w:rPr>
                <w:sz w:val="20"/>
                <w:szCs w:val="20"/>
                <w:color w:val="auto"/>
              </w:rPr>
            </w:pPr>
            <w:r>
              <w:rPr>
                <w:rFonts w:ascii="Arial" w:cs="Arial" w:eastAsia="Arial" w:hAnsi="Arial"/>
                <w:sz w:val="18"/>
                <w:szCs w:val="18"/>
                <w:color w:val="auto"/>
              </w:rPr>
              <w:t>Aether Systems, Inc.</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660" w:type="dxa"/>
            <w:vAlign w:val="bottom"/>
          </w:tcPr>
          <w:p>
            <w:pPr>
              <w:ind w:left="480"/>
              <w:spacing w:after="0"/>
              <w:rPr>
                <w:sz w:val="20"/>
                <w:szCs w:val="20"/>
                <w:color w:val="auto"/>
              </w:rPr>
            </w:pPr>
            <w:r>
              <w:rPr>
                <w:rFonts w:ascii="Arial" w:cs="Arial" w:eastAsia="Arial" w:hAnsi="Arial"/>
                <w:sz w:val="18"/>
                <w:szCs w:val="18"/>
                <w:color w:val="auto"/>
              </w:rPr>
              <w:t>Aether Capital, LLC</w:t>
            </w: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660" w:type="dxa"/>
            <w:vAlign w:val="bottom"/>
          </w:tcPr>
          <w:p>
            <w:pPr>
              <w:ind w:left="480"/>
              <w:spacing w:after="0"/>
              <w:rPr>
                <w:sz w:val="20"/>
                <w:szCs w:val="20"/>
                <w:color w:val="auto"/>
              </w:rPr>
            </w:pPr>
            <w:r>
              <w:rPr>
                <w:rFonts w:ascii="Arial" w:cs="Arial" w:eastAsia="Arial" w:hAnsi="Arial"/>
                <w:sz w:val="18"/>
                <w:szCs w:val="18"/>
                <w:color w:val="auto"/>
              </w:rPr>
              <w:t>David S. Oros</w:t>
            </w:r>
          </w:p>
        </w:tc>
        <w:tc>
          <w:tcPr>
            <w:tcW w:w="106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90" w:lineRule="exact"/>
        <w:rPr>
          <w:sz w:val="20"/>
          <w:szCs w:val="20"/>
          <w:color w:val="auto"/>
        </w:rPr>
      </w:pPr>
    </w:p>
    <w:p>
      <w:pPr>
        <w:ind w:left="1600" w:hanging="477"/>
        <w:spacing w:after="0"/>
        <w:tabs>
          <w:tab w:leader="none" w:pos="16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17" w:lineRule="exact"/>
        <w:rPr>
          <w:rFonts w:ascii="Arial" w:cs="Arial" w:eastAsia="Arial" w:hAnsi="Arial"/>
          <w:sz w:val="18"/>
          <w:szCs w:val="18"/>
          <w:b w:val="1"/>
          <w:bCs w:val="1"/>
          <w:color w:val="auto"/>
        </w:rPr>
      </w:pPr>
    </w:p>
    <w:p>
      <w:pPr>
        <w:ind w:left="2220" w:hanging="453"/>
        <w:spacing w:after="0"/>
        <w:tabs>
          <w:tab w:leader="none" w:pos="222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27" w:lineRule="exact"/>
        <w:rPr>
          <w:rFonts w:ascii="Arial" w:cs="Arial" w:eastAsia="Arial" w:hAnsi="Arial"/>
          <w:sz w:val="18"/>
          <w:szCs w:val="18"/>
          <w:b w:val="1"/>
          <w:bCs w:val="1"/>
          <w:color w:val="auto"/>
        </w:rPr>
      </w:pPr>
    </w:p>
    <w:p>
      <w:pPr>
        <w:ind w:left="222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Aether Capital, LLC directly owns 325,015 shares of Common Stock. Aether Capital, LLC also holds an immediately exercisable option to purchase an additional 46,376 shares of Common Stock at any time prior to June 30, 2005 and an immediately exercisable option to purchase an additional 77,922 shares of Common Stock at any time prior to December 20, 2005.</w:t>
      </w:r>
    </w:p>
    <w:p>
      <w:pPr>
        <w:spacing w:after="0" w:line="81" w:lineRule="exact"/>
        <w:rPr>
          <w:rFonts w:ascii="Arial" w:cs="Arial" w:eastAsia="Arial" w:hAnsi="Arial"/>
          <w:sz w:val="18"/>
          <w:szCs w:val="18"/>
          <w:b w:val="1"/>
          <w:bCs w:val="1"/>
          <w:color w:val="auto"/>
        </w:rPr>
      </w:pPr>
    </w:p>
    <w:p>
      <w:pPr>
        <w:ind w:left="222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Aether Systems, Inc., through its ability to control Aether Capital, LLC, has the sole power to vote or direct the vote of 449,313 shares of Common Stock.</w:t>
      </w:r>
    </w:p>
    <w:p>
      <w:pPr>
        <w:spacing w:after="0" w:line="62" w:lineRule="exact"/>
        <w:rPr>
          <w:rFonts w:ascii="Arial" w:cs="Arial" w:eastAsia="Arial" w:hAnsi="Arial"/>
          <w:sz w:val="18"/>
          <w:szCs w:val="18"/>
          <w:b w:val="1"/>
          <w:bCs w:val="1"/>
          <w:color w:val="auto"/>
        </w:rPr>
      </w:pPr>
    </w:p>
    <w:p>
      <w:pPr>
        <w:ind w:left="2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David S. Oros directly owns 2,444 shares of Common Stock and warrants to purchase 1,269 shares of Common Stock. Mr. Oros serves as Chairman of the Board and Chief Executive Officer of Aether Systems, Inc. Mr. Oros is reporting because he may be considered a part of a group with Aether Capital, LLC and Aether Systems, Inc., the sole member of Aether Capital, LLC. Mr. Oros disclaims beneficial ownership of Common Stock beneficially owned by Aether Capital, LLC and Aether Systems, Inc. Aether Capital, LLC and Aether Systems, Inc. disclaim beneficial ownership of Common Stock beneficially owned by Mr. Oros.</w:t>
      </w:r>
    </w:p>
    <w:p>
      <w:pPr>
        <w:spacing w:after="0" w:line="81" w:lineRule="exact"/>
        <w:rPr>
          <w:sz w:val="20"/>
          <w:szCs w:val="20"/>
          <w:color w:val="auto"/>
        </w:rPr>
      </w:pPr>
    </w:p>
    <w:p>
      <w:pPr>
        <w:ind w:left="2220" w:hanging="478"/>
        <w:spacing w:after="0"/>
        <w:tabs>
          <w:tab w:leader="none" w:pos="22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2"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Aether Systems, Inc.</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Aether Capital, LLC</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David S. Oros</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90" w:lineRule="exact"/>
        <w:rPr>
          <w:sz w:val="20"/>
          <w:szCs w:val="20"/>
          <w:color w:val="auto"/>
        </w:rPr>
      </w:pPr>
    </w:p>
    <w:p>
      <w:pPr>
        <w:ind w:left="2220" w:hanging="503"/>
        <w:spacing w:after="0"/>
        <w:tabs>
          <w:tab w:leader="none" w:pos="22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7" w:lineRule="exact"/>
        <w:rPr>
          <w:rFonts w:ascii="Arial" w:cs="Arial" w:eastAsia="Arial" w:hAnsi="Arial"/>
          <w:sz w:val="18"/>
          <w:szCs w:val="18"/>
          <w:b w:val="1"/>
          <w:bCs w:val="1"/>
          <w:color w:val="auto"/>
        </w:rPr>
      </w:pPr>
    </w:p>
    <w:p>
      <w:pPr>
        <w:jc w:val="both"/>
        <w:ind w:left="2220" w:right="4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Aether Capital, LLC directly owns 325,015 shares of Common Stock. Aether Capital, LLC also holds an immediately exercisable option to purchase an additional 46,376 shares of Common Stock at any time prior to June 30, 2005 and an</w:t>
      </w:r>
    </w:p>
    <w:p>
      <w:pPr>
        <w:sectPr>
          <w:pgSz w:w="11900" w:h="16838" w:orient="portrait"/>
          <w:cols w:equalWidth="0" w:num="1">
            <w:col w:w="11220"/>
          </w:cols>
          <w:pgMar w:left="300" w:top="125" w:right="379" w:bottom="0" w:gutter="0" w:footer="0" w:header="0"/>
        </w:sectPr>
      </w:pPr>
    </w:p>
    <w:bookmarkStart w:id="4" w:name="page5"/>
    <w:bookmarkEnd w:id="4"/>
    <w:p>
      <w:pPr>
        <w:ind w:left="2280" w:right="80"/>
        <w:spacing w:after="0" w:line="258" w:lineRule="auto"/>
        <w:rPr>
          <w:sz w:val="20"/>
          <w:szCs w:val="20"/>
          <w:color w:val="auto"/>
        </w:rPr>
      </w:pPr>
      <w:r>
        <w:rPr>
          <w:rFonts w:ascii="Arial" w:cs="Arial" w:eastAsia="Arial" w:hAnsi="Arial"/>
          <w:sz w:val="18"/>
          <w:szCs w:val="18"/>
          <w:color w:val="auto"/>
        </w:rPr>
        <w:t>immediately exercisable option to purchase an additional 77,922 shares of Common Stock at any time prior to December 20, 2005.</w:t>
      </w:r>
    </w:p>
    <w:p>
      <w:pPr>
        <w:spacing w:after="0" w:line="1" w:lineRule="exact"/>
        <w:rPr>
          <w:sz w:val="20"/>
          <w:szCs w:val="20"/>
          <w:color w:val="auto"/>
        </w:rPr>
      </w:pPr>
    </w:p>
    <w:p>
      <w:pPr>
        <w:ind w:left="2280" w:right="500"/>
        <w:spacing w:after="0" w:line="250" w:lineRule="auto"/>
        <w:rPr>
          <w:sz w:val="20"/>
          <w:szCs w:val="20"/>
          <w:color w:val="auto"/>
        </w:rPr>
      </w:pPr>
      <w:r>
        <w:rPr>
          <w:rFonts w:ascii="Arial" w:cs="Arial" w:eastAsia="Arial" w:hAnsi="Arial"/>
          <w:sz w:val="18"/>
          <w:szCs w:val="18"/>
          <w:color w:val="auto"/>
        </w:rPr>
        <w:t>Aether Systems, Inc., through its ability to control Aether Capital, LLC, has the sole power to vote or direct the vote of 449,313 shares of Common Stock.</w:t>
      </w:r>
    </w:p>
    <w:p>
      <w:pPr>
        <w:spacing w:after="0" w:line="1" w:lineRule="exact"/>
        <w:rPr>
          <w:sz w:val="20"/>
          <w:szCs w:val="20"/>
          <w:color w:val="auto"/>
        </w:rPr>
      </w:pPr>
    </w:p>
    <w:p>
      <w:pPr>
        <w:ind w:left="2280" w:right="60"/>
        <w:spacing w:after="0" w:line="252" w:lineRule="auto"/>
        <w:rPr>
          <w:sz w:val="20"/>
          <w:szCs w:val="20"/>
          <w:color w:val="auto"/>
        </w:rPr>
      </w:pPr>
      <w:r>
        <w:rPr>
          <w:rFonts w:ascii="Arial" w:cs="Arial" w:eastAsia="Arial" w:hAnsi="Arial"/>
          <w:sz w:val="18"/>
          <w:szCs w:val="18"/>
          <w:color w:val="auto"/>
        </w:rPr>
        <w:t>David S. Oros directly owns 2,444 shares of Common Stock and warrants to purchase 1,269 shares of Common Stock. Mr. Oros serves as Chairman of the Board and Chief Executive Officer of Aether Systems, Inc. Mr. Oros is reporting because he may be considered a part of a group with Aether Capital, LLC and Aether Systems, Inc., the sole member of Aether Capital, LLC. Mr. Oros disclaims beneficial ownership of Common Stock beneficially owned by Aether Capital, LLC and Aether Systems, Inc. Aether Capital, LLC and Aether Systems, Inc. disclaim beneficial ownership of Common Stock beneficially owned by Mr. Oros.</w:t>
      </w:r>
    </w:p>
    <w:p>
      <w:pPr>
        <w:spacing w:after="0" w:line="82" w:lineRule="exact"/>
        <w:rPr>
          <w:sz w:val="20"/>
          <w:szCs w:val="20"/>
          <w:color w:val="auto"/>
        </w:rPr>
      </w:pPr>
    </w:p>
    <w:p>
      <w:pPr>
        <w:ind w:left="2280" w:hanging="498"/>
        <w:spacing w:after="0"/>
        <w:tabs>
          <w:tab w:leader="none" w:pos="2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700" w:type="dxa"/>
            <w:vAlign w:val="bottom"/>
          </w:tcPr>
          <w:p>
            <w:pPr>
              <w:ind w:left="1100"/>
              <w:spacing w:after="0"/>
              <w:rPr>
                <w:sz w:val="20"/>
                <w:szCs w:val="20"/>
                <w:color w:val="auto"/>
              </w:rPr>
            </w:pPr>
            <w:r>
              <w:rPr>
                <w:rFonts w:ascii="Arial" w:cs="Arial" w:eastAsia="Arial" w:hAnsi="Arial"/>
                <w:sz w:val="18"/>
                <w:szCs w:val="18"/>
                <w:color w:val="auto"/>
              </w:rPr>
              <w:t>Aether Systems, Inc.</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120" w:type="dxa"/>
            <w:vAlign w:val="bottom"/>
          </w:tcPr>
          <w:p>
            <w:pPr>
              <w:spacing w:after="0"/>
              <w:rPr>
                <w:sz w:val="18"/>
                <w:szCs w:val="18"/>
                <w:color w:val="auto"/>
              </w:rPr>
            </w:pPr>
          </w:p>
        </w:tc>
        <w:tc>
          <w:tcPr>
            <w:tcW w:w="3700" w:type="dxa"/>
            <w:vAlign w:val="bottom"/>
          </w:tcPr>
          <w:p>
            <w:pPr>
              <w:ind w:left="1100"/>
              <w:spacing w:after="0"/>
              <w:rPr>
                <w:sz w:val="20"/>
                <w:szCs w:val="20"/>
                <w:color w:val="auto"/>
              </w:rPr>
            </w:pPr>
            <w:r>
              <w:rPr>
                <w:rFonts w:ascii="Arial" w:cs="Arial" w:eastAsia="Arial" w:hAnsi="Arial"/>
                <w:sz w:val="18"/>
                <w:szCs w:val="18"/>
                <w:color w:val="auto"/>
              </w:rPr>
              <w:t>Aether Capital, LLC</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120" w:type="dxa"/>
            <w:vAlign w:val="bottom"/>
          </w:tcPr>
          <w:p>
            <w:pPr>
              <w:spacing w:after="0"/>
              <w:rPr>
                <w:sz w:val="20"/>
                <w:szCs w:val="20"/>
                <w:color w:val="auto"/>
              </w:rPr>
            </w:pPr>
          </w:p>
        </w:tc>
        <w:tc>
          <w:tcPr>
            <w:tcW w:w="3700" w:type="dxa"/>
            <w:vAlign w:val="bottom"/>
          </w:tcPr>
          <w:p>
            <w:pPr>
              <w:ind w:left="1100"/>
              <w:spacing w:after="0"/>
              <w:rPr>
                <w:sz w:val="20"/>
                <w:szCs w:val="20"/>
                <w:color w:val="auto"/>
              </w:rPr>
            </w:pPr>
            <w:r>
              <w:rPr>
                <w:rFonts w:ascii="Arial" w:cs="Arial" w:eastAsia="Arial" w:hAnsi="Arial"/>
                <w:sz w:val="18"/>
                <w:szCs w:val="18"/>
                <w:color w:val="auto"/>
              </w:rPr>
              <w:t>David S. Oros</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648"/>
        </w:trPr>
        <w:tc>
          <w:tcPr>
            <w:tcW w:w="11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700" w:type="dxa"/>
            <w:vAlign w:val="bottom"/>
          </w:tcPr>
          <w:p>
            <w:pPr>
              <w:spacing w:after="0"/>
              <w:rPr>
                <w:sz w:val="20"/>
                <w:szCs w:val="20"/>
                <w:color w:val="auto"/>
              </w:rPr>
            </w:pPr>
            <w:r>
              <w:rPr>
                <w:rFonts w:ascii="Arial" w:cs="Arial" w:eastAsia="Arial" w:hAnsi="Arial"/>
                <w:sz w:val="18"/>
                <w:szCs w:val="18"/>
                <w:b w:val="1"/>
                <w:bCs w:val="1"/>
                <w:color w:val="auto"/>
                <w:w w:val="95"/>
              </w:rPr>
              <w:t>Ownership of Five Percent or Less of a Class</w:t>
            </w:r>
          </w:p>
        </w:tc>
        <w:tc>
          <w:tcPr>
            <w:tcW w:w="36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w w:val="94"/>
              </w:rPr>
              <w:t>Not Applicable</w:t>
            </w: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Aether Systems, Inc. acquired the 449,313 shares of Common Stock through its wholly-owned subsidiary, Aether Capital, LLC.</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Signature</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14, 2003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Aether Systems, Inc.</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David C. Reymann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David C. Reymann/Secretary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Aether Capital, LLC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Aether Systems, Inc., sole member</w:t>
      </w:r>
    </w:p>
    <w:p>
      <w:pPr>
        <w:sectPr>
          <w:pgSz w:w="11900" w:h="16838" w:orient="portrait"/>
          <w:cols w:equalWidth="0" w:num="1">
            <w:col w:w="11340"/>
          </w:cols>
          <w:pgMar w:left="240" w:top="125" w:right="319" w:bottom="153" w:gutter="0" w:footer="0" w:header="0"/>
        </w:sectPr>
      </w:pPr>
    </w:p>
    <w:bookmarkStart w:id="5" w:name="page6"/>
    <w:bookmarkEnd w:id="5"/>
    <w:p>
      <w:pPr>
        <w:jc w:val="center"/>
        <w:ind w:left="5720"/>
        <w:spacing w:after="0"/>
        <w:rPr>
          <w:sz w:val="20"/>
          <w:szCs w:val="20"/>
          <w:color w:val="auto"/>
        </w:rPr>
      </w:pPr>
      <w:r>
        <w:rPr>
          <w:rFonts w:ascii="Arial" w:cs="Arial" w:eastAsia="Arial" w:hAnsi="Arial"/>
          <w:sz w:val="18"/>
          <w:szCs w:val="18"/>
          <w:color w:val="auto"/>
        </w:rPr>
        <w:t>/s/ David C. Reymann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David C. Reymann/Secretary</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David S. Oros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David S. Oros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60" w:type="dxa"/>
            <w:vAlign w:val="bottom"/>
          </w:tcPr>
          <w:p>
            <w:pPr>
              <w:jc w:val="center"/>
              <w:ind w:right="2274"/>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0"/>
                <w:szCs w:val="20"/>
                <w:color w:val="auto"/>
              </w:rPr>
            </w:pPr>
          </w:p>
        </w:tc>
      </w:tr>
      <w:tr>
        <w:trPr>
          <w:trHeight w:val="105"/>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2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80" w:type="dxa"/>
            <w:vAlign w:val="bottom"/>
            <w:gridSpan w:val="2"/>
          </w:tcPr>
          <w:p>
            <w:pPr>
              <w:jc w:val="center"/>
              <w:ind w:right="23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080" w:type="dxa"/>
            <w:vAlign w:val="bottom"/>
            <w:gridSpan w:val="2"/>
          </w:tcPr>
          <w:p>
            <w:pPr>
              <w:ind w:left="41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9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Agreement of Joint Filing</w:t>
            </w:r>
          </w:p>
        </w:tc>
        <w:tc>
          <w:tcPr>
            <w:tcW w:w="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60" w:type="dxa"/>
            <w:vAlign w:val="bottom"/>
          </w:tcPr>
          <w:p>
            <w:pPr>
              <w:jc w:val="center"/>
              <w:ind w:right="2274"/>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-1206500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of Joint Filing</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Pursuant to Rule 13d-1(k)(1) promulgated under the Securities Exchange Act of 1934, the undersigned persons hereby agree to file with the Securities and Exchange Commission the Statement of Schedule 13G (the “Statement”) to which this Agreement is attached as an exhibit, and agree that such Statement, as so filed, is filed on behalf of each of them.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executed this Agreement of Joint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2003</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Aether Systems, Inc.</w:t>
      </w:r>
    </w:p>
    <w:p>
      <w:pPr>
        <w:spacing w:after="0" w:line="21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David C. Reymann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David C. Reymann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632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Aether Capital,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Aether Systems, Inc., its sole member</w:t>
      </w:r>
    </w:p>
    <w:p>
      <w:pPr>
        <w:spacing w:after="0" w:line="21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David C. Reymann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David C. Reymann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632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S. Oros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David S. 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2632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lvl w:ilvl="1">
      <w:lvlJc w:val="left"/>
      <w:lvlText w:val="(%2)"/>
      <w:numFmt w:val="lowerLetter"/>
      <w:start w:val="1"/>
    </w:lvl>
  </w:abstractNum>
  <w:abstractNum w:abstractNumId="3">
    <w:nsid w:val="DED7263"/>
    <w:multiLevelType w:val="hybridMultilevel"/>
    <w:lvl w:ilvl="0">
      <w:lvlJc w:val="left"/>
      <w:lvlText w:val="%1"/>
      <w:numFmt w:val="decimal"/>
      <w:start w:val="1"/>
    </w:lvl>
    <w:lvl w:ilvl="1">
      <w:lvlJc w:val="left"/>
      <w:lvlText w:val="%2."/>
      <w:numFmt w:val="decimal"/>
      <w:start w:val="7"/>
    </w:lvl>
  </w:abstractNum>
  <w:abstractNum w:abstractNumId="4">
    <w:nsid w:val="7FDCC233"/>
    <w:multiLevelType w:val="hybridMultilevel"/>
    <w:lvl w:ilvl="0">
      <w:lvlJc w:val="left"/>
      <w:lvlText w:val="%1."/>
      <w:numFmt w:val="decimal"/>
      <w:start w:val="9"/>
    </w:lvl>
    <w:lvl w:ilvl="1">
      <w:lvlJc w:val="left"/>
      <w:lvlText w:val="%2"/>
      <w:numFmt w:val="decimal"/>
      <w:start w:val="1"/>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
    </w:lvl>
    <w:lvl w:ilvl="1">
      <w:lvlJc w:val="left"/>
      <w:lvlText w:val="(%2)"/>
      <w:numFmt w:val="lowerLetter"/>
      <w:start w:val="1"/>
    </w:lvl>
  </w:abstractNum>
  <w:abstractNum w:abstractNumId="7">
    <w:nsid w:val="6B68079A"/>
    <w:multiLevelType w:val="hybridMultilevel"/>
    <w:lvl w:ilvl="0">
      <w:lvlJc w:val="left"/>
      <w:lvlText w:val="%1"/>
      <w:numFmt w:val="decimal"/>
      <w:start w:val="1"/>
    </w:lvl>
    <w:lvl w:ilvl="1">
      <w:lvlJc w:val="left"/>
      <w:lvlText w:val="%2."/>
      <w:numFmt w:val="decimal"/>
      <w:start w:val="8"/>
    </w:lvl>
  </w:abstractNum>
  <w:abstractNum w:abstractNumId="8">
    <w:nsid w:val="4E6AFB66"/>
    <w:multiLevelType w:val="hybridMultilevel"/>
    <w:lvl w:ilvl="0">
      <w:lvlJc w:val="left"/>
      <w:lvlText w:val="%1."/>
      <w:numFmt w:val="decimal"/>
      <w:start w:val="9"/>
    </w:lvl>
    <w:lvl w:ilvl="1">
      <w:lvlJc w:val="left"/>
      <w:lvlText w:val="%2"/>
      <w:numFmt w:val="decimal"/>
      <w:start w:val="1"/>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3F2DBA31"/>
    <w:multiLevelType w:val="hybridMultilevel"/>
    <w:lvl w:ilvl="0">
      <w:lvlJc w:val="left"/>
      <w:lvlText w:val="%1"/>
      <w:numFmt w:val="decimal"/>
      <w:start w:val="1"/>
    </w:lvl>
    <w:lvl w:ilvl="1">
      <w:lvlJc w:val="left"/>
      <w:lvlText w:val="%2."/>
      <w:numFmt w:val="decimal"/>
      <w:start w:val="8"/>
    </w:lvl>
  </w:abstractNum>
  <w:abstractNum w:abstractNumId="13">
    <w:nsid w:val="7C83E458"/>
    <w:multiLevelType w:val="hybridMultilevel"/>
    <w:lvl w:ilvl="0">
      <w:lvlJc w:val="left"/>
      <w:lvlText w:val="%1."/>
      <w:numFmt w:val="decimal"/>
      <w:start w:val="9"/>
    </w:lvl>
    <w:lvl w:ilvl="1">
      <w:lvlJc w:val="left"/>
      <w:lvlText w:val="%2"/>
      <w:numFmt w:val="decimal"/>
      <w:start w:val="1"/>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3"/>
    </w:lvl>
    <w:lvl w:ilvl="1">
      <w:lvlJc w:val="left"/>
      <w:lvlText w:val="(%2)"/>
      <w:numFmt w:val="lowerRoman"/>
      <w:start w:val="1"/>
    </w:lvl>
  </w:abstractNum>
  <w:abstractNum w:abstractNumId="21">
    <w:nsid w:val="2D1D5AE9"/>
    <w:multiLevelType w:val="hybridMultilevel"/>
    <w:lvl w:ilvl="0">
      <w:lvlJc w:val="left"/>
      <w:lvlText w:val="(%1)"/>
      <w:numFmt w:val="lowerRoman"/>
      <w:start w:val="2"/>
    </w:lvl>
  </w:abstractNum>
  <w:abstractNum w:abstractNumId="22">
    <w:nsid w:val="6763845E"/>
    <w:multiLevelType w:val="hybridMultilevel"/>
    <w:lvl w:ilvl="0">
      <w:lvlJc w:val="left"/>
      <w:lvlText w:val="(%1)"/>
      <w:numFmt w:val="lowerRoman"/>
      <w:start w:val="3"/>
    </w:lvl>
  </w:abstractNum>
  <w:abstractNum w:abstractNumId="23">
    <w:nsid w:val="75A2A8D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2019-12-14T11:35:30Z</dcterms:created>
  <dcterms:modified xsi:type="dcterms:W3CDTF">2019-12-14T11:35:30Z</dcterms:modified>
</cp:coreProperties>
</file>