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540"/>
        <w:spacing w:after="0"/>
        <w:tabs>
          <w:tab w:leader="none" w:pos="6760" w:val="left"/>
          <w:tab w:leader="none" w:pos="7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3717290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8"/>
              </w:rPr>
              <w:t>Delaware</w:t>
            </w:r>
          </w:p>
        </w:tc>
        <w:tc>
          <w:tcPr>
            <w:tcW w:w="3000" w:type="dxa"/>
            <w:vAlign w:val="bottom"/>
          </w:tcPr>
          <w:p>
            <w:pPr>
              <w:jc w:val="right"/>
              <w:ind w:right="2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40" w:type="dxa"/>
            <w:vAlign w:val="bottom"/>
          </w:tcPr>
          <w:p>
            <w:pPr>
              <w:jc w:val="center"/>
              <w:ind w:right="1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00" w:type="dxa"/>
            <w:vAlign w:val="bottom"/>
          </w:tcPr>
          <w:p>
            <w:pPr>
              <w:jc w:val="center"/>
              <w:ind w:left="18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9"/>
              </w:rPr>
              <w:t>Incorporation or Organization)</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64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9645 Scranton Road, San Diego, CA</w:t>
            </w:r>
          </w:p>
        </w:tc>
        <w:tc>
          <w:tcPr>
            <w:tcW w:w="300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40" w:type="dxa"/>
            <w:vAlign w:val="bottom"/>
          </w:tcPr>
          <w:p>
            <w:pPr>
              <w:jc w:val="center"/>
              <w:ind w:right="18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00" w:type="dxa"/>
            <w:vAlign w:val="bottom"/>
          </w:tcPr>
          <w:p>
            <w:pPr>
              <w:jc w:val="center"/>
              <w:ind w:left="186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812-3400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ind w:left="460"/>
              <w:spacing w:after="0"/>
              <w:rPr>
                <w:sz w:val="20"/>
                <w:szCs w:val="20"/>
                <w:color w:val="auto"/>
              </w:rPr>
            </w:pPr>
            <w:r>
              <w:rPr>
                <w:rFonts w:ascii="Arial" w:cs="Arial" w:eastAsia="Arial" w:hAnsi="Arial"/>
                <w:sz w:val="18"/>
                <w:szCs w:val="18"/>
                <w:color w:val="auto"/>
                <w:w w:val="94"/>
              </w:rPr>
              <w:t>The number of shares of the registrant’s common stock outstanding as of November 5, 2014 was 44,638,819.</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ind w:right="3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39" w:lineRule="exact"/>
        <w:rPr>
          <w:sz w:val="20"/>
          <w:szCs w:val="20"/>
          <w:color w:val="auto"/>
        </w:rPr>
      </w:pPr>
    </w:p>
    <w:p>
      <w:pPr>
        <w:ind w:left="1460" w:hanging="547"/>
        <w:spacing w:after="0"/>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in the market for wireless broadband data access products and machine-to-machine (“M2M”) products;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operations of any business, products, technologies or personnel that we may acquire in the future;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90" w:lineRule="exact"/>
        <w:rPr>
          <w:rFonts w:ascii="Arial" w:cs="Arial" w:eastAsia="Arial" w:hAnsi="Arial"/>
          <w:sz w:val="18"/>
          <w:szCs w:val="18"/>
          <w:color w:val="auto"/>
        </w:rPr>
      </w:pPr>
    </w:p>
    <w:p>
      <w:pPr>
        <w:ind w:left="1460" w:right="60" w:hanging="547"/>
        <w:spacing w:after="0" w:line="268"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including 3G and 4G standards, and government regulations;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cost containment initiatives and operating strategies;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90" w:lineRule="exact"/>
        <w:rPr>
          <w:rFonts w:ascii="Arial" w:cs="Arial" w:eastAsia="Arial" w:hAnsi="Arial"/>
          <w:sz w:val="18"/>
          <w:szCs w:val="18"/>
          <w:color w:val="auto"/>
        </w:rPr>
      </w:pPr>
    </w:p>
    <w:p>
      <w:pPr>
        <w:ind w:left="1460" w:right="160" w:hanging="547"/>
        <w:spacing w:after="0" w:line="268"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customer demand and order the manufacture and timely delivery of sufficient product quantities;</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intellectual property litigation;</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jc w:val="both"/>
        <w:ind w:right="200" w:firstLine="913"/>
        <w:spacing w:after="0" w:line="29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 Part I of our Annual Report on Form 10-K for the year ended December 31, 2013. If one or more events related to these or other risks or uncertainties materialize, or if our underlying assumptions prove to be incorrect, actual results may differ materially from what we anticipate.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Trademarks</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 Freedom. My Way.” are trademarks of Novatel Wireless, Inc. “Enfora”, the Enfora logo, “Spider”, “Enabling Information Anywhere”, “Enabler” and “N4A” are trademarks of Enfora, Inc. (“Enfora”). Other trademarks, trade names or service marks used in this report are the property of their respective owners.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540" w:type="dxa"/>
            <w:vAlign w:val="bottom"/>
          </w:tcPr>
          <w:p>
            <w:pPr>
              <w:ind w:left="4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tcPr>
          <w:p>
            <w:pPr>
              <w:jc w:val="center"/>
              <w:ind w:left="1572"/>
              <w:spacing w:after="0"/>
              <w:rPr>
                <w:sz w:val="20"/>
                <w:szCs w:val="20"/>
                <w:color w:val="auto"/>
              </w:rPr>
            </w:pPr>
            <w:r>
              <w:rPr>
                <w:rFonts w:ascii="Arial" w:cs="Arial" w:eastAsia="Arial" w:hAnsi="Arial"/>
                <w:sz w:val="18"/>
                <w:szCs w:val="18"/>
                <w:b w:val="1"/>
                <w:bCs w:val="1"/>
                <w:color w:val="auto"/>
                <w:w w:val="96"/>
              </w:rPr>
              <w:t>NOVATEL WIRELESS,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540" w:type="dxa"/>
            <w:vAlign w:val="bottom"/>
          </w:tcPr>
          <w:p>
            <w:pPr>
              <w:jc w:val="center"/>
              <w:ind w:left="155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jc w:val="center"/>
              <w:ind w:left="1552"/>
              <w:spacing w:after="0"/>
              <w:rPr>
                <w:sz w:val="20"/>
                <w:szCs w:val="20"/>
                <w:color w:val="auto"/>
              </w:rPr>
            </w:pPr>
            <w:r>
              <w:rPr>
                <w:rFonts w:ascii="Arial" w:cs="Arial" w:eastAsia="Arial" w:hAnsi="Arial"/>
                <w:sz w:val="18"/>
                <w:szCs w:val="18"/>
                <w:b w:val="1"/>
                <w:bCs w:val="1"/>
                <w:color w:val="auto"/>
                <w:w w:val="87"/>
              </w:rPr>
              <w:t>(In thousands, except per share data)</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7"/>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34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5,097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marketable securities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for doubtful accounts of $3,586 at September 30, 2014 and $2,449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December 31, 2013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27,257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84,776</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95,629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Property and equipment, net of accumulated depreciation of $67,403 at September 30, 2014 and $62,334 at December 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2013</w:t>
            </w:r>
          </w:p>
        </w:tc>
        <w:tc>
          <w:tcPr>
            <w:tcW w:w="8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Intangible assets, net of accumulated amortization of $13,729 at September 30, 2014 and $12,983 at December 31, 2013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93,045</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20,714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litigation settlement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Short-term margin loan facility</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54,701</w:t>
            </w:r>
          </w:p>
        </w:tc>
        <w:tc>
          <w:tcPr>
            <w:tcW w:w="0" w:type="dxa"/>
            <w:vAlign w:val="bottom"/>
          </w:tcPr>
          <w:p>
            <w:pPr>
              <w:spacing w:after="0"/>
              <w:rPr>
                <w:sz w:val="1"/>
                <w:szCs w:val="1"/>
                <w:color w:val="auto"/>
              </w:rPr>
            </w:pPr>
          </w:p>
        </w:tc>
      </w:tr>
      <w:tr>
        <w:trPr>
          <w:trHeight w:val="322"/>
        </w:trPr>
        <w:tc>
          <w:tcPr>
            <w:tcW w:w="9160" w:type="dxa"/>
            <w:vAlign w:val="bottom"/>
            <w:gridSpan w:val="3"/>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Non-current portion of litigation settlement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66,549</w:t>
            </w:r>
          </w:p>
        </w:tc>
        <w:tc>
          <w:tcPr>
            <w:tcW w:w="0" w:type="dxa"/>
            <w:vAlign w:val="bottom"/>
          </w:tcPr>
          <w:p>
            <w:pPr>
              <w:spacing w:after="0"/>
              <w:rPr>
                <w:sz w:val="1"/>
                <w:szCs w:val="1"/>
                <w:color w:val="auto"/>
              </w:rPr>
            </w:pPr>
          </w:p>
        </w:tc>
      </w:tr>
      <w:tr>
        <w:trPr>
          <w:trHeight w:val="329"/>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Convertible Series C preferred stock, par value $0.001; 87 and no shares issued and outstanding at September 30, 2014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2013, respectively</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3"/>
        </w:trPr>
        <w:tc>
          <w:tcPr>
            <w:tcW w:w="91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par value $0.001; 2,000 shares authorized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5"/>
              </w:rPr>
              <w:t>Common stock, par value $0.001; 50,000 shares authorized, 44,306 and 34,097 shares issued and outstanding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ind w:left="40"/>
              <w:spacing w:after="0"/>
              <w:rPr>
                <w:sz w:val="20"/>
                <w:szCs w:val="20"/>
                <w:color w:val="auto"/>
              </w:rPr>
            </w:pPr>
            <w:r>
              <w:rPr>
                <w:rFonts w:ascii="Arial" w:cs="Arial" w:eastAsia="Arial" w:hAnsi="Arial"/>
                <w:sz w:val="18"/>
                <w:szCs w:val="18"/>
                <w:color w:val="auto"/>
              </w:rPr>
              <w:t>September 30, 2014 and December 31, 2013, respectively</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456,836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(406,719)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(371,491)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50,161</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2,436 common shares at September 30, 2014 and December 31, 2013, respectively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54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25,161</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9"/>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129,884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Cost of net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33,844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72,290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105,343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56,255</w:t>
            </w:r>
          </w:p>
        </w:tc>
        <w:tc>
          <w:tcPr>
            <w:tcW w:w="0" w:type="dxa"/>
            <w:vAlign w:val="bottom"/>
          </w:tcPr>
          <w:p>
            <w:pPr>
              <w:spacing w:after="0"/>
              <w:rPr>
                <w:sz w:val="1"/>
                <w:szCs w:val="1"/>
                <w:color w:val="auto"/>
              </w:rPr>
            </w:pPr>
          </w:p>
        </w:tc>
      </w:tr>
      <w:tr>
        <w:trPr>
          <w:trHeight w:val="330"/>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severance charges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14,382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25,247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(3,896)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(30,221)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(4,788)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(8,808)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(4,774)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(35,155)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(21,767)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(8,832)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(5,093)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(35,228)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in computation of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38,167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34,070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7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$(8,832)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$(5,093)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(35,228)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(22,107)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(8,837)</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(5,079)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(35,233)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(22,131)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(35,228)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bad debts, net of recoveries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Provision for excess and obsolete inventory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Change in fair value of warrant liability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benefit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 securities maturities / sales</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15,602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Proceeds from the issuances of Series C preferred and common stock, net of issuance costs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short-term debt, net of issuance costs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Principal repayments of short-term debt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 on vested restricted stock units net of proceeds from stock option exercises and ESPP</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11,222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00" w:type="dxa"/>
            <w:vAlign w:val="bottom"/>
          </w:tcPr>
          <w:p>
            <w:pPr>
              <w:ind w:left="1720"/>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17,252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20,163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Building rent incentives to fund leasehold improvements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Issuance of common stock for settlement of shareholder litigation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Initial fair value of warrant liability recorded upon issuance of Series C preferred and common stock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NOVATEL WIRELESS,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as of September 30, 2014 and the results of the Company’s operations for the three and nine months ended September 30, 2014 and 2013 are unaudited. The condensed consolidated financial statements reflect all adjustments, consisting of only normal recurring accruals, which are, in the opinion of management, necessary for a fair statement of the results of the interim periods presented. These condensed consolidated financial statements and notes hereto should be read in conjunction with the audited financial statements from which they were derived and notes thereto included in the Company’s Annual Report on Form 10-K for the year ended December 31, 2013. The accounting policies used in preparing these condensed consolidated financial statements are the same as those described in the Company’s Form 10-K.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intercompany transactions and balances have been eliminated in consolidation.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fair value of warrant liability, litigation and restructuring related accruals, provision for warranty costs, income taxes, share-based compensation expense and best estimate of selling price in a multiple element arrangement.</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140"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In June 2014, the FASB issued Accounting Standards Update (“ASU”) No. 2014-12, </w:t>
      </w:r>
      <w:r>
        <w:rPr>
          <w:rFonts w:ascii="Arial" w:cs="Arial" w:eastAsia="Arial" w:hAnsi="Arial"/>
          <w:sz w:val="16"/>
          <w:szCs w:val="16"/>
          <w:i w:val="1"/>
          <w:iCs w:val="1"/>
          <w:color w:val="auto"/>
        </w:rPr>
        <w:t>Compensation—Stock Compensation: Accounting for Share-Based Payments When the Terms of an Award Provide That a Performance Target Could Be Achieved after the Requisite Service Period</w:t>
      </w:r>
      <w:r>
        <w:rPr>
          <w:rFonts w:ascii="Arial" w:cs="Arial" w:eastAsia="Arial" w:hAnsi="Arial"/>
          <w:sz w:val="16"/>
          <w:szCs w:val="16"/>
          <w:color w:val="auto"/>
        </w:rPr>
        <w:t>. The standard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 performance target that affects vesting and that could be achieved after the requisite service period be treated as a performance condition. Entities are required to apply the standard for annual periods and interim periods within those annual periods, beginning after December 15, 2015. Early application is permitted. The Company is currently assessing the impact of this new guidance.</w:t>
      </w:r>
    </w:p>
    <w:p>
      <w:pPr>
        <w:spacing w:after="0" w:line="116"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requires a reporting entity to recognize revenue to depict the transfer of promised goods or services to customers in an amount that reflects the consideration to which the entity expects to be entitled in exchange for those goods or services. The guidance in this ASU affects any entity that either enters into contracts with customers to transfer goods or services or enters into contracts for the transfer of nonfinancial assets unless those contracts are within the scope of other standards. This standard will be effective for annual reporting periods beginning after December 15, 2016. The Company is currently assessing the impact of this new guidance.</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Statements—Going Concern (Subtopic 205-40):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w:t>
      </w:r>
      <w:r>
        <w:rPr>
          <w:rFonts w:ascii="Arial" w:cs="Arial" w:eastAsia="Arial" w:hAnsi="Arial"/>
          <w:sz w:val="18"/>
          <w:szCs w:val="18"/>
          <w:color w:val="auto"/>
        </w:rPr>
        <w:t>. Under the new guidance, management will be required to assess an entity’s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as a going concern, and to provide related footnote disclosures in certain circumstances. The provisions of this ASU are effective for annual periods beginning after December 15, 2016, and for annual and interim periods thereafter. The Company is currently evaluating the potential changes from this ASU to its future financial reporting and disclosures.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left="920" w:right="8960" w:hanging="912"/>
        <w:spacing w:after="0" w:line="391" w:lineRule="auto"/>
        <w:tabs>
          <w:tab w:leader="none" w:pos="18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Balance Sheet Details </w:t>
      </w:r>
      <w:r>
        <w:rPr>
          <w:rFonts w:ascii="Arial" w:cs="Arial" w:eastAsia="Arial" w:hAnsi="Arial"/>
          <w:sz w:val="16"/>
          <w:szCs w:val="16"/>
          <w:i w:val="1"/>
          <w:iCs w:val="1"/>
          <w:color w:val="auto"/>
        </w:rPr>
        <w:t>Marketable Securities</w:t>
      </w:r>
    </w:p>
    <w:p>
      <w:pPr>
        <w:ind w:left="920"/>
        <w:spacing w:after="0"/>
        <w:rPr>
          <w:rFonts w:ascii="Arial" w:cs="Arial" w:eastAsia="Arial" w:hAnsi="Arial"/>
          <w:sz w:val="16"/>
          <w:szCs w:val="16"/>
          <w:b w:val="1"/>
          <w:bCs w:val="1"/>
          <w:color w:val="auto"/>
        </w:rPr>
      </w:pPr>
      <w:r>
        <w:rPr>
          <w:rFonts w:ascii="Arial" w:cs="Arial" w:eastAsia="Arial" w:hAnsi="Arial"/>
          <w:sz w:val="18"/>
          <w:szCs w:val="18"/>
          <w:color w:val="auto"/>
        </w:rPr>
        <w:t>The Company’s portfolio of available-for-sale securities by contractual maturity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Maturity in</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Amortized</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4"/>
              </w:rPr>
              <w:t>Losses</w:t>
            </w:r>
          </w:p>
        </w:tc>
        <w:tc>
          <w:tcPr>
            <w:tcW w:w="2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Government agency securities</w:t>
            </w: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1 or less</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1 or less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 or less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short-term marketable securities</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Corporate debentures / bonds</w:t>
            </w:r>
          </w:p>
        </w:tc>
        <w:tc>
          <w:tcPr>
            <w:tcW w:w="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5,358</w:t>
            </w:r>
          </w:p>
        </w:tc>
        <w:tc>
          <w:tcPr>
            <w:tcW w:w="4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8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5"/>
              </w:rPr>
              <w:t>Maturity in</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Gross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1"/>
                <w:szCs w:val="11"/>
                <w:color w:val="auto"/>
              </w:rPr>
            </w:pPr>
          </w:p>
        </w:tc>
        <w:tc>
          <w:tcPr>
            <w:tcW w:w="880" w:type="dxa"/>
            <w:vAlign w:val="bottom"/>
            <w:gridSpan w:val="4"/>
          </w:tcPr>
          <w:p>
            <w:pPr>
              <w:jc w:val="right"/>
              <w:ind w:right="240"/>
              <w:spacing w:after="0" w:line="135"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7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8"/>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Cost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Government agency securities</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or less</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2,350</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or less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or less</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debentures / bonds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or less</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10,635</w:t>
            </w: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gridSpan w:val="3"/>
          </w:tcPr>
          <w:p>
            <w:pPr>
              <w:ind w:left="860"/>
              <w:spacing w:after="0"/>
              <w:rPr>
                <w:sz w:val="20"/>
                <w:szCs w:val="20"/>
                <w:color w:val="auto"/>
              </w:rPr>
            </w:pPr>
            <w:r>
              <w:rPr>
                <w:rFonts w:ascii="Arial" w:cs="Arial" w:eastAsia="Arial" w:hAnsi="Arial"/>
                <w:sz w:val="18"/>
                <w:szCs w:val="18"/>
                <w:color w:val="auto"/>
              </w:rPr>
              <w:t>Total short-term marketable securities</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19,173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Municipal bonds</w:t>
            </w:r>
          </w:p>
        </w:tc>
        <w:tc>
          <w:tcPr>
            <w:tcW w:w="80" w:type="dxa"/>
            <w:vAlign w:val="bottom"/>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ind w:left="420"/>
              <w:spacing w:after="0"/>
              <w:rPr>
                <w:sz w:val="20"/>
                <w:szCs w:val="20"/>
                <w:color w:val="auto"/>
              </w:rPr>
            </w:pPr>
            <w:r>
              <w:rPr>
                <w:rFonts w:ascii="Arial" w:cs="Arial" w:eastAsia="Arial" w:hAnsi="Arial"/>
                <w:sz w:val="18"/>
                <w:szCs w:val="18"/>
                <w:color w:val="auto"/>
              </w:rPr>
              <w:t>Corporate debentures / bonds</w:t>
            </w:r>
          </w:p>
        </w:tc>
        <w:tc>
          <w:tcPr>
            <w:tcW w:w="80" w:type="dxa"/>
            <w:vAlign w:val="bottom"/>
          </w:tcPr>
          <w:p>
            <w:pPr>
              <w:spacing w:after="0"/>
              <w:rPr>
                <w:sz w:val="19"/>
                <w:szCs w:val="1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2</w:t>
            </w:r>
          </w:p>
        </w:tc>
        <w:tc>
          <w:tcPr>
            <w:tcW w:w="3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long-term marketable securities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4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$ 22,616</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$ 22,621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913"/>
        <w:spacing w:after="0" w:line="335" w:lineRule="auto"/>
        <w:rPr>
          <w:sz w:val="20"/>
          <w:szCs w:val="20"/>
          <w:color w:val="auto"/>
        </w:rPr>
      </w:pPr>
      <w:r>
        <w:rPr>
          <w:rFonts w:ascii="Arial" w:cs="Arial" w:eastAsia="Arial" w:hAnsi="Arial"/>
          <w:sz w:val="15"/>
          <w:szCs w:val="15"/>
          <w:color w:val="auto"/>
        </w:rPr>
        <w:t>The Company’s available-for-sale securities are carried on the condensed consolidated balance sheet at fair market value with the related unrealized gains and losses included in accumulated other comprehensive income (loss) on the condensed consolidated balance sheet, which is a separate component of stockholders’ equity. Realized gains and losses on the sale of available-for-sale marketable securities are determined using the specific-identification method.</w:t>
      </w:r>
    </w:p>
    <w:p>
      <w:pPr>
        <w:spacing w:after="0" w:line="8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Company has a credit facility with one of its banks to allow margin borrowings based on and collateralized by the Company’s investments in cash equivalents and marketable securities held by that bank. Borrowings under the facility incur an interest rate at the bank’s base rate plus 1%. At September 30, 2014, the Company had approximately $2.6 million in cash equivalents and marketable securities held at this bank, and the Company’s unused borrowing capacity at September 30, 2014 under the credit facility was approximately $786,000. Any monies borrowed and interest incurred are payable on demand, and there is no express expiration date to the credit facility. During the three and nine months ended September 30, 2014, the Company did not borrow against the facility, and had no outstanding borrowings under this facility at September 30, 2014. Under the terms of the credit facility, the bank may liquidate any of the Company’s cash equivalents or marketable securities held at any time in order to recoup the outstanding balance of the facility.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both"/>
        <w:ind w:right="5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September 30, 2014, the Company recorded a net unrealized loss of $5,000. The Company’s net unrealized loss is the result of market conditions affecting its fixed-income, debt and equity securities, which are included in accumulated other comprehensive income (loss) in the condensed consolidated balance sheet for the period then ended.</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840" w:type="dxa"/>
            <w:vAlign w:val="bottom"/>
            <w:gridSpan w:val="3"/>
          </w:tcPr>
          <w:p>
            <w:pPr>
              <w:ind w:left="202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2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20,870</w:t>
            </w:r>
          </w:p>
        </w:tc>
        <w:tc>
          <w:tcPr>
            <w:tcW w:w="100" w:type="dxa"/>
            <w:vAlign w:val="bottom"/>
            <w:shd w:val="clear" w:color="auto" w:fill="CCEEFF"/>
          </w:tcPr>
          <w:p>
            <w:pPr>
              <w:spacing w:after="0"/>
              <w:rPr>
                <w:sz w:val="18"/>
                <w:szCs w:val="18"/>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Pr>
          <w:p>
            <w:pPr>
              <w:spacing w:after="0"/>
              <w:rPr>
                <w:sz w:val="19"/>
                <w:szCs w:val="19"/>
                <w:color w:val="auto"/>
              </w:rPr>
            </w:pPr>
          </w:p>
        </w:tc>
      </w:tr>
      <w:tr>
        <w:trPr>
          <w:trHeight w:val="216"/>
        </w:trPr>
        <w:tc>
          <w:tcPr>
            <w:tcW w:w="42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28,139</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27,793</w:t>
            </w:r>
          </w:p>
        </w:tc>
        <w:tc>
          <w:tcPr>
            <w:tcW w:w="10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560" w:firstLine="913"/>
        <w:spacing w:after="0" w:line="370" w:lineRule="auto"/>
        <w:rPr>
          <w:sz w:val="20"/>
          <w:szCs w:val="20"/>
          <w:color w:val="auto"/>
        </w:rPr>
      </w:pPr>
      <w:r>
        <w:rPr>
          <w:rFonts w:ascii="Arial" w:cs="Arial" w:eastAsia="Arial" w:hAnsi="Arial"/>
          <w:sz w:val="15"/>
          <w:szCs w:val="15"/>
          <w:color w:val="auto"/>
        </w:rPr>
        <w:t>During the nine months ended September 30, 2014 and 2013, the Company recorded inventory write-downs of approximately $3.1 million, respectively related to excess and obsolete inventory and reductions to the carrying value of inventories as a result of lower of cost or market valuations.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6"/>
          </w:tcPr>
          <w:p>
            <w:pPr>
              <w:jc w:val="right"/>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7"/>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Royalties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4,243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2,408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4,828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2,244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2,416</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3,059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1,009</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2,999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4,929</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4,248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20,714</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23,271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ind w:left="440"/>
              <w:spacing w:after="0"/>
              <w:rPr>
                <w:sz w:val="20"/>
                <w:szCs w:val="20"/>
                <w:color w:val="auto"/>
              </w:rPr>
            </w:pPr>
            <w:r>
              <w:rPr>
                <w:rFonts w:ascii="Arial" w:cs="Arial" w:eastAsia="Arial" w:hAnsi="Arial"/>
                <w:sz w:val="18"/>
                <w:szCs w:val="18"/>
                <w:i w:val="1"/>
                <w:iCs w:val="1"/>
                <w:color w:val="auto"/>
              </w:rPr>
              <w:t>Accrued Warranty Obligations</w:t>
            </w: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5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60" w:type="dxa"/>
            <w:vAlign w:val="bottom"/>
            <w:gridSpan w:val="5"/>
          </w:tcPr>
          <w:p>
            <w:pPr>
              <w:ind w:left="440"/>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9"/>
              </w:rPr>
              <w:t>Three Months Ended</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24"/>
                <w:szCs w:val="24"/>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160" w:type="dxa"/>
            <w:vAlign w:val="bottom"/>
          </w:tcPr>
          <w:p>
            <w:pPr>
              <w:spacing w:after="0"/>
              <w:rPr>
                <w:sz w:val="24"/>
                <w:szCs w:val="24"/>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00"/>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liability at beginning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2,451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2,244</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420"/>
              <w:spacing w:after="0"/>
              <w:rPr>
                <w:sz w:val="20"/>
                <w:szCs w:val="20"/>
                <w:color w:val="auto"/>
              </w:rPr>
            </w:pPr>
            <w:r>
              <w:rPr>
                <w:rFonts w:ascii="Arial" w:cs="Arial" w:eastAsia="Arial" w:hAnsi="Arial"/>
                <w:sz w:val="18"/>
                <w:szCs w:val="18"/>
                <w:color w:val="auto"/>
              </w:rPr>
              <w:t>Additions charged to operations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1,078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 from/use of liability</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Warranty liability at end of period</w:t>
            </w: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3"/>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2,355</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1,324</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generally provides one to three years of warranty coverage for products following the date of purchase and the Company accrues the estimated cost of warranty coverage as a component of cost of net revenues in the condensed consolidated statements of operations at the time revenue is recognized. The Company accrues warranty costs based on estimates of future warranty-related replacement, repairs or rework of products. In estimating its future warranty obligations, the Company considers various relevant factors, including the historical frequency and volume of claims, and the cost to replace or repair products under warranty.</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80"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Intangible Assets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Company’s amortizable purchased intangible assets resulting from its 2010 acquisition of Enfora, Inc. (“Enfora”) are composed of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September 30, 2014</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(19,547)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(3,053)</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(11,424)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Impairment</w:t>
            </w:r>
          </w:p>
        </w:tc>
        <w:tc>
          <w:tcPr>
            <w:tcW w:w="10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$26,000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(19,547)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Trade name</w:t>
            </w:r>
          </w:p>
        </w:tc>
        <w:tc>
          <w:tcPr>
            <w:tcW w:w="580" w:type="dxa"/>
            <w:vAlign w:val="bottom"/>
          </w:tcPr>
          <w:p>
            <w:pPr>
              <w:jc w:val="right"/>
              <w:spacing w:after="0"/>
              <w:rPr>
                <w:sz w:val="20"/>
                <w:szCs w:val="20"/>
                <w:color w:val="auto"/>
              </w:rPr>
            </w:pPr>
            <w:r>
              <w:rPr>
                <w:rFonts w:ascii="Arial" w:cs="Arial" w:eastAsia="Arial" w:hAnsi="Arial"/>
                <w:sz w:val="18"/>
                <w:szCs w:val="18"/>
                <w:color w:val="auto"/>
              </w:rPr>
              <w:t>12,800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(2,665)</w:t>
            </w: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Total amortizable purchased intangible assets</w:t>
            </w: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42,520</w:t>
            </w:r>
          </w:p>
        </w:tc>
        <w:tc>
          <w:tcPr>
            <w:tcW w:w="4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(10,752)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(29,749)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7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net revenues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following table represents details of the amortization of existing purchased intangible assets that is currently estimated to be expensed in the remainder of 2014 and thereafter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Fiscal year:</w:t>
            </w: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2014 (remaining 3 months)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6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r>
      <w:tr>
        <w:trPr>
          <w:trHeight w:val="330"/>
        </w:trPr>
        <w:tc>
          <w:tcPr>
            <w:tcW w:w="7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1,347</w:t>
            </w:r>
          </w:p>
        </w:tc>
        <w:tc>
          <w:tcPr>
            <w:tcW w:w="1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Additionally, at September 30, 2014 and December 31, 2013, the Company had $180,000 and $112,000, respectively, of acquired software licenses, net of accumulated amortization of $2.3 million and $2.2 million, respectively. The acquired software licenses represent rights to use certain software necessary for commercial sale of the Company’s products.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27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Derivative Financial Instruments</w:t>
      </w:r>
    </w:p>
    <w:p>
      <w:pPr>
        <w:spacing w:after="0" w:line="96" w:lineRule="exact"/>
        <w:rPr>
          <w:sz w:val="20"/>
          <w:szCs w:val="20"/>
          <w:color w:val="auto"/>
        </w:rPr>
      </w:pPr>
    </w:p>
    <w:p>
      <w:pPr>
        <w:ind w:firstLine="913"/>
        <w:spacing w:after="0" w:line="314" w:lineRule="auto"/>
        <w:rPr>
          <w:sz w:val="20"/>
          <w:szCs w:val="20"/>
          <w:color w:val="auto"/>
        </w:rPr>
      </w:pPr>
      <w:r>
        <w:rPr>
          <w:rFonts w:ascii="Arial" w:cs="Arial" w:eastAsia="Arial" w:hAnsi="Arial"/>
          <w:sz w:val="15"/>
          <w:szCs w:val="15"/>
          <w:color w:val="auto"/>
        </w:rPr>
        <w:t xml:space="preserve">The Company evaluates stock options, stock warrants or other contracts to determine if those contracts or embedded components of those contracts qualify as derivative financial instruments to be separately accounted for under the relevant sections of FASB Accounting Standards Codification 815-40, </w:t>
      </w:r>
      <w:r>
        <w:rPr>
          <w:rFonts w:ascii="Arial" w:cs="Arial" w:eastAsia="Arial" w:hAnsi="Arial"/>
          <w:sz w:val="15"/>
          <w:szCs w:val="15"/>
          <w:i w:val="1"/>
          <w:iCs w:val="1"/>
          <w:color w:val="auto"/>
        </w:rPr>
        <w:t xml:space="preserve">Derivative Instruments and Hedging: Contracts in Entity’s Own Equity </w:t>
      </w:r>
      <w:r>
        <w:rPr>
          <w:rFonts w:ascii="Arial" w:cs="Arial" w:eastAsia="Arial" w:hAnsi="Arial"/>
          <w:sz w:val="15"/>
          <w:szCs w:val="15"/>
          <w:color w:val="auto"/>
        </w:rPr>
        <w:t>(“ASC 815”). The result of this accounting treatment could be that the fair value of a</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105" w:lineRule="exact"/>
        <w:rPr>
          <w:sz w:val="20"/>
          <w:szCs w:val="20"/>
          <w:color w:val="auto"/>
        </w:rPr>
      </w:pPr>
    </w:p>
    <w:p>
      <w:pPr>
        <w:jc w:val="both"/>
        <w:ind w:right="580" w:firstLine="913"/>
        <w:spacing w:after="0" w:line="306" w:lineRule="auto"/>
        <w:rPr>
          <w:sz w:val="20"/>
          <w:szCs w:val="20"/>
          <w:color w:val="auto"/>
        </w:rPr>
      </w:pPr>
      <w:r>
        <w:rPr>
          <w:rFonts w:ascii="Arial" w:cs="Arial" w:eastAsia="Arial" w:hAnsi="Arial"/>
          <w:sz w:val="16"/>
          <w:szCs w:val="16"/>
          <w:color w:val="auto"/>
        </w:rPr>
        <w:t>Certain of the Company’s outstanding warrants are treated as derivative liabilities for accounting purposes under ASC 815 due to the current insufficient authorized shares to settle these outstanding contracts. These common stock purchase warrants do not trade in an active securities market. The Company estimates the fair value of these warrant liabilities using a Monte Carlo simulation option pricing model (see Note 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 of Assets and Liabilities</w:t>
      </w:r>
    </w:p>
    <w:p>
      <w:pPr>
        <w:spacing w:after="0" w:line="9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Company’s fair value measurements relate to its cash equivalents, marketable debt securities, marketable equity securities, and warrant liability,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143" w:lineRule="exact"/>
        <w:rPr>
          <w:sz w:val="20"/>
          <w:szCs w:val="20"/>
          <w:color w:val="auto"/>
        </w:rPr>
      </w:pPr>
    </w:p>
    <w:p>
      <w:pPr>
        <w:jc w:val="both"/>
        <w:ind w:right="100" w:firstLine="913"/>
        <w:spacing w:after="0" w:line="306" w:lineRule="auto"/>
        <w:rPr>
          <w:sz w:val="20"/>
          <w:szCs w:val="20"/>
          <w:color w:val="auto"/>
        </w:rPr>
      </w:pPr>
      <w:r>
        <w:rPr>
          <w:rFonts w:ascii="Arial" w:cs="Arial" w:eastAsia="Arial" w:hAnsi="Arial"/>
          <w:sz w:val="16"/>
          <w:szCs w:val="16"/>
          <w:color w:val="auto"/>
        </w:rPr>
        <w:t>The Company’s financial instruments consist principally of cash and cash equivalents, and short-term and long-term marketable debt securities. The Company’s cash and cash equivalents consist of its investments in money market securities and treasury bills. The Company’s marketable debt securities consist primarily of government agency securities, municipal bonds, time deposits and investment-grade corporate bonds.</w:t>
      </w:r>
    </w:p>
    <w:p>
      <w:pPr>
        <w:spacing w:after="0" w:line="107"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Assets and liabilities measured at fair value are categorized based on whether or not the inputs are observable in the market and the degree to which the inputs are observable.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107"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Pricing inputs are based on quoted market prices for identical assets or liabilities in active markets (e.g., NYSE). Active markets are those in</w:t>
      </w:r>
      <w:r>
        <w:rPr>
          <w:rFonts w:ascii="Arial" w:cs="Arial" w:eastAsia="Arial" w:hAnsi="Arial"/>
          <w:sz w:val="16"/>
          <w:szCs w:val="16"/>
          <w:i w:val="1"/>
          <w:iCs w:val="1"/>
          <w:color w:val="auto"/>
        </w:rPr>
        <w:t xml:space="preserve"> </w:t>
      </w:r>
      <w:r>
        <w:rPr>
          <w:rFonts w:ascii="Arial" w:cs="Arial" w:eastAsia="Arial" w:hAnsi="Arial"/>
          <w:sz w:val="16"/>
          <w:szCs w:val="16"/>
          <w:color w:val="auto"/>
        </w:rPr>
        <w:t>which transactions for the asset or liability occur in sufficient frequency and volume to provide pricing information on an ongoing basis.</w:t>
      </w:r>
    </w:p>
    <w:p>
      <w:pPr>
        <w:spacing w:after="0" w:line="85" w:lineRule="exact"/>
        <w:rPr>
          <w:sz w:val="20"/>
          <w:szCs w:val="20"/>
          <w:color w:val="auto"/>
        </w:rPr>
      </w:pPr>
    </w:p>
    <w:p>
      <w:pPr>
        <w:jc w:val="both"/>
        <w:ind w:right="100" w:firstLine="913"/>
        <w:spacing w:after="0" w:line="306"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&amp;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Pricing inputs include significant inputs that are generally less observable from objective sources, including the Company’s own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assumptions.</w:t>
      </w:r>
    </w:p>
    <w:p>
      <w:pPr>
        <w:spacing w:after="0" w:line="16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At September 30, 2014, the Company included its warrant liability in the Level 3 category. The Company reviews the fair value hierarchy classification on a quarterly basis. Changes in the observability of valuation inputs may result in a reclassification of levels for certain securities within the fair value hierarchy.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Company’s financial instruments measured at fair value on a recurring basis in accordance with the authoritative guidance for fair value measurements as of September 30, 2014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54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2014</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9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gridSpan w:val="3"/>
            <w:vMerge w:val="continue"/>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agency securities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980</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4,117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4,117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Corporate debentures / bonds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5,097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5,097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54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15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debentures / bonds</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Total long-term marketable securities</w:t>
            </w:r>
          </w:p>
        </w:tc>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3"/>
            <w:vMerge w:val="continue"/>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9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5,359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5,359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color w:val="auto"/>
              </w:rPr>
              <w:t>Liabilities:</w:t>
            </w:r>
          </w:p>
        </w:tc>
        <w:tc>
          <w:tcPr>
            <w:tcW w:w="1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gridSpan w:val="3"/>
            <w:vMerge w:val="continue"/>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9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9,727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2013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204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4"/>
              </w:rPr>
              <w:t>Level 1</w:t>
            </w:r>
          </w:p>
        </w:tc>
        <w:tc>
          <w:tcPr>
            <w:tcW w:w="30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238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Total cash equivalents</w:t>
            </w: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gridSpan w:val="3"/>
            <w:vMerge w:val="continue"/>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20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420"/>
              <w:spacing w:after="0"/>
              <w:rPr>
                <w:sz w:val="20"/>
                <w:szCs w:val="20"/>
                <w:color w:val="auto"/>
              </w:rPr>
            </w:pPr>
            <w:r>
              <w:rPr>
                <w:rFonts w:ascii="Arial" w:cs="Arial" w:eastAsia="Arial" w:hAnsi="Arial"/>
                <w:sz w:val="18"/>
                <w:szCs w:val="18"/>
                <w:color w:val="auto"/>
              </w:rPr>
              <w:t>Available-for-sale:</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agency securities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2,829</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2,829</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3,360</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Corporate debentures / bonds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10,638</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10,638</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short-term marketable securities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19,178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19,178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80" w:type="dxa"/>
            <w:vAlign w:val="bottom"/>
            <w:gridSpan w:val="3"/>
          </w:tcPr>
          <w:p>
            <w:pPr>
              <w:spacing w:after="0"/>
              <w:rPr>
                <w:sz w:val="20"/>
                <w:szCs w:val="20"/>
                <w:color w:val="auto"/>
              </w:rPr>
            </w:pPr>
            <w:r>
              <w:rPr>
                <w:rFonts w:ascii="Arial" w:cs="Arial" w:eastAsia="Arial" w:hAnsi="Arial"/>
                <w:sz w:val="18"/>
                <w:szCs w:val="18"/>
                <w:color w:val="auto"/>
              </w:rPr>
              <w:t>Long-term marketable securities:</w:t>
            </w:r>
          </w:p>
        </w:tc>
        <w:tc>
          <w:tcPr>
            <w:tcW w:w="20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Certificates of deposit</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Corporate debentures / bonds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marketable securities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3,443</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color w:val="auto"/>
              </w:rPr>
              <w:t>Total financial assets</w:t>
            </w: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3"/>
            <w:vMerge w:val="continue"/>
          </w:tcPr>
          <w:p>
            <w:pPr>
              <w:spacing w:after="0"/>
              <w:rPr>
                <w:sz w:val="19"/>
                <w:szCs w:val="19"/>
                <w:color w:val="auto"/>
              </w:rPr>
            </w:pPr>
          </w:p>
        </w:tc>
        <w:tc>
          <w:tcPr>
            <w:tcW w:w="238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23,108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23,108</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40" w:type="dxa"/>
            <w:vAlign w:val="bottom"/>
            <w:vMerge w:val="restart"/>
          </w:tcPr>
          <w:p>
            <w:pPr>
              <w:jc w:val="right"/>
              <w:ind w:right="692"/>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Share-Based Compensation</w:t>
      </w:r>
    </w:p>
    <w:p>
      <w:pPr>
        <w:spacing w:after="0" w:line="96"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The Company included the following amounts for share-based compensation expense in the accompanying unaudited condensed consolidated statements of operations for the three and nine months ended September 30, 2014 and 2013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net revenues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1,273</w:t>
            </w:r>
          </w:p>
        </w:tc>
        <w:tc>
          <w:tcPr>
            <w:tcW w:w="100" w:type="dxa"/>
            <w:vAlign w:val="bottom"/>
          </w:tcPr>
          <w:p>
            <w:pPr>
              <w:spacing w:after="0"/>
              <w:rPr>
                <w:sz w:val="18"/>
                <w:szCs w:val="18"/>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w:t>
            </w:r>
          </w:p>
        </w:tc>
        <w:tc>
          <w:tcPr>
            <w:tcW w:w="10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expense resulted from a change in the estimated forfeiture rate during the first quarters of 2013 and 2014.</w:t>
      </w:r>
    </w:p>
    <w:p>
      <w:pPr>
        <w:spacing w:after="0" w:line="171"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See Note 13 for a discussion of the $1.3 million share-based compensation expense included in the restructuring charges for the nine months ended September 30, 2014. This amount was related to the departure of the Company’s former Chief Executive Officer, Peter Leparulo, and the vesting of all of Mr. Leparulo’s restricted stock units and options immediately upon his departure in accordance with the terms of his employment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Stock Purchase Plan</w:t>
      </w:r>
    </w:p>
    <w:p>
      <w:pPr>
        <w:spacing w:after="0" w:line="96"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During the fourth quarter of 2012, the Company announced the termination of the ESPP due to a lack of available shares. The Company reinstated the ESPP program effective as of August 16, 2014. The reinstated ESPP authorizes the Company to issue 1,500,132 shares of common stock for purchase by eligible employees.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total fair value of ESPP awards recognized as expense during each of the three and nine months ended September 31, 2014 was $26,218.</w:t>
      </w:r>
    </w:p>
    <w:p>
      <w:pPr>
        <w:spacing w:after="0" w:line="269" w:lineRule="exact"/>
        <w:rPr>
          <w:sz w:val="20"/>
          <w:szCs w:val="20"/>
          <w:color w:val="auto"/>
        </w:rPr>
      </w:pPr>
    </w:p>
    <w:p>
      <w:pPr>
        <w:ind w:left="920" w:right="7520" w:hanging="912"/>
        <w:spacing w:after="0" w:line="347" w:lineRule="auto"/>
        <w:tabs>
          <w:tab w:leader="none" w:pos="18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80" w:firstLine="913"/>
        <w:spacing w:after="0" w:line="332" w:lineRule="auto"/>
        <w:rPr>
          <w:sz w:val="20"/>
          <w:szCs w:val="20"/>
          <w:color w:val="auto"/>
        </w:rPr>
      </w:pPr>
      <w:r>
        <w:rPr>
          <w:rFonts w:ascii="Arial" w:cs="Arial" w:eastAsia="Arial" w:hAnsi="Arial"/>
          <w:sz w:val="16"/>
          <w:szCs w:val="16"/>
          <w:color w:val="auto"/>
        </w:rPr>
        <w:t>The Company reports segment information based on the “management” approach. The management approach designates the internal reporting used by senior management for making decisions and assessing performance as the source of the Company’s reportable segments.</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51" w:lineRule="exact"/>
        <w:rPr>
          <w:sz w:val="20"/>
          <w:szCs w:val="20"/>
          <w:color w:val="auto"/>
        </w:rPr>
      </w:pPr>
    </w:p>
    <w:p>
      <w:pPr>
        <w:ind w:left="1480" w:right="200" w:hanging="446"/>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Mobile Computing Products segment includes the Company’s MiFi products, USB and PC-card modems and embedded modules that enable data transmission and services via cellular wireless networks.</w:t>
      </w:r>
    </w:p>
    <w:p>
      <w:pPr>
        <w:spacing w:after="0" w:line="50" w:lineRule="exact"/>
        <w:rPr>
          <w:rFonts w:ascii="Arial" w:cs="Arial" w:eastAsia="Arial" w:hAnsi="Arial"/>
          <w:sz w:val="18"/>
          <w:szCs w:val="18"/>
          <w:color w:val="auto"/>
        </w:rPr>
      </w:pPr>
    </w:p>
    <w:p>
      <w:pPr>
        <w:ind w:left="1480" w:hanging="446"/>
        <w:spacing w:after="0" w:line="306"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Machine-to-Machine (“M2M”) Products and Solutions segment was established as a result of the Company’s acquisition of Enfora in 2010. It includes the Company’s intelligent asset-management solutions utilizing cellular wireless technology, M2M communication devices, and embedded modules that enable M2M data transmission and services via cellular wireless networks.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14" w:name="page15"/>
    <w:bookmarkEnd w:id="14"/>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revenues and segment operating loss represent the primary financial measures used by senior management to assess performance and include the net revenues, cost of net revenues, sales and other operating expenses for which management is held accountable. Segment expenses include sales and marketing, research and development, administration, and amortization expenses that are directly related to individual segments. Segment loss also includes acquisition-related costs, purchase price amortization, restructuring, impairment and integration costs. The table below presents net revenues from external customers, operating loss and identifiable assets for the Company’s reportable segments (in thousands):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8"/>
              </w:rPr>
              <w:t>Three Months Ended September 30,</w:t>
            </w:r>
          </w:p>
        </w:tc>
        <w:tc>
          <w:tcPr>
            <w:tcW w:w="100" w:type="dxa"/>
            <w:vAlign w:val="bottom"/>
          </w:tcPr>
          <w:p>
            <w:pPr>
              <w:spacing w:after="0"/>
              <w:rPr>
                <w:sz w:val="14"/>
                <w:szCs w:val="14"/>
                <w:color w:val="auto"/>
              </w:rPr>
            </w:pPr>
          </w:p>
        </w:tc>
        <w:tc>
          <w:tcPr>
            <w:tcW w:w="22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256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34,788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84,067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98,483</w:t>
            </w:r>
          </w:p>
        </w:tc>
        <w:tc>
          <w:tcPr>
            <w:tcW w:w="2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44,330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92,673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129,884</w:t>
            </w:r>
          </w:p>
        </w:tc>
        <w:tc>
          <w:tcPr>
            <w:tcW w:w="26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Operating loss by reportable segment:</w:t>
            </w:r>
          </w:p>
        </w:tc>
        <w:tc>
          <w:tcPr>
            <w:tcW w:w="2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(1,704)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(20,076)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(10,145)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0"/>
        </w:trPr>
        <w:tc>
          <w:tcPr>
            <w:tcW w:w="53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4"/>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(3,896)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(4,864)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(30,221)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310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Identifiable assets by reportable segment:</w:t>
            </w:r>
          </w:p>
        </w:tc>
        <w:tc>
          <w:tcPr>
            <w:tcW w:w="3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Mobile Computing Products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80,551</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96,516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12,494</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93,045</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111,465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40" w:firstLine="913"/>
        <w:spacing w:after="0" w:line="332" w:lineRule="auto"/>
        <w:rPr>
          <w:sz w:val="20"/>
          <w:szCs w:val="20"/>
          <w:color w:val="auto"/>
        </w:rPr>
      </w:pPr>
      <w:r>
        <w:rPr>
          <w:rFonts w:ascii="Arial" w:cs="Arial" w:eastAsia="Arial" w:hAnsi="Arial"/>
          <w:sz w:val="16"/>
          <w:szCs w:val="16"/>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6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108,932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Europe, Latin America and Asia</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r>
      <w:tr>
        <w:trPr>
          <w:trHeight w:val="222"/>
        </w:trPr>
        <w:tc>
          <w:tcPr>
            <w:tcW w:w="6300" w:type="dxa"/>
            <w:vAlign w:val="bottom"/>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93,045</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111,465</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details the concentration of the Company’s net revenues by geographic region: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3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5"/>
              </w:rPr>
              <w:t>Three months ended</w:t>
            </w: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642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w w:val="85"/>
              </w:rPr>
              <w:t>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7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and Canada</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Latin America</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and Africa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Asia and Australia</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913"/>
        <w:spacing w:after="0" w:line="370" w:lineRule="auto"/>
        <w:rPr>
          <w:sz w:val="20"/>
          <w:szCs w:val="20"/>
          <w:color w:val="auto"/>
        </w:rPr>
      </w:pPr>
      <w:r>
        <w:rPr>
          <w:rFonts w:ascii="Arial" w:cs="Arial" w:eastAsia="Arial" w:hAnsi="Arial"/>
          <w:sz w:val="15"/>
          <w:szCs w:val="15"/>
          <w:color w:val="auto"/>
        </w:rPr>
        <w:t>During the third quarter of 2013, the Company began implementing restructuring initiatives designed to refine its business operations, reduce expenses to better correspond to its decreased revenue and capitalize on synergies in its target markets with the goal of driving long-term profitability.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restructuring plan, the Company made organizational changes across some of its Mobile Computing and M2M business operations to consolidate its research and development resources and consolidate global manufacturing activities. The Company also closed development sites to drive efficiencies, enhance margins and improve capital efficiency.</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Historically, the Company’s business units have their own management teams and offer different products and services. The business units have been aggregated into two reportable business segments based upon the nature of the products or services produced, the type of customer for the products, the similarity of economic characteristics and the manner in which management reviews results, among other considerations. The Company is currently reevaluating its reportable segments composition.</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or its customers’ products or in the financial condition of the Company’s customers would have an adverse effect on the Company’s results of operations and financial condition.</w:t>
      </w:r>
    </w:p>
    <w:p>
      <w:pPr>
        <w:spacing w:after="0" w:line="140"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A significant portion of the Company’s net revenues are derived from a small number of customers. For the three months ended September 30, 2014, sales to the Company’s two largest customers accounted for 54% and 12% of net revenues, respectively. In the same period in 2013, sales to its largest customer accounted for 59% of net revenues. For the nine months ended September 30, 2014, sales to the Company’s largest customer accounted for 44% of net revenues. In the same period in 2013, sales to its largest customer accounted for 61% of net revenues. The Company outsources its manufacturing to several third-party contract manufacturers. If one or more of these manufacturers were to experience delays, including delays caused by component shortages, disruptions, capacity constraints or quality control problems in manufacturing operations, product shipments to the Company’s customers could be delayed or its customers could consequently elect to cancel their underlying product purchase orders, which would negatively impact the Company’s revenues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Securities Purchase Agreement</w:t>
      </w:r>
    </w:p>
    <w:p>
      <w:pPr>
        <w:spacing w:after="0" w:line="9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common stock at an exercise price of $2.26 per share (the “Warrant”) and (iii) 87,196 shares of the Company’s Series C Convertible Preferred Stock, par value $0.001 per share (the “Series C Preferred Stock”), all at a purchase price of (a) $1.75 per share of common stock plus, in each case, the related Warrant and (b) $17.50 per share of Series C Preferred Stock, for aggregate gross proceeds of approximately $14.4 million (collectively, the “Financing”).</w:t>
      </w:r>
    </w:p>
    <w:p>
      <w:pPr>
        <w:spacing w:after="0" w:line="14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Certain terms of the Warrant and the Series C Preferred Stock will be dependent upon the approval by the Company’s stockholders of (i) an increase in the total number of authorized shares of common stock to 100,000,000 shares and (ii) the issuance and sale of the securities pursuant to the Purchase Agreement (including the issuance of all shares of common stock issuable upon the full conversion of the Series C Preferred Stock issued pursuant to the Purchase Agreement and the full exercise of the Warrant) and any change of control that may be deemed to occur as a result of such issuance and sale pursuant to the applicable rules of The NASDAQ Stock Market LLC (together, the “Stockholder Approval”).</w:t>
      </w:r>
    </w:p>
    <w:p>
      <w:pPr>
        <w:spacing w:after="0" w:line="11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In connection with the issuance of 7,363,334 shares of common stock to the Investor, the Company unreserved 1,651,455 shares of common stock previously approved for issuance pursuant to the Company’s 2009 Omnibus Incentive Compensation Plan and 1,300,000 shares of common stock previously approved for issuance pursuant to the Company’s 2000 ESPP. Accordingly, these shares will not be available for grants under the respective plans until such time as the Company’s Stockholders approve an increase in the total number of authorized shares of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9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connection with the above transaction the Company issued a Warrant to purchase 4,117,647 shares of common stock at an exercise price of $2.26 per share to the Investor. Pursuant to the terms of the Warrant, the Warrant will generally only be exercisable on a cash basis. However, the Warrant may be exercisable on a cashless basis if and only if a registration statement relating to the issuance of the shares underlying the Warrant is not then effective or an exemption from registration is not available. Prior to the receipt of the Stockholder Approval, the holders may not exercise any portion of the Warrant to the extent that, after giving effect to such exercise, the number of shares of common stock beneficially owned by such holder and its affiliates would exceed 19.999% of the common stock outstanding at the time of such exercise. Subject to the foregoing limitations, the Warrant will be exercisable into shares of common stock during the period commencing on March 8, 2015 and ending on September 8, 2019, the expiration date of the Warrant. The Warrant may be exercised by surrendering to the Company the warrant certificate evidencing the Warrant to be exercised with the accompanying exercise notice, appropriately completed, duly signed and delivered, together with cash payment of the exercise price, if applicable.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exercise price and the number of shares of common stock issuable upon exercise of the Warrant are subject to adjustment upon certain corporate events, including certain combinations, recapitalizations, reorganizations, reclassifications, stock dividends and stock splits. In the event of an extraordinary transaction, as described in the Warrant and generally including any merger with or into another entity, sale of all or substantially all of the Company’s assets, tender offer or exchange offer, or reclassification of the common stock, each Warrant will automatically be converted into the right to receive, for each share of common stock that would have been issuable upon exercise of such Warrant immediately prior to such transaction, the same kind and amount of securities, cash or property as the holder would have been entitled to receive if the holder had been the holder of common stock immediately prior to the occurrence of such transaction. No fractional shares will be issued upon exercise of the Warrant. The Warrant does not confer upon its holder any voting or other rights as a stockholder of the Company.</w:t>
      </w:r>
    </w:p>
    <w:p>
      <w:pPr>
        <w:spacing w:after="0" w:line="118"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Due to insufficient authorized shares to satisfy the exercise of the instrument in full at the time of issuance, the Company has determined that the instrument should be treated as a derivative instrument. Liability classification is required because share settlement is not within the control of the Company and the Warrant is not considered to be “indexed to the company’s own stock” and therefore does not qualify for the exemptions provided by ASC 815.</w:t>
      </w:r>
    </w:p>
    <w:p>
      <w:pPr>
        <w:spacing w:after="0" w:line="10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Because the Warrant has no comparable market data to determine fair value, the Company hired an independent valuation firm to assist with the valuation of the Warrant at the measurement date and as of September 30, 2014. The primary factors used to determine the fair value include: (i) the fair value of the Company’s common stock; (ii) the volatility of the Company’s common stock; (iii) the risk free interest rate; (iv) the estimated likelihood and timing of exercise; and (v) the estimated likelihood and timing of a future financing arrangement. Increases in the market value of the Company’s common stock and volatility, which have the most impact on the fair value of the Warrant, would cause the fair value of the Warrant to change. Because of the significant unobservable inputs used to calculate fair value the Company has classified the Warrant as a Level 3 measurement. The Warrant is measured at fair value on a recurring basis. Unrealized gains and losses on items measured at fair value are recognized in earnings as other income/(expense). The Company incurred an expense of $4.8 million for the three months ended September 30, 2014 related to the Warrant primarily as a result of an increase in the market value of the Company’s common stock.</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shows the change to the fair value of the Warrant during the three months ended September 30, 2014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Warrant Derivative Liability</w:t>
            </w:r>
          </w:p>
        </w:tc>
        <w:tc>
          <w:tcPr>
            <w:tcW w:w="21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September 8, 2014</w:t>
            </w:r>
          </w:p>
        </w:tc>
        <w:tc>
          <w:tcPr>
            <w:tcW w:w="2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$4,939</w:t>
            </w: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980" w:type="dxa"/>
            <w:vAlign w:val="bottom"/>
            <w:gridSpan w:val="2"/>
          </w:tcPr>
          <w:p>
            <w:pPr>
              <w:ind w:left="420"/>
              <w:spacing w:after="0"/>
              <w:rPr>
                <w:sz w:val="20"/>
                <w:szCs w:val="20"/>
                <w:color w:val="auto"/>
              </w:rPr>
            </w:pPr>
            <w:r>
              <w:rPr>
                <w:rFonts w:ascii="Arial" w:cs="Arial" w:eastAsia="Arial" w:hAnsi="Arial"/>
                <w:sz w:val="18"/>
                <w:szCs w:val="18"/>
                <w:color w:val="auto"/>
              </w:rPr>
              <w:t>Change in fair value</w:t>
            </w:r>
          </w:p>
        </w:tc>
        <w:tc>
          <w:tcPr>
            <w:tcW w:w="2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at September 30, 2014</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Contingently Redeemable Convertible Series C Preferred Stock</w:t>
      </w:r>
    </w:p>
    <w:p>
      <w:pPr>
        <w:spacing w:after="0" w:line="90" w:lineRule="exact"/>
        <w:rPr>
          <w:sz w:val="20"/>
          <w:szCs w:val="20"/>
          <w:color w:val="auto"/>
        </w:rPr>
      </w:pPr>
    </w:p>
    <w:p>
      <w:pPr>
        <w:ind w:right="240" w:firstLine="1484"/>
        <w:spacing w:after="0" w:line="268" w:lineRule="auto"/>
        <w:rPr>
          <w:sz w:val="20"/>
          <w:szCs w:val="20"/>
          <w:color w:val="auto"/>
        </w:rPr>
      </w:pPr>
      <w:r>
        <w:rPr>
          <w:rFonts w:ascii="Arial" w:cs="Arial" w:eastAsia="Arial" w:hAnsi="Arial"/>
          <w:sz w:val="18"/>
          <w:szCs w:val="18"/>
          <w:color w:val="auto"/>
        </w:rPr>
        <w:t>In connection with the Financing the Company issued 87,196 shares of Series C Preferred Stock at $17.50 per share, initially convertible, subject to adjustments, into 871,960 shares of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of Conversion</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Pursuant to the Certificate of Designations of Series C Convertible Preferred Stock filed by the Company with the Secretary of State of the State of Delaware on September 8, 2014 (the “Certificate of Designations”), upon receipt of the Stockholder Approval, each share, or fraction of a share, of Series C Preferred Stock then outstanding will automatically convert into the number of shares of common stock that is obtained by multiplying the number of such outstanding shares of Series C Preferred Stock by the conversion rate then in effect. Generally, each share of Series C Preferred Stock is initially convertible into ten shares of common stock, subject to the adjustments described below. Notwithstanding the foregoing, the Series C Preferred Stock is not convertible into common stock prior to obtaining the Stockholder Approval.</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conversion rate and conversion price applicable to the Series C Preferred Stock are subject to the following adjustments: (i) the conversion price may be reduced by the Company to any amount and for any period of time deemed appropriate by the Board, (ii) if the Company, at any time while Series C Preferred Stock is outstanding, subdivides (by any stock split, stock dividend, recapitalization, reorganization, scheme, arrangement or otherwise) one or more classes of its outstanding shares of common stock into a greater number of shares (a “Subdivision”), the conversion price in effect immediately prior to such Subdivision will be proportionately reduced and the number of shares to be issued upon conversion of the Series C Preferred Stock will be proportionately increased, and (iii) if the Company, at any time on or after September 8, 2014, combines (by any stock split, stock dividend, recapitalization, reorganization, scheme, arrangement or otherwise) one or more classes of its outstanding shares of common stock into a smaller number of shares (a “Combination”), the conversion price in effect immediately prior to such Combination will be proportionately increased and the number of shares to be issued upon conversion of the Series C Preferred Stock will be proportionately decreased.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in the event of a Fundamental Transaction (as defined in the Certificate of Designations) and generally including any merger with or into another entity, sale of all or substantially all of the Company’s assets, tender offer or exchange offer, and certain reclassifications of the common stock, each holder of Series C Preferred Stock will be paid in cash any accrued and unpaid dividends on such holder’s shares of Series C Preferred Stock and each share of Series C Preferred Stock will automatically be converted into the right to receive, for each share of common stock that would have been issuable upon such conversion immediately prior to such transaction, the same kind and amount of securities, cash or property that the holder would have been entitled to receive if the holder had been the holder of common stock immediately prior to the occurrence of such transaction. If the holders of common stock are given any choice as to the securities, cash or property to be received in a Fundamental Transaction, then each holder of Series C Preferred Stock shall be given the same choice as to the consideration it receives upon automatic conversion of such holder’s Series C Preferred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fractional shares of common stock will be issued upon conversion of the Series C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and after December 31, 2014, each share of Series C Preferred Stock that remains outstanding will accrue dividends, in preference and priority to the holders of all other classes or series of stock of the Company, at a rate of 12.5% per annum (the “Series C Preferred Dividends”), which shall, at the Company’s option, either (i) be payable in cash quarterly in arrears or (ii) accrue until such time as the Company pays all such amounts in cash in full. The Series C Preferred Dividends are cumulative and accrue whether or not declared and whether or not there are any profits, surplus or other funds or assets of the Company legally available therefor.</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each holder of Series C Preferred Stock will be entitled to receive any dividend declared and paid by the Company to holders of its common stock (excluding dividends of its common stock and distributions made in connection with a Subdivision or Combination), as if such holder’s Series C Preferred Stock had been converted into common stock on the record date for such dividend.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Upon any liquidation, dissolution or winding-up of the Company, whether voluntary or involuntary, after the satisfaction in full of the debts of the Company, the payment of any accrued but unpaid Series C Preferred Dividends and the payment of any liquidation preference owed to the holders of shares of capital stock of the Company ranking senior to the common stock and Series C Preferred Stock, the holders of Series C Preferred Stock will participate (on an as-converted basis) pari passu with the holders of the common stock in the distribution of the net assets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From and after September 8, 2015, the Company may exercise its right to redeem, in whole or in part, the Series C Preferred Stock at the redemption price then in effect, plus an amount equal to any accrued and unpaid dividends thereon through, but excluding, the date of redemption. The Series C Preferred Stock contains a two-year “make-whole” provision such that, if the Series C Preferred Stock is redeemed on or before September 8, 2016, the holder thereof will be entitled to receive the amount of Series C Preferred Dividends that would have accrued and payable from the date of redemption through and including September 8,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may settle the “make-whole” payment in cash or in shares of common stock, at the Company’s election. Any redemption will be made on a pro rata basis among the holders of the Series C Preferred Stock in proportion to the number of shares of Series C Preferred Stock then held by them.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 Related Rights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Except as required by law and as described in the following sentence, the Series C Preferred Stock does not confer upon its holders any voting rights or rights to otherwise participate in any action taken by the Company or its stockholders or to receive notice of any meeting of stockholders. However, so long as any Series C Preferred Stock remains outstanding, the Company is not permitted, without the affirmative consent of holders of at least a majority of the Series C Preferred Stock then outstanding, either in writing or at a meeting, (i) to authorize or create, or increase the authorized or issued amount of, any class or series of stock ranking senior to or on parity with the Series C Preferred Stock with respect to the payment of dividends, or to reclassify any authorized shares of the Company into such shares, or create, authorize or issue any obligation or security convertible into or evidencing the right to purchase any such shares, or (ii) to amend, alter or repeal the provisions of the Amended and Restated Certificate of Incorporation of the Company, whether by merger, consolidation or otherwise, so as to adversely affect any right, preference, privilege or power of,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18" w:name="page19"/>
    <w:bookmarkEnd w:id="18"/>
    <w:p>
      <w:pPr>
        <w:jc w:val="both"/>
        <w:ind w:right="4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restriction provided for the benefit of, the Series C Preferred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voting provisions do not apply if, at or prior to the consummation of the action with respect to which such vote would otherwise be required, all outstanding Series C Preferred Stock will be converted and all accrued but unpaid Series C Preferred Dividends will be paid (or sufficient funds will be deposited in trust to effect such payment).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C Preferred Stock carries no preemptive rights to subscribe to any issue of the same or other capital stock of the Company.</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analyzed the embedded conversion option of the Series C Preferred Stock for derivative accounting consideration and determined that the conversion option should be classified as equity since the embedded conversion option is clearly and closely related to the Series C Preferred Stock.</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Conversion options that are not bifurcated as a derivative must be evaluated to determine whether they are considered a beneficial conversion option at inception or in the future. Guidance generally requires embedded beneficial conversion features (“BCF”) to be valued at intrinsic value and allocated to additional paid-in-capital. Under ASC 470-20-25-20, changes to the conversion terms that would be triggered by future events not controlled by the issuer shall be accounted for as contingent conversion options, and the intrinsic value of such conversion options shall not be recognized until and unless the triggering event occurs. The term “recognized” is used to mean that the calculated intrinsic value is recorded in equity with a corresponding discount to the convertible instrument. Contingent BCFs (or contingent adjustments to BCFs) are measured at the commitment date but are not recognized until the contingency is resolved. As of the commitment date the Company computed but did not recognize a beneficial conversion feature of $445,000 on the Series C Preferred Stock.</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Further, because the event that triggers redemption of the Series C Preferred Stock, receipt of Stockholder Approval, is not solely within the Company’s control, the amount allocated to the convertible preferred stock has been classified as mezzanine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6" w:lineRule="exact"/>
        <w:rPr>
          <w:sz w:val="20"/>
          <w:szCs w:val="20"/>
          <w:color w:val="auto"/>
        </w:rPr>
      </w:pPr>
    </w:p>
    <w:p>
      <w:pPr>
        <w:ind w:right="60" w:firstLine="913"/>
        <w:spacing w:after="0" w:line="318" w:lineRule="auto"/>
        <w:rPr>
          <w:sz w:val="20"/>
          <w:szCs w:val="20"/>
          <w:color w:val="auto"/>
        </w:rPr>
      </w:pPr>
      <w:r>
        <w:rPr>
          <w:rFonts w:ascii="Arial" w:cs="Arial" w:eastAsia="Arial" w:hAnsi="Arial"/>
          <w:sz w:val="15"/>
          <w:szCs w:val="15"/>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options, restricted stock units (“RSUs”) and employee stock purchase plan withholdings calculated using the treasury stock method) are excluded from the diluted EPS computation in loss periods and when the applicable exercise price is greater than the market price on the period end date as their effect would be anti-dilutive.</w:t>
      </w:r>
    </w:p>
    <w:p>
      <w:pPr>
        <w:spacing w:after="0" w:line="100" w:lineRule="exact"/>
        <w:rPr>
          <w:sz w:val="20"/>
          <w:szCs w:val="20"/>
          <w:color w:val="auto"/>
        </w:rPr>
      </w:pPr>
    </w:p>
    <w:p>
      <w:pPr>
        <w:ind w:right="260" w:firstLine="913"/>
        <w:spacing w:after="0" w:line="306" w:lineRule="auto"/>
        <w:rPr>
          <w:sz w:val="20"/>
          <w:szCs w:val="20"/>
          <w:color w:val="auto"/>
        </w:rPr>
      </w:pPr>
      <w:r>
        <w:rPr>
          <w:rFonts w:ascii="Arial" w:cs="Arial" w:eastAsia="Arial" w:hAnsi="Arial"/>
          <w:sz w:val="16"/>
          <w:szCs w:val="16"/>
          <w:color w:val="auto"/>
        </w:rPr>
        <w:t>For the three and nine months ended September 30, 2014, basic and diluted weighted-average common shares outstanding were 38,167,211 and 35,567,715, respectively. During these same periods, weighted-average options, RSUs and ESPP shares to acquire a total of 4,761,066 and 5,313,009 shares of common stock, respectively, were outstanding but not included in the computation of diluted EPS as their effect was anti-dilutive.</w:t>
      </w:r>
    </w:p>
    <w:p>
      <w:pPr>
        <w:spacing w:after="0" w:line="107"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For the three and nine months ended September 30, 2013, basic and diluted weighted-average common shares outstanding were 34,070,211 and 33,902,038, respectively. During these same periods, weighted-average options and RSUs to acquire a total of 5,668,752 and 5,885,100 shares of common stock, respectively, were outstanding but not included in the computation of diluted earnings per share as their effect was anti-dilutive.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(8,832)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(5,093)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w w:val="89"/>
              </w:rPr>
              <w:t>(35,228)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(22,107)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38,167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34,070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w w:val="98"/>
              </w:rPr>
              <w:t>35,568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Securities not included in dilutive loss per share relating to:</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Common stock warrants outstanding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C Preferred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340" w:type="dxa"/>
            <w:vAlign w:val="bottom"/>
          </w:tcPr>
          <w:p>
            <w:pPr>
              <w:ind w:left="440"/>
              <w:spacing w:after="0"/>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720" w:type="dxa"/>
            <w:vAlign w:val="bottom"/>
            <w:gridSpan w:val="3"/>
          </w:tcPr>
          <w:p>
            <w:pPr>
              <w:jc w:val="right"/>
              <w:ind w:right="129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9" w:name="page20"/>
    <w:bookmarkEnd w:id="19"/>
    <w:p>
      <w:pPr>
        <w:jc w:val="center"/>
        <w:ind w:right="86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 Commitments and Contingencies</w:t>
      </w:r>
    </w:p>
    <w:p>
      <w:pPr>
        <w:spacing w:after="0" w:line="131" w:lineRule="exact"/>
        <w:rPr>
          <w:sz w:val="20"/>
          <w:szCs w:val="20"/>
          <w:color w:val="auto"/>
        </w:rPr>
      </w:pPr>
    </w:p>
    <w:p>
      <w:pPr>
        <w:jc w:val="center"/>
        <w:ind w:right="858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11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was filed on behalf of persons who purchased the Company’s common stock between February 27, 2007 and September 15, 2008. As previously disclosed, on December 6, 2013, to avoid the costs, disruption and distraction of further litigation, legal counsel for the defendants entered into a binding Memorandum of Understanding.</w:t>
      </w:r>
    </w:p>
    <w:p>
      <w:pPr>
        <w:spacing w:after="0" w:line="116" w:lineRule="exact"/>
        <w:rPr>
          <w:sz w:val="20"/>
          <w:szCs w:val="20"/>
          <w:color w:val="auto"/>
        </w:rPr>
      </w:pPr>
    </w:p>
    <w:p>
      <w:pPr>
        <w:ind w:right="40" w:firstLine="913"/>
        <w:spacing w:after="0" w:line="303" w:lineRule="auto"/>
        <w:rPr>
          <w:sz w:val="20"/>
          <w:szCs w:val="20"/>
          <w:color w:val="auto"/>
        </w:rPr>
      </w:pPr>
      <w:r>
        <w:rPr>
          <w:rFonts w:ascii="Arial" w:cs="Arial" w:eastAsia="Arial" w:hAnsi="Arial"/>
          <w:sz w:val="15"/>
          <w:szCs w:val="15"/>
          <w:color w:val="auto"/>
        </w:rPr>
        <w:t>On June 23, 2014, the Court entered its judgment approving a final settlement agreement with respect to the Litigation. The settlement agreement does not admit any liability and the Company and the individual defendants continue to deny any and all liability. Under the terms of the settlement agreement, the plaintiff class has agreed to settle all claims asserted in the Litigation and grant the defendants and released parties a full and complete release in exchange for</w:t>
      </w:r>
    </w:p>
    <w:p>
      <w:pPr>
        <w:spacing w:after="0" w:line="1" w:lineRule="exact"/>
        <w:rPr>
          <w:sz w:val="20"/>
          <w:szCs w:val="20"/>
          <w:color w:val="auto"/>
        </w:rPr>
      </w:pPr>
    </w:p>
    <w:p>
      <w:pPr>
        <w:ind w:right="80" w:firstLine="8"/>
        <w:spacing w:after="0" w:line="254"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cash payment of $6.0 million to the plaintiff’s class, approximately $1.7 million of which is to be funded by the Company’s insurers, (ii) the issuance of unrestricted and freely tradable shares of the Company’s stock with an aggregate value of $5.0 million and (iii) the issuance of a $5.0 million secured promissory note, which such note shall have a 30-month maturity, carry interest at 5% per annum, payable quarterly, and be secured by the accounts receivable of the Company.</w:t>
      </w:r>
    </w:p>
    <w:p>
      <w:pPr>
        <w:spacing w:after="0" w:line="144"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On July 1, 2014, the Company and the individual defendants filed a motion to amend the judgment entered on June 23, 2014, specifically requesting the Court to amend the effective date of such judgment to June 20, 2014 – the date the court held the final approval hearing. The Court granted this motion on July 8, 2014, and the judgment date was deemed entered on June 20, 2014. Based on a judgment date of June 20, 2014, the Company believes that it will be relieved from an additional cash payment of approximately $725,000, which would have been triggered, pursuant to the terms of the stipulation of settlement, if the date of the Court’s entry of judgment had remained June 23, 2014 (based on the then-current trading price of the Company’s common stock, which was below a certain threshold price established by the stipulation of settlement). On August 1, 2014, the Plaintiffs filed a motion with the Court claiming that since the Company’s stock price traded intraday below the aforementioned threshold price, that the $725,000 was still due and payable. The Company is contesting the plaintiffs’ motion and has not accrued the $725,000 asserted claim in the accompanying consolidated financial statements. A hearing date is set for November 14, 2014 to adjudicate this matter.</w:t>
      </w:r>
    </w:p>
    <w:p>
      <w:pPr>
        <w:spacing w:after="0" w:line="12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On July 8, 2014, the Company funded the cash portion of the settlement with $4.3 million of Company cash and $1.7 million previously funded into escrow by the Company’s insurers. On July 17, 2014, the Company issued 2,407,318 unrestricted shares of the Company’s common stock to the class members in satisfaction of the $5.0 million stock payment. The Company also issued a $5.0 million secured promissory note on July 8, 2014, which remains accrued as of September 30, 2014 in non-current liabilities.</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financial condition, results of operation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“more-likely-than-not” realization standard. The four sources of taxable income that must be considered in determining whether deferred tax assets will be realized are: (i) future reversals of existing taxable temporary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differences (i.e., the offset of gross deferred tax assets against gross deferred tax liabilities); (ii) taxable income in prior carryback years, if carryback is permitted under the applicable tax law; (iii) tax planning strategies; and (iv) future taxable income exclusive of reversing temporary differences and carryforwards.</w:t>
      </w:r>
    </w:p>
    <w:p>
      <w:pPr>
        <w:spacing w:after="0" w:line="85"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A significant factor in the Company’s assessment is that the Company is in a three-year historical cumulative loss position. This fact, combined with uncertain near-term market and economic conditions, reduced the Company’s ability to rely on projections of future taxable income in assessing the realizability of its deferred tax assets.</w:t>
      </w:r>
    </w:p>
    <w:p>
      <w:pPr>
        <w:spacing w:after="0" w:line="143"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After a review of the four sources of taxable income as of September 30, 2014 (as described above), the Company recognized increases in the valuation allowance primarily related to its U.S.-based deferred tax amounts, resulting from carryforward net operating losses generated during the three and nine months ended September 30, 2014. These deferred tax benefits, offset by a corresponding charge to income tax expense related to an increase in the valuation allowance of $3.2 million and $12.3 million for the three and nine months ended September 30, 2014, respectively, resulted in an insignificant effective income tax rate. The Company’s valuation allowance was $91.8 million on net deferred tax assets of $91.9 million at September 30, 2014. The net unreserved portion of the Company’s remaining deferred tax assets at September 30, 2014 primarily related to research and development tax credits associated with the Company’s Canadian subsidiary.</w:t>
      </w:r>
    </w:p>
    <w:p>
      <w:pPr>
        <w:spacing w:after="0" w:line="147" w:lineRule="exact"/>
        <w:rPr>
          <w:sz w:val="20"/>
          <w:szCs w:val="20"/>
          <w:color w:val="auto"/>
        </w:rPr>
      </w:pPr>
    </w:p>
    <w:p>
      <w:pPr>
        <w:ind w:right="120" w:firstLine="913"/>
        <w:spacing w:after="0" w:line="306" w:lineRule="auto"/>
        <w:rPr>
          <w:sz w:val="20"/>
          <w:szCs w:val="20"/>
          <w:color w:val="auto"/>
        </w:rPr>
      </w:pPr>
      <w:r>
        <w:rPr>
          <w:rFonts w:ascii="Arial" w:cs="Arial" w:eastAsia="Arial" w:hAnsi="Arial"/>
          <w:sz w:val="16"/>
          <w:szCs w:val="16"/>
          <w:color w:val="auto"/>
        </w:rPr>
        <w:t>For the three and nine months ended September 30, 2014, the Company recorded an income tax expense, including discrete items, of $24,000 and $73,000, respectively. This amount varies from the income tax expense that would be computed at the U.S. statutory rate resulting from its operating loss during the period primarily due to the aforementioned offsetting increase in the Company’s deferred tax assets valuation allowance.</w:t>
      </w:r>
    </w:p>
    <w:p>
      <w:pPr>
        <w:spacing w:after="0" w:line="10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Pursuant to Internal Revenue Code Sections 382 and 383, annual use of the Company’s net operating loss and research and development credit carryforwards may be limited in the event a cumulative change in ownership of more than 50% occurs within a three-year period. The Company obtained additional funding during 2014 and it is possible that, as a result of this additional funding, the Company may have experienced a change in ownership event. The Company is in the process of updating its Section 382 analysis and expects to have this analysis completed within the next six months.</w:t>
      </w:r>
    </w:p>
    <w:p>
      <w:pPr>
        <w:spacing w:after="0" w:line="113" w:lineRule="exact"/>
        <w:rPr>
          <w:sz w:val="20"/>
          <w:szCs w:val="20"/>
          <w:color w:val="auto"/>
        </w:rPr>
      </w:pPr>
    </w:p>
    <w:p>
      <w:pPr>
        <w:ind w:right="300" w:firstLine="913"/>
        <w:spacing w:after="0" w:line="291"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As of September 30, 2014 and December 31, 2013, the total liability for unrecognized tax benefits was $62,000, and is included in other long-term liabilities. For the three and nine months ended September 30, 2014, the Company included $0 of interest benefit related to uncertain tax positions in its condensed consolidated statements of operations.</w:t>
      </w:r>
    </w:p>
    <w:p>
      <w:pPr>
        <w:spacing w:after="0" w:line="12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the fourth quarter of 2014, the Company expects to release $62,000 of its liability for unrecognized tax benefits due to the expiration of the statute of limitations applicable to the 2009 taxable year.</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 is also subject to various Federal income tax examinations for the 2003 through 2013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96" w:lineRule="exact"/>
        <w:rPr>
          <w:sz w:val="20"/>
          <w:szCs w:val="20"/>
          <w:color w:val="auto"/>
        </w:rPr>
      </w:pPr>
    </w:p>
    <w:p>
      <w:pPr>
        <w:ind w:right="220" w:firstLine="913"/>
        <w:spacing w:after="0" w:line="256" w:lineRule="auto"/>
        <w:rPr>
          <w:sz w:val="20"/>
          <w:szCs w:val="20"/>
          <w:color w:val="auto"/>
        </w:rPr>
      </w:pPr>
      <w:r>
        <w:rPr>
          <w:rFonts w:ascii="Arial" w:cs="Arial" w:eastAsia="Arial" w:hAnsi="Arial"/>
          <w:sz w:val="18"/>
          <w:szCs w:val="18"/>
          <w:color w:val="auto"/>
        </w:rPr>
        <w:t>In September 2013, the Company commenced certain restructuring initiatives (the “2013 Initiatives”) including the closure of the Company’s development site in Calgary, Canada, and the consolidation of certain supply chain management activities. During February and March 2014, the Company commenced additional reduction in force initiatives resulting in headcount reductions of 41 employees and 21 employees, respectively, and during June 2014 a further headcount reduction of five employees at its Calgary, Canada site.</w:t>
      </w:r>
    </w:p>
    <w:p>
      <w:pPr>
        <w:spacing w:after="0" w:line="143"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During the three months ended September 30, 2014, the Company recorded a reduction in restructuring charges related to the 2013 Initiatives of approximately $87,000, which consisted of savings in facility exit related costs resulting from a reevaluation of its expected sublet dates and rates as further described below. During the nine months ended September 30, 2014, the Company recorded restructuring charges related to the 2013 Initiatives of $2.6 million, which consisted of $1.7 million in employee severance costs and $917,000 in facility exit related costs related to ongoing assessment of estimates of the timing and amounts of sublease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right="1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restructuring charges incurred to date relating to the 2013 Initiatives discussed above, are approximately $5.9 million, including restructuring charges recorded during the year ended December 31, 2013 of $3.3 million.</w:t>
      </w:r>
    </w:p>
    <w:p>
      <w:pPr>
        <w:spacing w:after="0" w:line="132" w:lineRule="exact"/>
        <w:rPr>
          <w:sz w:val="20"/>
          <w:szCs w:val="20"/>
          <w:color w:val="auto"/>
        </w:rPr>
      </w:pPr>
    </w:p>
    <w:p>
      <w:pPr>
        <w:jc w:val="both"/>
        <w:ind w:right="320" w:firstLine="913"/>
        <w:spacing w:after="0" w:line="335" w:lineRule="auto"/>
        <w:rPr>
          <w:sz w:val="20"/>
          <w:szCs w:val="20"/>
          <w:color w:val="auto"/>
        </w:rPr>
      </w:pPr>
      <w:r>
        <w:rPr>
          <w:rFonts w:ascii="Arial" w:cs="Arial" w:eastAsia="Arial" w:hAnsi="Arial"/>
          <w:sz w:val="15"/>
          <w:szCs w:val="15"/>
          <w:color w:val="auto"/>
        </w:rPr>
        <w:t xml:space="preserve">The Company accounts for facility exit costs in accordance with FASB ASC Topic 420, </w:t>
      </w:r>
      <w:r>
        <w:rPr>
          <w:rFonts w:ascii="Arial" w:cs="Arial" w:eastAsia="Arial" w:hAnsi="Arial"/>
          <w:sz w:val="15"/>
          <w:szCs w:val="15"/>
          <w:i w:val="1"/>
          <w:iCs w:val="1"/>
          <w:color w:val="auto"/>
        </w:rPr>
        <w:t>Exit or Disposal Cost Obligations</w:t>
      </w:r>
      <w:r>
        <w:rPr>
          <w:rFonts w:ascii="Arial" w:cs="Arial" w:eastAsia="Arial" w:hAnsi="Arial"/>
          <w:sz w:val="15"/>
          <w:szCs w:val="15"/>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it is not the intent to sublease.</w:t>
      </w:r>
    </w:p>
    <w:p>
      <w:pPr>
        <w:spacing w:after="0" w:line="88"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amounts currently expected. Exit costs the Company records under these provisions are neither associated with, nor do they benefit, continuing activities.</w:t>
      </w:r>
    </w:p>
    <w:p>
      <w:pPr>
        <w:spacing w:after="0" w:line="12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In June 2014, the Company commenced certain restructuring initiatives relating to the reorganization of executive level management (the “2014 Initiatives”), which included the replacement of then Chief Executive Officer, Peter Leparulo, with current Chief Executive Officer, Alex Mashinsky. In connection with the 2014 Initiatives, during the three months ended September 30, 2014, the Company recorded restructuring charges of approximately $1.1 million, related primarily to the departure of former executive officers, including Mr. Leparulo. During the nine months ended September 30, 2014, the Company recorded restructuring charges of approximately $4.8 million, including approximately $1.3 million related to the accelerated vesting of all of Mr. Leparulo’s restricted stock units and options which vested immediately upon his departure.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activity in the restructuring liability for the nine months ended September 30, 2014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ind w:left="440"/>
              <w:spacing w:after="0"/>
              <w:rPr>
                <w:sz w:val="20"/>
                <w:szCs w:val="20"/>
                <w:color w:val="auto"/>
              </w:rPr>
            </w:pPr>
            <w:r>
              <w:rPr>
                <w:rFonts w:ascii="Arial" w:cs="Arial" w:eastAsia="Arial" w:hAnsi="Arial"/>
                <w:sz w:val="14"/>
                <w:szCs w:val="14"/>
                <w:b w:val="1"/>
                <w:bCs w:val="1"/>
                <w:color w:val="auto"/>
                <w:w w:val="94"/>
              </w:rPr>
              <w:t>2013 Initiatives</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w w:val="86"/>
              </w:rPr>
              <w:t>2014 Initiatives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Employee</w:t>
            </w: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5"/>
              </w:rPr>
              <w:t>Employment</w:t>
            </w: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26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Facility Exit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Contract</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Share-based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Related Costs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Costs</w:t>
            </w:r>
          </w:p>
        </w:tc>
        <w:tc>
          <w:tcPr>
            <w:tcW w:w="52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Compensation Costs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Accruals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(1,641)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balance of the restructuring liability at September 30, 2014 consists of $3.9 million in current liabilities and $414,000 in non-current liabilities. The balance of the restructuring liability at September 30, 2014 is anticipated to be fully distributed by the end of the third quarter of 2017, at the expiration of the Company’s facility lease in Canada.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On October 31, 2014, the Company and one of its subsidiaries entered into a Credit and Security Agreement (the “Credit Agreement”) with Wells Fargo Bank, National Association, as lender, to establish a five-year senior secured revolving credit facility in the amount of $25.0 million (the “Revolver”).</w:t>
      </w:r>
    </w:p>
    <w:p>
      <w:pPr>
        <w:spacing w:after="0" w:line="85"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or the maximum revolver amount of $25.0 million, the Borrowers are required to repay such borrowings in an amount sufficient to eliminate such excess. The Revolver includes $3.0 million of availability for letters of credit.</w:t>
      </w:r>
    </w:p>
    <w:p>
      <w:pPr>
        <w:spacing w:after="0" w:line="14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2.50% to 3.00% depending on the Company’s liquidity as determined on the last day of each calendar month. The Revolver is secured by a first priority lien on substantially all of the assets of the Company and certain of its subsidiaries, subject to certain exceptions and permitted liens. The Credit Agreement includes customary representations and warranties, as well as customary reporting and financial covenants.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the accompanying notes included in Part I, Item 1 of this report, as well as the audited consolidated financial statements and accompanying notes and Management’s Discussion and Analysis of Financial Condition and Results of Operations for the year ended December 31, 2013 contained in our Annual Report on Form 10-K for the year ended December 31,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6" w:lineRule="exact"/>
        <w:rPr>
          <w:sz w:val="20"/>
          <w:szCs w:val="20"/>
          <w:color w:val="auto"/>
        </w:rPr>
      </w:pPr>
    </w:p>
    <w:p>
      <w:pPr>
        <w:ind w:right="540" w:firstLine="913"/>
        <w:spacing w:after="0" w:line="259"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for M2M, integrated asset-management M2M devices and communications and applications software.</w:t>
      </w:r>
    </w:p>
    <w:p>
      <w:pPr>
        <w:spacing w:after="0" w:line="14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 Our M2M products and solutions include our M2M embedded modules, integrated M2M communications devices and our service delivery platform, the N4A™ Device Manager (“DM”) and N4A™ Communication and Management Software (“CMS”), that provides easy device management and service enablement.</w:t>
      </w:r>
    </w:p>
    <w:p>
      <w:pPr>
        <w:spacing w:after="0" w:line="116"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Our mobile-hotspot and modem customer base is comprised of wireless operators, including AT&amp;T, Sprint, and Verizon Wireless as well as distributors and various companies in other vertical markets. As previously announced, we have exited the laptop PC business and have minimal ongoing revenues from those product lines. Our M2M customer base is comprised of transportation companies, industrial companies, manufacturers, application service providers and distributors. Our solutions address multiple vertical markets for our customers including commercial telematics, after-market telematics, remote monitoring and control, security and connected home. We have strategic relationships with several of these customers that provide input and validation of our product requirements across the various vertical markets.</w:t>
      </w:r>
    </w:p>
    <w:p>
      <w:pPr>
        <w:spacing w:after="0" w:line="12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Most of our mobile-computing product sales to wireless operators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143"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The hardware used in our solutions is produced by contract manufacturers. Their services include component procurement, assembly, testing, quality control, and fulfillment. We have agreements with Inventec Appliances Corporation; Hon Hai Precision Industry Co., Ltd; and Benchmark Electronics for the outsourced manufacturing of our products. Under our manufacturing agreements, contract manufacturers provide us with services including component procurement, product manufacturing, final assembly, testing, quality control, and fulfillment. In addition, we have an agreement with Mobiltron for certain distribution, fulfillment and repair services related to our business in Europe, the Middle East and Africa.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Since the third quarter of 2013, we have been restructuring our operations in an effort to increase future revenue levels and gross margins, lower our operating costs and achieve profitability. In the mobile computing business, we are focusing our development efforts only on those products that we believe have the greatest potential sales volume and will generate the highest gross profits and return on development investment. These products are targeted at the tier one telecom operators in North America with derivative products for other markets. We expect this strategy to reduce the number of products developed for sale in the mobile computing segment and result in an improved return on investment from development costs expended.</w:t>
      </w:r>
    </w:p>
    <w:p>
      <w:pPr>
        <w:spacing w:after="0" w:line="116"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Additionally, we have invested significant resources in our M2M product and services portfolio. This investment has allowed us to engage with new development partner customers in targeted verticals, including commercial and aftermarket telematics, and remote monitoring, control and security. We are currently integrating our products and services into their business processes, which we believe will contribute to future revenue growth.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3" w:name="page24"/>
    <w:bookmarkEnd w:id="23"/>
    <w:p>
      <w:pPr>
        <w:ind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revenues from our Mobile Computing Products segment decreased 59% in the three months ended September 2014, compared to the same period in the prior year. However, despite the $49.0 million reduction in revenue, operating loss from Mobile Computing Products only increased by approximately $0.8 million. This was the result of our restructuring activities and the improved margins from our newer product lines. Net revenues from Mobile Computing Products increased 27% sequentially from the second quarter, in part due to the launch of the MiFi® 6620L in the third quarter, and net revenues from Mobile Computing Products are anticipated to increase sequentially again in the fourth quarter.</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Net revenues in our M2M Products and Solutions segment grew 11% in the three months ended September 2014, compared to the same period in the prior year. Operating loss from M2M Products and Solutions improved over that same time period from a $3.9 million loss in the same period in the prior year to a $2.2 million loss in the third quarter of 2014. Net revenues from M2M Products and Solutions for the full fiscal year 2014 are anticipated to exceed the prior year’s revenue, primarily based upon the increased adoption of our new products.</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have restructured our research and development process by reducing the size of our in-house engineering staff. This change replaced some of our fixed research and development costs (due primarily to a decrease in our employee headcount and related compensation expenses) with variable costs and is expected to result in a lower overall cost of research and development and a more variable cost structure. We expect to continue to make focused investments in research and development.</w:t>
      </w:r>
    </w:p>
    <w:p>
      <w:pPr>
        <w:spacing w:after="0" w:line="14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have also been focused on completing the integration of our mobile computing business with our M2M business to increase operational efficiencies and reduce our operating expenses. The total operating expenses incurred for the three months ended September 30, 2014 were $14.4 million compared to $25.2 million for the same period in 2013, a 43% year over year reduction. This reduction is primarily due to a reduction of employee headcount and related compensation expenses net of restructuring charges. Our current employee headcount at September 30, 2014 was 234 as compared to 328 for the same date last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and 3G and 4G data access services, particularly in North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32" w:lineRule="exact"/>
        <w:rPr>
          <w:sz w:val="20"/>
          <w:szCs w:val="20"/>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90" w:lineRule="exact"/>
        <w:rPr>
          <w:rFonts w:ascii="Arial" w:cs="Arial" w:eastAsia="Arial" w:hAnsi="Arial"/>
          <w:sz w:val="18"/>
          <w:szCs w:val="18"/>
          <w:color w:val="auto"/>
        </w:rPr>
      </w:pPr>
    </w:p>
    <w:p>
      <w:pPr>
        <w:ind w:left="1480" w:right="140" w:hanging="446"/>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as well as suppliers of emerging devices that contain a wireless data access feature;</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171"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Sprint, Verizon Wireless, AT&amp;T,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As a result of the extremely competitive market for wireless devices, we have experienced significant downward pressure on the average selling prices of our products. This competitive pricing pressure has the potential to materially adversely affect our results of operations and financial condition in future periods and we cannot predict the magnitude or timing of future reductions in the average selling prices of our products.</w:t>
      </w:r>
    </w:p>
    <w:p>
      <w:pPr>
        <w:spacing w:after="0" w:line="107"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i w:val="1"/>
          <w:iCs w:val="1"/>
          <w:color w:val="auto"/>
        </w:rPr>
        <w:t xml:space="preserve">Cost of Net Revenues. </w:t>
      </w:r>
      <w:r>
        <w:rPr>
          <w:rFonts w:ascii="Arial" w:cs="Arial" w:eastAsia="Arial" w:hAnsi="Arial"/>
          <w:sz w:val="16"/>
          <w:szCs w:val="16"/>
          <w:color w:val="auto"/>
        </w:rPr>
        <w:t>All costs associated with our contract manufacturers, as well as distribution, fulfillment and repair services are included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net revenues. Cost of net revenues also includes warranty costs, amortization of intangible assets, royalties, operations overhead, costs associated with the Company’s cancellation of purchase orders,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right="80" w:firstLine="913"/>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Operating Costs and Expenses. </w:t>
      </w:r>
      <w:r>
        <w:rPr>
          <w:rFonts w:ascii="Arial" w:cs="Arial" w:eastAsia="Arial" w:hAnsi="Arial"/>
          <w:sz w:val="16"/>
          <w:szCs w:val="16"/>
          <w:color w:val="auto"/>
        </w:rPr>
        <w:t>Many of our products target wireless operators and other customers in North America, Europe, and Asia.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likely develop new products to serve these markets, which will require that we incur research and development expenses. We have incurred these expenses in the past and expect to continue to incur these expenses in future periods prior to recognizing net revenues from sales of these products.</w:t>
      </w:r>
    </w:p>
    <w:p>
      <w:pPr>
        <w:spacing w:after="0" w:line="10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Our operating costs consist of four primary categories: research and development costs; sales and marketing; general and administrative costs; and amortization of purchased intangibles.</w:t>
      </w:r>
    </w:p>
    <w:p>
      <w:pPr>
        <w:spacing w:after="0" w:line="132" w:lineRule="exact"/>
        <w:rPr>
          <w:sz w:val="20"/>
          <w:szCs w:val="20"/>
          <w:color w:val="auto"/>
        </w:rPr>
      </w:pPr>
    </w:p>
    <w:p>
      <w:pPr>
        <w:ind w:right="80" w:firstLine="913"/>
        <w:spacing w:after="0" w:line="370" w:lineRule="auto"/>
        <w:rPr>
          <w:sz w:val="20"/>
          <w:szCs w:val="20"/>
          <w:color w:val="auto"/>
        </w:rPr>
      </w:pPr>
      <w:r>
        <w:rPr>
          <w:rFonts w:ascii="Arial" w:cs="Arial" w:eastAsia="Arial" w:hAnsi="Arial"/>
          <w:sz w:val="15"/>
          <w:szCs w:val="15"/>
          <w:color w:val="auto"/>
        </w:rPr>
        <w:t>Research and development are at the core of our ability to produce innovative, leading-edge products. This category consists primarily of engineers, technicians and outside engineering resources who design and test our highly complex products and the acquisition of testing and certification services.</w:t>
      </w:r>
    </w:p>
    <w:p>
      <w:pPr>
        <w:spacing w:after="0" w:line="62" w:lineRule="exact"/>
        <w:rPr>
          <w:sz w:val="20"/>
          <w:szCs w:val="20"/>
          <w:color w:val="auto"/>
        </w:rPr>
      </w:pPr>
    </w:p>
    <w:p>
      <w:pPr>
        <w:ind w:right="560" w:firstLine="913"/>
        <w:spacing w:after="0" w:line="256"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143" w:lineRule="exact"/>
        <w:rPr>
          <w:sz w:val="20"/>
          <w:szCs w:val="20"/>
          <w:color w:val="auto"/>
        </w:rPr>
      </w:pPr>
    </w:p>
    <w:p>
      <w:pPr>
        <w:ind w:firstLine="913"/>
        <w:spacing w:after="0" w:line="323" w:lineRule="auto"/>
        <w:rPr>
          <w:sz w:val="20"/>
          <w:szCs w:val="20"/>
          <w:color w:val="auto"/>
        </w:rPr>
      </w:pPr>
      <w:r>
        <w:rPr>
          <w:rFonts w:ascii="Arial" w:cs="Arial" w:eastAsia="Arial" w:hAnsi="Arial"/>
          <w:sz w:val="15"/>
          <w:szCs w:val="15"/>
          <w:color w:val="auto"/>
        </w:rPr>
        <w:t>General and administrative expenses include primarily corporate functions such as accounting, human resources, legal fees, administrative support, and professional fees. This category also includes the expenses needed to operate as a publicly-traded company, including Sarbanes-Oxley compliance, SEC filings, stock-exchange fees, and investor-relations expense. Although general and administrative expenses are not directly related to revenue levels, certain expenses such as litigation settlements, legal expenses, and provisions for bad debts may cause significant volatility in future general and administrative expenses.</w:t>
      </w:r>
    </w:p>
    <w:p>
      <w:pPr>
        <w:spacing w:after="0" w:line="98"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Amortization of purchased intangibles includes the amortization of customer relationships, covenant-not-to-compete agreements and trade name intangible assets purchased through the acquisition of Enfora.</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also subject our intangible assets and goodwill to impairment assessments when required, which can result in charges when impairment occurs.</w:t>
      </w:r>
    </w:p>
    <w:p>
      <w:pPr>
        <w:spacing w:after="0" w:line="19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activities consist primarily of severance costs incurred in connection with the reduction of our workforce and facility exit related costs.</w:t>
      </w:r>
    </w:p>
    <w:p>
      <w:pPr>
        <w:spacing w:after="0" w:line="14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Given our current cash position and recent losses, any acquisitions we make would likely involve the issuance of Company stock. If we make any acquisitions, we may incur substantial expenditures in conjunction with the acquisition process and the subsequent assimilation of any acquired business, products, technologies or personnel.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96" w:lineRule="exact"/>
        <w:rPr>
          <w:sz w:val="20"/>
          <w:szCs w:val="20"/>
          <w:color w:val="auto"/>
        </w:rPr>
      </w:pPr>
    </w:p>
    <w:p>
      <w:pPr>
        <w:ind w:right="140" w:firstLine="913"/>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fair value of warrant liability, litigation and restructuring related accruals, provision for warranty costs, income taxes, share-based compensation expense and best estimate of selling price in a multiple element arrangement.</w:t>
      </w:r>
    </w:p>
    <w:p>
      <w:pPr>
        <w:spacing w:after="0" w:line="144"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i w:val="1"/>
          <w:iCs w:val="1"/>
          <w:color w:val="auto"/>
        </w:rPr>
        <w:t>Valuation of Intangible and Long-Lived Assets</w:t>
      </w:r>
      <w:r>
        <w:rPr>
          <w:rFonts w:ascii="Arial" w:cs="Arial" w:eastAsia="Arial" w:hAnsi="Arial"/>
          <w:sz w:val="18"/>
          <w:szCs w:val="18"/>
          <w:color w:val="auto"/>
        </w:rPr>
        <w:t>. 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160" w:firstLine="913"/>
        <w:spacing w:after="0" w:line="323" w:lineRule="auto"/>
        <w:rPr>
          <w:sz w:val="20"/>
          <w:szCs w:val="20"/>
          <w:color w:val="auto"/>
        </w:rPr>
      </w:pPr>
      <w:r>
        <w:rPr>
          <w:rFonts w:ascii="Arial" w:cs="Arial" w:eastAsia="Arial" w:hAnsi="Arial"/>
          <w:sz w:val="15"/>
          <w:szCs w:val="15"/>
          <w:color w:val="auto"/>
        </w:rPr>
        <w:t>Our assessment includes comparing the carrying amounts of intangible and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98"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two to ten years. As most of these assets are associated with technology or trade conditions that may change rapidly; such changes could have an immediate impact on our impairment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Three Months Ended September 30, 2013</w:t>
      </w:r>
    </w:p>
    <w:p>
      <w:pPr>
        <w:spacing w:after="0" w:line="96"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three months ended September 30, 2014 were $44.3 million, a decrease of $48.3 million or 52.2%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2013.</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summarizes net revenues by reportable segment and net revenues by product categories during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September 30, 2013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88"/>
              </w:rPr>
              <w:t>Three Months Ended September 30,</w:t>
            </w:r>
          </w:p>
        </w:tc>
        <w:tc>
          <w:tcPr>
            <w:tcW w:w="2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17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34,788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84,067</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 (49,279)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9,542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8,606</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936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5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line="20" w:lineRule="exact"/>
              <w:rPr>
                <w:sz w:val="1"/>
                <w:szCs w:val="1"/>
                <w:color w:val="auto"/>
              </w:rPr>
            </w:pPr>
          </w:p>
        </w:tc>
      </w:tr>
      <w:tr>
        <w:trPr>
          <w:trHeight w:val="222"/>
        </w:trPr>
        <w:tc>
          <w:tcPr>
            <w:tcW w:w="4500" w:type="dxa"/>
            <w:vAlign w:val="bottom"/>
            <w:gridSpan w:val="4"/>
            <w:vMerge w:val="continue"/>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44,330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92,673</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(48,343)</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1800" w:type="dxa"/>
            <w:vAlign w:val="bottom"/>
            <w:tcBorders>
              <w:bottom w:val="single" w:sz="8" w:color="CCEEFF"/>
            </w:tcBorders>
            <w:gridSpan w:val="2"/>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34,527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78,015</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 (43,488)</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9,272</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(6,225)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6,756</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5,386</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1,370</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44,330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92,673</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(48,343)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three months ended September 30, 2014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$34.8 million, a decrease of $49.3 million or 58.6% compared to the same period in 2013. The decrease is primarily attributable to legacy products reaching their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end of life cycle coupled with increased focus on products that have the highest return on our development cost. We expect revenues for this segment to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sequentially in the fourth quarter of 2014 following the commercial launch of our next generation MiFi device which shipped at the end of the third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26" w:name="page27"/>
    <w:bookmarkEnd w:id="26"/>
    <w:p>
      <w:pPr>
        <w:ind w:right="100" w:firstLine="913"/>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M2M Products and Solutions. </w:t>
      </w:r>
      <w:r>
        <w:rPr>
          <w:rFonts w:ascii="Arial" w:cs="Arial" w:eastAsia="Arial" w:hAnsi="Arial"/>
          <w:sz w:val="16"/>
          <w:szCs w:val="16"/>
          <w:color w:val="auto"/>
        </w:rPr>
        <w:t>Net revenues from our M2M Products and Solutions segment for the three months ended September 30, 2014 were</w:t>
      </w:r>
      <w:r>
        <w:rPr>
          <w:rFonts w:ascii="Arial" w:cs="Arial" w:eastAsia="Arial" w:hAnsi="Arial"/>
          <w:sz w:val="16"/>
          <w:szCs w:val="16"/>
          <w:i w:val="1"/>
          <w:iCs w:val="1"/>
          <w:color w:val="auto"/>
        </w:rPr>
        <w:t xml:space="preserve"> </w:t>
      </w:r>
      <w:r>
        <w:rPr>
          <w:rFonts w:ascii="Arial" w:cs="Arial" w:eastAsia="Arial" w:hAnsi="Arial"/>
          <w:sz w:val="16"/>
          <w:szCs w:val="16"/>
          <w:color w:val="auto"/>
        </w:rPr>
        <w:t>$9.5 million, an increase of $936,000 or 10.9% compared to the same period in 2013. The increase is primarily due to increased adoption of our new M2M products, partially offset by decreased sales of embedded products to M2M customers. While we believe we will continue to see new customer opportunities, we do not anticipate significant change in revenues from our M2M products sequentially in the fourth quarter of 2014.</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Product Categories. </w:t>
      </w:r>
      <w:r>
        <w:rPr>
          <w:rFonts w:ascii="Arial" w:cs="Arial" w:eastAsia="Arial" w:hAnsi="Arial"/>
          <w:sz w:val="16"/>
          <w:szCs w:val="16"/>
          <w:color w:val="auto"/>
        </w:rPr>
        <w:t>We have categorized the combined product portfolios of the mobile computing and M2M businesses into three categories</w:t>
      </w:r>
    </w:p>
    <w:p>
      <w:pPr>
        <w:spacing w:after="0" w:line="38" w:lineRule="exact"/>
        <w:rPr>
          <w:sz w:val="20"/>
          <w:szCs w:val="20"/>
          <w:color w:val="auto"/>
        </w:rPr>
      </w:pPr>
    </w:p>
    <w:p>
      <w:pPr>
        <w:ind w:right="440" w:firstLine="8"/>
        <w:spacing w:after="0" w:line="255" w:lineRule="auto"/>
        <w:tabs>
          <w:tab w:leader="none" w:pos="2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Mobile Broadband Devices, (ii) Embedded Solutions and (iii)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144"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USB modems and PC cards. These devices are sold primarily through wireless operator enterprise and retail channels, telecom equipment distributors and consumer retail chains.</w:t>
      </w:r>
    </w:p>
    <w:p>
      <w:pPr>
        <w:spacing w:after="0" w:line="85"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Embedded Solutions product category includes wireless-broadband modules and related software and services sold to manufacturers of laptop computers, tablets, and other wireless computer devices. This product category also includes M2M modules sold to manufacturers of various asset tracking and monitoring products. Our products are sold directly to OEMs or through distributor channels.</w:t>
      </w:r>
    </w:p>
    <w:p>
      <w:pPr>
        <w:spacing w:after="0" w:line="140" w:lineRule="exact"/>
        <w:rPr>
          <w:sz w:val="20"/>
          <w:szCs w:val="20"/>
          <w:color w:val="auto"/>
        </w:rPr>
      </w:pPr>
    </w:p>
    <w:p>
      <w:pPr>
        <w:ind w:right="280" w:firstLine="913"/>
        <w:spacing w:after="0" w:line="370" w:lineRule="auto"/>
        <w:rPr>
          <w:sz w:val="20"/>
          <w:szCs w:val="20"/>
          <w:color w:val="auto"/>
        </w:rPr>
      </w:pPr>
      <w:r>
        <w:rPr>
          <w:rFonts w:ascii="Arial" w:cs="Arial" w:eastAsia="Arial" w:hAnsi="Arial"/>
          <w:sz w:val="15"/>
          <w:szCs w:val="15"/>
          <w:color w:val="auto"/>
        </w:rPr>
        <w:t>Asset Management Solutions and Services are mobile intelligent wireless broadband terminal devices and N4A DM and/or N4A CMS software which transmit information about the assets into which these products are integrated. These hardware and software products can be bundled or sold separately.</w:t>
      </w:r>
    </w:p>
    <w:p>
      <w:pPr>
        <w:spacing w:after="0" w:line="6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b w:val="1"/>
          <w:bCs w:val="1"/>
          <w:i w:val="1"/>
          <w:iCs w:val="1"/>
          <w:color w:val="auto"/>
        </w:rPr>
        <w:t xml:space="preserve">Cost of net revenues. </w:t>
      </w:r>
      <w:r>
        <w:rPr>
          <w:rFonts w:ascii="Arial" w:cs="Arial" w:eastAsia="Arial" w:hAnsi="Arial"/>
          <w:sz w:val="16"/>
          <w:szCs w:val="16"/>
          <w:color w:val="auto"/>
        </w:rPr>
        <w:t>Cost of net revenues for the three months ended September 30, 2014 was $33.8 million, or 76.3% of net revenues,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$72.3 million, or 78.0% of net revenues, for the same period in 2013. During the third quarter of 2014, the cost of net revenues as a percentage of net revenues decreased primarily due to product mix, decrease in our inventory obsolescence provision as a percentage of revenue, as well as reduced labor costs attributed to headcount reductions. The cost of net revenues as a percentage of net revenues is expected to fluctuate in future quarters depending on revenue levels, the mix of products sold, competitive pricing, new product introduction costs and other factors.</w:t>
      </w:r>
    </w:p>
    <w:p>
      <w:pPr>
        <w:spacing w:after="0" w:line="1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September 30, 2014 was $10.5 million, or a gross margin of 23.7% of net revenues,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$20.4 million, or a gross margin of 22.0% of net revenues for the same period in 2013. The gross profit decrease was primarily attributable to the changes in net revenues and cost of net revenues as discussed above. We expect that our gross margin percentage will improve in the second half of 2014 due primarily to the launch of our next MiFi device.</w:t>
      </w:r>
    </w:p>
    <w:p>
      <w:pPr>
        <w:spacing w:after="0" w:line="143" w:lineRule="exact"/>
        <w:rPr>
          <w:sz w:val="20"/>
          <w:szCs w:val="20"/>
          <w:color w:val="auto"/>
        </w:rPr>
      </w:pPr>
    </w:p>
    <w:p>
      <w:pPr>
        <w:ind w:right="320" w:firstLine="913"/>
        <w:spacing w:after="0" w:line="335"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three months ended September 30, 2014 were $7.0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15.8% of net revenues, compared to $12.4 million, or 13.4% of net revenues, for the same period in 2013. Research and development expenses for the three months ended September 30, 2014 were lower as compared to the same period in 2013, due to reduced labor costs attributed to headcount reductions.</w:t>
      </w:r>
    </w:p>
    <w:p>
      <w:pPr>
        <w:spacing w:after="0" w:line="88"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14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net revenue recognized, and potential variation in the costs associated with the development of our products, including the number and complexity of the products under development and the progress of the development activities with respect to those products. We may increase our investment in research and development to continue to provide innovative products and services.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September 30, 2014 were $2.8 million, or 6.3% of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compared to $5.1 million, or 5.5% of net revenues, for the same period in 2013. Sales and marketing expenses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2014 were lower as compared to the same period in 2013, primarily due to a decrease in salaries and related compensation expenditures and lower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outside service costs.</w:t>
      </w:r>
    </w:p>
    <w:p>
      <w:pPr>
        <w:spacing w:after="0" w:line="165"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8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2014 were $3.4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7.6% of net revenues, compared to $5.1 million, or 5.5% of net revenues, for the same period in 2013. General and administrative expenses for the three months ended September 30, 2014 were lower as compared to the same period in 2013 due to reduced labor costs attributed to headcount reductions, reduced legal fees incurred during the period, lower bad debt charges, and lower facility related cost due to exiting our development site in Calgary, Canada and a portion of our San Diego facility. We expect our general and administrative costs in the fourth quarter of 2014 to decline compared to the fourth quarter of 2013, reflecting our continued focus on cost containment initiatives.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ind w:right="220" w:firstLine="913"/>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three months ended September 30,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was $141,000.</w:t>
      </w:r>
    </w:p>
    <w:p>
      <w:pPr>
        <w:spacing w:after="0" w:line="126"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b w:val="1"/>
          <w:bCs w:val="1"/>
          <w:i w:val="1"/>
          <w:iCs w:val="1"/>
          <w:color w:val="auto"/>
        </w:rPr>
        <w:t xml:space="preserve">Restructuring and severance charges. </w:t>
      </w:r>
      <w:r>
        <w:rPr>
          <w:rFonts w:ascii="Arial" w:cs="Arial" w:eastAsia="Arial" w:hAnsi="Arial"/>
          <w:sz w:val="16"/>
          <w:szCs w:val="16"/>
          <w:color w:val="auto"/>
        </w:rPr>
        <w:t>Restructuring and severance expenses for the three months ended September 30, 2014 were $1.1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$2.4 million for the same period in 2013. Restructuring expenses for the three months ended September 30, 2014 predominantly consisted of severance costs and expenses related to the departure of our former Chief Executive Officer and other severance costs incurred in connection with the reduction of our workforce, partially offset by a decrease in our estimated facility exit related costs.</w:t>
      </w:r>
    </w:p>
    <w:p>
      <w:pPr>
        <w:spacing w:after="0" w:line="11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warrant liability. </w:t>
      </w:r>
      <w:r>
        <w:rPr>
          <w:rFonts w:ascii="Arial" w:cs="Arial" w:eastAsia="Arial" w:hAnsi="Arial"/>
          <w:sz w:val="18"/>
          <w:szCs w:val="18"/>
          <w:color w:val="auto"/>
        </w:rPr>
        <w:t>During the months ended September 30, 2014, we incurred a non-cash loss of $4.8 million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 that we issued in connection with the Financing transaction on September 8, 2014, primarily as a result of an increase in the market value of our common stock.</w:t>
      </w:r>
    </w:p>
    <w:p>
      <w:pPr>
        <w:spacing w:after="0" w:line="14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expense, net, for the three months ended September 30, 2014 was $63,000 as compared to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$31,000 for the same period in 2013. The weighted-average interest rate earned by the Company on its cash, cash equivalents and marketable securities was 0.24% and 0.39% in the third quarter of 2014 and 2013, respectively. Effective July 3, 2014, the Company began incurring interest expense of approximately $63,000 per quarter relating to the $5.0 million secured promissory note issued to the plaintiff class in connection with the settlement of our recent stockholder litigation.</w:t>
      </w:r>
    </w:p>
    <w:p>
      <w:pPr>
        <w:spacing w:after="0" w:line="143"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expense, net, for the three months ended September 30, 2014 was $61,000, compared to other income,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$59,000 for the same period in 2013.</w:t>
      </w:r>
    </w:p>
    <w:p>
      <w:pPr>
        <w:spacing w:after="0" w:line="132"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for the three months ended September 30, 2014 was $24,000, as compared to $319,000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32"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effective tax rate for the three months ended September 30, 2014 is different than the U.S. statutory rate primarily due to a valuation allowance recorded against additional tax assets generated in the third quarter of 2014.</w:t>
      </w:r>
    </w:p>
    <w:p>
      <w:pPr>
        <w:spacing w:after="0" w:line="132"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three months ended September 30, 2014, we reported a net loss of $8.8 million, as compared to a net loss of $5.1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2013. Our net loss was impacted by changes in net revenue and restructuring charges recognized during the respective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2014 Compared to Nine Months Ended September 30, 2013</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b w:val="1"/>
          <w:bCs w:val="1"/>
          <w:i w:val="1"/>
          <w:iCs w:val="1"/>
          <w:color w:val="auto"/>
        </w:rPr>
        <w:t xml:space="preserve">Net revenues. </w:t>
      </w:r>
      <w:r>
        <w:rPr>
          <w:rFonts w:ascii="Arial" w:cs="Arial" w:eastAsia="Arial" w:hAnsi="Arial"/>
          <w:sz w:val="18"/>
          <w:szCs w:val="18"/>
          <w:color w:val="auto"/>
        </w:rPr>
        <w:t>Net revenues for the nine months ended September 30, 2014 were $129.9 million, a decrease of $139.8 million or 51.8%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2013.</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summarizes net revenues by reportable segment and net revenues by product categories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 and September 30, 2013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Nine Months Ended September 30,</w:t>
            </w:r>
          </w:p>
        </w:tc>
        <w:tc>
          <w:tcPr>
            <w:tcW w:w="38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4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Net revenues by reportable segment:</w:t>
            </w:r>
          </w:p>
        </w:tc>
        <w:tc>
          <w:tcPr>
            <w:tcW w:w="184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Mobile Computing Products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98,483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240,510</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$(142,027)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M2M Products and Solutions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line="20" w:lineRule="exact"/>
              <w:rPr>
                <w:sz w:val="1"/>
                <w:szCs w:val="1"/>
                <w:color w:val="auto"/>
              </w:rPr>
            </w:pPr>
          </w:p>
        </w:tc>
      </w:tr>
      <w:tr>
        <w:trPr>
          <w:trHeight w:val="222"/>
        </w:trPr>
        <w:tc>
          <w:tcPr>
            <w:tcW w:w="4600" w:type="dxa"/>
            <w:vAlign w:val="bottom"/>
            <w:gridSpan w:val="4"/>
            <w:vMerge w:val="continue"/>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129,884</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269,718</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(139,834)</w:t>
            </w:r>
          </w:p>
        </w:tc>
        <w:tc>
          <w:tcPr>
            <w:tcW w:w="5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Net revenues by product categories:</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Mobile Broadband Devices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95,827</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223,754</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$(127,927)</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Solutions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Asset Management Solutions &amp; Services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17,257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18,489</w:t>
            </w:r>
          </w:p>
        </w:tc>
        <w:tc>
          <w:tcPr>
            <w:tcW w:w="3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(1,232)</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269,718</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(139,834)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 xml:space="preserve">Mobile Computing Products. </w:t>
      </w:r>
      <w:r>
        <w:rPr>
          <w:rFonts w:ascii="Arial" w:cs="Arial" w:eastAsia="Arial" w:hAnsi="Arial"/>
          <w:sz w:val="18"/>
          <w:szCs w:val="18"/>
          <w:color w:val="auto"/>
        </w:rPr>
        <w:t>Net revenues from our Mobile Computing Products segment for the nine months ended September 30, 2014 were $98.5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$142.0 million or 59.1% compared to the same period in 2013. The decrease is primarily attributable to lower sales of mobile broadband devices caused by our legacy products reaching their end of life cycle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8" w:name="page29"/>
    <w:bookmarkEnd w:id="28"/>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coupled with increased focus on products that have the highest return on our development cost. Additionally, our product shipments in the first half of the year were limited by shortages of certain hardware components, which we don’t anticipate to incur in the future.</w:t>
      </w:r>
    </w:p>
    <w:p>
      <w:pPr>
        <w:spacing w:after="0" w:line="132" w:lineRule="exact"/>
        <w:rPr>
          <w:sz w:val="20"/>
          <w:szCs w:val="20"/>
          <w:color w:val="auto"/>
        </w:rPr>
      </w:pPr>
    </w:p>
    <w:p>
      <w:pPr>
        <w:jc w:val="both"/>
        <w:ind w:right="320" w:firstLine="913"/>
        <w:spacing w:after="0" w:line="259"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nine months ended September 30, 2014 were</w:t>
      </w:r>
      <w:r>
        <w:rPr>
          <w:rFonts w:ascii="Arial" w:cs="Arial" w:eastAsia="Arial" w:hAnsi="Arial"/>
          <w:sz w:val="18"/>
          <w:szCs w:val="18"/>
          <w:i w:val="1"/>
          <w:iCs w:val="1"/>
          <w:color w:val="auto"/>
        </w:rPr>
        <w:t xml:space="preserve"> </w:t>
      </w:r>
      <w:r>
        <w:rPr>
          <w:rFonts w:ascii="Arial" w:cs="Arial" w:eastAsia="Arial" w:hAnsi="Arial"/>
          <w:sz w:val="18"/>
          <w:szCs w:val="18"/>
          <w:color w:val="auto"/>
        </w:rPr>
        <w:t>$31.4 million, an increase of $2.2 million or 7.5% compared to the same period in 2013. The increase is primarily due to increased adoption of our new M2M products, partially offset by decreased sales of embedded products to M2M customers.</w:t>
      </w:r>
    </w:p>
    <w:p>
      <w:pPr>
        <w:spacing w:after="0" w:line="14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nine months ended September 30, 2014 was $105.3 million, or 81.1%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$213.5 million, or 79.1% of net revenues, for the same period in 2013. During the nine months ended September 30, 2014, the cost of net revenues as a percentage of net revenues increased primarily due to an increase in the inventory obsolescence provision as a percentage of net revenue, partially offset by reduced labor costs attributed to headcount reductions.</w:t>
      </w:r>
    </w:p>
    <w:p>
      <w:pPr>
        <w:spacing w:after="0" w:line="143"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2014 was $24.5 million, or a gross margin of 18.9% of net revenues,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$56.3 million, or a gross margin of 20.9% of net revenues for the same period in 2013. The gross profit decrease was primarily attributable to the changes in net revenues and cost of net revenues as discussed above.</w:t>
      </w:r>
    </w:p>
    <w:p>
      <w:pPr>
        <w:spacing w:after="0" w:line="140"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nine months ended September 30, 2014 were $24.2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18.6% of net revenues, compared to $39.3 million, or 14.6% of net revenues, for the same period in 2013. Research and development expenses for the nine months ended September 30, 2014 were lower as compared to the same period in 2013, due to reduced labor costs attributed to headcount reductions and lower outside service costs and depreciation expenses. The nine months ended September 30, 2014 included approximately $1.6 million in third-party test and certification costs associated with our next MiFi product, which launched late in the third quarter of 2014.</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nine months ended September 30, 2014 were $9.8 million, or 7.6% of net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compared to $16.7 million, or 6.2% of net revenues, for the same period in 2013. Sales and marketing expenses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2014 were lower as compared to the same period in 2013, primarily due to a decrease in salaries and related expenditures and lower outside service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6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nine months ended September 30, 2014 were $12.9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9.9% of net revenues, compared to $19.2 million, or 7.1% of net revenues, for the same period in 2013. General and administrative expenses for the nine months ended September 30, 2014 were lower as compared to the same period in 2013 due primarily to reduced labor costs attributed to headcount reductions, reduced legal fees, and reduced building related expenses incurred during the period.</w:t>
      </w:r>
    </w:p>
    <w:p>
      <w:pPr>
        <w:spacing w:after="0" w:line="137" w:lineRule="exact"/>
        <w:rPr>
          <w:sz w:val="20"/>
          <w:szCs w:val="20"/>
          <w:color w:val="auto"/>
        </w:rPr>
      </w:pPr>
    </w:p>
    <w:p>
      <w:pPr>
        <w:ind w:right="260" w:firstLine="913"/>
        <w:spacing w:after="0" w:line="275"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nine months ended September 30,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was $421,000 and $422,000, respectively.</w:t>
      </w:r>
    </w:p>
    <w:p>
      <w:pPr>
        <w:spacing w:after="0" w:line="126"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b w:val="1"/>
          <w:bCs w:val="1"/>
          <w:i w:val="1"/>
          <w:iCs w:val="1"/>
          <w:color w:val="auto"/>
        </w:rPr>
        <w:t xml:space="preserve">Restructuring and severance charges. </w:t>
      </w:r>
      <w:r>
        <w:rPr>
          <w:rFonts w:ascii="Arial" w:cs="Arial" w:eastAsia="Arial" w:hAnsi="Arial"/>
          <w:sz w:val="16"/>
          <w:szCs w:val="16"/>
          <w:color w:val="auto"/>
        </w:rPr>
        <w:t>Restructuring and severance expenses for the nine months ended September 30, 2014 were $7.5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$2.4 million for the same period in 2013. Restructuring expenses for the nine months ended September 30, 2014 primarily consist of severance costs and expenses related to the departure of our former Chief Executive Officer, including expenses relating to the accelerated vesting of restricted stock units and options, other severance costs and expenses incurred in connection with the reduction of our workforce, and estimated facility exit costs.</w:t>
      </w:r>
    </w:p>
    <w:p>
      <w:pPr>
        <w:spacing w:after="0" w:line="113"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b w:val="1"/>
          <w:bCs w:val="1"/>
          <w:i w:val="1"/>
          <w:iCs w:val="1"/>
          <w:color w:val="auto"/>
        </w:rPr>
        <w:t xml:space="preserve">Change in fair value of warrant liability. </w:t>
      </w:r>
      <w:r>
        <w:rPr>
          <w:rFonts w:ascii="Arial" w:cs="Arial" w:eastAsia="Arial" w:hAnsi="Arial"/>
          <w:sz w:val="18"/>
          <w:szCs w:val="18"/>
          <w:color w:val="auto"/>
        </w:rPr>
        <w:t>During the nine months ended September 30, 2014, we incurred a non-cash loss of $4.8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 that we issued in connection with the Financing transaction on September 8, 2014, primarily as a result of an increase in the market value of our common stock.</w:t>
      </w:r>
    </w:p>
    <w:p>
      <w:pPr>
        <w:spacing w:after="0" w:line="14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expense, net for the nine months ended September 30, 2014 was $28,000 as compared to $109,000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net for the same period in 2013 on lower cash and marketable securities balances. Effective July 3, 2014, the Company began incurring interest expense of approximately $63,000 per quarter relating to the $5.0 million secured promissory note issued to the plaintiff class in connection with the recent settlement of our stockholder litigation.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29" w:name="page30"/>
    <w:bookmarkEnd w:id="29"/>
    <w:p>
      <w:pPr>
        <w:ind w:right="20" w:firstLine="913"/>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income (expense), net. </w:t>
      </w:r>
      <w:r>
        <w:rPr>
          <w:rFonts w:ascii="Arial" w:cs="Arial" w:eastAsia="Arial" w:hAnsi="Arial"/>
          <w:sz w:val="18"/>
          <w:szCs w:val="18"/>
          <w:color w:val="auto"/>
        </w:rPr>
        <w:t>Other expense, net, for the nine months ended September 30, 2014 was $118,000 as compared to $83,000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32"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for the nine months ended September 30, 2014 was $73,000, as compared to $340,000 for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2013.</w:t>
      </w:r>
    </w:p>
    <w:p>
      <w:pPr>
        <w:spacing w:after="0" w:line="132"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effective tax rate for the nine months ended September 30, 2014 is different than the U.S. statutory rate primarily due to a valuation allowance recorded against additional tax assets generated in the nine months ended September 30, 2014.</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nine months ended September 30, 2014, we reported a net loss of $35.2 million, as compared to a net loss of $22.1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2013. Our net loss was impacted by changes in net revenue and restructuring charges recognized during the respective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Our principal sources of liquidity are our cash, cash equivalents and marketable securities and cash generated from operations. The following events are reasonably likely to materially affect our liquidity.</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Financing Transaction</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On September 3, 2014, we entered into a Purchase Agreement with HC2 Holdings 2, Inc., a Delaware corporation (the “Investor”), pursuant to which, on September 8, 2014, we sold to the Investor (i) 7,363,334 shares of the Company’s common stock, par value $0.001 per share, (ii) a warrant to purchase 4,117,647 shares of common stock at an exercise price of $2.26 per share (the “Warrant”) and (iii) 87,196 shares of the Company’s Series C Convertible Preferred Stock, par value $0.001 per share (the “Series C Preferred Stock”), all at a purchase price of (a) $1.75 per share of common stock plus, in each case, the related Warrant and (b) $17.50 per share of Series C Preferred Stock, for aggregate gross proceeds of approximately $14.4 million.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October 31, 2014, we and one of our subsidiaries entered into a Credit and Security Agreement (the “Credit Agreement”) with Wells Fargo Bank, National Association, as lender, to establish a five-year senior secured revolving credit facility in the amount of $25.0 million (the “Revolver”).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or the maximum revolver amount of $25.0 million, the Borrowers are required to repay such borrowings in an amount sufficient to eliminate such excess. The Revolver includes $3.0 million of availability for letters of credit.</w:t>
      </w:r>
    </w:p>
    <w:p>
      <w:pPr>
        <w:spacing w:after="0" w:line="14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We have an existing margin credit facility with one of the banks that holds our marketable securities, the use of this margin credit facility is limited to meeting short-term cash requirements and avoiding selling cash equivalents and marketable securities. Borrowings under this facility are collateralized by our cash and cash equivalents and marketable securities on deposit at the bank. During the three and nine months ended September 30, 2014, we did not borrow against the facility, and had no outstanding borrowings under this facility at September 30, 2014. Under the terms of the credit facility, the bank may liquidate any of our cash equivalents or marketable securities held at any time in order to recoup the outstanding balance of the facility. Our unused borrowing capacity at September 30, 2014 under the credit facility was $1.9 million.</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2"/>
                <w:szCs w:val="12"/>
                <w:color w:val="auto"/>
              </w:rPr>
            </w:pPr>
          </w:p>
        </w:tc>
        <w:tc>
          <w:tcPr>
            <w:tcW w:w="740" w:type="dxa"/>
            <w:vAlign w:val="bottom"/>
            <w:gridSpan w:val="3"/>
          </w:tcPr>
          <w:p>
            <w:pPr>
              <w:jc w:val="right"/>
              <w:ind w:right="58"/>
              <w:spacing w:after="0" w:line="149" w:lineRule="exact"/>
              <w:rPr>
                <w:sz w:val="20"/>
                <w:szCs w:val="20"/>
                <w:color w:val="auto"/>
              </w:rPr>
            </w:pPr>
            <w:r>
              <w:rPr>
                <w:rFonts w:ascii="Arial" w:cs="Arial" w:eastAsia="Arial" w:hAnsi="Arial"/>
                <w:sz w:val="14"/>
                <w:szCs w:val="14"/>
                <w:b w:val="1"/>
                <w:bCs w:val="1"/>
                <w:color w:val="auto"/>
                <w:w w:val="89"/>
              </w:rPr>
              <w:t>Increase /</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11"/>
                <w:szCs w:val="11"/>
                <w:color w:val="auto"/>
              </w:rPr>
              <w:t>(1)</w:t>
            </w: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40,928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1"/>
                <w:szCs w:val="11"/>
                <w:color w:val="auto"/>
              </w:rPr>
              <w:t>(2)</w:t>
            </w: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tcPr>
          <w:p>
            <w:pPr>
              <w:spacing w:after="0"/>
              <w:rPr>
                <w:sz w:val="18"/>
                <w:szCs w:val="18"/>
                <w:color w:val="auto"/>
              </w:rPr>
            </w:pPr>
          </w:p>
        </w:tc>
        <w:tc>
          <w:tcPr>
            <w:tcW w:w="15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20,163</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
              <w:spacing w:after="0"/>
              <w:rPr>
                <w:sz w:val="20"/>
                <w:szCs w:val="20"/>
                <w:color w:val="auto"/>
              </w:rPr>
            </w:pPr>
            <w:r>
              <w:rPr>
                <w:rFonts w:ascii="Arial" w:cs="Arial" w:eastAsia="Arial" w:hAnsi="Arial"/>
                <w:sz w:val="18"/>
                <w:szCs w:val="18"/>
                <w:color w:val="auto"/>
                <w:w w:val="94"/>
              </w:rPr>
              <w:t>17,252</w:t>
            </w: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1"/>
                <w:szCs w:val="11"/>
                <w:color w:val="auto"/>
              </w:rPr>
              <w:t>(2)(3)</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(11,515)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marketable securities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25,521</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restricted marketable securities.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0" w:name="page31"/>
    <w:bookmarkEnd w:id="30"/>
    <w:p>
      <w:pPr>
        <w:ind w:right="6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working capital decreased $6.8 million from December 31, 2013 to September 30, 2014. The decrease was primarily due to losses from operations incurred during the nine months ended September 30, 2014.</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September 30, 2014, total cash and cash equivalents and marketable securities increased by $2.6 million from December 31, 2013.</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our condensed consolidated statements of cash flows for the periods indicated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(9,484)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(4,182)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15,602</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jc w:val="center"/>
              <w:ind w:right="832"/>
              <w:spacing w:after="0"/>
              <w:rPr>
                <w:sz w:val="20"/>
                <w:szCs w:val="20"/>
                <w:color w:val="auto"/>
              </w:rPr>
            </w:pPr>
            <w:r>
              <w:rPr>
                <w:rFonts w:ascii="Arial" w:cs="Arial" w:eastAsia="Arial" w:hAnsi="Arial"/>
                <w:sz w:val="18"/>
                <w:szCs w:val="18"/>
                <w:color w:val="auto"/>
                <w:w w:val="86"/>
              </w:rPr>
              <w:t>Effect of exchange rates on cash and cash equivalents</w:t>
            </w:r>
          </w:p>
        </w:tc>
        <w:tc>
          <w:tcPr>
            <w:tcW w:w="136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jc w:val="center"/>
              <w:ind w:right="852"/>
              <w:spacing w:after="0"/>
              <w:rPr>
                <w:sz w:val="20"/>
                <w:szCs w:val="20"/>
                <w:color w:val="auto"/>
              </w:rPr>
            </w:pPr>
            <w:r>
              <w:rPr>
                <w:rFonts w:ascii="Arial" w:cs="Arial" w:eastAsia="Arial" w:hAnsi="Arial"/>
                <w:sz w:val="18"/>
                <w:szCs w:val="18"/>
                <w:color w:val="auto"/>
                <w:w w:val="85"/>
              </w:rPr>
              <w:t>Net increase in cash and cash equivalents</w:t>
            </w:r>
          </w:p>
        </w:tc>
        <w:tc>
          <w:tcPr>
            <w:tcW w:w="1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17,252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20,163</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used in operating activities was $9.5 million for the nine months ended September 30, 2014 compared to net cash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operating activities of $4.2 million for the same period in 2013. Net cash used for the nine months ended September 30, 2014 was attributable to net losses in the period, partially offset by a net increase in cash caused by changes in working capital accounts, and non-cash charges for depreciation and amortization, inventory provision and share-based compensation expense. The net increase in cash caused by changes in net working capital accounts primarily included decreases in accounts receivable and prepaid expenses and other assets, partially offset by an increase in accounts payable. Net cash used in operating activities for the nine months ended September 30, 2013 was attributable to a net decrease in cash caused by net losses in the period, partially offset by contributions to cash caused by net changes in working capital accounts, and non-cash charges for depreciation and amortization, inventory obsolescence provision and share based compensation expense.</w:t>
      </w:r>
    </w:p>
    <w:p>
      <w:pPr>
        <w:spacing w:after="0" w:line="11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provided by investing activities during the nine months ended September 30, 2014 was $15.6 million compared to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of $4.4 million during the same period in 2013. Cash provided by investing activities during the nine months ended September 30, 2014 was related to net sales of marketable securities of $17.3 million, partially offset by purchases of property, plant, and equipment for approximately $1.5 million. Cash provided by investing activities during the nine months ended September 30, 2013 was related to net sales of marketable securities of $9.5 million, partially offset by purchases of property, plant, and equipment of approximately $5.0 million.</w:t>
      </w:r>
    </w:p>
    <w:p>
      <w:pPr>
        <w:spacing w:after="0" w:line="116"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provided by financing activities during the nine months ended September 30, 2014 was $11.2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of $1.9 million during the same period in 2013. Net cash provided by financing activities during the nine months ended September 30, 2014 was primarily related to $14.2 million proceeds received from share issuances and a warrant, net of issuance costs, offset by principal repayments on our margin credit facility borrowings, and payroll taxes paid on behalf of employees for restricted stock units which vested during the period. Net cash provided by financing activities for the nine months ended September 30, 2013 was primarily related to proceeds received from borrowing on our margin credit facility, offset by principal repayments on our margin credit facility borrowings, and payroll taxes paid on behalf of employees for restricted stock units which vested during the period.</w:t>
      </w: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During the next twelve months, we currently plan to incur approximately $2.5 million for discretionary capital expenditures, including the acquisition of additional software licenses.</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Although we believe our cash resources from cash and cash equivalents and marketable securities, together with anticipated cash flows from operations will be sufficient to meet our working capital needs for the next twelve months, our liquidity could be significantly impaired if there is any interruption in our business operations, a material failure to satisfy our contractual commitments, a failure to generate revenue from new or existing products or a delay in the launch of such new products, material judgments against us in patent infringement cases brought against us or restrictions imposed by key suppliers based on their downgrades of our credit.</w:t>
      </w:r>
    </w:p>
    <w:p>
      <w:pPr>
        <w:spacing w:after="0" w:line="143"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We may seek to raise additional capital through private and/or public offerings of debt or equity securities. We may also seek additional capital through arrangements with strategic partners or from other sources. There can be no assurance that any required additional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will be available on terms favorable to us, or at all.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480" w:firstLine="913"/>
        <w:spacing w:after="0" w:line="332" w:lineRule="auto"/>
        <w:rPr>
          <w:sz w:val="20"/>
          <w:szCs w:val="20"/>
          <w:color w:val="auto"/>
        </w:rPr>
      </w:pPr>
      <w:r>
        <w:rPr>
          <w:rFonts w:ascii="Arial" w:cs="Arial" w:eastAsia="Arial" w:hAnsi="Arial"/>
          <w:sz w:val="16"/>
          <w:szCs w:val="16"/>
          <w:color w:val="auto"/>
        </w:rPr>
        <w:t>Market risk is the risk of potential economic loss principally arising from adverse changes in the fair value of financial instruments. The major components of market risk affecting us are interest rate risk, global credit risk and foreign currency exchange rate risk.</w:t>
      </w:r>
    </w:p>
    <w:p>
      <w:pPr>
        <w:spacing w:after="0" w:line="8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Since December 31, 2013, there have been no material changes in the quantitative or qualitative aspect of our market risk profile. For additional information regarding the Company’s exposure to certain market risks, see Item 7A,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our Annual Report on Form 10-K for the year ended December 31,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September 30, 2014, the end of the period covered by this report. Based on the evaluation of these disclosure controls and procedures, the Company’s Chief Executive Officer and Chief Financial Officer concluded that the Company’s disclosure controls and procedures were effective.</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three months ended September 30, 2014, that have materially affected, or are reasonably likely to materially affect, the Company’s internal control over financial reporting.</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disclosure in Note 11, “Commitments and Contingencies” in the accompanying consolidated financial statements includes a discussion of our legal proceedings and is incorporated herein by reference.</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is also engaged in numerous other legal actions arising in the ordinary course of our business and, while there can be no assurance, the Company believes that the ultimate outcome of these other legal actions will not have a material adverse effect on its business, results of operations, financial condition or cash flows.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There have been no material changes in our risk factors from those disclosed in Item 1A of the Company’s Annual Report on Form 10-K for the year ended December 31, 2013.</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240" w:firstLine="913"/>
        <w:spacing w:after="0" w:line="306" w:lineRule="auto"/>
        <w:rPr>
          <w:sz w:val="20"/>
          <w:szCs w:val="20"/>
          <w:color w:val="auto"/>
        </w:rPr>
      </w:pPr>
      <w:r>
        <w:rPr>
          <w:rFonts w:ascii="Arial" w:cs="Arial" w:eastAsia="Arial" w:hAnsi="Arial"/>
          <w:sz w:val="16"/>
          <w:szCs w:val="16"/>
          <w:color w:val="auto"/>
        </w:rPr>
        <w:t>Reference is made to (i) the description of our issuance of unregistered shares of common stock in connection with the settlement of our recent stockholder litigation and (ii) the description of our sale and issuance of common stock, shares of Series C Preferred Stock and the Warrant, as disclosed in our Current Reports on Form 8-K filed on July 2, 2014 and September 8, 2014, respectively, each of which is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Item 5.</w:t>
            </w:r>
          </w:p>
        </w:tc>
        <w:tc>
          <w:tcPr>
            <w:tcW w:w="10660" w:type="dxa"/>
            <w:vAlign w:val="bottom"/>
            <w:gridSpan w:val="3"/>
          </w:tcPr>
          <w:p>
            <w:pPr>
              <w:ind w:left="320"/>
              <w:spacing w:after="0"/>
              <w:rPr>
                <w:sz w:val="20"/>
                <w:szCs w:val="20"/>
                <w:color w:val="auto"/>
              </w:rPr>
            </w:pPr>
            <w:r>
              <w:rPr>
                <w:rFonts w:ascii="Arial" w:cs="Arial" w:eastAsia="Arial" w:hAnsi="Arial"/>
                <w:sz w:val="18"/>
                <w:szCs w:val="18"/>
                <w:b w:val="1"/>
                <w:bCs w:val="1"/>
                <w:color w:val="auto"/>
              </w:rPr>
              <w:t>Other Information.</w:t>
            </w:r>
          </w:p>
        </w:tc>
      </w:tr>
      <w:tr>
        <w:trPr>
          <w:trHeight w:val="297"/>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60" w:type="dxa"/>
            <w:vAlign w:val="bottom"/>
            <w:gridSpan w:val="3"/>
          </w:tcPr>
          <w:p>
            <w:pPr>
              <w:ind w:left="200"/>
              <w:spacing w:after="0"/>
              <w:rPr>
                <w:sz w:val="20"/>
                <w:szCs w:val="20"/>
                <w:color w:val="auto"/>
              </w:rPr>
            </w:pPr>
            <w:r>
              <w:rPr>
                <w:rFonts w:ascii="Arial" w:cs="Arial" w:eastAsia="Arial" w:hAnsi="Arial"/>
                <w:sz w:val="18"/>
                <w:szCs w:val="18"/>
                <w:color w:val="auto"/>
              </w:rPr>
              <w:t>Not applicable</w:t>
            </w:r>
          </w:p>
        </w:tc>
      </w:tr>
      <w:tr>
        <w:trPr>
          <w:trHeight w:val="500"/>
        </w:trPr>
        <w:tc>
          <w:tcPr>
            <w:tcW w:w="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Item 6.</w:t>
            </w:r>
          </w:p>
        </w:tc>
        <w:tc>
          <w:tcPr>
            <w:tcW w:w="10660" w:type="dxa"/>
            <w:vAlign w:val="bottom"/>
            <w:gridSpan w:val="3"/>
          </w:tcPr>
          <w:p>
            <w:pPr>
              <w:ind w:left="32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316"/>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89"/>
              </w:rPr>
              <w:t>Certificate of Designations of Series C Preferred Stock (incorporated by reference to Exhibit 3.1 to Current Report on Form 8-K, filed September 8,</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1"/>
              </w:rPr>
              <w:t>Order Granting Motion to Amend the Judgment Date dated July 8, 2014 (incorporated by reference to Exhibit 4.5 to the Company’s Form 10-Q,</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filed August 8, 2014).</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Promissory Note dated July 3, 2014 (incorporated by reference to Exhibit 4.2 to the Company’s Form 10-Q, filed August 8, 2014).</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8"/>
              </w:rPr>
              <w:t>Security Agreement dated July 3, 2014 (incorporated by reference to Exhibit 4.3 to the Company’s Form 10-Q, filed August 8,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89"/>
              </w:rPr>
              <w:t>Warrant to Purchase Common Stock issued to HC2 Holdings 2, Inc., dated September 8, 2014 (incorporated by reference to Exhibit 4.1 to Current</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Report on Form 8-K, filed September 8,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88"/>
              </w:rPr>
              <w:t>Investors’ Rights Agreement, dated September 8, 2014, by and between Novatel Wireless, Inc. and HC2 Holdings 2, Inc. (incorporated by reference</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to Exhibit 4.2 to Current Report on Form 8-K, filed September 8,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0"/>
              </w:rPr>
              <w:t>Confirmation Letter, dated July 3, 2014, by and among the Company and each of Cobb H. Sadler, Edward T. Shadek, Robert Ellsworth, Maguire</w:t>
            </w:r>
          </w:p>
        </w:tc>
      </w:tr>
      <w:tr>
        <w:trPr>
          <w:trHeight w:val="216"/>
        </w:trPr>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3"/>
              </w:rPr>
              <w:t>Financial, LP, a Delaware limited partnership, Maguire Asset Management, LLC, a Delaware limited liability company, and Timothy Maguire</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(incorporated by reference to Exhibit 10.1 to the Company’s Current Report on Form 8-K, filed July 10,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88"/>
              </w:rPr>
              <w:t>Employment Agreement, dated August 4, 2014, by and between the Company and Alex Mashinsky (incorporated by reference to Exhibit 10.1 to the</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Company’s Current Report on Form 8-K, filed August 6,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1"/>
              </w:rPr>
              <w:t>Offer letter, effective September 2, 2014, by and between the Company and Michael Newman (incorporated by reference to Exhibit 10.1 to the</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Company’s Current Report on Form 8-K, filed September 4,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89"/>
              </w:rPr>
              <w:t>Change in Control and Severance Agreement, effective September 2, 2014, by and between the Company and Michael Newman (incorporated by</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reference to Exhibit 10.2 to the Company’s Current Report on Form 8-K, filed September 4, 2014).</w:t>
            </w:r>
          </w:p>
        </w:tc>
      </w:tr>
      <w:tr>
        <w:trPr>
          <w:trHeight w:val="318"/>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w w:val="91"/>
              </w:rPr>
              <w:t>Purchase Agreement, dated September 3, 2014, by and between Novatel Wireless, Inc. and HC2 Holdings 2, Inc. (incorporated by reference to</w:t>
            </w:r>
          </w:p>
        </w:tc>
      </w:tr>
      <w:tr>
        <w:trPr>
          <w:trHeight w:val="222"/>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Exhibit 10.1 to Current Report on Form 8-K, filed September 8, 2014).</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Certification of our Principal Financial Officer pursuant to Section 302 of the Sarbanes-Oxley Act of 2002.</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Certification of our Principal Executive Officer pursuant to Section 906 of the Sarbanes-Oxley Act of 2002.</w:t>
            </w:r>
          </w:p>
        </w:tc>
      </w:tr>
      <w:tr>
        <w:trPr>
          <w:trHeight w:val="324"/>
        </w:trPr>
        <w:tc>
          <w:tcPr>
            <w:tcW w:w="520" w:type="dxa"/>
            <w:vAlign w:val="bottom"/>
          </w:tcPr>
          <w:p>
            <w:pPr>
              <w:jc w:val="right"/>
              <w:ind w:right="34"/>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660" w:type="dxa"/>
            <w:vAlign w:val="bottom"/>
            <w:gridSpan w:val="3"/>
          </w:tcPr>
          <w:p>
            <w:pPr>
              <w:ind w:left="240"/>
              <w:spacing w:after="0"/>
              <w:rPr>
                <w:sz w:val="20"/>
                <w:szCs w:val="20"/>
                <w:color w:val="auto"/>
              </w:rPr>
            </w:pPr>
            <w:r>
              <w:rPr>
                <w:rFonts w:ascii="Arial" w:cs="Arial" w:eastAsia="Arial" w:hAnsi="Arial"/>
                <w:sz w:val="18"/>
                <w:szCs w:val="18"/>
                <w:color w:val="auto"/>
              </w:rPr>
              <w:t>Certification of our Principal Financial Officer pursuant to Section 906 of the Sarbanes-Oxley Act of 2002.</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60" w:right="80" w:hanging="952"/>
        <w:spacing w:after="0" w:line="298" w:lineRule="auto"/>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and footnotes from the Novatel Wireless, Inc. Quarterly Report on Form 10-Q for the quarter ended September 30, 2014 formatted in Extensible Business Reporting Language (XBRL): (i) Condensed Consolidated Balance Sheets; (ii) Condensed Consolidated Statements of Operations; (iii) Condensed Consolidated Statements of Comprehensive Loss; (iv) Condensed Consolidated Statements of Cash Flows; and (v) the Notes to Condensed Consolidated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33" w:name="page34"/>
    <w:bookmarkEnd w:id="33"/>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jc w:val="center"/>
        <w:ind w:left="2340"/>
        <w:spacing w:after="0"/>
        <w:rPr>
          <w:sz w:val="20"/>
          <w:szCs w:val="20"/>
          <w:color w:val="auto"/>
        </w:rPr>
      </w:pPr>
      <w:r>
        <w:rPr>
          <w:rFonts w:ascii="Arial" w:cs="Arial" w:eastAsia="Arial" w:hAnsi="Arial"/>
          <w:sz w:val="18"/>
          <w:szCs w:val="18"/>
          <w:color w:val="auto"/>
        </w:rPr>
        <w:t>By: /s/ 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Alex Mashinsky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ind w:left="2420"/>
        <w:spacing w:after="0"/>
        <w:rPr>
          <w:sz w:val="20"/>
          <w:szCs w:val="20"/>
          <w:color w:val="auto"/>
        </w:rPr>
      </w:pPr>
      <w:r>
        <w:rPr>
          <w:rFonts w:ascii="Arial" w:cs="Arial" w:eastAsia="Arial" w:hAnsi="Arial"/>
          <w:sz w:val="18"/>
          <w:szCs w:val="18"/>
          <w:color w:val="auto"/>
        </w:rPr>
        <w:t>By: /s/ M</w:t>
      </w:r>
      <w:r>
        <w:rPr>
          <w:rFonts w:ascii="Arial" w:cs="Arial" w:eastAsia="Arial" w:hAnsi="Arial"/>
          <w:sz w:val="14"/>
          <w:szCs w:val="14"/>
          <w:color w:val="auto"/>
        </w:rPr>
        <w:t>ICHAEL</w:t>
      </w:r>
      <w:r>
        <w:rPr>
          <w:rFonts w:ascii="Arial" w:cs="Arial" w:eastAsia="Arial" w:hAnsi="Arial"/>
          <w:sz w:val="18"/>
          <w:szCs w:val="18"/>
          <w:color w:val="auto"/>
        </w:rPr>
        <w:t xml:space="preserve"> N</w:t>
      </w:r>
      <w:r>
        <w:rPr>
          <w:rFonts w:ascii="Arial" w:cs="Arial" w:eastAsia="Arial" w:hAnsi="Arial"/>
          <w:sz w:val="14"/>
          <w:szCs w:val="14"/>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Newman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240" w:top="274" w:right="7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Alex Mashinsky, certify that:</w:t>
      </w:r>
    </w:p>
    <w:p>
      <w:pPr>
        <w:spacing w:after="0" w:line="171"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8"/>
          <w:szCs w:val="18"/>
          <w:color w:val="auto"/>
        </w:rPr>
        <w:t>/s/ 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Alex Mashinsky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171" w:lineRule="exact"/>
        <w:rPr>
          <w:sz w:val="20"/>
          <w:szCs w:val="20"/>
          <w:color w:val="auto"/>
        </w:rPr>
      </w:pPr>
    </w:p>
    <w:p>
      <w:pPr>
        <w:ind w:left="640" w:hanging="17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N</w:t>
      </w:r>
      <w:r>
        <w:rPr>
          <w:rFonts w:ascii="Arial" w:cs="Arial" w:eastAsia="Arial" w:hAnsi="Arial"/>
          <w:sz w:val="14"/>
          <w:szCs w:val="14"/>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Newman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 Alex Mashinsky, Chief Executive Officer of Novatel Wireless, Inc. (the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(the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Alex Mashinsky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 Michael Newman, Chief Financial Officer of Novatel Wireless, Inc. (the “Company”), do hereby certify, pursuant to 18 U.S.C. Section 1350, as adopted pursuant to Section 906 of the Sarbanes-Oxley Act of 2002, that to the best of my knowledge:</w:t>
      </w:r>
    </w:p>
    <w:p>
      <w:pPr>
        <w:spacing w:after="0" w:line="51" w:lineRule="exact"/>
        <w:rPr>
          <w:sz w:val="20"/>
          <w:szCs w:val="20"/>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2014 (the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7, 2014</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N</w:t>
      </w:r>
      <w:r>
        <w:rPr>
          <w:rFonts w:ascii="Arial" w:cs="Arial" w:eastAsia="Arial" w:hAnsi="Arial"/>
          <w:sz w:val="14"/>
          <w:szCs w:val="14"/>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Newman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0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2019-12-06T15:20:22Z</dcterms:created>
  <dcterms:modified xsi:type="dcterms:W3CDTF">2019-12-06T15:20:22Z</dcterms:modified>
</cp:coreProperties>
</file>