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fiscal year ended December 31, 2006</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1760" w:type="dxa"/>
        <w:tblCellMar>
          <w:top w:w="0" w:type="dxa"/>
          <w:left w:w="0" w:type="dxa"/>
          <w:bottom w:w="0" w:type="dxa"/>
          <w:right w:w="0" w:type="dxa"/>
        </w:tblCellMar>
      </w:tblPr>
      <w:tr>
        <w:trPr>
          <w:trHeight w:val="207"/>
        </w:trPr>
        <w:tc>
          <w:tcPr>
            <w:tcW w:w="3740" w:type="dxa"/>
            <w:vAlign w:val="bottom"/>
          </w:tcPr>
          <w:p>
            <w:pPr>
              <w:ind w:left="1420"/>
              <w:spacing w:after="0"/>
              <w:rPr>
                <w:sz w:val="20"/>
                <w:szCs w:val="20"/>
                <w:color w:val="auto"/>
              </w:rPr>
            </w:pPr>
            <w:r>
              <w:rPr>
                <w:rFonts w:ascii="Arial" w:cs="Arial" w:eastAsia="Arial" w:hAnsi="Arial"/>
                <w:sz w:val="18"/>
                <w:szCs w:val="18"/>
                <w:b w:val="1"/>
                <w:bCs w:val="1"/>
                <w:color w:val="auto"/>
                <w:w w:val="90"/>
              </w:rPr>
              <w:t>For the transition period from</w:t>
            </w:r>
          </w:p>
        </w:tc>
        <w:tc>
          <w:tcPr>
            <w:tcW w:w="124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240" w:type="dxa"/>
            <w:vAlign w:val="bottom"/>
            <w:tcBorders>
              <w:bottom w:val="single" w:sz="8" w:color="auto"/>
            </w:tcBorders>
          </w:tcPr>
          <w:p>
            <w:pPr>
              <w:spacing w:after="0"/>
              <w:rPr>
                <w:sz w:val="17"/>
                <w:szCs w:val="17"/>
                <w:color w:val="auto"/>
              </w:rPr>
            </w:pPr>
          </w:p>
        </w:tc>
        <w:tc>
          <w:tcPr>
            <w:tcW w:w="1060" w:type="dxa"/>
            <w:vAlign w:val="bottom"/>
          </w:tcPr>
          <w:p>
            <w:pPr>
              <w:jc w:val="right"/>
              <w:ind w:right="949"/>
              <w:spacing w:after="0"/>
              <w:rPr>
                <w:sz w:val="20"/>
                <w:szCs w:val="20"/>
                <w:color w:val="auto"/>
              </w:rPr>
            </w:pPr>
            <w:r>
              <w:rPr>
                <w:rFonts w:ascii="Arial" w:cs="Arial" w:eastAsia="Arial" w:hAnsi="Arial"/>
                <w:sz w:val="10"/>
                <w:szCs w:val="10"/>
                <w:b w:val="1"/>
                <w:bCs w:val="1"/>
                <w:color w:val="auto"/>
                <w:w w:val="70"/>
              </w:rPr>
              <w:t>.</w:t>
            </w:r>
          </w:p>
        </w:tc>
      </w:tr>
      <w:tr>
        <w:trPr>
          <w:trHeight w:val="397"/>
        </w:trPr>
        <w:tc>
          <w:tcPr>
            <w:tcW w:w="6440" w:type="dxa"/>
            <w:vAlign w:val="bottom"/>
            <w:gridSpan w:val="4"/>
          </w:tcPr>
          <w:p>
            <w:pPr>
              <w:jc w:val="center"/>
              <w:ind w:left="1373"/>
              <w:spacing w:after="0"/>
              <w:rPr>
                <w:sz w:val="20"/>
                <w:szCs w:val="20"/>
                <w:color w:val="auto"/>
              </w:rPr>
            </w:pPr>
            <w:r>
              <w:rPr>
                <w:rFonts w:ascii="Arial" w:cs="Arial" w:eastAsia="Arial" w:hAnsi="Arial"/>
                <w:sz w:val="18"/>
                <w:szCs w:val="18"/>
                <w:b w:val="1"/>
                <w:bCs w:val="1"/>
                <w:color w:val="auto"/>
                <w:w w:val="88"/>
              </w:rPr>
              <w:t>Commission file number: 0-31659</w:t>
            </w:r>
          </w:p>
        </w:tc>
        <w:tc>
          <w:tcPr>
            <w:tcW w:w="1060" w:type="dxa"/>
            <w:vAlign w:val="bottom"/>
          </w:tcPr>
          <w:p>
            <w:pPr>
              <w:spacing w:after="0"/>
              <w:rPr>
                <w:sz w:val="24"/>
                <w:szCs w:val="24"/>
                <w:color w:val="auto"/>
              </w:rPr>
            </w:pPr>
          </w:p>
        </w:tc>
      </w:tr>
      <w:tr>
        <w:trPr>
          <w:trHeight w:val="516"/>
        </w:trPr>
        <w:tc>
          <w:tcPr>
            <w:tcW w:w="6440" w:type="dxa"/>
            <w:vAlign w:val="bottom"/>
            <w:gridSpan w:val="4"/>
          </w:tcPr>
          <w:p>
            <w:pPr>
              <w:jc w:val="center"/>
              <w:ind w:left="1373"/>
              <w:spacing w:after="0"/>
              <w:rPr>
                <w:sz w:val="20"/>
                <w:szCs w:val="20"/>
                <w:color w:val="auto"/>
              </w:rPr>
            </w:pPr>
            <w:r>
              <w:rPr>
                <w:rFonts w:ascii="Arial" w:cs="Arial" w:eastAsia="Arial" w:hAnsi="Arial"/>
                <w:sz w:val="32"/>
                <w:szCs w:val="32"/>
                <w:b w:val="1"/>
                <w:bCs w:val="1"/>
                <w:color w:val="auto"/>
              </w:rPr>
              <w:t>NOVATEL WIRELESS, INC.</w:t>
            </w:r>
          </w:p>
        </w:tc>
        <w:tc>
          <w:tcPr>
            <w:tcW w:w="1060" w:type="dxa"/>
            <w:vAlign w:val="bottom"/>
          </w:tcPr>
          <w:p>
            <w:pPr>
              <w:spacing w:after="0"/>
              <w:rPr>
                <w:sz w:val="24"/>
                <w:szCs w:val="24"/>
                <w:color w:val="auto"/>
              </w:rPr>
            </w:pPr>
          </w:p>
        </w:tc>
      </w:tr>
      <w:tr>
        <w:trPr>
          <w:trHeight w:val="174"/>
        </w:trPr>
        <w:tc>
          <w:tcPr>
            <w:tcW w:w="6440" w:type="dxa"/>
            <w:vAlign w:val="bottom"/>
            <w:gridSpan w:val="4"/>
          </w:tcPr>
          <w:p>
            <w:pPr>
              <w:jc w:val="center"/>
              <w:ind w:left="139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060" w:type="dxa"/>
            <w:vAlign w:val="bottom"/>
          </w:tcPr>
          <w:p>
            <w:pPr>
              <w:spacing w:after="0"/>
              <w:rPr>
                <w:sz w:val="15"/>
                <w:szCs w:val="15"/>
                <w:color w:val="auto"/>
              </w:rPr>
            </w:pPr>
          </w:p>
        </w:tc>
      </w:tr>
      <w:tr>
        <w:trPr>
          <w:trHeight w:val="393"/>
        </w:trPr>
        <w:tc>
          <w:tcPr>
            <w:tcW w:w="3740" w:type="dxa"/>
            <w:vAlign w:val="bottom"/>
          </w:tcPr>
          <w:p>
            <w:pPr>
              <w:jc w:val="center"/>
              <w:ind w:right="1333"/>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8"/>
                <w:szCs w:val="18"/>
                <w:b w:val="1"/>
                <w:bCs w:val="1"/>
                <w:color w:val="auto"/>
                <w:w w:val="97"/>
              </w:rPr>
              <w:t>86-0824673</w:t>
            </w:r>
          </w:p>
        </w:tc>
      </w:tr>
      <w:tr>
        <w:trPr>
          <w:trHeight w:val="149"/>
        </w:trPr>
        <w:tc>
          <w:tcPr>
            <w:tcW w:w="3740" w:type="dxa"/>
            <w:vAlign w:val="bottom"/>
          </w:tcPr>
          <w:p>
            <w:pPr>
              <w:jc w:val="center"/>
              <w:ind w:right="1333"/>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3740" w:type="dxa"/>
            <w:vAlign w:val="bottom"/>
          </w:tcPr>
          <w:p>
            <w:pPr>
              <w:jc w:val="center"/>
              <w:ind w:right="1333"/>
              <w:spacing w:after="0"/>
              <w:rPr>
                <w:sz w:val="20"/>
                <w:szCs w:val="20"/>
                <w:color w:val="auto"/>
              </w:rPr>
            </w:pPr>
            <w:r>
              <w:rPr>
                <w:rFonts w:ascii="Arial" w:cs="Arial" w:eastAsia="Arial" w:hAnsi="Arial"/>
                <w:sz w:val="14"/>
                <w:szCs w:val="14"/>
                <w:b w:val="1"/>
                <w:bCs w:val="1"/>
                <w:color w:val="auto"/>
                <w:w w:val="89"/>
              </w:rPr>
              <w:t>of Incorporation or Organization)</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3740" w:type="dxa"/>
            <w:vAlign w:val="bottom"/>
          </w:tcPr>
          <w:p>
            <w:pPr>
              <w:jc w:val="center"/>
              <w:ind w:right="1353"/>
              <w:spacing w:after="0"/>
              <w:rPr>
                <w:sz w:val="20"/>
                <w:szCs w:val="20"/>
                <w:color w:val="auto"/>
              </w:rPr>
            </w:pPr>
            <w:r>
              <w:rPr>
                <w:rFonts w:ascii="Arial" w:cs="Arial" w:eastAsia="Arial" w:hAnsi="Arial"/>
                <w:sz w:val="18"/>
                <w:szCs w:val="18"/>
                <w:b w:val="1"/>
                <w:bCs w:val="1"/>
                <w:color w:val="auto"/>
                <w:w w:val="87"/>
              </w:rPr>
              <w:t>9645 Scranton Road, Suite 205</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8"/>
        </w:trPr>
        <w:tc>
          <w:tcPr>
            <w:tcW w:w="3740" w:type="dxa"/>
            <w:vAlign w:val="bottom"/>
          </w:tcPr>
          <w:p>
            <w:pPr>
              <w:jc w:val="center"/>
              <w:ind w:right="1333"/>
              <w:spacing w:after="0"/>
              <w:rPr>
                <w:sz w:val="20"/>
                <w:szCs w:val="20"/>
                <w:color w:val="auto"/>
              </w:rPr>
            </w:pPr>
            <w:r>
              <w:rPr>
                <w:rFonts w:ascii="Arial" w:cs="Arial" w:eastAsia="Arial" w:hAnsi="Arial"/>
                <w:sz w:val="18"/>
                <w:szCs w:val="18"/>
                <w:b w:val="1"/>
                <w:bCs w:val="1"/>
                <w:color w:val="auto"/>
                <w:w w:val="88"/>
              </w:rPr>
              <w:t>San Diego, California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jc w:val="right"/>
              <w:ind w:right="229"/>
              <w:spacing w:after="0"/>
              <w:rPr>
                <w:sz w:val="20"/>
                <w:szCs w:val="20"/>
                <w:color w:val="auto"/>
              </w:rPr>
            </w:pPr>
            <w:r>
              <w:rPr>
                <w:rFonts w:ascii="Arial" w:cs="Arial" w:eastAsia="Arial" w:hAnsi="Arial"/>
                <w:sz w:val="18"/>
                <w:szCs w:val="18"/>
                <w:b w:val="1"/>
                <w:bCs w:val="1"/>
                <w:color w:val="auto"/>
              </w:rPr>
              <w:t>92121</w:t>
            </w:r>
          </w:p>
        </w:tc>
      </w:tr>
      <w:tr>
        <w:trPr>
          <w:trHeight w:val="174"/>
        </w:trPr>
        <w:tc>
          <w:tcPr>
            <w:tcW w:w="3740" w:type="dxa"/>
            <w:vAlign w:val="bottom"/>
          </w:tcPr>
          <w:p>
            <w:pPr>
              <w:jc w:val="center"/>
              <w:ind w:right="1333"/>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(zip code)</w:t>
            </w:r>
          </w:p>
        </w:tc>
      </w:tr>
    </w:tbl>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132"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180" w:firstLine="342"/>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p>
      <w:pPr>
        <w:spacing w:after="0" w:line="2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firstLine="342"/>
        <w:spacing w:after="0" w:line="323" w:lineRule="auto"/>
        <w:rPr>
          <w:sz w:val="20"/>
          <w:szCs w:val="20"/>
          <w:color w:val="auto"/>
        </w:rPr>
      </w:pPr>
      <w:r>
        <w:rPr>
          <w:rFonts w:ascii="Arial" w:cs="Arial" w:eastAsia="Arial" w:hAnsi="Arial"/>
          <w:sz w:val="15"/>
          <w:szCs w:val="15"/>
          <w:color w:val="auto"/>
        </w:rPr>
        <w:t>The aggregate market value of the voting common stock held by non-affiliates of the Registrant, based on the closing price of the Registrant’s common stock on June 30, 2006, as reported by The Nasdaq Global Market, was approximately $225,038,823. For the purposes of this calculation, shares owned by officers, directors (and their affiliates) and 5% or greater stockholders, based on Schedule 13G filings, have been excluded. This exclusion is not intended, nor shall it be deemed, to be an admission that such persons are affiliates of the Registrant. The Registrant does not have any non-voting stock issued or outstanding.</w:t>
      </w:r>
    </w:p>
    <w:p>
      <w:pPr>
        <w:spacing w:after="0" w:line="98" w:lineRule="exact"/>
        <w:rPr>
          <w:sz w:val="24"/>
          <w:szCs w:val="24"/>
          <w:color w:val="auto"/>
        </w:rPr>
      </w:pPr>
    </w:p>
    <w:p>
      <w:pPr>
        <w:jc w:val="right"/>
        <w:ind w:left="360" w:right="3600"/>
        <w:spacing w:after="0" w:line="438" w:lineRule="auto"/>
        <w:rPr>
          <w:sz w:val="20"/>
          <w:szCs w:val="20"/>
          <w:color w:val="auto"/>
        </w:rPr>
      </w:pPr>
      <w:r>
        <w:rPr>
          <w:rFonts w:ascii="Arial" w:cs="Arial" w:eastAsia="Arial" w:hAnsi="Arial"/>
          <w:sz w:val="18"/>
          <w:szCs w:val="18"/>
          <w:color w:val="auto"/>
        </w:rPr>
        <w:t xml:space="preserve">The number of shares of the Registrant’s common stock outstanding as of March 2, 2007 was 30,253,896.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ind w:right="860" w:firstLine="342"/>
        <w:spacing w:after="0" w:line="332" w:lineRule="auto"/>
        <w:rPr>
          <w:sz w:val="20"/>
          <w:szCs w:val="20"/>
          <w:color w:val="auto"/>
        </w:rPr>
      </w:pPr>
      <w:r>
        <w:rPr>
          <w:rFonts w:ascii="Arial" w:cs="Arial" w:eastAsia="Arial" w:hAnsi="Arial"/>
          <w:sz w:val="16"/>
          <w:szCs w:val="16"/>
          <w:color w:val="auto"/>
        </w:rPr>
        <w:t>Portions of the Registrant’s definitive proxy statement for the 2007 Annual Meeting of Stockholders to be filed with the Securities and Exchange Commission pursuant to Regulation 14A are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9"/>
          </w:tcPr>
          <w:p>
            <w:pPr>
              <w:jc w:val="center"/>
              <w:ind w:right="4080"/>
              <w:spacing w:after="0"/>
              <w:rPr>
                <w:sz w:val="20"/>
                <w:szCs w:val="20"/>
                <w:color w:val="auto"/>
              </w:rPr>
            </w:pPr>
            <w:r>
              <w:rPr>
                <w:rFonts w:ascii="Arial" w:cs="Arial" w:eastAsia="Arial" w:hAnsi="Arial"/>
                <w:sz w:val="18"/>
                <w:szCs w:val="18"/>
                <w:b w:val="1"/>
                <w:bCs w:val="1"/>
                <w:color w:val="auto"/>
                <w:w w:val="96"/>
              </w:rPr>
              <w:t>TABLE OF CONTENTS</w:t>
            </w:r>
          </w:p>
        </w:tc>
        <w:tc>
          <w:tcPr>
            <w:tcW w:w="440" w:type="dxa"/>
            <w:vAlign w:val="bottom"/>
          </w:tcPr>
          <w:p>
            <w:pPr>
              <w:spacing w:after="0"/>
              <w:rPr>
                <w:sz w:val="19"/>
                <w:szCs w:val="19"/>
                <w:color w:val="auto"/>
              </w:rPr>
            </w:pPr>
          </w:p>
        </w:tc>
      </w:tr>
      <w:tr>
        <w:trPr>
          <w:trHeight w:val="353"/>
        </w:trPr>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7"/>
        </w:trPr>
        <w:tc>
          <w:tcPr>
            <w:tcW w:w="5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760" w:type="dxa"/>
            <w:vAlign w:val="bottom"/>
            <w:gridSpan w:val="7"/>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90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8800" w:type="dxa"/>
            <w:vAlign w:val="bottom"/>
            <w:gridSpan w:val="1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1B.</w:t>
            </w:r>
          </w:p>
        </w:tc>
        <w:tc>
          <w:tcPr>
            <w:tcW w:w="968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7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0">
              <w:r>
                <w:rPr>
                  <w:rFonts w:ascii="Arial" w:cs="Arial" w:eastAsia="Arial" w:hAnsi="Arial"/>
                  <w:sz w:val="18"/>
                  <w:szCs w:val="18"/>
                  <w:color w:val="0000EE"/>
                  <w:w w:val="85"/>
                </w:rPr>
                <w:t>Legal Proceedings</w:t>
              </w:r>
            </w:hyperlink>
          </w:p>
        </w:tc>
        <w:tc>
          <w:tcPr>
            <w:tcW w:w="8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PART II</w:t>
              </w:r>
            </w:hyperlink>
          </w:p>
        </w:tc>
        <w:tc>
          <w:tcPr>
            <w:tcW w:w="700" w:type="dxa"/>
            <w:vAlign w:val="bottom"/>
            <w:gridSpan w:val="6"/>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5"/>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7A.</w:t>
            </w:r>
          </w:p>
        </w:tc>
        <w:tc>
          <w:tcPr>
            <w:tcW w:w="968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8.</w:t>
            </w:r>
          </w:p>
        </w:tc>
        <w:tc>
          <w:tcPr>
            <w:tcW w:w="32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3"/>
          </w:tcPr>
          <w:p>
            <w:pPr>
              <w:spacing w:after="0"/>
              <w:rPr>
                <w:sz w:val="24"/>
                <w:szCs w:val="24"/>
                <w:color w:val="auto"/>
              </w:rPr>
            </w:pPr>
          </w:p>
        </w:tc>
        <w:tc>
          <w:tcPr>
            <w:tcW w:w="54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9.</w:t>
            </w:r>
          </w:p>
        </w:tc>
        <w:tc>
          <w:tcPr>
            <w:tcW w:w="968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Controls and Procedures</w:t>
              </w:r>
            </w:hyperlink>
          </w:p>
        </w:tc>
        <w:tc>
          <w:tcPr>
            <w:tcW w:w="4620" w:type="dxa"/>
            <w:vAlign w:val="bottom"/>
            <w:tcBorders>
              <w:top w:val="single" w:sz="8" w:color="0000EE"/>
            </w:tcBorders>
            <w:gridSpan w:val="12"/>
          </w:tcPr>
          <w:p>
            <w:pPr>
              <w:spacing w:after="0"/>
              <w:rPr>
                <w:sz w:val="24"/>
                <w:szCs w:val="24"/>
                <w:color w:val="auto"/>
              </w:rPr>
            </w:pPr>
          </w:p>
        </w:tc>
        <w:tc>
          <w:tcPr>
            <w:tcW w:w="334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9B.</w:t>
            </w:r>
          </w:p>
        </w:tc>
        <w:tc>
          <w:tcPr>
            <w:tcW w:w="968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300" w:type="dxa"/>
            <w:vAlign w:val="bottom"/>
            <w:gridSpan w:val="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PART III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10.</w:t>
            </w:r>
          </w:p>
        </w:tc>
        <w:tc>
          <w:tcPr>
            <w:tcW w:w="96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7"/>
          </w:tcPr>
          <w:p>
            <w:pPr>
              <w:spacing w:after="0"/>
              <w:rPr>
                <w:sz w:val="24"/>
                <w:szCs w:val="24"/>
                <w:color w:val="auto"/>
              </w:rPr>
            </w:pPr>
          </w:p>
        </w:tc>
        <w:tc>
          <w:tcPr>
            <w:tcW w:w="570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12.</w:t>
            </w:r>
          </w:p>
        </w:tc>
        <w:tc>
          <w:tcPr>
            <w:tcW w:w="9680" w:type="dxa"/>
            <w:vAlign w:val="bottom"/>
            <w:gridSpan w:val="2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Certain Relationships and Related Transactions, and Director Independence</w:t>
              </w:r>
            </w:hyperlink>
          </w:p>
        </w:tc>
        <w:tc>
          <w:tcPr>
            <w:tcW w:w="25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Principal Accountant Fees and Services</w:t>
              </w:r>
            </w:hyperlink>
          </w:p>
        </w:tc>
        <w:tc>
          <w:tcPr>
            <w:tcW w:w="43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PART IV</w:t>
              </w:r>
            </w:hyperlink>
          </w:p>
        </w:tc>
        <w:tc>
          <w:tcPr>
            <w:tcW w:w="640" w:type="dxa"/>
            <w:vAlign w:val="bottom"/>
            <w:gridSpan w:val="4"/>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sz w:val="20"/>
                <w:szCs w:val="20"/>
                <w:color w:val="auto"/>
              </w:rPr>
            </w:pPr>
            <w:r>
              <w:rPr>
                <w:rFonts w:ascii="Arial" w:cs="Arial" w:eastAsia="Arial" w:hAnsi="Arial"/>
                <w:sz w:val="18"/>
                <w:szCs w:val="18"/>
                <w:color w:val="auto"/>
              </w:rPr>
              <w:t>Item 15.</w:t>
            </w:r>
          </w:p>
        </w:tc>
        <w:tc>
          <w:tcPr>
            <w:tcW w:w="96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 and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1040" w:type="dxa"/>
            <w:vAlign w:val="bottom"/>
            <w:gridSpan w:val="8"/>
          </w:tcPr>
          <w:p>
            <w:pPr>
              <w:spacing w:after="0"/>
              <w:rPr>
                <w:rFonts w:ascii="Arial" w:cs="Arial" w:eastAsia="Arial" w:hAnsi="Arial"/>
                <w:sz w:val="18"/>
                <w:szCs w:val="18"/>
                <w:color w:val="0000EE"/>
                <w:w w:val="98"/>
              </w:rPr>
            </w:pPr>
            <w:hyperlink w:anchor="page76">
              <w:r>
                <w:rPr>
                  <w:rFonts w:ascii="Arial" w:cs="Arial" w:eastAsia="Arial" w:hAnsi="Arial"/>
                  <w:sz w:val="18"/>
                  <w:szCs w:val="18"/>
                  <w:color w:val="0000EE"/>
                  <w:w w:val="98"/>
                </w:rPr>
                <w:t>Exhibit Index</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260" w:type="dxa"/>
            <w:vAlign w:val="bottom"/>
          </w:tcPr>
          <w:p>
            <w:pPr>
              <w:spacing w:after="0"/>
              <w:rPr>
                <w:sz w:val="24"/>
                <w:szCs w:val="24"/>
                <w:color w:val="auto"/>
              </w:rPr>
            </w:pPr>
          </w:p>
        </w:tc>
        <w:tc>
          <w:tcPr>
            <w:tcW w:w="960" w:type="dxa"/>
            <w:vAlign w:val="bottom"/>
            <w:tcBorders>
              <w:top w:val="single" w:sz="8" w:color="0000EE"/>
            </w:tcBorders>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0"/>
        </w:trPr>
        <w:tc>
          <w:tcPr>
            <w:tcW w:w="26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7660" w:type="dxa"/>
            <w:vAlign w:val="bottom"/>
            <w:gridSpan w:val="1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260" w:type="dxa"/>
            <w:vAlign w:val="bottom"/>
          </w:tcPr>
          <w:p>
            <w:pPr>
              <w:spacing w:after="0"/>
              <w:rPr>
                <w:sz w:val="24"/>
                <w:szCs w:val="24"/>
                <w:color w:val="auto"/>
              </w:rPr>
            </w:pPr>
          </w:p>
        </w:tc>
        <w:tc>
          <w:tcPr>
            <w:tcW w:w="10720" w:type="dxa"/>
            <w:vAlign w:val="bottom"/>
            <w:gridSpan w:val="3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Index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04"/>
        </w:trPr>
        <w:tc>
          <w:tcPr>
            <w:tcW w:w="260" w:type="dxa"/>
            <w:vAlign w:val="bottom"/>
          </w:tcPr>
          <w:p>
            <w:pPr>
              <w:spacing w:after="0"/>
              <w:rPr>
                <w:sz w:val="24"/>
                <w:szCs w:val="24"/>
                <w:color w:val="auto"/>
              </w:rPr>
            </w:pPr>
          </w:p>
        </w:tc>
        <w:tc>
          <w:tcPr>
            <w:tcW w:w="104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Schedule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83"/>
        </w:trPr>
        <w:tc>
          <w:tcPr>
            <w:tcW w:w="26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6"/>
          </w:tcPr>
          <w:p>
            <w:pPr>
              <w:jc w:val="center"/>
              <w:ind w:right="5100"/>
              <w:spacing w:after="0"/>
              <w:rPr>
                <w:sz w:val="20"/>
                <w:szCs w:val="20"/>
                <w:color w:val="auto"/>
              </w:rPr>
            </w:pPr>
            <w:r>
              <w:rPr>
                <w:rFonts w:ascii="Arial" w:cs="Arial" w:eastAsia="Arial" w:hAnsi="Arial"/>
                <w:sz w:val="18"/>
                <w:szCs w:val="18"/>
                <w:color w:val="auto"/>
              </w:rPr>
              <w:t>i</w:t>
            </w: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and introduction,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should carefully review and consider the various disclosures in this report regarding factors that could cause actual results to differ materially from anticipated results, including those factors under the caption “Risk Factors” under Item 1A below, and elsewhere in this report.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“Novatel Wireless,” the Novatel Wireless logo, “Merlin,” “MobiLink,” “Freedom Box,” “Expedite,” “Ovation” and “Conversa” are trademarks of Novatel Wireless, Inc. Other trademarks, trade names or service marks used in this report are the property of their owners.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274"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were incorporated in 1996 under the laws of the State of Delaware. We are a provider of wireless broadband access solutions for the worldwide mobile communications market. Our broad range of products includes third generation, or 3G, wireless PC card and ExpressCard modems, embedded modems, communications software and Fixed-Mobile Convergence, or FMC, solutions for wireless network operators, infrastructure providers, distributors, original equipment manufacturers, or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4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Our global end-customer base is comprised of wireless operators, OEMs, distributors and various companies in other vertical markets. Our current customer base includes wireless operators and other wireless market participants such as Cingular, Hutchison 3G, O2, One, Optimus, Sprint PCS, Telefonica, Verizon Wireless, Vodafone and OEM partners such as Dell, Panasonic, Sony, and Toshiba. We have strategic technology, development and marketing relationships with several of these customers.</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For the years ended December 31, 2006, 2005 and 2004, revenue recognized from sales of our products was $218.0 million, $161.2 million, and $99.7 million, respectively. For the years ended December 31, 2006, 2005 and 2004, revenue recognized from development services was zero, $500,000, and $4.0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are designed to operate across 3G networks, including:</w:t>
      </w:r>
    </w:p>
    <w:p>
      <w:pPr>
        <w:spacing w:after="0" w:line="90" w:lineRule="exact"/>
        <w:rPr>
          <w:sz w:val="20"/>
          <w:szCs w:val="20"/>
          <w:color w:val="auto"/>
        </w:rPr>
      </w:pPr>
    </w:p>
    <w:p>
      <w:pPr>
        <w:ind w:left="780" w:right="100" w:hanging="326"/>
        <w:spacing w:after="0" w:line="30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Code Division Multiple Access, </w:t>
      </w:r>
      <w:r>
        <w:rPr>
          <w:rFonts w:ascii="Arial" w:cs="Arial" w:eastAsia="Arial" w:hAnsi="Arial"/>
          <w:sz w:val="16"/>
          <w:szCs w:val="16"/>
          <w:color w:val="auto"/>
        </w:rPr>
        <w:t>or</w:t>
      </w:r>
      <w:r>
        <w:rPr>
          <w:rFonts w:ascii="Arial" w:cs="Arial" w:eastAsia="Arial" w:hAnsi="Arial"/>
          <w:sz w:val="16"/>
          <w:szCs w:val="16"/>
          <w:i w:val="1"/>
          <w:iCs w:val="1"/>
          <w:color w:val="auto"/>
        </w:rPr>
        <w:t xml:space="preserve"> CDMA, 1xEV-DO </w:t>
      </w:r>
      <w:r>
        <w:rPr>
          <w:rFonts w:ascii="Arial" w:cs="Arial" w:eastAsia="Arial" w:hAnsi="Arial"/>
          <w:sz w:val="16"/>
          <w:szCs w:val="16"/>
          <w:color w:val="auto"/>
        </w:rPr>
        <w:t>is designed to be employed by CDMA operators and provide wireless access speeds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wireline digital subscriber line, or DSL, services. Subscribers can attain wireless access to data at maximum speeds of up to 2.4 megabits per second, or Mbps, on </w:t>
      </w:r>
      <w:r>
        <w:rPr>
          <w:rFonts w:ascii="Arial" w:cs="Arial" w:eastAsia="Arial" w:hAnsi="Arial"/>
          <w:sz w:val="16"/>
          <w:szCs w:val="16"/>
          <w:i w:val="1"/>
          <w:iCs w:val="1"/>
          <w:color w:val="auto"/>
        </w:rPr>
        <w:t>CDMA 1xEV-DO</w:t>
      </w:r>
      <w:r>
        <w:rPr>
          <w:rFonts w:ascii="Arial" w:cs="Arial" w:eastAsia="Arial" w:hAnsi="Arial"/>
          <w:sz w:val="16"/>
          <w:szCs w:val="16"/>
          <w:color w:val="auto"/>
        </w:rPr>
        <w:t xml:space="preserve"> Rev 0 networks and 3.1 Mbps on </w:t>
      </w:r>
      <w:r>
        <w:rPr>
          <w:rFonts w:ascii="Arial" w:cs="Arial" w:eastAsia="Arial" w:hAnsi="Arial"/>
          <w:sz w:val="16"/>
          <w:szCs w:val="16"/>
          <w:i w:val="1"/>
          <w:iCs w:val="1"/>
          <w:color w:val="auto"/>
        </w:rPr>
        <w:t>CDMA 1xEV-DO</w:t>
      </w:r>
      <w:r>
        <w:rPr>
          <w:rFonts w:ascii="Arial" w:cs="Arial" w:eastAsia="Arial" w:hAnsi="Arial"/>
          <w:sz w:val="16"/>
          <w:szCs w:val="16"/>
          <w:color w:val="auto"/>
        </w:rPr>
        <w:t xml:space="preserve"> Rev A networks.</w:t>
      </w:r>
    </w:p>
    <w:p>
      <w:pPr>
        <w:spacing w:after="0" w:line="25" w:lineRule="exact"/>
        <w:rPr>
          <w:rFonts w:ascii="Arial" w:cs="Arial" w:eastAsia="Arial" w:hAnsi="Arial"/>
          <w:sz w:val="16"/>
          <w:szCs w:val="16"/>
          <w:color w:val="auto"/>
        </w:rPr>
      </w:pPr>
    </w:p>
    <w:p>
      <w:pPr>
        <w:ind w:left="780" w:right="100" w:hanging="326"/>
        <w:spacing w:after="0" w:line="298"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High Speed Downlink Packet Access, </w:t>
      </w:r>
      <w:r>
        <w:rPr>
          <w:rFonts w:ascii="Arial" w:cs="Arial" w:eastAsia="Arial" w:hAnsi="Arial"/>
          <w:sz w:val="16"/>
          <w:szCs w:val="16"/>
          <w:color w:val="auto"/>
        </w:rPr>
        <w:t>or</w:t>
      </w:r>
      <w:r>
        <w:rPr>
          <w:rFonts w:ascii="Arial" w:cs="Arial" w:eastAsia="Arial" w:hAnsi="Arial"/>
          <w:sz w:val="16"/>
          <w:szCs w:val="16"/>
          <w:i w:val="1"/>
          <w:iCs w:val="1"/>
          <w:color w:val="auto"/>
        </w:rPr>
        <w:t xml:space="preserve"> HSDPA, </w:t>
      </w:r>
      <w:r>
        <w:rPr>
          <w:rFonts w:ascii="Arial" w:cs="Arial" w:eastAsia="Arial" w:hAnsi="Arial"/>
          <w:sz w:val="16"/>
          <w:szCs w:val="16"/>
          <w:color w:val="auto"/>
        </w:rPr>
        <w:t>is an enhancement of the</w:t>
      </w:r>
      <w:r>
        <w:rPr>
          <w:rFonts w:ascii="Arial" w:cs="Arial" w:eastAsia="Arial" w:hAnsi="Arial"/>
          <w:sz w:val="16"/>
          <w:szCs w:val="16"/>
          <w:i w:val="1"/>
          <w:iCs w:val="1"/>
          <w:color w:val="auto"/>
        </w:rPr>
        <w:t xml:space="preserve"> Universal Mobile Telecommunications System, </w:t>
      </w:r>
      <w:r>
        <w:rPr>
          <w:rFonts w:ascii="Arial" w:cs="Arial" w:eastAsia="Arial" w:hAnsi="Arial"/>
          <w:sz w:val="16"/>
          <w:szCs w:val="16"/>
          <w:color w:val="auto"/>
        </w:rPr>
        <w:t>or</w:t>
      </w:r>
      <w:r>
        <w:rPr>
          <w:rFonts w:ascii="Arial" w:cs="Arial" w:eastAsia="Arial" w:hAnsi="Arial"/>
          <w:sz w:val="16"/>
          <w:szCs w:val="16"/>
          <w:i w:val="1"/>
          <w:iCs w:val="1"/>
          <w:color w:val="auto"/>
        </w:rPr>
        <w:t xml:space="preserve"> UMTS, </w:t>
      </w:r>
      <w:r>
        <w:rPr>
          <w:rFonts w:ascii="Arial" w:cs="Arial" w:eastAsia="Arial" w:hAnsi="Arial"/>
          <w:sz w:val="16"/>
          <w:szCs w:val="16"/>
          <w:color w:val="auto"/>
        </w:rPr>
        <w:t>standard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enables packet data transmission in the </w:t>
      </w:r>
      <w:r>
        <w:rPr>
          <w:rFonts w:ascii="Arial" w:cs="Arial" w:eastAsia="Arial" w:hAnsi="Arial"/>
          <w:sz w:val="16"/>
          <w:szCs w:val="16"/>
          <w:i w:val="1"/>
          <w:iCs w:val="1"/>
          <w:color w:val="auto"/>
        </w:rPr>
        <w:t>UMTS</w:t>
      </w:r>
      <w:r>
        <w:rPr>
          <w:rFonts w:ascii="Arial" w:cs="Arial" w:eastAsia="Arial" w:hAnsi="Arial"/>
          <w:sz w:val="16"/>
          <w:szCs w:val="16"/>
          <w:color w:val="auto"/>
        </w:rPr>
        <w:t xml:space="preserve"> downlink with data transmission at maximum speeds of up to 14.4 Mbps. </w:t>
      </w:r>
      <w:r>
        <w:rPr>
          <w:rFonts w:ascii="Arial" w:cs="Arial" w:eastAsia="Arial" w:hAnsi="Arial"/>
          <w:sz w:val="16"/>
          <w:szCs w:val="16"/>
          <w:i w:val="1"/>
          <w:iCs w:val="1"/>
          <w:color w:val="auto"/>
        </w:rPr>
        <w:t>HSDPA</w:t>
      </w:r>
      <w:r>
        <w:rPr>
          <w:rFonts w:ascii="Arial" w:cs="Arial" w:eastAsia="Arial" w:hAnsi="Arial"/>
          <w:sz w:val="16"/>
          <w:szCs w:val="16"/>
          <w:color w:val="auto"/>
        </w:rPr>
        <w:t xml:space="preserve"> can be implemented as an upgrade to current </w:t>
      </w:r>
      <w:r>
        <w:rPr>
          <w:rFonts w:ascii="Arial" w:cs="Arial" w:eastAsia="Arial" w:hAnsi="Arial"/>
          <w:sz w:val="16"/>
          <w:szCs w:val="16"/>
          <w:i w:val="1"/>
          <w:iCs w:val="1"/>
          <w:color w:val="auto"/>
        </w:rPr>
        <w:t>UMTS</w:t>
      </w:r>
      <w:r>
        <w:rPr>
          <w:rFonts w:ascii="Arial" w:cs="Arial" w:eastAsia="Arial" w:hAnsi="Arial"/>
          <w:sz w:val="16"/>
          <w:szCs w:val="16"/>
          <w:color w:val="auto"/>
        </w:rPr>
        <w:t xml:space="preserve"> infrastructure. With </w:t>
      </w:r>
      <w:r>
        <w:rPr>
          <w:rFonts w:ascii="Arial" w:cs="Arial" w:eastAsia="Arial" w:hAnsi="Arial"/>
          <w:sz w:val="16"/>
          <w:szCs w:val="16"/>
          <w:i w:val="1"/>
          <w:iCs w:val="1"/>
          <w:color w:val="auto"/>
        </w:rPr>
        <w:t>UMTS</w:t>
      </w:r>
      <w:r>
        <w:rPr>
          <w:rFonts w:ascii="Arial" w:cs="Arial" w:eastAsia="Arial" w:hAnsi="Arial"/>
          <w:sz w:val="16"/>
          <w:szCs w:val="16"/>
          <w:color w:val="auto"/>
        </w:rPr>
        <w:t xml:space="preserve">, subscribers can attain wireless access to data at maximum speeds of up to 384 kilobits per second, or kbps. </w:t>
      </w:r>
      <w:r>
        <w:rPr>
          <w:rFonts w:ascii="Arial" w:cs="Arial" w:eastAsia="Arial" w:hAnsi="Arial"/>
          <w:sz w:val="16"/>
          <w:szCs w:val="16"/>
          <w:i w:val="1"/>
          <w:iCs w:val="1"/>
          <w:color w:val="auto"/>
        </w:rPr>
        <w:t>UMTS</w:t>
      </w:r>
      <w:r>
        <w:rPr>
          <w:rFonts w:ascii="Arial" w:cs="Arial" w:eastAsia="Arial" w:hAnsi="Arial"/>
          <w:sz w:val="16"/>
          <w:szCs w:val="16"/>
          <w:color w:val="auto"/>
        </w:rPr>
        <w:t xml:space="preserve"> is also referred to as Wideband Code Division Multiple Access, or W-CDMA.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illustrates our current principal product lines and applications: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Borders>
              <w:bottom w:val="single" w:sz="8" w:color="auto"/>
            </w:tcBorders>
            <w:gridSpan w:val="4"/>
          </w:tcPr>
          <w:p>
            <w:pPr>
              <w:ind w:left="2460"/>
              <w:spacing w:after="0"/>
              <w:rPr>
                <w:sz w:val="20"/>
                <w:szCs w:val="20"/>
                <w:color w:val="auto"/>
              </w:rPr>
            </w:pPr>
            <w:r>
              <w:rPr>
                <w:rFonts w:ascii="Arial" w:cs="Arial" w:eastAsia="Arial" w:hAnsi="Arial"/>
                <w:sz w:val="14"/>
                <w:szCs w:val="14"/>
                <w:b w:val="1"/>
                <w:bCs w:val="1"/>
                <w:color w:val="auto"/>
              </w:rPr>
              <w:t>Product</w:t>
            </w:r>
          </w:p>
        </w:tc>
        <w:tc>
          <w:tcPr>
            <w:tcW w:w="320" w:type="dxa"/>
            <w:vAlign w:val="bottom"/>
          </w:tcPr>
          <w:p>
            <w:pPr>
              <w:spacing w:after="0"/>
              <w:rPr>
                <w:sz w:val="14"/>
                <w:szCs w:val="14"/>
                <w:color w:val="auto"/>
              </w:rPr>
            </w:pPr>
          </w:p>
        </w:tc>
        <w:tc>
          <w:tcPr>
            <w:tcW w:w="482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Applications</w:t>
            </w:r>
          </w:p>
        </w:tc>
      </w:tr>
      <w:tr>
        <w:trPr>
          <w:trHeight w:val="291"/>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Wireless PC Card and ExpressCard Modems</w:t>
            </w:r>
          </w:p>
        </w:tc>
        <w:tc>
          <w:tcPr>
            <w:tcW w:w="19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96"/>
        </w:trPr>
        <w:tc>
          <w:tcPr>
            <w:tcW w:w="5360" w:type="dxa"/>
            <w:vAlign w:val="bottom"/>
            <w:gridSpan w:val="4"/>
          </w:tcPr>
          <w:p>
            <w:pPr>
              <w:spacing w:after="0"/>
              <w:rPr>
                <w:sz w:val="20"/>
                <w:szCs w:val="20"/>
                <w:color w:val="auto"/>
              </w:rPr>
            </w:pPr>
            <w:r>
              <w:rPr>
                <w:rFonts w:ascii="Arial" w:cs="Arial" w:eastAsia="Arial" w:hAnsi="Arial"/>
                <w:sz w:val="18"/>
                <w:szCs w:val="18"/>
                <w:color w:val="auto"/>
                <w:w w:val="92"/>
              </w:rPr>
              <w:t>•  Merlin Wireless PC cards and ExpressCards for CDMA 1xEV-DO, Rev</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  Laptop PCs and other platforms supporting PCMCIA and</w:t>
            </w:r>
          </w:p>
        </w:tc>
      </w:tr>
      <w:tr>
        <w:trPr>
          <w:trHeight w:val="216"/>
        </w:trPr>
        <w:tc>
          <w:tcPr>
            <w:tcW w:w="5360" w:type="dxa"/>
            <w:vAlign w:val="bottom"/>
            <w:gridSpan w:val="4"/>
          </w:tcPr>
          <w:p>
            <w:pPr>
              <w:ind w:left="220"/>
              <w:spacing w:after="0"/>
              <w:rPr>
                <w:sz w:val="20"/>
                <w:szCs w:val="20"/>
                <w:color w:val="auto"/>
              </w:rPr>
            </w:pPr>
            <w:r>
              <w:rPr>
                <w:rFonts w:ascii="Arial" w:cs="Arial" w:eastAsia="Arial" w:hAnsi="Arial"/>
                <w:sz w:val="18"/>
                <w:szCs w:val="18"/>
                <w:color w:val="auto"/>
              </w:rPr>
              <w:t>0 and Rev A</w:t>
            </w:r>
          </w:p>
        </w:tc>
        <w:tc>
          <w:tcPr>
            <w:tcW w:w="3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ExpressCard/34/54 interfaces</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  Merlin Wireless PC cards and ExpressCards for HSDPA</w:t>
            </w:r>
          </w:p>
        </w:tc>
        <w:tc>
          <w:tcPr>
            <w:tcW w:w="32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  Merlin Wireless PC card for UMTS</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299"/>
        </w:trPr>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Expedite Embedded PCI Express Mini Card Modems</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28"/>
        </w:trPr>
        <w:tc>
          <w:tcPr>
            <w:tcW w:w="5360" w:type="dxa"/>
            <w:vAlign w:val="bottom"/>
            <w:gridSpan w:val="4"/>
          </w:tcPr>
          <w:p>
            <w:pPr>
              <w:spacing w:after="0"/>
              <w:rPr>
                <w:sz w:val="20"/>
                <w:szCs w:val="20"/>
                <w:color w:val="auto"/>
              </w:rPr>
            </w:pPr>
            <w:r>
              <w:rPr>
                <w:rFonts w:ascii="Arial" w:cs="Arial" w:eastAsia="Arial" w:hAnsi="Arial"/>
                <w:sz w:val="18"/>
                <w:szCs w:val="18"/>
                <w:color w:val="auto"/>
                <w:w w:val="91"/>
              </w:rPr>
              <w:t>•  Expedite PCI Express Mini Card for HSDPA and CDMA 1xEV-DO, Rev</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w w:val="95"/>
              </w:rPr>
              <w:t>•  Laptops and wireless devices requiring an integrated solution</w:t>
            </w:r>
          </w:p>
        </w:tc>
      </w:tr>
      <w:tr>
        <w:trPr>
          <w:trHeight w:val="222"/>
        </w:trPr>
        <w:tc>
          <w:tcPr>
            <w:tcW w:w="5360" w:type="dxa"/>
            <w:vAlign w:val="bottom"/>
            <w:gridSpan w:val="4"/>
          </w:tcPr>
          <w:p>
            <w:pPr>
              <w:ind w:left="220"/>
              <w:spacing w:after="0"/>
              <w:rPr>
                <w:sz w:val="20"/>
                <w:szCs w:val="20"/>
                <w:color w:val="auto"/>
              </w:rPr>
            </w:pPr>
            <w:r>
              <w:rPr>
                <w:rFonts w:ascii="Arial" w:cs="Arial" w:eastAsia="Arial" w:hAnsi="Arial"/>
                <w:sz w:val="18"/>
                <w:szCs w:val="18"/>
                <w:color w:val="auto"/>
              </w:rPr>
              <w:t>0 and Rev A</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286"/>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Fixed-Mobile Convergence Solutions</w:t>
            </w:r>
          </w:p>
        </w:tc>
        <w:tc>
          <w:tcPr>
            <w:tcW w:w="32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0"/>
        </w:trPr>
        <w:tc>
          <w:tcPr>
            <w:tcW w:w="2760" w:type="dxa"/>
            <w:vAlign w:val="bottom"/>
            <w:shd w:val="clear" w:color="auto" w:fill="000000"/>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r>
      <w:tr>
        <w:trPr>
          <w:trHeight w:val="228"/>
        </w:trPr>
        <w:tc>
          <w:tcPr>
            <w:tcW w:w="5360" w:type="dxa"/>
            <w:vAlign w:val="bottom"/>
            <w:gridSpan w:val="4"/>
          </w:tcPr>
          <w:p>
            <w:pPr>
              <w:spacing w:after="0"/>
              <w:rPr>
                <w:sz w:val="20"/>
                <w:szCs w:val="20"/>
                <w:color w:val="auto"/>
              </w:rPr>
            </w:pPr>
            <w:r>
              <w:rPr>
                <w:rFonts w:ascii="Arial" w:cs="Arial" w:eastAsia="Arial" w:hAnsi="Arial"/>
                <w:sz w:val="18"/>
                <w:szCs w:val="18"/>
                <w:color w:val="auto"/>
              </w:rPr>
              <w:t>•  Ovation 3G Multimedia Application Consoles for UMTS</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rPr>
              <w:t>•  Broadband WWAN internet access, advanced WLAN</w:t>
            </w:r>
          </w:p>
        </w:tc>
      </w:tr>
      <w:tr>
        <w:trPr>
          <w:trHeight w:val="216"/>
        </w:trPr>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w w:val="98"/>
              </w:rPr>
              <w:t>networking, analog voice calling and intelligent routing and</w:t>
            </w:r>
          </w:p>
        </w:tc>
      </w:tr>
      <w:tr>
        <w:trPr>
          <w:trHeight w:val="216"/>
        </w:trPr>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multimedia application support</w:t>
            </w: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  USB modem for CDMA 1xEV-DO Rev A</w:t>
            </w:r>
          </w:p>
        </w:tc>
        <w:tc>
          <w:tcPr>
            <w:tcW w:w="5140" w:type="dxa"/>
            <w:vAlign w:val="bottom"/>
            <w:gridSpan w:val="2"/>
          </w:tcPr>
          <w:p>
            <w:pPr>
              <w:ind w:left="320"/>
              <w:spacing w:after="0"/>
              <w:rPr>
                <w:sz w:val="20"/>
                <w:szCs w:val="20"/>
                <w:color w:val="auto"/>
              </w:rPr>
            </w:pPr>
            <w:r>
              <w:rPr>
                <w:rFonts w:ascii="Arial" w:cs="Arial" w:eastAsia="Arial" w:hAnsi="Arial"/>
                <w:sz w:val="18"/>
                <w:szCs w:val="18"/>
                <w:color w:val="auto"/>
                <w:w w:val="99"/>
              </w:rPr>
              <w:t>•  Laptop PCs and other platforms supporting USB interfaces</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Merlin Wireless PC Card and ExpressCard Modems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Merlin Wireless PC Card and ExpressCard modems</w:t>
      </w:r>
      <w:r>
        <w:rPr>
          <w:rFonts w:ascii="Arial" w:cs="Arial" w:eastAsia="Arial" w:hAnsi="Arial"/>
          <w:sz w:val="18"/>
          <w:szCs w:val="18"/>
          <w:color w:val="auto"/>
        </w:rPr>
        <w:t xml:space="preserve"> provide mobile subscribers with secure and convenient high-speed wireless access to data including corporate, public and personal information through the Internet and enterprise networks. Each of our </w:t>
      </w:r>
      <w:r>
        <w:rPr>
          <w:rFonts w:ascii="Arial" w:cs="Arial" w:eastAsia="Arial" w:hAnsi="Arial"/>
          <w:sz w:val="18"/>
          <w:szCs w:val="18"/>
          <w:i w:val="1"/>
          <w:iCs w:val="1"/>
          <w:color w:val="auto"/>
        </w:rPr>
        <w:t>Merlin Wireless PC Card and ExpressCard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Modems </w:t>
      </w:r>
      <w:r>
        <w:rPr>
          <w:rFonts w:ascii="Arial" w:cs="Arial" w:eastAsia="Arial" w:hAnsi="Arial"/>
          <w:sz w:val="18"/>
          <w:szCs w:val="18"/>
          <w:color w:val="auto"/>
        </w:rPr>
        <w:t>slides inside standard laptop PCs and other products employing PCMCIA or ExpressCard/34/54 interfaces, respectively. All our modems utilize modem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manager software and are compatible with a range of devices including laptop PCs, PDAs, mobile phones, as well as operating systems including Microsoft Windows 98, 2000, Millennium Edition, XP, Vista and Pocket PC. The following is a representative selection of our </w:t>
      </w:r>
      <w:r>
        <w:rPr>
          <w:rFonts w:ascii="Arial" w:cs="Arial" w:eastAsia="Arial" w:hAnsi="Arial"/>
          <w:sz w:val="18"/>
          <w:szCs w:val="18"/>
          <w:i w:val="1"/>
          <w:iCs w:val="1"/>
          <w:color w:val="auto"/>
        </w:rPr>
        <w:t>Merlin Wireless PC Card and ExpressCard</w:t>
      </w:r>
      <w:r>
        <w:rPr>
          <w:rFonts w:ascii="Arial" w:cs="Arial" w:eastAsia="Arial" w:hAnsi="Arial"/>
          <w:sz w:val="18"/>
          <w:szCs w:val="18"/>
          <w:color w:val="auto"/>
        </w:rPr>
        <w:t xml:space="preserve"> </w:t>
      </w:r>
      <w:r>
        <w:rPr>
          <w:rFonts w:ascii="Arial" w:cs="Arial" w:eastAsia="Arial" w:hAnsi="Arial"/>
          <w:sz w:val="18"/>
          <w:szCs w:val="18"/>
          <w:i w:val="1"/>
          <w:iCs w:val="1"/>
          <w:color w:val="auto"/>
        </w:rPr>
        <w:t>Modems</w:t>
      </w:r>
      <w:r>
        <w:rPr>
          <w:rFonts w:ascii="Arial" w:cs="Arial" w:eastAsia="Arial" w:hAnsi="Arial"/>
          <w:sz w:val="18"/>
          <w:szCs w:val="18"/>
          <w:color w:val="auto"/>
        </w:rPr>
        <w:t>:</w:t>
      </w:r>
    </w:p>
    <w:p>
      <w:pPr>
        <w:spacing w:after="0" w:line="63" w:lineRule="exact"/>
        <w:rPr>
          <w:sz w:val="20"/>
          <w:szCs w:val="20"/>
          <w:color w:val="auto"/>
        </w:rPr>
      </w:pPr>
    </w:p>
    <w:p>
      <w:pPr>
        <w:jc w:val="both"/>
        <w:ind w:left="780" w:right="14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PC720</w:t>
      </w:r>
      <w:r>
        <w:rPr>
          <w:rFonts w:ascii="Arial" w:cs="Arial" w:eastAsia="Arial" w:hAnsi="Arial"/>
          <w:sz w:val="16"/>
          <w:szCs w:val="16"/>
          <w:color w:val="auto"/>
        </w:rPr>
        <w:t xml:space="preserve"> is a dual band (800/1900 MHz) wireless ExpressCard modem designed to provide mobile broadband connections up to 3.1 Mbps on CDMA 1xEV-DO Rev A networks in North America and is backward compatible to legacy CDMA networks. The </w:t>
      </w:r>
      <w:r>
        <w:rPr>
          <w:rFonts w:ascii="Arial" w:cs="Arial" w:eastAsia="Arial" w:hAnsi="Arial"/>
          <w:sz w:val="16"/>
          <w:szCs w:val="16"/>
          <w:i w:val="1"/>
          <w:iCs w:val="1"/>
          <w:color w:val="auto"/>
        </w:rPr>
        <w:t>Merlin PC720</w:t>
      </w:r>
      <w:r>
        <w:rPr>
          <w:rFonts w:ascii="Arial" w:cs="Arial" w:eastAsia="Arial" w:hAnsi="Arial"/>
          <w:sz w:val="16"/>
          <w:szCs w:val="16"/>
          <w:color w:val="auto"/>
        </w:rPr>
        <w:t xml:space="preserve"> incorporates an external flip antenna, maximizing data speed performance and allowing for stronger network signal reception.</w:t>
      </w:r>
    </w:p>
    <w:p>
      <w:pPr>
        <w:spacing w:after="0" w:line="25" w:lineRule="exact"/>
        <w:rPr>
          <w:rFonts w:ascii="Arial" w:cs="Arial" w:eastAsia="Arial" w:hAnsi="Arial"/>
          <w:sz w:val="16"/>
          <w:szCs w:val="16"/>
          <w:color w:val="auto"/>
        </w:rPr>
      </w:pPr>
    </w:p>
    <w:p>
      <w:pPr>
        <w:ind w:left="780" w:right="16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XV620</w:t>
      </w:r>
      <w:r>
        <w:rPr>
          <w:rFonts w:ascii="Arial" w:cs="Arial" w:eastAsia="Arial" w:hAnsi="Arial"/>
          <w:sz w:val="16"/>
          <w:szCs w:val="16"/>
          <w:color w:val="auto"/>
        </w:rPr>
        <w:t xml:space="preserve"> is a dual band (800/1900 MHz) wireless ExpressCard modem designed to provide mobile broadband connections up to 2.4 Mbps on CDMA 1xEV-DO networks in North America and is backward compatible to legacy CDMA networks.</w:t>
      </w:r>
    </w:p>
    <w:p>
      <w:pPr>
        <w:spacing w:after="0" w:line="4" w:lineRule="exact"/>
        <w:rPr>
          <w:rFonts w:ascii="Arial" w:cs="Arial" w:eastAsia="Arial" w:hAnsi="Arial"/>
          <w:sz w:val="16"/>
          <w:szCs w:val="16"/>
          <w:color w:val="auto"/>
        </w:rPr>
      </w:pPr>
    </w:p>
    <w:p>
      <w:pPr>
        <w:ind w:left="780" w:right="30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S620 and Merlin V620</w:t>
      </w:r>
      <w:r>
        <w:rPr>
          <w:rFonts w:ascii="Arial" w:cs="Arial" w:eastAsia="Arial" w:hAnsi="Arial"/>
          <w:sz w:val="16"/>
          <w:szCs w:val="16"/>
          <w:color w:val="auto"/>
        </w:rPr>
        <w:t xml:space="preserve"> are dual band (800/1900 MHz) wireless PC card modems designed to provide mobile subscribers with wireless access to data at maximum speeds of up to approximately 2.4 Mbps on CDMA 1xEV-DO networks in North America.</w:t>
      </w:r>
    </w:p>
    <w:p>
      <w:pPr>
        <w:spacing w:after="0" w:line="4"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is a tri-band HSDPA/UMTS (850/1900/2100 MHz) and quad-band EDGE/GPRS (850/900/1800/1900 MHz) wireless ExpressCard Modem designed to provide mobile subscribers with high-speed wireless access to data over 3G UMTS/HSDPA networks. 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enables mobile broadband connections up to 7.2 Mbps with software upgrade. The </w:t>
      </w:r>
      <w:r>
        <w:rPr>
          <w:rFonts w:ascii="Arial" w:cs="Arial" w:eastAsia="Arial" w:hAnsi="Arial"/>
          <w:sz w:val="18"/>
          <w:szCs w:val="18"/>
          <w:i w:val="1"/>
          <w:iCs w:val="1"/>
          <w:color w:val="auto"/>
        </w:rPr>
        <w:t>Merlin XU870</w:t>
      </w:r>
      <w:r>
        <w:rPr>
          <w:rFonts w:ascii="Arial" w:cs="Arial" w:eastAsia="Arial" w:hAnsi="Arial"/>
          <w:sz w:val="18"/>
          <w:szCs w:val="18"/>
          <w:color w:val="auto"/>
        </w:rPr>
        <w:t xml:space="preserve"> operates on networks in North America, Europe and countries around the world in supported bands.</w:t>
      </w:r>
    </w:p>
    <w:p>
      <w:pPr>
        <w:spacing w:after="0" w:line="62" w:lineRule="exact"/>
        <w:rPr>
          <w:rFonts w:ascii="Arial" w:cs="Arial" w:eastAsia="Arial" w:hAnsi="Arial"/>
          <w:sz w:val="18"/>
          <w:szCs w:val="18"/>
          <w:color w:val="auto"/>
        </w:rPr>
      </w:pPr>
    </w:p>
    <w:p>
      <w:pPr>
        <w:jc w:val="both"/>
        <w:ind w:left="780" w:right="26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Merlin U740</w:t>
      </w:r>
      <w:r>
        <w:rPr>
          <w:rFonts w:ascii="Arial" w:cs="Arial" w:eastAsia="Arial" w:hAnsi="Arial"/>
          <w:sz w:val="18"/>
          <w:szCs w:val="18"/>
          <w:color w:val="auto"/>
        </w:rPr>
        <w:t xml:space="preserve"> is a five-band (850/900/1800/1900/2100 MHz) wireless PC card modem designed to provide mobile subscribers with high-speed wireless access to data over 3G UMTS/HSDPA networks. The </w:t>
      </w:r>
      <w:r>
        <w:rPr>
          <w:rFonts w:ascii="Arial" w:cs="Arial" w:eastAsia="Arial" w:hAnsi="Arial"/>
          <w:sz w:val="18"/>
          <w:szCs w:val="18"/>
          <w:i w:val="1"/>
          <w:iCs w:val="1"/>
          <w:color w:val="auto"/>
        </w:rPr>
        <w:t>Merlin U740</w:t>
      </w:r>
      <w:r>
        <w:rPr>
          <w:rFonts w:ascii="Arial" w:cs="Arial" w:eastAsia="Arial" w:hAnsi="Arial"/>
          <w:sz w:val="18"/>
          <w:szCs w:val="18"/>
          <w:color w:val="auto"/>
        </w:rPr>
        <w:t xml:space="preserve"> PC Card operates on HSDPA and UMTS 2100 MHz band networks in Asia, Europe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5" w:name="page6"/>
    <w:bookmarkEnd w:id="5"/>
    <w:p>
      <w:pPr>
        <w:ind w:left="800"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the Middle East and GSM/GPRS 850, 900, 1800 and 1900 MHz band networks worldwide. The </w:t>
      </w:r>
      <w:r>
        <w:rPr>
          <w:rFonts w:ascii="Arial" w:cs="Arial" w:eastAsia="Arial" w:hAnsi="Arial"/>
          <w:sz w:val="16"/>
          <w:szCs w:val="16"/>
          <w:i w:val="1"/>
          <w:iCs w:val="1"/>
          <w:color w:val="auto"/>
        </w:rPr>
        <w:t>Merlin U740</w:t>
      </w:r>
      <w:r>
        <w:rPr>
          <w:rFonts w:ascii="Arial" w:cs="Arial" w:eastAsia="Arial" w:hAnsi="Arial"/>
          <w:sz w:val="16"/>
          <w:szCs w:val="16"/>
          <w:color w:val="auto"/>
        </w:rPr>
        <w:t xml:space="preserve"> enables wireless access to data at speeds of up to 1.8 Mbps in HSDPA coverage areas, 384 kbps in UMTS coverage areas and 53.6 kbps in GPRS coverage areas.</w:t>
      </w:r>
    </w:p>
    <w:p>
      <w:pPr>
        <w:spacing w:after="0" w:line="18" w:lineRule="exact"/>
        <w:rPr>
          <w:sz w:val="20"/>
          <w:szCs w:val="20"/>
          <w:color w:val="auto"/>
        </w:rPr>
      </w:pPr>
    </w:p>
    <w:p>
      <w:pPr>
        <w:ind w:left="780" w:hanging="326"/>
        <w:spacing w:after="0" w:line="298"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U730</w:t>
      </w:r>
      <w:r>
        <w:rPr>
          <w:rFonts w:ascii="Arial" w:cs="Arial" w:eastAsia="Arial" w:hAnsi="Arial"/>
          <w:sz w:val="16"/>
          <w:szCs w:val="16"/>
          <w:color w:val="auto"/>
        </w:rPr>
        <w:t xml:space="preserve"> is a quad-band (850/900/1800/1900 MHz) wireless PC card modem designed to provide mobile subscribers with high-speed wireless access to data over 3G UMTS/HSDPA networks. The </w:t>
      </w:r>
      <w:r>
        <w:rPr>
          <w:rFonts w:ascii="Arial" w:cs="Arial" w:eastAsia="Arial" w:hAnsi="Arial"/>
          <w:sz w:val="16"/>
          <w:szCs w:val="16"/>
          <w:i w:val="1"/>
          <w:iCs w:val="1"/>
          <w:color w:val="auto"/>
        </w:rPr>
        <w:t>Merlin U730</w:t>
      </w:r>
      <w:r>
        <w:rPr>
          <w:rFonts w:ascii="Arial" w:cs="Arial" w:eastAsia="Arial" w:hAnsi="Arial"/>
          <w:sz w:val="16"/>
          <w:szCs w:val="16"/>
          <w:color w:val="auto"/>
        </w:rPr>
        <w:t xml:space="preserve"> PC Card operates on HSDPA and UMTS 850 and 1900 MHz band networks primarily in North America and GPRS/EDGE 850, 900, 1800 and 1900 MHz band networks worldwide. The </w:t>
      </w:r>
      <w:r>
        <w:rPr>
          <w:rFonts w:ascii="Arial" w:cs="Arial" w:eastAsia="Arial" w:hAnsi="Arial"/>
          <w:sz w:val="16"/>
          <w:szCs w:val="16"/>
          <w:i w:val="1"/>
          <w:iCs w:val="1"/>
          <w:color w:val="auto"/>
        </w:rPr>
        <w:t>Merlin U730</w:t>
      </w:r>
      <w:r>
        <w:rPr>
          <w:rFonts w:ascii="Arial" w:cs="Arial" w:eastAsia="Arial" w:hAnsi="Arial"/>
          <w:sz w:val="16"/>
          <w:szCs w:val="16"/>
          <w:color w:val="auto"/>
        </w:rPr>
        <w:t xml:space="preserve"> enables wireless access to data at speeds of up to 1.8 Mbps in HSDPA coverage areas, 384 kbps in UMTS coverage areas and 53.6 kbps in GPRS coverage areas.</w:t>
      </w:r>
    </w:p>
    <w:p>
      <w:pPr>
        <w:spacing w:after="0" w:line="31" w:lineRule="exact"/>
        <w:rPr>
          <w:rFonts w:ascii="Arial" w:cs="Arial" w:eastAsia="Arial" w:hAnsi="Arial"/>
          <w:sz w:val="16"/>
          <w:szCs w:val="16"/>
          <w:color w:val="auto"/>
        </w:rPr>
      </w:pPr>
    </w:p>
    <w:p>
      <w:pPr>
        <w:ind w:left="780" w:right="60" w:hanging="326"/>
        <w:spacing w:after="0" w:line="298"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Merlin U630</w:t>
      </w:r>
      <w:r>
        <w:rPr>
          <w:rFonts w:ascii="Arial" w:cs="Arial" w:eastAsia="Arial" w:hAnsi="Arial"/>
          <w:sz w:val="16"/>
          <w:szCs w:val="16"/>
          <w:color w:val="auto"/>
        </w:rPr>
        <w:t xml:space="preserve"> is a quad-band (900/1800/1900/2100 MHz) wireless PC card modem designed to provide mobile subscribers with high-speed wireless access to data over 3G UMTS networks. The </w:t>
      </w:r>
      <w:r>
        <w:rPr>
          <w:rFonts w:ascii="Arial" w:cs="Arial" w:eastAsia="Arial" w:hAnsi="Arial"/>
          <w:sz w:val="16"/>
          <w:szCs w:val="16"/>
          <w:i w:val="1"/>
          <w:iCs w:val="1"/>
          <w:color w:val="auto"/>
        </w:rPr>
        <w:t>Merlin U630</w:t>
      </w:r>
      <w:r>
        <w:rPr>
          <w:rFonts w:ascii="Arial" w:cs="Arial" w:eastAsia="Arial" w:hAnsi="Arial"/>
          <w:sz w:val="16"/>
          <w:szCs w:val="16"/>
          <w:color w:val="auto"/>
        </w:rPr>
        <w:t xml:space="preserve"> PC Card operates on UMTS 2100 MHz band networks in Asia, Europe and the Middle East and GSM/GPRS 900, 1800 and 1900 MHz band networks worldwide. The </w:t>
      </w:r>
      <w:r>
        <w:rPr>
          <w:rFonts w:ascii="Arial" w:cs="Arial" w:eastAsia="Arial" w:hAnsi="Arial"/>
          <w:sz w:val="16"/>
          <w:szCs w:val="16"/>
          <w:i w:val="1"/>
          <w:iCs w:val="1"/>
          <w:color w:val="auto"/>
        </w:rPr>
        <w:t>Merlin U630</w:t>
      </w:r>
      <w:r>
        <w:rPr>
          <w:rFonts w:ascii="Arial" w:cs="Arial" w:eastAsia="Arial" w:hAnsi="Arial"/>
          <w:sz w:val="16"/>
          <w:szCs w:val="16"/>
          <w:color w:val="auto"/>
        </w:rPr>
        <w:t xml:space="preserve"> enables wireless access to data at speeds of up to approximately 384 kbps in UMTS coverage areas and 53.6 kbps in GPRS coverage areas.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Expedite Embedded PCI Express Mini Card Modems for OEMs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Expedite Embedded PCI Express Mini Card modems</w:t>
      </w:r>
      <w:r>
        <w:rPr>
          <w:rFonts w:ascii="Arial" w:cs="Arial" w:eastAsia="Arial" w:hAnsi="Arial"/>
          <w:sz w:val="16"/>
          <w:szCs w:val="16"/>
          <w:color w:val="auto"/>
        </w:rPr>
        <w:t xml:space="preserve"> are a form factor specification designed for easy integration into multiple laptop platforms and other wireless devices. Each </w:t>
      </w:r>
      <w:r>
        <w:rPr>
          <w:rFonts w:ascii="Arial" w:cs="Arial" w:eastAsia="Arial" w:hAnsi="Arial"/>
          <w:sz w:val="16"/>
          <w:szCs w:val="16"/>
          <w:i w:val="1"/>
          <w:iCs w:val="1"/>
          <w:color w:val="auto"/>
        </w:rPr>
        <w:t>Expedite Embedded PCI Express Mini Card modem</w:t>
      </w:r>
      <w:r>
        <w:rPr>
          <w:rFonts w:ascii="Arial" w:cs="Arial" w:eastAsia="Arial" w:hAnsi="Arial"/>
          <w:sz w:val="16"/>
          <w:szCs w:val="16"/>
          <w:color w:val="auto"/>
        </w:rPr>
        <w:t xml:space="preserve"> enables wireless high-speed streaming video and audio, secure access to emails with large attachments and other corporate information stored behind firewalls providing reliable connectivity, maximum data throughput and efficient management of device power consumption. The following is a representative selection of our </w:t>
      </w:r>
      <w:r>
        <w:rPr>
          <w:rFonts w:ascii="Arial" w:cs="Arial" w:eastAsia="Arial" w:hAnsi="Arial"/>
          <w:sz w:val="16"/>
          <w:szCs w:val="16"/>
          <w:i w:val="1"/>
          <w:iCs w:val="1"/>
          <w:color w:val="auto"/>
        </w:rPr>
        <w:t>Expedite Embedded PCI Express Mini Card modems</w:t>
      </w:r>
      <w:r>
        <w:rPr>
          <w:rFonts w:ascii="Arial" w:cs="Arial" w:eastAsia="Arial" w:hAnsi="Arial"/>
          <w:sz w:val="16"/>
          <w:szCs w:val="16"/>
          <w:color w:val="auto"/>
        </w:rPr>
        <w:t>:</w:t>
      </w:r>
    </w:p>
    <w:p>
      <w:pPr>
        <w:spacing w:after="0" w:line="32" w:lineRule="exact"/>
        <w:rPr>
          <w:sz w:val="20"/>
          <w:szCs w:val="20"/>
          <w:color w:val="auto"/>
        </w:rPr>
      </w:pPr>
    </w:p>
    <w:p>
      <w:pPr>
        <w:ind w:left="780" w:right="30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EU740 PCI Express Mini Card</w:t>
      </w:r>
      <w:r>
        <w:rPr>
          <w:rFonts w:ascii="Arial" w:cs="Arial" w:eastAsia="Arial" w:hAnsi="Arial"/>
          <w:sz w:val="16"/>
          <w:szCs w:val="16"/>
          <w:color w:val="auto"/>
        </w:rPr>
        <w:t xml:space="preserve"> provides quad-band (850/900/1800/1900 MHz) GPRS/EDGE connectivity as well as HSDPA/UMTS access in the 2100 MHz band, and enables wireless broadband data access on HSDPA and UMTS networks at speeds up to 1.8 Mbps.</w:t>
      </w:r>
    </w:p>
    <w:p>
      <w:pPr>
        <w:spacing w:after="0" w:line="4" w:lineRule="exact"/>
        <w:rPr>
          <w:rFonts w:ascii="Arial" w:cs="Arial" w:eastAsia="Arial" w:hAnsi="Arial"/>
          <w:sz w:val="16"/>
          <w:szCs w:val="16"/>
          <w:color w:val="auto"/>
        </w:rPr>
      </w:pPr>
    </w:p>
    <w:p>
      <w:pPr>
        <w:ind w:left="780" w:right="30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EU730 PCI Express Mini Card</w:t>
      </w:r>
      <w:r>
        <w:rPr>
          <w:rFonts w:ascii="Arial" w:cs="Arial" w:eastAsia="Arial" w:hAnsi="Arial"/>
          <w:sz w:val="16"/>
          <w:szCs w:val="16"/>
          <w:color w:val="auto"/>
        </w:rPr>
        <w:t xml:space="preserve"> provides quad-band (850/900/1800/1900 MHz) GPRS/EDGE connectivity as well as HSDPA/UMTS access in the 850 and 1900 MHz bands, and enables wireless broadband data access on HSDPA and UMTS networks at speeds up to 1.8 Mbps.</w:t>
      </w:r>
    </w:p>
    <w:p>
      <w:pPr>
        <w:spacing w:after="0" w:line="4" w:lineRule="exact"/>
        <w:rPr>
          <w:rFonts w:ascii="Arial" w:cs="Arial" w:eastAsia="Arial" w:hAnsi="Arial"/>
          <w:sz w:val="16"/>
          <w:szCs w:val="16"/>
          <w:color w:val="auto"/>
        </w:rPr>
      </w:pPr>
    </w:p>
    <w:p>
      <w:pPr>
        <w:ind w:left="780" w:right="6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Expedite E720 PCI Express Mini Card</w:t>
      </w:r>
      <w:r>
        <w:rPr>
          <w:rFonts w:ascii="Arial" w:cs="Arial" w:eastAsia="Arial" w:hAnsi="Arial"/>
          <w:sz w:val="18"/>
          <w:szCs w:val="18"/>
          <w:color w:val="auto"/>
        </w:rPr>
        <w:t xml:space="preserve"> provides dual band (800/1900 MHz) wireless access and is designed to provide mobile broadband connections at speeds up to 3.1 Mbps on CDMA 1xEV-DO Rev A networks.</w:t>
      </w:r>
    </w:p>
    <w:p>
      <w:pPr>
        <w:spacing w:after="0" w:line="50" w:lineRule="exact"/>
        <w:rPr>
          <w:rFonts w:ascii="Arial" w:cs="Arial" w:eastAsia="Arial" w:hAnsi="Arial"/>
          <w:sz w:val="18"/>
          <w:szCs w:val="18"/>
          <w:color w:val="auto"/>
        </w:rPr>
      </w:pPr>
    </w:p>
    <w:p>
      <w:pPr>
        <w:ind w:left="780" w:right="48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Expedite EV620 PCI Express Mini Card</w:t>
      </w:r>
      <w:r>
        <w:rPr>
          <w:rFonts w:ascii="Arial" w:cs="Arial" w:eastAsia="Arial" w:hAnsi="Arial"/>
          <w:sz w:val="16"/>
          <w:szCs w:val="16"/>
          <w:color w:val="auto"/>
        </w:rPr>
        <w:t xml:space="preserve"> includes receive diversity on 800 and 1900 MHz band CDMA2000 1xEV-DO and CDMA2000 1X networks, and enables wireless broadband data access on CDMA 1xEV-DO networks at speeds up to 2.4 Mbps.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Fixed-Mobile Convergence Solutions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Ovation Family</w:t>
      </w:r>
      <w:r>
        <w:rPr>
          <w:rFonts w:ascii="Arial" w:cs="Arial" w:eastAsia="Arial" w:hAnsi="Arial"/>
          <w:sz w:val="16"/>
          <w:szCs w:val="16"/>
          <w:color w:val="auto"/>
        </w:rPr>
        <w:t xml:space="preserve"> of 3G Multimedia Application Consoles is a portfolio of stand-alone desktop consoles that unifies WWAN, WLAN and/or voice capability to provide cost-effective high speed wireless broadband access, optimal call routing and the delivery of multimedia applications. End-users are able to access </w:t>
      </w:r>
      <w:r>
        <w:rPr>
          <w:rFonts w:ascii="Arial" w:cs="Arial" w:eastAsia="Arial" w:hAnsi="Arial"/>
          <w:sz w:val="16"/>
          <w:szCs w:val="16"/>
          <w:i w:val="1"/>
          <w:iCs w:val="1"/>
          <w:color w:val="auto"/>
        </w:rPr>
        <w:t>Ovation</w:t>
      </w:r>
      <w:r>
        <w:rPr>
          <w:rFonts w:ascii="Arial" w:cs="Arial" w:eastAsia="Arial" w:hAnsi="Arial"/>
          <w:sz w:val="16"/>
          <w:szCs w:val="16"/>
          <w:color w:val="auto"/>
        </w:rPr>
        <w:t xml:space="preserve"> using multiple devices, including landline telephones, cordless telephones, desktop PCs, broadband enabled laptops, emerging WLAN-enabled devices such as handsets and smartphones, and other peripheral devices. </w:t>
      </w:r>
      <w:r>
        <w:rPr>
          <w:rFonts w:ascii="Arial" w:cs="Arial" w:eastAsia="Arial" w:hAnsi="Arial"/>
          <w:sz w:val="16"/>
          <w:szCs w:val="16"/>
          <w:i w:val="1"/>
          <w:iCs w:val="1"/>
          <w:color w:val="auto"/>
        </w:rPr>
        <w:t>Ovation</w:t>
      </w:r>
      <w:r>
        <w:rPr>
          <w:rFonts w:ascii="Arial" w:cs="Arial" w:eastAsia="Arial" w:hAnsi="Arial"/>
          <w:sz w:val="16"/>
          <w:szCs w:val="16"/>
          <w:color w:val="auto"/>
        </w:rPr>
        <w:t xml:space="preserve"> is powered by </w:t>
      </w:r>
      <w:r>
        <w:rPr>
          <w:rFonts w:ascii="Arial" w:cs="Arial" w:eastAsia="Arial" w:hAnsi="Arial"/>
          <w:sz w:val="16"/>
          <w:szCs w:val="16"/>
          <w:i w:val="1"/>
          <w:iCs w:val="1"/>
          <w:color w:val="auto"/>
        </w:rPr>
        <w:t>Conversa</w:t>
      </w:r>
      <w:r>
        <w:rPr>
          <w:rFonts w:ascii="Arial" w:cs="Arial" w:eastAsia="Arial" w:hAnsi="Arial"/>
          <w:sz w:val="16"/>
          <w:szCs w:val="16"/>
          <w:color w:val="auto"/>
        </w:rPr>
        <w:t>, a software suite developed by us that will enable access to advanced software applications resulting from an innovative convergence of high-speed WWAN and WLAN technologies.</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Ovation MCD3000</w:t>
      </w:r>
      <w:r>
        <w:rPr>
          <w:rFonts w:ascii="Arial" w:cs="Arial" w:eastAsia="Arial" w:hAnsi="Arial"/>
          <w:sz w:val="18"/>
          <w:szCs w:val="18"/>
          <w:color w:val="auto"/>
        </w:rPr>
        <w:t xml:space="preserve"> provides dual band (800/1900 MHz) wireless access and is designed based on the USB standard to provide mobile broadband connections at speeds up to 3.1 Mbps on CDMA 1xEV-DO Rev A networks.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w:t>
      </w:r>
      <w:r>
        <w:rPr>
          <w:rFonts w:ascii="Arial" w:cs="Arial" w:eastAsia="Arial" w:hAnsi="Arial"/>
          <w:sz w:val="18"/>
          <w:szCs w:val="18"/>
          <w:i w:val="1"/>
          <w:iCs w:val="1"/>
          <w:color w:val="auto"/>
        </w:rPr>
        <w:t>Ovation MCD3000</w:t>
      </w:r>
      <w:r>
        <w:rPr>
          <w:rFonts w:ascii="Arial" w:cs="Arial" w:eastAsia="Arial" w:hAnsi="Arial"/>
          <w:sz w:val="18"/>
          <w:szCs w:val="18"/>
          <w:color w:val="auto"/>
        </w:rPr>
        <w:t xml:space="preserve"> has a dual band diversity antenna system design that incorporates an external flip antenna.</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MobiLink Mobile Communications Suite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Residing on the mobile subscriber’s laptop PC, our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mobile communications suite is an object-oriented software application that enables a user to gain quick and simple access to advanced connectivity features such as SMS, multimedia messaging and virtual private networking.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also offers video telephony and WLAN management capabilities. </w:t>
      </w:r>
      <w:r>
        <w:rPr>
          <w:rFonts w:ascii="Arial" w:cs="Arial" w:eastAsia="Arial" w:hAnsi="Arial"/>
          <w:sz w:val="18"/>
          <w:szCs w:val="18"/>
          <w:i w:val="1"/>
          <w:iCs w:val="1"/>
          <w:color w:val="auto"/>
        </w:rPr>
        <w:t>MobiLink’s</w:t>
      </w:r>
      <w:r>
        <w:rPr>
          <w:rFonts w:ascii="Arial" w:cs="Arial" w:eastAsia="Arial" w:hAnsi="Arial"/>
          <w:sz w:val="18"/>
          <w:szCs w:val="18"/>
          <w:color w:val="auto"/>
        </w:rPr>
        <w:t xml:space="preserve"> graphical user interface and underlying functionality are designed to be modular, easily configurable and expandable in order to enable our customers to differentiate their product offerings. </w:t>
      </w:r>
      <w:r>
        <w:rPr>
          <w:rFonts w:ascii="Arial" w:cs="Arial" w:eastAsia="Arial" w:hAnsi="Arial"/>
          <w:sz w:val="18"/>
          <w:szCs w:val="18"/>
          <w:i w:val="1"/>
          <w:iCs w:val="1"/>
          <w:color w:val="auto"/>
        </w:rPr>
        <w:t>MobiLink</w:t>
      </w:r>
      <w:r>
        <w:rPr>
          <w:rFonts w:ascii="Arial" w:cs="Arial" w:eastAsia="Arial" w:hAnsi="Arial"/>
          <w:sz w:val="18"/>
          <w:szCs w:val="18"/>
          <w:color w:val="auto"/>
        </w:rPr>
        <w:t xml:space="preserve"> is engineered to work with all of our family of wireless PC modems.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objective is to be the leading provider of broadband multimedia (data and voice) solutions for the worldwide mobile communications market. The key elements of our strategy are to:</w:t>
      </w:r>
    </w:p>
    <w:p>
      <w:pPr>
        <w:spacing w:after="0" w:line="51" w:lineRule="exact"/>
        <w:rPr>
          <w:sz w:val="20"/>
          <w:szCs w:val="20"/>
          <w:color w:val="auto"/>
        </w:rPr>
      </w:pPr>
    </w:p>
    <w:p>
      <w:pPr>
        <w:ind w:left="780" w:right="3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Broaden our Product Offering. </w:t>
      </w:r>
      <w:r>
        <w:rPr>
          <w:rFonts w:ascii="Arial" w:cs="Arial" w:eastAsia="Arial" w:hAnsi="Arial"/>
          <w:sz w:val="18"/>
          <w:szCs w:val="18"/>
          <w:color w:val="auto"/>
        </w:rPr>
        <w:t>We intend to diversify and continue to broaden our product line in four areas: wireless PC card and ExpressCard</w:t>
      </w:r>
      <w:r>
        <w:rPr>
          <w:rFonts w:ascii="Arial" w:cs="Arial" w:eastAsia="Arial" w:hAnsi="Arial"/>
          <w:sz w:val="18"/>
          <w:szCs w:val="18"/>
          <w:i w:val="1"/>
          <w:iCs w:val="1"/>
          <w:color w:val="auto"/>
        </w:rPr>
        <w:t xml:space="preserve"> </w:t>
      </w:r>
      <w:r>
        <w:rPr>
          <w:rFonts w:ascii="Arial" w:cs="Arial" w:eastAsia="Arial" w:hAnsi="Arial"/>
          <w:sz w:val="18"/>
          <w:szCs w:val="18"/>
          <w:color w:val="auto"/>
        </w:rPr>
        <w:t>modems, embedded modems, Fixed-Mobile Convergence solutions and software services and solutions.</w:t>
      </w:r>
    </w:p>
    <w:p>
      <w:pPr>
        <w:spacing w:after="0" w:line="5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Expand Our 3G PC Card and ExpressCard Modem Offerings Worldwide. </w:t>
      </w:r>
      <w:r>
        <w:rPr>
          <w:rFonts w:ascii="Arial" w:cs="Arial" w:eastAsia="Arial" w:hAnsi="Arial"/>
          <w:sz w:val="18"/>
          <w:szCs w:val="18"/>
          <w:color w:val="auto"/>
        </w:rPr>
        <w:t>We intend to continue expanding our portfolio of 3G wireless PC 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ExpressCard modem products with leading wireless operators worldwide. We have introduced 14 3G products, including EV-DO and HSDPA products and plan to continue to introduce new products aimed at the next generation EV-DO, HSDPA and High Speed Uplink Packet Access, or HSUPA, technologies.</w:t>
      </w:r>
    </w:p>
    <w:p>
      <w:pPr>
        <w:spacing w:after="0" w:line="62" w:lineRule="exact"/>
        <w:rPr>
          <w:rFonts w:ascii="Arial" w:cs="Arial" w:eastAsia="Arial" w:hAnsi="Arial"/>
          <w:sz w:val="18"/>
          <w:szCs w:val="18"/>
          <w:color w:val="auto"/>
        </w:rPr>
      </w:pPr>
    </w:p>
    <w:p>
      <w:pPr>
        <w:ind w:left="780" w:right="120" w:hanging="326"/>
        <w:spacing w:after="0" w:line="291"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Lead the Embedded Market</w:t>
      </w:r>
      <w:r>
        <w:rPr>
          <w:rFonts w:ascii="Arial" w:cs="Arial" w:eastAsia="Arial" w:hAnsi="Arial"/>
          <w:sz w:val="16"/>
          <w:szCs w:val="16"/>
          <w:color w:val="auto"/>
        </w:rPr>
        <w:t>. In 2005 and 2006, we received design wins from six leading laptop manufacturers and additional mass market device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to embed our 3G products into their product lines. These wins included Dell and Toshiba—two of the world’s largest laptop manufacturer. In the future, we will continue to pursue additional opportunities with these OEM partners and with other leading laptop manufacturers as we look to consolidate the largest market share of the embedded market. For some of our OEM partners, we build to order; for others, our technology is embedded in specific wireless SKUs; and for others, our technology is embedded into complete laptop lines. Most of our customers are addressing world-wide markets and are shipping both our EV-DO and HSDPA products.</w:t>
      </w:r>
    </w:p>
    <w:p>
      <w:pPr>
        <w:spacing w:after="0" w:line="39" w:lineRule="exact"/>
        <w:rPr>
          <w:rFonts w:ascii="Arial" w:cs="Arial" w:eastAsia="Arial" w:hAnsi="Arial"/>
          <w:sz w:val="16"/>
          <w:szCs w:val="16"/>
          <w:color w:val="auto"/>
        </w:rPr>
      </w:pPr>
    </w:p>
    <w:p>
      <w:pPr>
        <w:ind w:left="780" w:right="14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relationships with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in order to increase our worldwide market position. In the United States and internationally, we are working closely with wireless operators of 3G EV-DO, UMTS and HSDPA wireless networks.</w:t>
      </w:r>
    </w:p>
    <w:p>
      <w:pPr>
        <w:spacing w:after="0" w:line="59" w:lineRule="exact"/>
        <w:rPr>
          <w:rFonts w:ascii="Arial" w:cs="Arial" w:eastAsia="Arial" w:hAnsi="Arial"/>
          <w:sz w:val="18"/>
          <w:szCs w:val="18"/>
          <w:color w:val="auto"/>
        </w:rPr>
      </w:pPr>
    </w:p>
    <w:p>
      <w:pPr>
        <w:ind w:left="780" w:right="100" w:hanging="326"/>
        <w:spacing w:after="0" w:line="294"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Leverage Strategic Relationships with Wireless Industry Leaders. </w:t>
      </w:r>
      <w:r>
        <w:rPr>
          <w:rFonts w:ascii="Arial" w:cs="Arial" w:eastAsia="Arial" w:hAnsi="Arial"/>
          <w:sz w:val="16"/>
          <w:szCs w:val="16"/>
          <w:color w:val="auto"/>
        </w:rPr>
        <w:t>We believe that strategic relationships with wireless and mobile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leaders are critical to our ability to leverage sales opportunities and ensure that our technology investments address customer needs. Through strategic relationships, we believe that we can increase market penetration and differentiate our products by accessing the resources of others, including access to distribution resources, exclusive sales and marketing and addressing new market opportunities through innovation with our selected partners. We intend to continue the development and leverage of strategic alignments in the industry.</w:t>
      </w:r>
    </w:p>
    <w:p>
      <w:pPr>
        <w:spacing w:after="0" w:line="34" w:lineRule="exact"/>
        <w:rPr>
          <w:rFonts w:ascii="Arial" w:cs="Arial" w:eastAsia="Arial" w:hAnsi="Arial"/>
          <w:sz w:val="16"/>
          <w:szCs w:val="16"/>
          <w:color w:val="auto"/>
        </w:rPr>
      </w:pPr>
    </w:p>
    <w:p>
      <w:pPr>
        <w:ind w:left="780" w:right="100" w:hanging="326"/>
        <w:spacing w:after="0" w:line="335"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Continue to Target Key Vertical Market Opportunities and Penetrate New Markets. </w:t>
      </w:r>
      <w:r>
        <w:rPr>
          <w:rFonts w:ascii="Arial" w:cs="Arial" w:eastAsia="Arial" w:hAnsi="Arial"/>
          <w:sz w:val="15"/>
          <w:szCs w:val="15"/>
          <w:color w:val="auto"/>
        </w:rPr>
        <w:t>We believe that on-going developments in wireless technologies</w:t>
      </w:r>
      <w:r>
        <w:rPr>
          <w:rFonts w:ascii="Arial" w:cs="Arial" w:eastAsia="Arial" w:hAnsi="Arial"/>
          <w:sz w:val="15"/>
          <w:szCs w:val="15"/>
          <w:i w:val="1"/>
          <w:iCs w:val="1"/>
          <w:color w:val="auto"/>
        </w:rPr>
        <w:t xml:space="preserve"> </w:t>
      </w:r>
      <w:r>
        <w:rPr>
          <w:rFonts w:ascii="Arial" w:cs="Arial" w:eastAsia="Arial" w:hAnsi="Arial"/>
          <w:sz w:val="15"/>
          <w:szCs w:val="15"/>
          <w:color w:val="auto"/>
        </w:rPr>
        <w:t>will create additional vertical market opportunities and more applications for our products. Currently, we market our broadband wireless access solutions to key vertical industry segments by offering innovative products that increase productivity, reduce costs and create operational efficiencies.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left="780" w:right="14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the Value of Our Products</w:t>
      </w:r>
      <w:r>
        <w:rPr>
          <w:rFonts w:ascii="Arial" w:cs="Arial" w:eastAsia="Arial" w:hAnsi="Arial"/>
          <w:sz w:val="16"/>
          <w:szCs w:val="16"/>
          <w:color w:val="auto"/>
        </w:rPr>
        <w:t>. We will continue to add new features and functionality to our products and develop new services and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to enhance the overall value and ease of use that our products provide to our customers and end users.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global end-customer base is comprised of wireless operators, OEMs, distributors and various companies in other vertical markets. Our current customer base includes wireless operators and other wireless market participants such as Cingular, Hutchison 3G, O2, One, Optimus, Sprint PCS, Telefonica, Verizon Wireless, Vodafone and OEM partners such as Dell, Panasonic, Sony and Toshiba.</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strong customer relationships provide us with the opportunity to expand our market reach and sales:</w:t>
      </w:r>
    </w:p>
    <w:p>
      <w:pPr>
        <w:spacing w:after="0" w:line="90" w:lineRule="exact"/>
        <w:rPr>
          <w:sz w:val="20"/>
          <w:szCs w:val="20"/>
          <w:color w:val="auto"/>
        </w:rPr>
      </w:pPr>
    </w:p>
    <w:p>
      <w:pPr>
        <w:ind w:left="780" w:right="100" w:hanging="326"/>
        <w:spacing w:after="0" w:line="25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drive demand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by combining our expertise in wireless technologies with our customers’ sales and marketing reach over a global subscriber base. Our customers also provide us with important services, including field trial participation, technical support, wireless data marketing and access to additional indirect distribution channels.</w:t>
      </w:r>
    </w:p>
    <w:p>
      <w:pPr>
        <w:spacing w:after="0" w:line="62"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OEMs</w:t>
      </w:r>
      <w:r>
        <w:rPr>
          <w:rFonts w:ascii="Arial" w:cs="Arial" w:eastAsia="Arial" w:hAnsi="Arial"/>
          <w:sz w:val="18"/>
          <w:szCs w:val="18"/>
          <w:color w:val="auto"/>
        </w:rPr>
        <w:t>. Our OEM customers integrate our products into devices that they manufacture and sell to end-users through their own direct sales forces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distribution channels. Our products are capable of being integrated into a broad range of devices, including but not limited to laptop PCs, PDAs, M2M devices, and vehicle location devices. We seek to build strong relationships with our OEM customers by working closely with them and providing radio frequency, or RF, design consulting, performance optimization, software integration and customization and application engineering support during the integration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continue to develop and maintain strategic relationships with wireless and computing industry leaders like Alcatel, Siemens, Dell, QUALCOMM,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as well as to OEMs and distributors located worldwide. Most of our sales to wireless operators and OEMs are sold directly through our sales force. To a lesser degree, we also use an indirect sales distribution model through the use of select distributors. A significant portion of our revenues comes from a small number of customers. Our revenues from sales to Sprint PCS and Verizon Wireless represented approximately 38.2% and 19.7%, respectively, of our total revenues for the year ended December 31, 2006.</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co-marketing and co-branding with partners.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8" w:name="page9"/>
    <w:bookmarkEnd w:id="8"/>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operations in the United States, Canada and the United Kingdom. The amount of our assets in the United States, Canada and the United Kingdom as of December 31, 2006 were $172.8 million, $18.0 million, and $835,000, respectively. As of December 31, 2005 the amount of our assets in the United States, Canada and the United Kingdom were $166.5 million, $9.6 million and zero, respectively, and as of December 31, 2004 were $114.0 million, $2.3 million and zero, respectively.</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the years ended December 31, 2006, 2005 and 2004, approximately 37%, 58% and 76%, respectively, of our revenue was derived from international customers. See Note 10 to our Consolidated Financial Statements for further explanation of our revenue based on geography. Our continuing reliance on sales in international markets exposes us to risks attendant to foreign sales. See “Item 1A. Risk Factors—We are subject to the risks of doing business abroad, which could negatively affect our international sales activities and our ability to obtain products from our foreign manufacturers”.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product development efforts are focused on developing innovative wireless broadband access solutions to address opportunities presented by next generation wireless networks and improving the functionality, design and performance of our products. Our research and development expenses for the years ended December 31, 2006, 2005 and 2004 were $31.3 million, $20.5 million and $10.6 million, respectively. In addition, costs recovered from customer funded development contracts for the years ended December 31, 2006, 2005 and 2004 were zero, $200,000 and $2.9 million, respectively, and were included in cost of revenue.</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WAN technology, ease-of-use, performance, size, weight, cost and power consumption.</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90" w:lineRule="exact"/>
        <w:rPr>
          <w:sz w:val="20"/>
          <w:szCs w:val="20"/>
          <w:color w:val="auto"/>
        </w:rPr>
      </w:pPr>
    </w:p>
    <w:p>
      <w:pPr>
        <w:ind w:left="780" w:right="40" w:hanging="326"/>
        <w:spacing w:after="0" w:line="30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Advanced Radio Frequency and Hardware Design. </w:t>
      </w:r>
      <w:r>
        <w:rPr>
          <w:rFonts w:ascii="Arial" w:cs="Arial" w:eastAsia="Arial" w:hAnsi="Arial"/>
          <w:sz w:val="16"/>
          <w:szCs w:val="16"/>
          <w:color w:val="auto"/>
        </w:rPr>
        <w:t>Advanced Radio Frequency, or RF, design is the key technology that determines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of wireless devices. We have specialized in 800/900/1800/1900 and 2100 MHz designs for digital cellular, packet data and CDMA technology. Our expertise in RF and baseband technology contributes to the performance, cost advantages and small size of our products.</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Miniaturization and System Integration</w:t>
      </w:r>
      <w:r>
        <w:rPr>
          <w:rFonts w:ascii="Arial" w:cs="Arial" w:eastAsia="Arial" w:hAnsi="Arial"/>
          <w:sz w:val="16"/>
          <w:szCs w:val="16"/>
          <w:color w:val="auto"/>
        </w:rPr>
        <w:t>. Small systems integration is the integration of application specific integrated circuits, or ASICs, RF and</w:t>
      </w:r>
      <w:r>
        <w:rPr>
          <w:rFonts w:ascii="Arial" w:cs="Arial" w:eastAsia="Arial" w:hAnsi="Arial"/>
          <w:sz w:val="16"/>
          <w:szCs w:val="16"/>
          <w:i w:val="1"/>
          <w:iCs w:val="1"/>
          <w:color w:val="auto"/>
        </w:rPr>
        <w:t xml:space="preserve"> </w:t>
      </w:r>
      <w:r>
        <w:rPr>
          <w:rFonts w:ascii="Arial" w:cs="Arial" w:eastAsia="Arial" w:hAnsi="Arial"/>
          <w:sz w:val="16"/>
          <w:szCs w:val="16"/>
          <w:color w:val="auto"/>
        </w:rPr>
        <w:t>baseband integrated circuits and packaging technologies. The complete wireless modem is packaged into a module less than half the size of a credit card through the use of advanced integrated circuit designs, embedded software modems and multi-layer RF stripline technologies. We will continue to augment our miniaturization technology, working to further reduce the size and cost of current and future products.</w:t>
      </w:r>
    </w:p>
    <w:p>
      <w:pPr>
        <w:spacing w:after="0" w:line="31" w:lineRule="exact"/>
        <w:rPr>
          <w:rFonts w:ascii="Arial" w:cs="Arial" w:eastAsia="Arial" w:hAnsi="Arial"/>
          <w:sz w:val="16"/>
          <w:szCs w:val="16"/>
          <w:color w:val="auto"/>
        </w:rPr>
      </w:pPr>
    </w:p>
    <w:p>
      <w:pPr>
        <w:ind w:left="780" w:right="120" w:hanging="326"/>
        <w:spacing w:after="0" w:line="30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Firmware and Software development. </w:t>
      </w:r>
      <w:r>
        <w:rPr>
          <w:rFonts w:ascii="Arial" w:cs="Arial" w:eastAsia="Arial" w:hAnsi="Arial"/>
          <w:sz w:val="16"/>
          <w:szCs w:val="16"/>
          <w:color w:val="auto"/>
        </w:rPr>
        <w:t>We have specialized in integrating 3G (HSDPA and 1xEV-DO) protocol stacks and customizing the firmware</w:t>
      </w:r>
      <w:r>
        <w:rPr>
          <w:rFonts w:ascii="Arial" w:cs="Arial" w:eastAsia="Arial" w:hAnsi="Arial"/>
          <w:sz w:val="16"/>
          <w:szCs w:val="16"/>
          <w:i w:val="1"/>
          <w:iCs w:val="1"/>
          <w:color w:val="auto"/>
        </w:rPr>
        <w:t xml:space="preserve"> </w:t>
      </w:r>
      <w:r>
        <w:rPr>
          <w:rFonts w:ascii="Arial" w:cs="Arial" w:eastAsia="Arial" w:hAnsi="Arial"/>
          <w:sz w:val="16"/>
          <w:szCs w:val="16"/>
          <w:color w:val="auto"/>
        </w:rPr>
        <w:t>to meet carrier and regulatory requirements. We supply end-to-end WAN modem solutions to our customers including the modem hardware, the customized firmware that runs on the 3G processor and the modem manager application that controls the modem operation.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Manufacturing and Operations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2002, we entered into an agreement with LG Innotek Co., Ltd, or LG Innotek, a subsidiary of LG Group, located in South Korea, for the outsourced manufacturing of our products. In August 2006, we entered into an agreement with Inventec Appliances Corp., or IAC, pursuant to which IAC manufactures certain products for us in China. Under our manufacturing agreements, LG Innotek and IAC provide us with services including component procurement, product manufacturing, final assembly, testing, quality control, fulfillment and delivery. In addition, in June 2005 we entered into an agreement with Mobiltron (Europe) Limited, or Mobiltron, for certain distribution and fulfillment services related to our business in Europe, Middle East, and Africa, or EMEA.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outsource our manufacturing in an effort to:</w:t>
      </w:r>
    </w:p>
    <w:p>
      <w:pPr>
        <w:spacing w:after="0" w:line="90"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on our core competencies;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best-in-class manufacturing resources.</w:t>
      </w:r>
    </w:p>
    <w:p>
      <w:pPr>
        <w:spacing w:after="0" w:line="171"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believe that additional assembly line efficiencies are realized due to our product architecture and our commitment to process design. Direct materials for our products consist of tooled parts such as printed circuit boards, molded plastic components, metal components and ASICs, as well as industry-standard components such as transistors, integrated circuits, piezo-electric filters, duplexers, inductors, resistors and capacitors. Many of the components used in our products are similar to those used in cellular telephone handsets, helping to reduce our manufacturing costs through the use of standard components.</w:t>
      </w:r>
    </w:p>
    <w:p>
      <w:pPr>
        <w:spacing w:after="0" w:line="9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operations organization manages our relationships with LG Innotek, IAC and Mobiltron as well as key second tier suppliers. The organization focuses on improvements in design-for-manufacturing, test procedures, quality, cost optimization, production scheduling, order management and new product introduction.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wireless broadband access solutions and operations rely on and benefit from our portfolio of intellectual property. We currently own 31 United States patents, two of which are also registered in Canada. In addition, we currently have 23 United States patent applications pending. From time to time we also seek to have our patents registered in selected foreign jurisdictions. The patents that we currently own expire at various times between 2007 and 2023.</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hold a number of trademarks including Merlin, Expedite, MobiLink, Ovation, and Conversa, each with its accompanying designs, as well as the Novatel Wireless name and logo.</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licensed software and other intellectual property for use in our products from third-parties, such as QUALCOMM. In the case of QUALCOMM, these licenses allow us to manufacture CDMA, UMTS, HSDPA and EV-DO-based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intellectual property of ours that is used in our products which incorporate the CDMA technology licensed to us by QUALCOMM. This license allows QUALCOMM to make, use, sell or dispose of such products and the related components.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Backlog</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do not believe that backlog is a meaningful indicator of our future business prospects due to the many variables, some outside our control, which could cause the actual volume of our product shipments to differ from those that comprise the backlog, and our dependency on evolving wireless network standards. Therefore, we do not believe that backlog information is relevant to an understanding of our overall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market for wireless broadband access solutions is rapidly evolving and highly competitive. It is likely to continue to be significantly affected by the evolution of new wireless technology standards, new product introductions and the market activities of industry participants. We believe the principal competitive factors impacting the market for our products are form factor, time-to-market, features and functionality, performance, quality, brand and price. To maintain and improve our competitive position, we must continue to develop new products, expand our customer base, grow our distribution network and leverage our strategic relationships.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International, Sierra Wireless, Kyocera, and Sony-Ericsson; and</w:t>
      </w:r>
    </w:p>
    <w:p>
      <w:pPr>
        <w:spacing w:after="0" w:line="15"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handset and infrastructure manufacturers, such as Motorola, Nokia, Siemens and Sony-Ericsson.</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believe that we have advantages over each of our primary competitors due to the technical and engineering design of our products, the broad range of solutions that we offer, the ease-of-use of our products, our ability to adapt our products to specific customer needs and our competitive pricing. As the market for wireless broadband access solutions expands, other entrants may seek to compete with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 of December 31, 2006, we had 235 employees, including 36 in operations, 44 in sales and marketing, 121 in product development and research, and 34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We maintain an Internet website at </w:t>
      </w:r>
      <w:r>
        <w:rPr>
          <w:rFonts w:ascii="Arial" w:cs="Arial" w:eastAsia="Arial" w:hAnsi="Arial"/>
          <w:sz w:val="16"/>
          <w:szCs w:val="16"/>
          <w:i w:val="1"/>
          <w:iCs w:val="1"/>
          <w:u w:val="single" w:color="auto"/>
          <w:color w:val="auto"/>
        </w:rPr>
        <w:t>www.novatelwireless.com</w:t>
      </w:r>
      <w:r>
        <w:rPr>
          <w:rFonts w:ascii="Arial" w:cs="Arial" w:eastAsia="Arial" w:hAnsi="Arial"/>
          <w:sz w:val="16"/>
          <w:szCs w:val="16"/>
          <w:color w:val="auto"/>
        </w:rPr>
        <w:t>. The content of our website is not part of this report. We make available, free of charge, through our Internet website our annual report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SEC.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Before deciding to purchase, hold or sell our common stock, you should carefully consider the risks described below in addition to the other cautionary statements and risks described elsewhere, and the other information contained in this Report and in our filings with the SEC. The risk and uncertainties described below are those that we currently deem to be material, and do not represent all of the risks that we face. Additional risks and uncertainties not presently known to us or that we currently consider immaterial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financial statements and the related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wireless broadband data access products is highly competitive, and we may be unable to compete effectively.</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resources than we do to the development, promotion, sale, and post- sale support of their respective products.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relationships among existing competitors may emerge and rapidly acquire significant market share to the detriment of our business.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and Sony-Ericsson;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be competitive, we must continue to invest significant resources in, among other things, research and development, sales and marketing, and customer support. We cannot be sure that we will have sufficient resources to make these investments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right="7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780" w:right="20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priced the products to be sold under these contracts based on our estimated development, production and post-production warranty costs. If these or other related development and production costs are actually higher than our estimated costs, our gross margins and operating margins on the corresponding contracts will be less than anticipated.</w:t>
      </w:r>
    </w:p>
    <w:p>
      <w:pPr>
        <w:spacing w:after="0" w:line="59" w:lineRule="exact"/>
        <w:rPr>
          <w:rFonts w:ascii="Arial" w:cs="Arial" w:eastAsia="Arial" w:hAnsi="Arial"/>
          <w:sz w:val="18"/>
          <w:szCs w:val="18"/>
          <w:color w:val="auto"/>
        </w:rPr>
      </w:pPr>
    </w:p>
    <w:p>
      <w:pPr>
        <w:ind w:left="780" w:right="22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may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2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Since we have historically depended, and continue to depend, upon only a small number of our customers for a substantial portion of our revenues, our business could be negatively affected by an adverse change in our dealings with only a few customers.</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revenue comes from a small number of customers. Our top ten customers for the years ended December 31, 2006 and 2005 accounted for approximately 83.3% and 80.3% of our revenue, respectively.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w:t>
      </w:r>
    </w:p>
    <w:p>
      <w:pPr>
        <w:spacing w:after="0" w:line="143" w:lineRule="exact"/>
        <w:rPr>
          <w:sz w:val="20"/>
          <w:szCs w:val="20"/>
          <w:color w:val="auto"/>
        </w:rPr>
      </w:pPr>
    </w:p>
    <w:p>
      <w:pPr>
        <w:jc w:val="both"/>
        <w:ind w:right="440" w:firstLine="456"/>
        <w:spacing w:after="0" w:line="335" w:lineRule="auto"/>
        <w:rPr>
          <w:sz w:val="20"/>
          <w:szCs w:val="20"/>
          <w:color w:val="auto"/>
        </w:rPr>
      </w:pPr>
      <w:r>
        <w:rPr>
          <w:rFonts w:ascii="Arial" w:cs="Arial" w:eastAsia="Arial" w:hAnsi="Arial"/>
          <w:sz w:val="15"/>
          <w:szCs w:val="15"/>
          <w:color w:val="auto"/>
        </w:rPr>
        <w:t>In addition, our current customers typically purchase our products pursuant to overarching contracts that do not require them to purchase any specific minimum quantity of units other than as indicated on individual purchase orders. Such customers have no contractual obligation to continue to purchase our products and if they do not continue to make purchases consistent with their historical purchase levels, our revenue and our share price may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enterprise networks and the Internet. In the past, market demand for both wireless products and wireless access services for the transmission of data developed at a slower rate than we had anticipated and as a result our product sales did not generate sufficient revenue to cover our operating costs. The failure of these markets to continue to grow at the rate that we currently anticipate may adversely impact our rate of growth and the growth in the demand for our products, and as a result, our business, financial condition and results of operations may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which customers consider valuable,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 or if for any other reason the demand for wireless data access fails to grow, sales of our products will decline and our business could be harmed.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4" w:name="page15"/>
    <w:bookmarkEnd w:id="14"/>
    <w:p>
      <w:pPr>
        <w:ind w:right="2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Various risks arise when companies and industries grow quickly. If our business or industry grows too quickly, our ability to meet customer demand in a timely and efficient manner could be challenged. We may also experience development or production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currently outsource our manufacturing to LG Innotek and IAC. If one of these third-party manufacturers were to experience delays, disruptions, capacity constraints or quality control problems in its manufacturing operations, product shipments to our customers could be delayed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which we may submit to them from time to time. Therefore, such a third-party manufacturer could at any time and at its sole election decline to accept new purchase orders from us or otherwise reduce its respective business with us. If such a manufacturer stopped manufacturing our products for any reason or reduced manufacturing capacity, we may be unable to replace the lost manufacturing capacity on a timely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2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might forecast customer demand incorrectly and order the manufacture of excess or insufficient quantities of particular products.</w:t>
      </w:r>
    </w:p>
    <w:p>
      <w:pPr>
        <w:spacing w:after="0" w:line="11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have historically placed purchase orders with our manufacturers at least three months prior to the scheduled delivery of the finished goods to our customer. In some instances, due to the length of component lead times, we might need to place manufacturing orders on the basis of our receipt of a good-faith but non-binding customer forecast of the quantity and timing of the customer’s expected purchases from us. Accordingly, if we inaccurately anticipate customer demand for our products, we might be unable to obtain adequate quantities of components to meet our customers’ delivery requirements or, alternatively, we might accumulate excess inventory.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in accordance with our production schedule and alternative suitable components are not available.</w:t>
      </w:r>
    </w:p>
    <w:p>
      <w:pPr>
        <w:spacing w:after="0" w:line="5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products contain a variety of components, many of which are procured from single suppliers. These components include both tooled parts and industry-standard parts, many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suitable substitute or make sufficient and timely design or other product modifications to permit the use of such a substitute, we may not be able to timely deliver sufficient quantities of our products to satisfy demand. Moreover, if we locate a substitute and its price is prohibitive, our ability to maintain cost-effective production of our products would be seriously harmed.</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Others might claim that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It is possible that other parties may claim that we have violated their respective intellectual property rights. An infringement claim, regardless of the merits or success of the claim, could result in substantial costs, diversion of resources and management attention and harm to our reputation. Infringement claims can be difficult and costly to verify and assess. A successful infringement claim against us could cause us to be liable for damages and litigation costs. In addition, a successful infringement claim could have other negative consequences, including prohibiting us from further use of the intellectual property or causing us to have to license the intellectual property,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license necessary third-party technology or it may be expensive to do so.</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license technology from third parties for the development of our products. We have licensed from third parties, such as QUALCOMM, software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1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our manufacturing activities in Asia, a significant portion of our sales activity takes place in Europe. In addition, a significant portion of our research and development staff is located in Canada. Our international sales accounted for approximately 37% of our revenue for the year ended December 31, 2006 and 58.4% for the year ended December 31, 2005. Although our experience in marketing, selling, distributing and manufacturing our products and services internationally is limited, we expect to further expand our international sales and marketing activities in the future. Consequently, we are subject to certain risks associated with doing business abroad, including:</w:t>
      </w:r>
    </w:p>
    <w:p>
      <w:pPr>
        <w:spacing w:after="0" w:line="62"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 sales logistics and support;</w:t>
      </w:r>
    </w:p>
    <w:p>
      <w:pPr>
        <w:spacing w:after="0" w:line="9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significant amount of our revenues are generated from sales agreements denominated in foreign currencies, particularly the Euro, and we expect to enter into additional such agreements as we expand our international customer base. As a result, we transact some of our business in foreign currencies, which exposes us to changes in foreign currency exchange rates and we currently expect the absolute value of this exposure may increase in the future. We attempt to manage this risk, in part, by minimizing the effects of volatility on cash flows by identifying forecasted transactions exposed to these risks and using foreign exchange forward contracts. There can be no assurance that we will not incur foreign currency losses or that foreign exchange forward contracts we may enter into to reduce the risk of such losses will be successful.</w:t>
      </w:r>
    </w:p>
    <w:p>
      <w:pPr>
        <w:spacing w:after="0" w:line="20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products are technologically complex and must meet stringent user requirements. We must develop our software and hardware products quickly to keep pace with the rapidly changing and technologically advanced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80" w:right="319" w:bottom="1440" w:gutter="0" w:footer="0" w:header="0"/>
        </w:sectPr>
      </w:pPr>
    </w:p>
    <w:bookmarkStart w:id="17" w:name="page18"/>
    <w:bookmarkEnd w:id="17"/>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are some of the factors that may cause fluctuations in our operating results:</w:t>
      </w:r>
    </w:p>
    <w:p>
      <w:pPr>
        <w:spacing w:after="0" w:line="59" w:lineRule="exact"/>
        <w:rPr>
          <w:sz w:val="20"/>
          <w:szCs w:val="20"/>
          <w:color w:val="auto"/>
        </w:rPr>
      </w:pPr>
    </w:p>
    <w:p>
      <w:pPr>
        <w:ind w:left="780" w:right="6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research and development and general and administrative costs are fixed, at least in the short term. If revenue decreases or does not grow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varies from quarter to quarter, our operating results will likely fluctuate.</w:t>
      </w:r>
    </w:p>
    <w:p>
      <w:pPr>
        <w:spacing w:after="0" w:line="50" w:lineRule="exact"/>
        <w:rPr>
          <w:rFonts w:ascii="Arial" w:cs="Arial" w:eastAsia="Arial" w:hAnsi="Arial"/>
          <w:sz w:val="18"/>
          <w:szCs w:val="18"/>
          <w:color w:val="auto"/>
        </w:rPr>
      </w:pPr>
    </w:p>
    <w:p>
      <w:pPr>
        <w:ind w:left="780" w:right="40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contract may take several months, or longer, and is subject to delays or permanent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780" w:right="140" w:hanging="326"/>
        <w:spacing w:after="0" w:line="291"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Foreign currency</w:t>
      </w:r>
      <w:r>
        <w:rPr>
          <w:rFonts w:ascii="Arial" w:cs="Arial" w:eastAsia="Arial" w:hAnsi="Arial"/>
          <w:sz w:val="16"/>
          <w:szCs w:val="16"/>
          <w:color w:val="auto"/>
        </w:rPr>
        <w:t>. We are exposed to market risk from changes in foreign currency exchange rates. As a significant amount of our revenues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in the Euro currency, we use foreign exchange forward contracts to minimize exposure to the risk of loss on changes in foreign currency exchange rates upon the eventual net cash inflows from foreign currency denominated sales with our customers.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Fluctuations in the Euro currency may have a material impact on our future operating results and gross margins.</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8" w:name="page19"/>
    <w:bookmarkEnd w:id="18"/>
    <w:p>
      <w:pPr>
        <w:ind w:right="14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incurred significant operating losses and negative cash flows between the date of our inception and the beginning of 2004 and if our revenue and gross margins decline or we are unable to increase our revenue and gross margins relative to our operating expenses, we may incur significant net losses and negative cash flow from operations.</w:t>
      </w:r>
    </w:p>
    <w:p>
      <w:pPr>
        <w:spacing w:after="0" w:line="5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incurred significant operating losses and net losses in each annual period between the date of our inception until the beginning of 2004. In 2004, we reached profitability for the first time since our inception and recorded net income available to common stockholders of $13.7 million for the year ended December 31, 2004. We incurred net losses applicable to common stockholders of $16.7 million for the fiscal year ending 2003 and $53.5 million for the fiscal year ending 2002. We had positive cash flows from operations of $5.6 million for the year ended December 31, 2004, while we had negative cash flows from operations of $400,000 for the fiscal year ending December 31, 2003 and $28.7 million for the fiscal year ending December 31, 2002. As of December 31, 2006, we had an accumulated deficit of $221.9 million. If we are unable to generate revenue and gross margins to sufficiently offset our increasing expenses, we may not maintain profitability and may incur operating losses, net losses and negative cash flow from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and expand our business if we are not able to hire, retain and manage additional qualified personnel.</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Although we may enter into employment agreements with members of our senior management in the future, currently none of our senior management or other key personnel is bound by an employment agreement. If we are not able to attract or retain qualified personnel in the future, or if we experience delays in hiring required personnel, particularly qualified engineers, we will not be able to maintain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part of our business strategy, we review and intend to continue to review, on an ongoing basis, acquisition opportunities that we believe would be advantageous or complementary to the development of our business. While we have no current agreements or plans with respect to any acquisitions,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3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19" w:name="page20"/>
    <w:bookmarkEnd w:id="19"/>
    <w:p>
      <w:pPr>
        <w:ind w:right="3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66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even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principal executive offices are located in San Diego, California where we lease approximately 45,000 square feet under an arrangement that expires in December 2010. In Calgary, we lease approximately 42,000 square feet for our research and development organization under a lease that expires in September 2007, of which we have subleased 24,000 square feet for the duration of this lease. In Basingstoke, United Kingdom, we lease approximately 4,000 square feet for our European staff under a lease agreement that expires in December 2011. We also lease space in various geographic locations abroad primarily for sales and support personnel or for temporary facilities. We believe that our existing facilities are adequate to meet our current needs and that we can renew our existing leases or obtain alternative space on terms that would not have a material impact on our financial results.</w:t>
      </w:r>
    </w:p>
    <w:p>
      <w:pPr>
        <w:spacing w:after="0" w:line="1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from time to time party to various legal proceedings arising in the ordinary course of business. Based on evaluation of these matters and discussions with our counsel, we believe that liabilities arising from or sums paid in settlement of these matters will not have a material adverse effect on the consolidated results of our operations or financial position.</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our stockholders during the fourth quarter of 2006.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common stock is traded on The Nasdaq Global Market under the symbol “NVTL.” The following table sets forth, for the periods indicated, the high and low closing prices of our common stock as reported on Nasdaq, without retail mark-up, mark-down or commissions and may not necessarily represent actual transactions.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High</w:t>
            </w:r>
          </w:p>
        </w:tc>
        <w:tc>
          <w:tcPr>
            <w:tcW w:w="120" w:type="dxa"/>
            <w:vAlign w:val="bottom"/>
          </w:tcPr>
          <w:p>
            <w:pPr>
              <w:spacing w:after="0"/>
              <w:rPr>
                <w:sz w:val="14"/>
                <w:szCs w:val="14"/>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First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12.96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Third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11.96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349"/>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14.21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15.54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14.48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 2007 the closing price per share of our common stock was $13.33, as reported by Nasdaq.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Shareholders of Record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only one class of common stock. As of March 2, 2007 there were approximately 110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cash dividends were declared or paid in 2005 or 2006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graph compares the cumulative total stockholder return on the Company’s common stock between December 31, 2001 and December 31, 2006 with the cumulative total return of (i) the Nasdaq Stock Market (U.S.) Index (“Nasdaq Index”) and (ii) the Nasdaq Telecommunications Index (the “Nasdaq Telecom Index”), over the same period. This graph assumes the investment of $100.00 on December 31, 2001 in the common stock of the Company, the Nasdaq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78740</wp:posOffset>
            </wp:positionV>
            <wp:extent cx="4759325" cy="3430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5932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Cummulative Total Return</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12/01</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12/02</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12/03</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12/04</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12/05</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12/06</w:t>
            </w:r>
          </w:p>
        </w:tc>
        <w:tc>
          <w:tcPr>
            <w:tcW w:w="20" w:type="dxa"/>
            <w:vAlign w:val="bottom"/>
          </w:tcPr>
          <w:p>
            <w:pPr>
              <w:spacing w:after="0"/>
              <w:rPr>
                <w:sz w:val="12"/>
                <w:szCs w:val="12"/>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Novatel Wireless, Inc.</w:t>
            </w:r>
          </w:p>
        </w:tc>
        <w:tc>
          <w:tcPr>
            <w:tcW w:w="3760" w:type="dxa"/>
            <w:vAlign w:val="bottom"/>
            <w:gridSpan w:val="3"/>
            <w:shd w:val="clear" w:color="auto" w:fill="CCEEFF"/>
          </w:tcPr>
          <w:p>
            <w:pPr>
              <w:ind w:left="3160"/>
              <w:spacing w:after="0"/>
              <w:rPr>
                <w:sz w:val="20"/>
                <w:szCs w:val="20"/>
                <w:color w:val="auto"/>
              </w:rPr>
            </w:pPr>
            <w:r>
              <w:rPr>
                <w:rFonts w:ascii="Arial" w:cs="Arial" w:eastAsia="Arial" w:hAnsi="Arial"/>
                <w:sz w:val="18"/>
                <w:szCs w:val="18"/>
                <w:b w:val="1"/>
                <w:bCs w:val="1"/>
                <w:color w:val="auto"/>
              </w:rPr>
              <w:t>100.00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52.84</w:t>
            </w: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3760" w:type="dxa"/>
            <w:vAlign w:val="bottom"/>
            <w:gridSpan w:val="3"/>
          </w:tcPr>
          <w:p>
            <w:pPr>
              <w:ind w:left="3160"/>
              <w:spacing w:after="0"/>
              <w:rPr>
                <w:sz w:val="20"/>
                <w:szCs w:val="20"/>
                <w:color w:val="auto"/>
              </w:rPr>
            </w:pPr>
            <w:r>
              <w:rPr>
                <w:rFonts w:ascii="Arial" w:cs="Arial" w:eastAsia="Arial" w:hAnsi="Arial"/>
                <w:sz w:val="18"/>
                <w:szCs w:val="18"/>
                <w:b w:val="1"/>
                <w:bCs w:val="1"/>
                <w:color w:val="auto"/>
              </w:rPr>
              <w:t>100.00</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68.85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101.86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112.16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115.32</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127.52</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Telecommunications</w:t>
            </w:r>
          </w:p>
        </w:tc>
        <w:tc>
          <w:tcPr>
            <w:tcW w:w="3760" w:type="dxa"/>
            <w:vAlign w:val="bottom"/>
            <w:gridSpan w:val="3"/>
            <w:shd w:val="clear" w:color="auto" w:fill="CCEEFF"/>
          </w:tcPr>
          <w:p>
            <w:pPr>
              <w:ind w:left="3160"/>
              <w:spacing w:after="0"/>
              <w:rPr>
                <w:sz w:val="20"/>
                <w:szCs w:val="20"/>
                <w:color w:val="auto"/>
              </w:rPr>
            </w:pPr>
            <w:r>
              <w:rPr>
                <w:rFonts w:ascii="Arial" w:cs="Arial" w:eastAsia="Arial" w:hAnsi="Arial"/>
                <w:sz w:val="18"/>
                <w:szCs w:val="18"/>
                <w:b w:val="1"/>
                <w:bCs w:val="1"/>
                <w:color w:val="auto"/>
              </w:rPr>
              <w:t>100.00</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106.16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127.11</w:t>
            </w:r>
          </w:p>
        </w:tc>
        <w:tc>
          <w:tcPr>
            <w:tcW w:w="20" w:type="dxa"/>
            <w:vAlign w:val="bottom"/>
          </w:tcPr>
          <w:p>
            <w:pPr>
              <w:spacing w:after="0"/>
              <w:rPr>
                <w:sz w:val="18"/>
                <w:szCs w:val="18"/>
                <w:color w:val="auto"/>
              </w:rPr>
            </w:pPr>
          </w:p>
        </w:tc>
      </w:tr>
      <w:tr>
        <w:trPr>
          <w:trHeight w:val="363"/>
        </w:trPr>
        <w:tc>
          <w:tcPr>
            <w:tcW w:w="3980" w:type="dxa"/>
            <w:vAlign w:val="bottom"/>
          </w:tcPr>
          <w:p>
            <w:pPr>
              <w:spacing w:after="0"/>
              <w:rPr>
                <w:sz w:val="24"/>
                <w:szCs w:val="24"/>
                <w:color w:val="auto"/>
              </w:rPr>
            </w:pPr>
          </w:p>
        </w:tc>
        <w:tc>
          <w:tcPr>
            <w:tcW w:w="2980" w:type="dxa"/>
            <w:vAlign w:val="bottom"/>
          </w:tcPr>
          <w:p>
            <w:pPr>
              <w:jc w:val="right"/>
              <w:ind w:right="1072"/>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and the related notes and “Management’s Discussion and Analysis of Financial Condition and Results of Operations” appearing elsewhere in this Form 10-K. The selected consolidated statement of operations data presented below for each of the years ended December 31, 2006, 2005, and 2004, and the consolidated balance sheet data at December 31, 2006 and 2005 are derived from our Consolidated Financial Statements that have been included elsewhere in this Form 10-K. The selected consolidated statement of operations data for the years ended December 31, 2003 and 2002 and consolidated balance sheet data at December 31, 2004, 2003, and 2002 are derived from audited consolidated financial statements not included in this Form 10-K.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left="355"/>
              <w:spacing w:after="0"/>
              <w:rPr>
                <w:sz w:val="20"/>
                <w:szCs w:val="20"/>
                <w:color w:val="auto"/>
              </w:rPr>
            </w:pPr>
            <w:r>
              <w:rPr>
                <w:rFonts w:ascii="Arial" w:cs="Arial" w:eastAsia="Arial" w:hAnsi="Arial"/>
                <w:sz w:val="14"/>
                <w:szCs w:val="14"/>
                <w:b w:val="1"/>
                <w:bCs w:val="1"/>
                <w:color w:val="auto"/>
                <w:w w:val="86"/>
              </w:rPr>
              <w:t>Year Ended December 31,</w:t>
            </w: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gridSpan w:val="8"/>
          </w:tcPr>
          <w:p>
            <w:pPr>
              <w:jc w:val="center"/>
              <w:ind w:right="540"/>
              <w:spacing w:after="0" w:line="142" w:lineRule="exact"/>
              <w:rPr>
                <w:sz w:val="20"/>
                <w:szCs w:val="20"/>
                <w:color w:val="auto"/>
              </w:rPr>
            </w:pPr>
            <w:r>
              <w:rPr>
                <w:rFonts w:ascii="Arial" w:cs="Arial" w:eastAsia="Arial" w:hAnsi="Arial"/>
                <w:sz w:val="14"/>
                <w:szCs w:val="14"/>
                <w:b w:val="1"/>
                <w:bCs w:val="1"/>
                <w:color w:val="auto"/>
                <w:w w:val="85"/>
              </w:rPr>
              <w:t>(in thousands, except per share 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217,972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161,736</w:t>
            </w:r>
          </w:p>
        </w:tc>
        <w:tc>
          <w:tcPr>
            <w:tcW w:w="1360" w:type="dxa"/>
            <w:vAlign w:val="bottom"/>
            <w:gridSpan w:val="4"/>
          </w:tcPr>
          <w:p>
            <w:pPr>
              <w:jc w:val="right"/>
              <w:ind w:right="320"/>
              <w:spacing w:after="0"/>
              <w:rPr>
                <w:sz w:val="20"/>
                <w:szCs w:val="20"/>
                <w:color w:val="auto"/>
              </w:rPr>
            </w:pPr>
            <w:r>
              <w:rPr>
                <w:rFonts w:ascii="Arial" w:cs="Arial" w:eastAsia="Arial" w:hAnsi="Arial"/>
                <w:sz w:val="18"/>
                <w:szCs w:val="18"/>
                <w:color w:val="auto"/>
              </w:rPr>
              <w:t>$ 103,727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33,815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162,749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115,568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69,780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27,257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55,223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46,168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33,947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5,873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31,317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20,515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10,625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14,168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16,306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impairment charges</w:t>
            </w:r>
          </w:p>
        </w:tc>
        <w:tc>
          <w:tcPr>
            <w:tcW w:w="1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61,791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35,654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20,502</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13,707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29,616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14,168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(11,638)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(2,706)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after 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(11,638)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11,116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13,674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(16,717)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(53,481)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29,580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23,969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28,863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2004</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jc w:val="center"/>
              <w:ind w:left="178"/>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and cash equivalents and marketable securities</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84,162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90,339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81,221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4,577</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(deficiency)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107,985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62,828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191,645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176,064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116,323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24,421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net of current portion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Convertible and redeemable preferred stock</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134,236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100,178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3" w:name="page24"/>
    <w:bookmarkEnd w:id="23"/>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publicly update this information, whether as a result of new information, future events or otherwise, except to the extent we are required to do so in connection with our obligation to file reports with the SEC.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a provider of wireless broadband access solutions for the worldwide mobile communications market. Our broad range of products includes 3G wireless PC card and ExpressCard modems, embedded modems, communications software and FMC solutions for wireless network operators, infrastructure providers, distributors,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agreements with LG Innotek and IAC for the outsourced manufacturing of our products. Under our manufacturing agreements, LG Innotek and IAC provide us with services including component procurement, product manufacturing, final assembly, testing, quality control, fulfillment and delivery services. In addition, we have an agreement with Mobiltron for certain distribution and fulfillment services related to our business in Europe,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340" w:firstLine="456"/>
        <w:spacing w:after="0" w:line="25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w:t>
      </w: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our new products that address these markets; and our ability to meet customer demand. Factors that could potentially affect customer demand for our products include the following:</w:t>
      </w:r>
    </w:p>
    <w:p>
      <w:pPr>
        <w:spacing w:after="0" w:line="5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in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drop in demand for EV-DO, UMTS and HSDPA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began shipping our first 3G products in December 2003. We have shipped 14 new 3G products since then and anticipate introducing additional</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3G products during 2007. We continue to develop and maintain strategic relationships with wireless and computing industry leaders like Alcatel, Siemens, Dell, QUALCOMM,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fulfillment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write downs for excess and obsolete inventory. Inventory adjustments are impacted primarily by demand for our products, which is influenced by the factors discussed above. During 2006, 2005 and 2004, we recorded inventory write downs of $2.9 million, $2.9 million and $100,000, respectively, primarily due to the decrease in demand for the affected products. We expect to continue to outsource our manufacturing operations, and as our business grows we expect our manufacturing activity to increase.</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Many of our products target wireless operators and other customers in Europe, North America and Asia. If these markets continue</w:t>
      </w:r>
      <w:r>
        <w:rPr>
          <w:rFonts w:ascii="Arial" w:cs="Arial" w:eastAsia="Arial" w:hAnsi="Arial"/>
          <w:sz w:val="16"/>
          <w:szCs w:val="16"/>
          <w:i w:val="1"/>
          <w:iCs w:val="1"/>
          <w:color w:val="auto"/>
        </w:rPr>
        <w:t xml:space="preserve"> </w:t>
      </w:r>
      <w:r>
        <w:rPr>
          <w:rFonts w:ascii="Arial" w:cs="Arial" w:eastAsia="Arial" w:hAnsi="Arial"/>
          <w:sz w:val="16"/>
          <w:szCs w:val="16"/>
          <w:color w:val="auto"/>
        </w:rPr>
        <w:t>to 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contracts. The accounting for stock options began in the first quarter of 2006 and required us to use the fair value method to account for all stock-based compensation pursuant to Statement of Financial Accounting Standard, or SFAS, No. 123(R), which significantly increased our operating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w:t>
      </w:r>
      <w:r>
        <w:rPr>
          <w:rFonts w:ascii="Arial" w:cs="Arial" w:eastAsia="Arial" w:hAnsi="Arial"/>
          <w:sz w:val="16"/>
          <w:szCs w:val="16"/>
          <w:b w:val="1"/>
          <w:bCs w:val="1"/>
          <w:color w:val="auto"/>
        </w:rPr>
        <w:t>s</w:t>
      </w:r>
      <w:r>
        <w:rPr>
          <w:rFonts w:ascii="Arial" w:cs="Arial" w:eastAsia="Arial" w:hAnsi="Arial"/>
          <w:sz w:val="16"/>
          <w:szCs w:val="16"/>
          <w:color w:val="auto"/>
        </w:rPr>
        <w:t>ignificant estimates include revenue recognition, allowance for doubtful accounts receivable, provision for excess and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5" w:name="page26"/>
    <w:bookmarkEnd w:id="25"/>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obsolete inventory, useful lives, valuation of intangible and long-lived assets, provision for warranty costs, royalty accruals, deferred tax asset valuation allowance, foreign exchange forward contracts, and share-based compensation expense.</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 customers and distributors, and, to a lesser</w:t>
      </w:r>
      <w:r>
        <w:rPr>
          <w:rFonts w:ascii="Arial" w:cs="Arial" w:eastAsia="Arial" w:hAnsi="Arial"/>
          <w:sz w:val="16"/>
          <w:szCs w:val="16"/>
          <w:i w:val="1"/>
          <w:iCs w:val="1"/>
          <w:color w:val="auto"/>
        </w:rPr>
        <w:t xml:space="preserve"> </w:t>
      </w:r>
      <w:r>
        <w:rPr>
          <w:rFonts w:ascii="Arial" w:cs="Arial" w:eastAsia="Arial" w:hAnsi="Arial"/>
          <w:sz w:val="16"/>
          <w:szCs w:val="16"/>
          <w:color w:val="auto"/>
        </w:rPr>
        <w:t>extent, from development services contracts. Revenue from product sales is recognized upon the latest of transfer of title or shipment of the product to the customer. For product sales with acceptance provisions, revenue is recognized at such time that the acceptance provisions are satisfied.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generally accepted accounting principles to selected revenue recognition issues.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2003, we amended a joint development agreement containing multiple elements with one of our customers including development services and product shipments. Accordingly, we separated the deliverables into units of accounting and allocated arrangement consideration to these deliverables in accordance with the provisions of Emerging Issues Task Force, or EITF, Issue No. 00-21, “Accounting for Revenue Arrangements with Multiple Deliverables.” In accordance with EITF Issue No. 00-21, $6.2 million in cash payments received in 2003 was deferred and was recognized as revenue when products were shipped or as development services were performed. During 2004, we recognized approximately $5.7 million of this deferred revenue and the remaining $531,000 was recognized during the first quarter of 2005. We do not expect development services revenue to represent a significant percentage of total revenue in the foreseeable future.</w:t>
      </w:r>
    </w:p>
    <w:p>
      <w:pPr>
        <w:spacing w:after="0" w:line="14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6" w:name="page27"/>
    <w:bookmarkEnd w:id="26"/>
    <w:p>
      <w:pPr>
        <w:ind w:right="34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We accrue warranty costs based on estimates of future warranty related replacement, repairs or rework of products. Our warranty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provides one to three years of coverage for products following the date of purchase. Our policy is to accrue the estimated cost of warranty coverage as a component of cost of revenue in the accompanying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We have not experienced significant variances in the past between our estimated and actual warranty costs. Depending on the quality of our product design and manufacturing, actual product failure rates or actual warranty costs could be materially different than our estimates, which could harm our financial condition and results of operations.</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Royalty Costs. </w:t>
      </w:r>
      <w:r>
        <w:rPr>
          <w:rFonts w:ascii="Arial" w:cs="Arial" w:eastAsia="Arial" w:hAnsi="Arial"/>
          <w:sz w:val="16"/>
          <w:szCs w:val="16"/>
          <w:color w:val="auto"/>
        </w:rPr>
        <w:t>We have intellectual property license agreements which generally require us to make royalty payments based on a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when additional market data becomes available, we will revise our estimates if necessary.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7" w:name="page28"/>
    <w:bookmarkEnd w:id="27"/>
    <w:p>
      <w:pPr>
        <w:ind w:right="40"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r>
        <w:rPr>
          <w:rFonts w:ascii="Arial" w:cs="Arial" w:eastAsia="Arial" w:hAnsi="Arial"/>
          <w:sz w:val="16"/>
          <w:szCs w:val="16"/>
          <w:color w:val="auto"/>
        </w:rPr>
        <w:t>. We recognize federal, state and foreign current tax liabilities or assets based on our estimate of taxes payable to or refundable by tax</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 During 2006 and 2005, we recorded a non-cash deferred income tax benefit of $2.8 million and $2.4 million, respectively, for the reversal of the valuation allowance on certain deferred tax assets. See further discussion in Note 7 to our consolidated financial statements. We will continue to evaluate the necessity of the valuation allowance based on the remaining deferred tax assets.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Foreign Exchange Forward Contracts. </w:t>
      </w:r>
      <w:r>
        <w:rPr>
          <w:rFonts w:ascii="Arial" w:cs="Arial" w:eastAsia="Arial" w:hAnsi="Arial"/>
          <w:sz w:val="16"/>
          <w:szCs w:val="16"/>
          <w:color w:val="auto"/>
        </w:rPr>
        <w:t>We use foreign exchange forward contracts to hedge the economic exposure associated with accounts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denominated in Euros. Our forward contracts do not qualify as accounting hedges. We mark-to-market the forward contracts and include unrealized gains and losses in the current period as a component of other income (expense). During 2006, 2005 and 2004, we recorded unrealized losses of approximately $1.4 million, $1.8 million and $132,000, respectively, on our forward contracts. These unrealized losses were offset by foreign currency gains of approximately $2.8 million, losses of approximately $2.1 million, and losses of approximately $65,000, respectively, recorded in other income and expense. As of December 31, 2006, the total amount of outstanding forward contracts amounted to 12 million Euros.</w:t>
      </w:r>
    </w:p>
    <w:p>
      <w:pPr>
        <w:spacing w:after="0" w:line="12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i w:val="1"/>
          <w:iCs w:val="1"/>
          <w:color w:val="auto"/>
        </w:rPr>
        <w:t xml:space="preserve">Share-based Compensation. </w:t>
      </w:r>
      <w:r>
        <w:rPr>
          <w:rFonts w:ascii="Arial" w:cs="Arial" w:eastAsia="Arial" w:hAnsi="Arial"/>
          <w:sz w:val="15"/>
          <w:szCs w:val="15"/>
          <w:color w:val="auto"/>
        </w:rPr>
        <w:t>We grant stock options and restricted stock to our employees and non-employee directors under our current stock plan. The</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w:t>
      </w:r>
    </w:p>
    <w:p>
      <w:pPr>
        <w:spacing w:after="0" w:line="1" w:lineRule="exact"/>
        <w:rPr>
          <w:sz w:val="20"/>
          <w:szCs w:val="20"/>
          <w:color w:val="auto"/>
        </w:rPr>
      </w:pPr>
    </w:p>
    <w:p>
      <w:pPr>
        <w:ind w:firstLine="8"/>
        <w:spacing w:after="0" w:line="287"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equity instruments of the enterprise or (b) liabilities that are based on the fair value of the enterprise’s equity instruments or that may be settled by the issuance of such equity instruments. As a result of this new accounting requirement, our consolidated financial statements for the year ended December 31, 2006 include compensation expense as calculated per the provisions of SFAS No. 123(R). In adopting SFAS No. 123(R), we elected to use the modified prospective transition method, thus our consolidated financial statements for periods prior to January 1, 2006 do not include any impact of SFAS No. 123(R). We also elected to attribute the value of share-based compensation to expense using the straight-line method for awards granted after December 31, 2005 upon our adoption of SFAS No. 123(R). Share-based compensation expense for awards outstanding as of December 31, 2005 are being recognized over the remaining service period using the compensation expense calculated according to the pro forma disclosure provisions under SFAS No. 123, which uses the straight-line expense recognition method for those awards with a graded vesting schedule. Share-based compensation expense related to stock options, our ESPP and restricted stock was $10.0 million for the year ended December 31, 2006.</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adoption of SFAS No. 123(R) on January 1, 2006, we elected to value our share-based payment option awards using the Black-Scholes option pricing model as we had under the pro forma provisions of SFAS No. 123.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average of the vesting date, the contractual term and historical experience.</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ind w:right="6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 In our pro forma information required under SFAS No. 123 for periods prior to January 1, 2006, we accounted for forfeitures as they occurred.</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 In addition, as the guidance by regulators for SFAS No. 123(R) is relatively new, the application of these principles may be subject to further interpretation and refinement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Instruments.”</w:t>
      </w:r>
      <w:r>
        <w:rPr>
          <w:rFonts w:ascii="Arial" w:cs="Arial" w:eastAsia="Arial" w:hAnsi="Arial"/>
          <w:sz w:val="16"/>
          <w:szCs w:val="16"/>
          <w:color w:val="auto"/>
        </w:rPr>
        <w:t xml:space="preserve"> SFAS No. 155 amends SFAS No. 133, Accounting for Derivative Instruments and Hedging and SFAS No. 140, Accounting for Transfers and Servicing of Financial Assets and Extinguishments of Liabilities. SFAS No. 155 allows financial instruments that have embedded derivatives to be accounted for as a whole, eliminating the need to bifurcate the derivative from its host, if the holder elects to account for the whole instrument on a fair value basis. In addition, among other changes, SFAS No. 155 (i) clarifies which interest-only strips and principal-only strips are not subject to the requirements of SFAS No. 133; (ii) establishes a requirement to evaluate interests in securitized financial assets to identify interests that are freestanding derivatives or that are hybrid financial instruments that contain an embedded derivative requiring bifurcation;</w:t>
      </w:r>
    </w:p>
    <w:p>
      <w:pPr>
        <w:spacing w:after="0" w:line="1" w:lineRule="exact"/>
        <w:rPr>
          <w:sz w:val="20"/>
          <w:szCs w:val="20"/>
          <w:color w:val="auto"/>
        </w:rPr>
      </w:pPr>
    </w:p>
    <w:p>
      <w:pPr>
        <w:ind w:right="20" w:firstLine="8"/>
        <w:spacing w:after="0" w:line="254"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clarifies that concentrations of credit risk in the form of subordination are not embedded derivatives; and (iv) eliminates the prohibition on a qualifying special-purpose entity (“QSPE”) from holding a derivative financial instrument that pertains to a beneficial interest other than another derivative financial interest. SFAS No. 155 will be applied prospectively and is effective for all financial instruments acquired or issued for fiscal years beginning after September 15, 2006. SFAS No. 155 is not expected to have a material impact on our consolidated financial statements.</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July 2006, the FASB issued FASB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or FIN 48, which is effective for fiscal years beginning after December 15, 2006. FIN 48 clarifies the accounting for uncertainties in income taxes recognized in accordance with SFAS No. 109, “Accounting for Income Taxes” by prescribing guidance for the recognition, derecognition and measurement in financial statements of income tax positions taken in previously filed tax returns or tax positions expected to be taken in tax returns, including a decision whether to file or not to file in a particular jurisdiction. FIN 48 requires that any liability created for unrecognized tax benefits be disclosed. The application of FIN 48 may also affect the tax bases of assets and liabilities and therefore may change or create deferred tax liabilities or assets. The Company will be required to adopt FIN 48 as of January 1, 2007. If there are changes in the net assets of the Company as a result of the application of FIN 48, the cumulative effects, if any, will be recorded as an adjustment to retained earnings. We are currently evaluating the impact of adoption of FIN 48 and have not yet determined the effect on our earnings or financial position.</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September 2006, the FASB issued SFAS No. 157, “Fair Value Measurements”, which is effective for fiscal years beginning after November 15, 2007. SFAS No.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No. 157 does not require any new fair value measurements.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for some entities, the application of this Statement will change current practice. This Statement is effective for us on January 1, 2008. We are currently evaluating the impact of adoption of SFAS No. 157 and have not yet determined the effect on our earnings or financial position.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statements of operations expressed as a percentage of revenue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revenue)</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(as a percent of</w:t>
            </w: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8"/>
              </w:rPr>
              <w:t>100.0%</w:t>
            </w: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5"/>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58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5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58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1"/>
        </w:trPr>
        <w:tc>
          <w:tcPr>
            <w:tcW w:w="8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58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rPr>
              <w:t>(0.1)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(1.2)</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income after income taxes</w:t>
            </w:r>
          </w:p>
        </w:tc>
        <w:tc>
          <w:tcPr>
            <w:tcW w:w="9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2006 Compared to Year Ended December 31, 2005</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2006 increased $56.3 million, or 34.8%, to $218.0 million compared to $161.7 million for 2005.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increase in revenue was primarily attributable to an increase in demand for our EV-DO products, which includes our EV-DO ExpressCard and EV-DO Fixed Mobile Convergence products that were introduced in the second half of 2006. The increase in EV-DO product sales for the year ended December 31, 2006 compared to 2005 was approximately $80.8 million. Our UMTS / HSDPA product sales decreased by approximately $24.0 million during 2006 compared to 2005. The decrease in sales of our UMTS / HSDPA products was the result of a technology transition from UMTS to HSDPA during 2006. The overall decrease in UMTS / HSDPA revenue was partially offset by strong sales of our HSDPA ExpressCards and HSDPA Embedded Modules which were introduced during the second half of 2006. Overall, EV-DO revenue, which consists primarily of North American products, represented approximately 66% of revenue in 2006 compared to 40% in 2005 while UMTS / HSDPA products represented approximately 34% of revenue in 2006 compared to 60% in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revenue recognized from development services during the year ended December 31, 2006 compared to approximately $500,000 for 2005.</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Cost of revenue for the year ended December 31, 2006 increased $47.2 million, or 40.8%, to $162.7 million compared to $115.6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2005. The increase in cost of revenue was primarily related to an increase of product cost of $31.2 million due to the increase in product sales and additional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associated with new products introduced, as discussed above. In addition, freight and distribution costs increased by approximately $6.2 million due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additional volume of products shipped in 2006 compared to 2005. The remaining increase in costs of revenue primarily consists of an increase in royalty costs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licenses of $6.7 million, a $2.4 million increase in warranty costs, and an increase in manufacturing overhead costs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$700,000 during 2006 compared to 2005. In addition, cost of revenue was negatively impacted by approximately $500,000 of share-based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recorded during the year ended December 31, 2006 related to the adoption of SFAS No. 123R.</w:t>
      </w:r>
    </w:p>
    <w:p>
      <w:pPr>
        <w:spacing w:after="0" w:line="165" w:lineRule="exact"/>
        <w:rPr>
          <w:sz w:val="20"/>
          <w:szCs w:val="20"/>
          <w:color w:val="auto"/>
        </w:rPr>
      </w:pPr>
    </w:p>
    <w:p>
      <w:pPr>
        <w:ind w:left="460"/>
        <w:spacing w:after="0"/>
        <w:tabs>
          <w:tab w:leader="none" w:pos="1660" w:val="left"/>
        </w:tabs>
        <w:rPr>
          <w:sz w:val="20"/>
          <w:szCs w:val="20"/>
          <w:color w:val="auto"/>
        </w:rPr>
      </w:pPr>
      <w:r>
        <w:rPr>
          <w:rFonts w:ascii="Arial" w:cs="Arial" w:eastAsia="Arial" w:hAnsi="Arial"/>
          <w:sz w:val="18"/>
          <w:szCs w:val="18"/>
          <w:b w:val="1"/>
          <w:bCs w:val="1"/>
          <w:i w:val="1"/>
          <w:iCs w:val="1"/>
          <w:color w:val="auto"/>
        </w:rPr>
        <w:t>Gross margin.</w:t>
      </w:r>
      <w:r>
        <w:rPr>
          <w:sz w:val="20"/>
          <w:szCs w:val="20"/>
          <w:color w:val="auto"/>
        </w:rPr>
        <w:tab/>
      </w:r>
      <w:r>
        <w:rPr>
          <w:rFonts w:ascii="Arial" w:cs="Arial" w:eastAsia="Arial" w:hAnsi="Arial"/>
          <w:sz w:val="16"/>
          <w:szCs w:val="16"/>
          <w:color w:val="auto"/>
        </w:rPr>
        <w:t>Gross margin for the year ended December 31, 2006 increased by $9.0 million, or 19.5%, to $55.2 million compared to $46.2 million for</w:t>
      </w:r>
    </w:p>
    <w:p>
      <w:pPr>
        <w:spacing w:after="0" w:line="1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2005. The increase was primarily attributable to the increase in revenue as discussed above. Gross margin as a percent of revenue decreased to 25.3% for the year ended December 31, 2006 compared to 28.5% for 2005. The decrease in gross margin as a percentage of revenue was attributable to additional costs incurred for new products introduced during the year, recognition of SFAS No. 123R share-based compensation expense, and sales of products with lower margins in 2006 as compared to 2005.</w:t>
      </w:r>
    </w:p>
    <w:p>
      <w:pPr>
        <w:spacing w:after="0" w:line="14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for the year ended December 31, 2006 increased $10.8 million, or 52.7%,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$31.3 million compared to $20.5 million for 2005. The increase was primarily attributable to an increase of $7.7 million in salary and related expenses, which includes $2.3 million of share-based compensation in connection with the adoption of SFAS No. 123R. Other increases consist of depreciation expenses of approximately $1.5 million due to capital equipment purchases, increase in outside consulting services of approximately $1.0 million, and an increase of approximately $400,000 in facility expenses as compared to 2005. In addition, there were no costs recovered from customer funded development contracts compared to approximately $200,000 recovered in 2005.</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2006 increased $6.6 million, or 86.1%, to $14.2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$7.6 million for 2005. The increase was primarily attributable to an increase in sales and marketing efforts which included hiring new personnel during 2006 primarily to expand our European sales team resulting in increased salary and related expenses of $4.3 million, which includes $2.0 million of share-based compensation expense related to the adoption of SFAS No. 123R. In addition, product marketing and advertising expenses increased $1.6 million, leasehold expenses increased $400,000, and travel and related expenditures increased $300,000 in 2006 compared to 2005.</w:t>
      </w:r>
    </w:p>
    <w:p>
      <w:pPr>
        <w:spacing w:after="0" w:line="116" w:lineRule="exact"/>
        <w:rPr>
          <w:sz w:val="20"/>
          <w:szCs w:val="20"/>
          <w:color w:val="auto"/>
        </w:rPr>
      </w:pPr>
    </w:p>
    <w:p>
      <w:pPr>
        <w:ind w:left="460"/>
        <w:spacing w:after="0"/>
        <w:tabs>
          <w:tab w:leader="none" w:pos="3340" w:val="left"/>
        </w:tabs>
        <w:rPr>
          <w:sz w:val="20"/>
          <w:szCs w:val="20"/>
          <w:color w:val="auto"/>
        </w:rPr>
      </w:pPr>
      <w:r>
        <w:rPr>
          <w:rFonts w:ascii="Arial" w:cs="Arial" w:eastAsia="Arial" w:hAnsi="Arial"/>
          <w:sz w:val="18"/>
          <w:szCs w:val="18"/>
          <w:b w:val="1"/>
          <w:bCs w:val="1"/>
          <w:i w:val="1"/>
          <w:iCs w:val="1"/>
          <w:color w:val="auto"/>
        </w:rPr>
        <w:t>General and administrative expenses.</w:t>
      </w:r>
      <w:r>
        <w:rPr>
          <w:sz w:val="20"/>
          <w:szCs w:val="20"/>
          <w:color w:val="auto"/>
        </w:rPr>
        <w:tab/>
      </w:r>
      <w:r>
        <w:rPr>
          <w:rFonts w:ascii="Arial" w:cs="Arial" w:eastAsia="Arial" w:hAnsi="Arial"/>
          <w:sz w:val="15"/>
          <w:szCs w:val="15"/>
          <w:color w:val="auto"/>
        </w:rPr>
        <w:t>General and administrative expenses for the year ended December 31, 2006 increased $8.8 million, or 117.3%,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$16.3 million compared to $7.5 million for the same period in 2005. The increase was primarily attributable to an increase in salary and related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million, which includes $5.3 million of share-based compensation expense related to the adoption of SFAS No. 123R.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also include an increase in professional service and legal fees of approximately $800,000, an increase in depreciation and amortization expenses of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$800,000, and an increase in bad debts expense of approximately $700,000 during 2006 as compared to 2005.</w:t>
      </w:r>
    </w:p>
    <w:p>
      <w:pPr>
        <w:spacing w:after="0" w:line="16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for the year ended December 31, 2006 increased by approximately $2.3 million, or 114%, to $4.3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compared to $2.0 million for the same period in 2005. This increase was primarily due to the increase in our foreign exchange gains on our Euro denominated receivable and cash balances.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Provision for 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an income tax benefit of approximately $2.7 million for the year ended December 31, 2006. The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and related deferred tax asset recorded during 2006 was primarily due to a revision of our valuation allowance on specific Canadian and U.S. deferred tax assets of approximately $2.8 million. During 2006, management evaluated the deferred tax valuation allowance and determined that the valuation allowance on a portion of the Canadian and U.S. deferred tax assets should be revised and as a result, the Company recorded a non-cash deferred income tax benefit to the statements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ind w:right="1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operations of $2.8 million for the year ended December 31, 2006. This determination was based on 2004, 2005 and 2006 operating results and in anticipation of using net operating losses due to current projections of future taxable income. The effective tax rate for the year ended December 31, 2006 was approximately negative 3%, excluding the valuation allowance revision. The difference between the federal and state statutory combined rate of 40% and our effective tax rate for 2006 is primarily due to the impact of accounting for share-based compensation, for which certain share-based awards are treated as permanent differences.</w:t>
      </w:r>
    </w:p>
    <w:p>
      <w:pPr>
        <w:spacing w:after="0" w:line="9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2005, income tax expense was approximately $1.4 million, which consists of federal and state taxes at our estimated effective tax rate of 31% offset by a revision of our valuation allowance on specific U.S. deferred tax assets of approximately $2.4 million. The difference between the federal and state statutory rate of approximately 40% and our effective tax rate is due primarily to research and development credits generated in 2005 and a low effective state tax rate.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SFAS No. 123(R), we recognize a tax benefit upon expensing certain share-based awards associated with our share-based compensation plans, including nonqualified stock options and restricted stock,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During 2006, we recorded a tax benefit of approximately $2.6 million associated with total share-based compensation. The impact of share-based compensation permanent items resulted in an increase of 44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2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For the year ended December 31, 2006, the Company reported net income available to common stockholders of approximately $400,000,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includes non-cash share-based compensation expense of approximately $7.4 million after tax, as compared to net income of $11.1 million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2005 Compared to Year Ended December 31, 2004</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year ended December 31, 2005 increased $58.0 million, or 55.9%, to $161.7 million compared to $103.7 million in 2004.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overall increase in revenue is primarily attributable to an increase in product sales of approximately $61.5 million primarily due to strong demand for our UMTS U630 and EV-DO PC cards, which were both introduced during the fourth quarter of 2004. The overall increase in CDMA / EV-DO product sales in 2005 was approximately $45.5 million. Our UMTS / HSDPA product sales, which include the Fixed Mobile Convergence products that were introduced during the first quarter of 2005, increased by approximately $16.0 million in 2005 compared to 2004. The increase in revenue was also attributable to the overall increase in demand for our wireless products and wireless access services, which is the direct result of the continued deployment of 3G networks throughout Europe, North America, Asia and Africa. Revenue recognized for development services decreased by $3.5 million, or 87.5%, to $500,000 during 2005 as compared to $4.0 million in 2004. We do not expect development services revenue to represent a significant percentage of total revenue in the foreseeable future.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year ended December 31, 2005 increased by $45.8 million, or 65.6%, to $115.6 million compared to $69.8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2004. The increase in cost of revenues was primarily related to an increase in product cost of $39.2 million due to the increase in revenues as discussed above. In addition, freight and distribution costs increased by approximately $3.7 million due to additional costs associated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2" w:name="page33"/>
    <w:bookmarkEnd w:id="3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our European product sales. The remaining increases in costs of sales consisted of an increase of approximately $2.8 million related to the write-off of certain legacy products in inventory and an increase in royalty costs of approximately $2.7 million. The cost of revenues was favorably impacted by a decrease in development service costs from $2.9 million in 2004 to $200,000 in 2005.</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year ended December 31, 2005 increased by $12.2 million, or 36%, to $46.2 million compared to $33.9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The increase was primarily attributable to the increase in sales volume of our products. Gross margin as a percentage of revenue decreased to 28.5% for the year ended December 31, 2005 compared to 32.7% for 2004. The decrease in gross margin as a percentage of revenue was primarily attributable to the negative impact of competitive pricing pressures on our sales prices in Europe, write-offs of inventory as discussed above, and the additional freight and distribution costs associated with our move towards a direct distribution model in Europe in 2005.</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Our research and development expenses for the year ended December 31, 2005 increased $9.9 million, or 93.1%,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$20.5 million compared to $10.6 million for the same period in 2004. Research and development expenses increased as a result of additional staff and products developed in 2005 compared to 2004. This increase was primarily attributable to an increase of approximately $2.8 million in salary and related expenses due to additional headcount, an increase in outside consulting services and travel costs of approximately $1.7 million, an increase of $1.6 million in research supplies and expendable equipment due to increased product development activities in 2005 as compared to 2004, an increase in facility and depreciation expenses of approximately $1.0 million due to facility expansions and capital equipment purchases. In addition, costs recovered from customer funded development contracts decreased by $2.7 million, to $200,000, compared to $2.9 million for 2004.</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 ended December 31, 2005 increased $2.9 million, or 60.6%, to $7.6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$4.7 million for the same period in 2004. The increase was primarily a result of an increase in sales and marketing efforts, which included hiring new personnel during 2005 to expand our European sales team, which increased salary and related expenses by approximately $1.6 million, an increase in marketing expenses of approximately $500,000, an increase in rent and utilities expense of $400,000 due primarily to facility expansions and an increase in travel costs of approximately $300,000 compared to 2004.</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2005 increased approximately $2.4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46.5%, to $7.5 million compared to $5.1 million for the same period in 2004. The increase was primarily attributable to an increase in professional fees of approximately $1.4 million due largely to costs associated with complying with the requirements of Sarbanes-Oxley as well as tax accounting fees associated with consulting services related to evaluating our ability to utilize our net operating losses, and an increase in salary and related expenses of approximately $1.0 million due to additional headcount during 2005 as compared to 2004.</w:t>
      </w:r>
    </w:p>
    <w:p>
      <w:pPr>
        <w:spacing w:after="0" w:line="1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and expense. </w:t>
      </w:r>
      <w:r>
        <w:rPr>
          <w:rFonts w:ascii="Arial" w:cs="Arial" w:eastAsia="Arial" w:hAnsi="Arial"/>
          <w:sz w:val="16"/>
          <w:szCs w:val="16"/>
          <w:color w:val="auto"/>
        </w:rPr>
        <w:t>Interest income and expense increased by approximately $1.3 million for the year ended December 31, 2005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2004 primarily due to the increase in our average cash and marketable securities balances in 2005, as well as an increase in the average yields realized on our marketable securities and cash balances, which resulted in higher income yielded as compared to 2004.</w:t>
      </w:r>
    </w:p>
    <w:p>
      <w:pPr>
        <w:spacing w:after="0" w:line="10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approximately $1.4 million for 2005, which consists of federal and state taxes at our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tax rate of 31% offset by a revision of our valuation allowance on specific U.S. deferred tax assets of approximately $2.4 million. During 2005, management evaluated the deferred tax valuation allowance and determined that the valuation allowance on a portion of the U.S. deferred tax assets should be revised and as a result, the Company recorded a non-cash deferred income tax benefit to the Statements of Operations of $2.4 million for the year ended December 31, 2005. This determination was based on 2004 and 2005 operating results and in anticipation of using net operating losses due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3" w:name="page34"/>
    <w:bookmarkEnd w:id="33"/>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current projections of future taxable income. In addition, we recorded a credit of $8.2 million to Stockholders’ Equity relating to the reduction of the valuation allowance on net operating loss carryforwards from stock option deductions.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difference between the federal and state statutory rate of approximately 40% and our effective tax rate is due primarily to research and development credits generated in 2005 and a low effective state tax rate.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year ended December 31, 2005, the Company reported net income available to common stockholders of $11.1 million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$13.7 million for the same period in 2004.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As of December 31, 2006, we had working capital of $108.0 million and $84.2 million in cash and cash equivalents and short-term and long-term marketable securities, which is a decrease of $6.1 million from $90.3 million at December 31,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31, 2006, and 2005, we recorded net income available to common stockholders of $443,000 and $11.1 million,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2006, we had an accumulated deficit of $221.9 million compared to an accumulated deficit of $222.3 million at December 31, 2005.</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29, 2005, we entered into a two-year $25.0 million secured revolving credit facility (“the Credit Agreement”). The Credit Agreement was entered into with Bank of America, N.A., as Administrative Agent, who was granted a first priority blanket lien on substantially all of our assets in order to secure repayment of outstanding indebtedness under the Credit Agreement. At the Company’s option, borrowings under the Credit Agreement will bear interest at either London Interbank Offering Rate (LIBOR) plus 100-150 basis points depending on the level of borrowing under the Credit Agreement, or at the prime rate plus 50 basis points (8.75% at December 31, 2006). As of December 31, 2006 and 2005, we had zero and $5.0 million, respectively, outstanding under the Credit Agreement.</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May 2004, we completed an underwritten equity offering transaction, raising approximately $61.0 million, net of offering costs and underwriters’ commissions of approximately $4.9 million, upon the issuance of 4,250,000 shares of our common stock.</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2004, we raised aggregate net proceeds of approximately $7.5 million, net of fees to the placement agent and offering costs, from the issuance of 1,142,855 shares of common stock in a private placement transaction with accredited investors. Warrants to acquire 228,565 common shares at a price of $8.83 per share, expiring on January 15, 2009, were also issued in conjunction with this offering.</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During 2006 and 2005, we received aggregate proceeds of approximately $1.0 million and $1.0 million in connection with the issuance of 337,936 and 327,344 shares of common stock, respectively, upon the exercise of certain outstanding warrants and stock options.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Net cash provided by operating activities decreased by $3.9 million to $8.6 million for 2006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$12.5 million for 2005. This decrease was primarily attributable to an increase in our accounts receivable of $20.3 million and an increase in inventory of</w:t>
      </w:r>
    </w:p>
    <w:p>
      <w:pPr>
        <w:ind w:right="20"/>
        <w:spacing w:after="0" w:line="254" w:lineRule="auto"/>
        <w:rPr>
          <w:sz w:val="20"/>
          <w:szCs w:val="20"/>
          <w:color w:val="auto"/>
        </w:rPr>
      </w:pPr>
      <w:r>
        <w:rPr>
          <w:rFonts w:ascii="Arial" w:cs="Arial" w:eastAsia="Arial" w:hAnsi="Arial"/>
          <w:sz w:val="18"/>
          <w:szCs w:val="18"/>
          <w:color w:val="auto"/>
        </w:rPr>
        <w:t>$5.5 million, offset by an increase in prepaid expenses of $6.5 million, an increase in our accounts payable of $5.1 million, an increase in other accrued expenses of $6.3 million and net income for 2006 of approximately $443,000, which includes $10.0 million of non-cash share-based compensation expense, $8.0 million of non-cash depreciation and amortization expenses, $2.9 million of inventory write-offs, and $4.7 million of non-cash change in deferred taxes. Net cash provided by operating activities for 2005 was approximately $12.5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4" w:name="page35"/>
    <w:bookmarkEnd w:id="3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was primarily attributable to $11.1 million net income recorded for the fiscal year ended December 31, 2005, compared to our net income of $13.8 million in 2004.</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Net cash used in investing activities</w:t>
      </w:r>
      <w:r>
        <w:rPr>
          <w:rFonts w:ascii="Arial" w:cs="Arial" w:eastAsia="Arial" w:hAnsi="Arial"/>
          <w:sz w:val="18"/>
          <w:szCs w:val="18"/>
          <w:color w:val="auto"/>
        </w:rPr>
        <w:t>. Net cash used in investing activities for 2006 was approximately $4.2 million compared to $3.9 million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in 2005. The cash used in investing activities in 2006 was primarily due to purchases of property and equipment of $8.1 million and purchases of licensed technologies of approximately $500,000, offset by the sales of marketable securities of $4.5 million. The cash provided by investing activities in 2005 was primarily due to the net sales of marketable securities of $11.0 million, offset by purchases of property and equipment of $6.8 million and purchases of licensed technologies of approximately $400,000.</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Net cash used from financing activities</w:t>
      </w:r>
      <w:r>
        <w:rPr>
          <w:rFonts w:ascii="Arial" w:cs="Arial" w:eastAsia="Arial" w:hAnsi="Arial"/>
          <w:sz w:val="16"/>
          <w:szCs w:val="16"/>
          <w:color w:val="auto"/>
        </w:rPr>
        <w:t>. Net cash used in financing activities for 2006 was $6.5 million, compared to net cash provided by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activities of $3.8 million for 2005. Cash used in financing activities in 2006 was primarily due to the settlement of our outstanding balance on our line of credit facility of $5.0 million and $3.9 million payment on our capital lease obligations, offset by $1.0 million of proceeds received from the exercise of common stock options and warrants, proceeds of $700,000 received from the issuance of common stock under the employee stock purchase plan, and non-cash excess tax benefits from stock option exercises of approximately $700,000. Cash provided by financing activities in 2005 was due to proceeds from borrowings on our line of credit facility of $5.0 million, $1.0 million of proceeds received from the exercise of common stock options, and proceeds of $500,000 received from the issuance of common stock under the employee stock purchase plan, offset by payments of approximately $2.8 million under capital lease obligations.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2006, and the effect such obligations could have on our liquidity and cash flow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2"/>
              </w:rPr>
              <w:t>Payments Due by Fiscal Year</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1,483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Committed purchase orders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113,686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37"/>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113,686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115,581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1,483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next twelve months we plan to incur approximately $15.0 million to $18.0 million for capital expenditures and the acquisition of additional licenses. In addition, certain of our operating leases related to facilities obligate us to pay an aggregate of approximately $500,000, net of sublease income, over the next 9 months. This obligation is included in the operating lease commitments in the above table.</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 changes in interest rates. At December 31, 2006, we had $84.2 million in cash, cash equivalents and marketable securities, all of which are stated at fair value. Changes in market interest rates would not be expected to have a material impact on the fair value of $34.6 million of our cash and cash equivalents at December 31, 2006, as these consisted of securities with maturities of less than three months. A 100 basis point increase or decrease in interest rates would, however, decrease or increase, respectively, the remaining $49.6 million of our investments by approximately $500,000. While changes in interest rates may affect the fair value of our investment portfolio, any gains or losses will not be recognized in our Consolidated Statements of Operations until the investment is sold or if the reduction in fair value was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2006, approximately $54.7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December 31, 2006, our financial position,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All of our outstanding foreign currency contracts are marked-to-market, with unrealized gains and losses included as a component of other income and expense. As of December 31, 2006 the total amount of outstanding forward contracts amounted to 12 million Euros. During 2006, we recorded unrealized losses of approximately $1.4 million on our forward contracts. These unrealized losses were offset by foreign currency gains of approximately $2.8 million recorded in other income and expense related primarily to our foreign currency receivable balances denominated in Euros during 2006.</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Revenues generated outside the United States, as a percentage of total revenues were approximately 37% for the fiscal year ended December 31, 2006 and 58% for 2005. Significant fluctuations in foreign exchange rates could impact future operating results.</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disagreements with our Independent Registered Public Accounting Firm on accounting and financial disclosures.</w:t>
      </w: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that are designed to ensure that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disclosed in our reports to the SEC is recorded,</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4" w:right="319" w:bottom="1440" w:gutter="0" w:footer="0" w:header="0"/>
        </w:sectPr>
      </w:pPr>
    </w:p>
    <w:bookmarkStart w:id="36" w:name="page37"/>
    <w:bookmarkEnd w:id="3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processed, summarized and reported within the time periods specified in the SEC’s rules and forms, and that such information is accumulated and communicated to our management, including our chief executive officer, or CEO, and chief financial officer, or CFO, as appropriate, to allow timely decisions regarding required disclosure. In designing and evaluating the disclosure controls and procedures, including internal control over financial reporting, management recognizes that any controls and procedures, no matter how well designed and operated, can provide only reasonable assurance of achieving the desired control objectives. For example, a company’s operations may change over time, such as the result of new or discontinued lines of business and management must periodically modify a company’s internal controls and procedures to timely match these changes in its business. And, in the end, all controls and procedures are necessarily subject to the judgment of management in evaluating the design and cost benefit relationship of possible controls and procedures, and the judgment of company personnel in their application.</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of December 31, 2006, the end of the period covered by this report, we carried out an evaluation, under the supervision and with the participation of our management, including our CEO and CFO, of the effectiveness of the design and operation of our disclosure controls and procedures. Based on the foregoing, our management, including our CEO and CFO, concluded that our disclosure controls and procedures were effective as of December 31, 2006.</w:t>
      </w:r>
    </w:p>
    <w:p>
      <w:pPr>
        <w:spacing w:after="0" w:line="10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An evaluation was also performed under the supervision and with the participation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including our CEO and CFO, of any change in our internal controls over financial reporting that occurred during our last fiscal quarter and that has materially affected, or is reasonably likely to materially affect, our internal controls over financial reporting. That evaluation did not identify any change in our internal controls over financial reporting that occurred during our latest fiscal quarter and that has materially affected, or is reasonably likely to materially affect, our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management of Novatel Wireless, Inc. is responsible for establishing and maintaining adequate internal control over financial reporting, as such term is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2006.</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KPMG LLP, the independent registered public accounting firm that audited the consolidated financial statements of Novatel Wireless included in this Annual Report on Form 10-K, has issued an audit report on management’s assessment of the effectiveness of Novatel Wireless’ internal control over financial reporting as of December 31, 2006. The report, which expresses unqualified opinions on management’s assessment and on the effectiveness of Novatel Wireless’ internal control over financial reporting as of December 31, 2006, is included in this Item under the heading “Report of Independent Registered Public Accounting Firm.”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 and subsidiaries</w:t>
      </w:r>
    </w:p>
    <w:p>
      <w:pPr>
        <w:spacing w:after="0" w:line="165" w:lineRule="exact"/>
        <w:rPr>
          <w:sz w:val="20"/>
          <w:szCs w:val="20"/>
          <w:color w:val="auto"/>
        </w:rPr>
      </w:pPr>
    </w:p>
    <w:p>
      <w:pPr>
        <w:ind w:right="480" w:firstLine="456"/>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as of December 31, 2006, that Novatel Wireless, Inc. and subsidiaries (Novatel Wireless) maintained effective internal control over financial reporting as of December 31, 2006, based on criteria established in Internal Control–Integrated Framework issued by the Committee of Sponsoring Organizations of the Treadway Commission (COSO). Novatel Wireless’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management’s assessment that Novatel Wireless maintained effective internal control over financial reporting as of December 31, 2006, is fairly stated, in all material respects, based on criteria established in Internal Control—Integrated Framework issued by the Committee of Sponsoring Organizations of the Treadway Commission (COSO). Also, in our opinion, Novatel Wireless maintained, in all material respects, effective internal control over financial reporting as of December 31, 2006, based on criteria established in Internal Control—Integrated Framework issued by the Committee of Sponsoring Organizations of the Treadway Commission (COSO).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38" w:name="page39"/>
    <w:bookmarkEnd w:id="38"/>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have audited, in accordance with the standards of the Public Company Accounting Oversight Board (United States), the consolidated balance sheets of Novatel Wireless, Inc. and subsidiaries as of December 31, 2006 and 2005, and the related consolidated statements of operations, stockholders’ equity and comprehensive income, and cash flows for each of the years in the three-year period ended December 31, 2006, and our report dated March 16, 2007 expressed an unqualified opinion on those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16, 2007</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financial statements included in this report contain updated information from that which the Company furnished on February 27, 2007, including a $200,000 increase in benefit for income taxes and net income. The updated information does not impact the previously reported earnings per share of $0.01 for the year ended December 31, 2006, however the previously reported earnings per share for the three months ended December 31, 2006 increased from $0.08 to $0.09. The update resulted from the tax effects of share-based compensation upon completion of our 2006 tax provision.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280" w:right="4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420" w:firstLine="464"/>
        <w:spacing w:after="0" w:line="268" w:lineRule="auto"/>
        <w:tabs>
          <w:tab w:leader="none" w:pos="749"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2007</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131" w:lineRule="exact"/>
        <w:rPr>
          <w:rFonts w:ascii="Arial" w:cs="Arial" w:eastAsia="Arial" w:hAnsi="Arial"/>
          <w:sz w:val="18"/>
          <w:szCs w:val="18"/>
          <w:b w:val="1"/>
          <w:bCs w:val="1"/>
          <w:color w:val="auto"/>
        </w:rPr>
      </w:pPr>
    </w:p>
    <w:p>
      <w:pPr>
        <w:ind w:right="240" w:firstLine="464"/>
        <w:spacing w:after="0" w:line="268" w:lineRule="auto"/>
        <w:tabs>
          <w:tab w:leader="none" w:pos="759"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“Certain Information with Respect to Executive Officers,” appearing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 to be filed for the 2007 Annual Meeting of Stockholders is incorporated herein by reference.</w:t>
      </w:r>
    </w:p>
    <w:p>
      <w:pPr>
        <w:spacing w:after="0" w:line="131" w:lineRule="exact"/>
        <w:rPr>
          <w:rFonts w:ascii="Arial" w:cs="Arial" w:eastAsia="Arial" w:hAnsi="Arial"/>
          <w:sz w:val="18"/>
          <w:szCs w:val="18"/>
          <w:b w:val="1"/>
          <w:bCs w:val="1"/>
          <w:color w:val="auto"/>
        </w:rPr>
      </w:pPr>
    </w:p>
    <w:p>
      <w:pPr>
        <w:ind w:right="480" w:firstLine="464"/>
        <w:spacing w:after="0" w:line="332" w:lineRule="auto"/>
        <w:tabs>
          <w:tab w:leader="none" w:pos="739"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“Compliance with Section 16(a) of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Proxy Statement to be filed for the 2007 Annual Meeting of Stockholders is incorporated herein by reference.</w:t>
      </w:r>
    </w:p>
    <w:p>
      <w:pPr>
        <w:spacing w:after="0" w:line="85" w:lineRule="exact"/>
        <w:rPr>
          <w:rFonts w:ascii="Arial" w:cs="Arial" w:eastAsia="Arial" w:hAnsi="Arial"/>
          <w:sz w:val="16"/>
          <w:szCs w:val="16"/>
          <w:b w:val="1"/>
          <w:bCs w:val="1"/>
          <w:color w:val="auto"/>
        </w:rPr>
      </w:pPr>
    </w:p>
    <w:p>
      <w:pPr>
        <w:ind w:right="20" w:firstLine="464"/>
        <w:spacing w:after="0" w:line="290" w:lineRule="auto"/>
        <w:tabs>
          <w:tab w:leader="none" w:pos="759"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The Company has adopted a</w:t>
      </w:r>
      <w:r>
        <w:rPr>
          <w:rFonts w:ascii="Arial" w:cs="Arial" w:eastAsia="Arial" w:hAnsi="Arial"/>
          <w:sz w:val="16"/>
          <w:szCs w:val="16"/>
          <w:i w:val="1"/>
          <w:iCs w:val="1"/>
          <w:color w:val="auto"/>
        </w:rPr>
        <w:t xml:space="preserve"> Code of Business Conduct and Ethics </w:t>
      </w:r>
      <w:r>
        <w:rPr>
          <w:rFonts w:ascii="Arial" w:cs="Arial" w:eastAsia="Arial" w:hAnsi="Arial"/>
          <w:sz w:val="16"/>
          <w:szCs w:val="16"/>
          <w:color w:val="auto"/>
        </w:rPr>
        <w:t>which, together with the policies referred to therein, is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all directors, officers and employees of the Company. The Code of Business Conduct and Ethics covers all areas of professional conduct, including conflicts of interest, disclosure obligations, insider trading and confidential information, as well as compliance with all laws, rules and regulations applicable to our business. The Company encourages all employees, officers and directors to promptly report any violations of any of the Company’s policies. In the event that a substantive amendment to, or a waiver from, a provision of the Code of Business Conduct and Ethics that applies to our principal executive officer or principal financial and accounting officer is necessary, the company intends to post such information on its website. A copy of our Code of Business Conduct and Ethics can be obtained from our website at </w:t>
      </w:r>
      <w:r>
        <w:rPr>
          <w:rFonts w:ascii="Arial" w:cs="Arial" w:eastAsia="Arial" w:hAnsi="Arial"/>
          <w:sz w:val="16"/>
          <w:szCs w:val="16"/>
          <w:i w:val="1"/>
          <w:iCs w:val="1"/>
          <w:u w:val="single" w:color="auto"/>
          <w:color w:val="auto"/>
        </w:rPr>
        <w:t>www.novatelwireless.com</w:t>
      </w:r>
      <w:r>
        <w:rPr>
          <w:rFonts w:ascii="Arial" w:cs="Arial" w:eastAsia="Arial" w:hAnsi="Arial"/>
          <w:sz w:val="16"/>
          <w:szCs w:val="16"/>
          <w:i w:val="1"/>
          <w:iCs w:val="1"/>
          <w:color w:val="auto"/>
        </w:rPr>
        <w:t>.</w:t>
      </w:r>
    </w:p>
    <w:p>
      <w:pPr>
        <w:spacing w:after="0" w:line="118" w:lineRule="exact"/>
        <w:rPr>
          <w:rFonts w:ascii="Arial" w:cs="Arial" w:eastAsia="Arial" w:hAnsi="Arial"/>
          <w:sz w:val="16"/>
          <w:szCs w:val="16"/>
          <w:b w:val="1"/>
          <w:bCs w:val="1"/>
          <w:color w:val="auto"/>
        </w:rPr>
      </w:pPr>
    </w:p>
    <w:p>
      <w:pPr>
        <w:ind w:right="580" w:firstLine="464"/>
        <w:spacing w:after="0" w:line="268" w:lineRule="auto"/>
        <w:tabs>
          <w:tab w:leader="none" w:pos="695"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“Information Regarding the Board and its Standing Committees,”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2007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under the heading “Executive Compensation and Other Information” appearing in the Proxy Statement to be filed for the 2007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under the heading “Security Ownership of Certain Beneficial Owners and Management and Related Stockholder Matters” appearing in the Proxy Statement to be filed for the 2007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under the heading “Certain Relationships and Related Transactions and Director Independence,” appearing in the Proxy Statement to be filed for the 2007 Annual Meeting of Stockholders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under the heading “Principal Accountant Fees and Services,” appearing in the Proxy Statement to be filed for the 2007 Annual Meeting of Stockholders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760" w:hanging="296"/>
        <w:spacing w:after="0"/>
        <w:tabs>
          <w:tab w:leader="none" w:pos="7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1. Index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Consolidated Financial Statements and financial statement schedules.</w:t>
      </w:r>
    </w:p>
    <w:p>
      <w:pPr>
        <w:spacing w:after="0" w:line="171" w:lineRule="exact"/>
        <w:rPr>
          <w:sz w:val="20"/>
          <w:szCs w:val="20"/>
          <w:color w:val="auto"/>
        </w:rPr>
      </w:pPr>
    </w:p>
    <w:p>
      <w:pPr>
        <w:ind w:left="760" w:hanging="296"/>
        <w:spacing w:after="0"/>
        <w:tabs>
          <w:tab w:leader="none" w:pos="7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Financial Statement Schedules for the years ended December 31, 2006, 2005 and 2004 should be read in conjunction with the Consolidated Financial Statements, and related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Schedule</w:t>
            </w:r>
          </w:p>
        </w:tc>
        <w:tc>
          <w:tcPr>
            <w:tcW w:w="200" w:type="dxa"/>
            <w:vAlign w:val="bottom"/>
          </w:tcPr>
          <w:p>
            <w:pPr>
              <w:spacing w:after="0"/>
              <w:rPr>
                <w:sz w:val="15"/>
                <w:szCs w:val="15"/>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r>
      <w:tr>
        <w:trPr>
          <w:trHeight w:val="209"/>
        </w:trPr>
        <w:tc>
          <w:tcPr>
            <w:tcW w:w="10740" w:type="dxa"/>
            <w:vAlign w:val="bottom"/>
          </w:tcPr>
          <w:p>
            <w:pPr>
              <w:spacing w:after="0" w:line="202" w:lineRule="exact"/>
              <w:rPr>
                <w:sz w:val="20"/>
                <w:szCs w:val="20"/>
                <w:color w:val="auto"/>
              </w:rPr>
            </w:pPr>
            <w:r>
              <w:rPr>
                <w:rFonts w:ascii="Arial" w:cs="Arial" w:eastAsia="Arial" w:hAnsi="Arial"/>
                <w:sz w:val="18"/>
                <w:szCs w:val="18"/>
                <w:color w:val="auto"/>
              </w:rPr>
              <w:t>Schedule II—Valuation and Qualifying Accounts</w:t>
            </w:r>
          </w:p>
        </w:tc>
        <w:tc>
          <w:tcPr>
            <w:tcW w:w="200" w:type="dxa"/>
            <w:vAlign w:val="bottom"/>
          </w:tcPr>
          <w:p>
            <w:pPr>
              <w:spacing w:after="0"/>
              <w:rPr>
                <w:sz w:val="18"/>
                <w:szCs w:val="18"/>
                <w:color w:val="auto"/>
              </w:rPr>
            </w:pPr>
          </w:p>
        </w:tc>
        <w:tc>
          <w:tcPr>
            <w:tcW w:w="4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6"/>
              </w:rPr>
              <w:t>F-31</w:t>
            </w:r>
          </w:p>
        </w:tc>
        <w:tc>
          <w:tcPr>
            <w:tcW w:w="20" w:type="dxa"/>
            <w:vAlign w:val="bottom"/>
          </w:tcPr>
          <w:p>
            <w:pPr>
              <w:spacing w:after="0"/>
              <w:rPr>
                <w:sz w:val="18"/>
                <w:szCs w:val="18"/>
                <w:color w:val="auto"/>
              </w:rPr>
            </w:pPr>
          </w:p>
        </w:tc>
      </w:tr>
    </w:tbl>
    <w:p>
      <w:pPr>
        <w:spacing w:after="0" w:line="14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51" w:lineRule="exact"/>
        <w:rPr>
          <w:sz w:val="20"/>
          <w:szCs w:val="20"/>
          <w:color w:val="auto"/>
        </w:rPr>
      </w:pPr>
    </w:p>
    <w:p>
      <w:pPr>
        <w:ind w:left="760" w:hanging="296"/>
        <w:spacing w:after="0"/>
        <w:tabs>
          <w:tab w:leader="none" w:pos="7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14"/>
                <w:szCs w:val="14"/>
                <w:color w:val="auto"/>
              </w:rPr>
            </w:pPr>
          </w:p>
        </w:tc>
        <w:tc>
          <w:tcPr>
            <w:tcW w:w="100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880" w:type="dxa"/>
            <w:vAlign w:val="bottom"/>
          </w:tcPr>
          <w:p>
            <w:pPr>
              <w:spacing w:after="0"/>
              <w:rPr>
                <w:sz w:val="14"/>
                <w:szCs w:val="14"/>
                <w:color w:val="auto"/>
              </w:rPr>
            </w:pPr>
          </w:p>
        </w:tc>
        <w:tc>
          <w:tcPr>
            <w:tcW w:w="1004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275"/>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for the year ended December 31, 2000, filed on March 27, 2001).</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3.4</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3.5</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3.6</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on March 27, 2001).</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8"/>
              </w:rPr>
              <w:t>Amended and Restated Registration Rights Agreement, dated as of June 15, 1999, by and among the Company and certain of its stockholders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(incorporated by reference to Exhibit 10.4 to the Company’s Registration Statement on Form S-1 (No. 333-42570), filed November 14, 2000,</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as amended).</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Amended and Restated Investors’ Rights Agreement, dated as of June 30, 2000, by and among the Company and certain of its stockholders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(incorporated by reference to Exhibit 10.5 to the Company’s Registration Statement on Form S-1 (No. 333-42570), filed November 14, 2000,</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as amended).</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Specimen Common Stock Certificate (incorporated by reference to Exhibit 4.1 to the Company’s Registration Statement on Form S-1 (No.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333-42570), filed November 14, 2000, as amended).</w:t>
            </w:r>
          </w:p>
        </w:tc>
      </w:tr>
      <w:tr>
        <w:trPr>
          <w:trHeight w:val="365"/>
        </w:trPr>
        <w:tc>
          <w:tcPr>
            <w:tcW w:w="500" w:type="dxa"/>
            <w:vAlign w:val="bottom"/>
          </w:tcPr>
          <w:p>
            <w:pPr>
              <w:spacing w:after="0"/>
              <w:rPr>
                <w:sz w:val="24"/>
                <w:szCs w:val="24"/>
                <w:color w:val="auto"/>
              </w:rPr>
            </w:pPr>
          </w:p>
        </w:tc>
        <w:tc>
          <w:tcPr>
            <w:tcW w:w="10920" w:type="dxa"/>
            <w:vAlign w:val="bottom"/>
            <w:gridSpan w:val="2"/>
          </w:tcPr>
          <w:p>
            <w:pPr>
              <w:ind w:left="512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20"/>
          </w:cols>
          <w:pgMar w:left="240" w:top="274" w:right="239"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780" w:type="dxa"/>
            <w:vAlign w:val="bottom"/>
          </w:tcPr>
          <w:p>
            <w:pPr>
              <w:spacing w:after="0"/>
              <w:rPr>
                <w:sz w:val="14"/>
                <w:szCs w:val="14"/>
                <w:color w:val="auto"/>
              </w:rPr>
            </w:pPr>
          </w:p>
        </w:tc>
        <w:tc>
          <w:tcPr>
            <w:tcW w:w="1014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780" w:type="dxa"/>
            <w:vAlign w:val="bottom"/>
          </w:tcPr>
          <w:p>
            <w:pPr>
              <w:spacing w:after="0"/>
              <w:rPr>
                <w:sz w:val="14"/>
                <w:szCs w:val="14"/>
                <w:color w:val="auto"/>
              </w:rPr>
            </w:pPr>
          </w:p>
        </w:tc>
        <w:tc>
          <w:tcPr>
            <w:tcW w:w="1014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275"/>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3"/>
                <w:szCs w:val="23"/>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Form of Preferred Stock and Warrant Purchase Agreement entered into in connection with the Company’s 2001 Series A Convertible Preferred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Stock Financing (incorporated by reference to Exhibit 4.1 to the Company’s Current Report on Form 8-K filed January 18, 2002.</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Registration Rights Agreement dated as of September 12, 2002 by and among the Company and certain of its stockholders (incorporated by</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Form of Securities Purchase Agreement entered into in connection with the Company’s 2003 Series B Convertible Preferred Stock Financing</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Registration Rights Agreement entered into in connection with the Company’s 2003 Series B Convertible Preferred Stock Financing</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Securities Purchase Agreement entered into in connection with the Company’s January 2004 Common Stock and Warrant Financing</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Transaction (incorporated by reference to Exhibit 10.20 to the Company’s Annual Report on Form 10-K for the year ended December 31, 2003,</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March 15,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Registration Rights Agreement entered into in connection with the Company’s January 2004 Common Stock and Warrant Financing</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Transaction (incorporated by reference to Exhibit 10.21 to the Company’s Annual Report on Form 10-K for the year ended December 31, 2003,</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March 15,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Form of Common Stock Purchase Warrant issued in connection with the Company’s January 2004 Common Stock and Warrant Financing</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Transaction (incorporated by reference to Exhibit 10.22 to the Company’s Annual Report on Form 10-K for the year ended December 31, 2003,</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March 15,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Amended and Restated 1997 Employee Stock Option Plan (“1997 Plan”) (incorporated by reference to Exhibit 10.1 to the Company’s</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Registration Statement on Form S-1 (No. 333-42570), filed November 14, 2000, as amended).</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Amended and Restated Novatel Wireless, Inc. 2000 Stock Incentive Plan (“2000 Plan”) (incorporated by reference to Exhibit 10.2 to the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2005, filed March 16,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Form of Executive Officer Stock Option Agreement under the 2000 Plan (incorporated by reference to Exhibit 10.3 to the Company’s Annual</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Form of Director Stock Option Agreement under the 2000 Plan (incorporated by reference to Exhibit 10.4 to the Company’s Annual Report on</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1997</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Plan (incorporated by reference to Exhibit 10.2 to the Company’s Quarterly Report on Form 10-Q for the period ended September 30, 2006,</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November 9,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Plan (incorporated by reference to Exhibit 10.3 to the Company’s Quarterly Report on Form 10-Q for the period ended September 30, 2006,</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filed November 9,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Plan and grants made pursuant thereto in 2004 and subsequently (incorporated by reference to Exhibit 10.4 to the Company’s Quarterly Report</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on Form 10-Q for the period ended September 30, 2006, filed November 9, 2006).</w:t>
            </w: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263"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66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75"/>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3"/>
                <w:szCs w:val="23"/>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10.5 to the Company’s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2005, filed March 16,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2006 Management Bonus Plan (incorporated by reference to Exhibit 10.12 to the Company’s Quarterly Report on Form 10-Q for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period ended June 30, 2006, filed August 9,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Indemnification Agreement by and between the Company and each of its executive officers and directors (incorporated by reference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10.6 to the Company’s Registration Statement on Form S-1 (No. 333-42570), filed November 14, 2000, as amended).</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Executive Officer Bonus Plan (incorporated by reference to Exhibit 10.6 to the Company’s Quarterly Report on Form 10-Q for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period ended March 31, 2005, filed May 10, 2005).</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Credit Agreement, dated December 29, 2005, by and between Bank of America, N.A. and the Company (incorporated by reference to Exhibit</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10.9 to the Company’s Annual Report on Form 10-K for the year ended December 31, 2005, filed March 16, 2006).</w:t>
            </w: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Executive Chairman Agreement, dated October 19, 2006, by and between Peter V. Leparulo and the Company (incorporated by reference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99.3 to the Company’s Current Report on Form 8-K, filed October 24, 2006).</w:t>
            </w:r>
          </w:p>
        </w:tc>
      </w:tr>
    </w:tbl>
    <w:p>
      <w:pPr>
        <w:spacing w:after="0" w:line="61" w:lineRule="exact"/>
        <w:rPr>
          <w:sz w:val="20"/>
          <w:szCs w:val="20"/>
          <w:color w:val="auto"/>
        </w:rPr>
      </w:pPr>
    </w:p>
    <w:p>
      <w:pPr>
        <w:ind w:left="1160" w:right="20" w:hanging="1152"/>
        <w:spacing w:after="0" w:line="268"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10460" w:type="dxa"/>
            <w:vAlign w:val="bottom"/>
          </w:tcPr>
          <w:p>
            <w:pPr>
              <w:ind w:left="42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10460" w:type="dxa"/>
            <w:vAlign w:val="bottom"/>
          </w:tcPr>
          <w:p>
            <w:pPr>
              <w:ind w:left="420"/>
              <w:spacing w:after="0"/>
              <w:rPr>
                <w:sz w:val="20"/>
                <w:szCs w:val="20"/>
                <w:color w:val="auto"/>
              </w:rPr>
            </w:pPr>
            <w:r>
              <w:rPr>
                <w:rFonts w:ascii="Arial" w:cs="Arial" w:eastAsia="Arial" w:hAnsi="Arial"/>
                <w:sz w:val="18"/>
                <w:szCs w:val="18"/>
                <w:color w:val="auto"/>
              </w:rPr>
              <w:t>Power of Attorney (See signature page).</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460" w:type="dxa"/>
            <w:vAlign w:val="bottom"/>
          </w:tcPr>
          <w:p>
            <w:pPr>
              <w:ind w:left="420"/>
              <w:spacing w:after="0"/>
              <w:rPr>
                <w:sz w:val="20"/>
                <w:szCs w:val="20"/>
                <w:color w:val="auto"/>
              </w:rPr>
            </w:pPr>
            <w:r>
              <w:rPr>
                <w:rFonts w:ascii="Arial" w:cs="Arial" w:eastAsia="Arial" w:hAnsi="Arial"/>
                <w:sz w:val="18"/>
                <w:szCs w:val="18"/>
                <w:color w:val="auto"/>
              </w:rPr>
              <w:t>Certification of our Chief Executive Officer adopted pursuant to Section 302 of the Sarbanes-Oxley Act of 2002.*</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460" w:type="dxa"/>
            <w:vAlign w:val="bottom"/>
          </w:tcPr>
          <w:p>
            <w:pPr>
              <w:ind w:left="420"/>
              <w:spacing w:after="0"/>
              <w:rPr>
                <w:sz w:val="20"/>
                <w:szCs w:val="20"/>
                <w:color w:val="auto"/>
              </w:rPr>
            </w:pPr>
            <w:r>
              <w:rPr>
                <w:rFonts w:ascii="Arial" w:cs="Arial" w:eastAsia="Arial" w:hAnsi="Arial"/>
                <w:sz w:val="18"/>
                <w:szCs w:val="18"/>
                <w:color w:val="auto"/>
              </w:rPr>
              <w:t>Certification of our Chief Financial Officer adopted pursuant to Section 302 of the Sarbanes-Oxley Act of 2002.*</w:t>
            </w:r>
          </w:p>
        </w:tc>
      </w:tr>
      <w:tr>
        <w:trPr>
          <w:trHeight w:val="277"/>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460" w:type="dxa"/>
            <w:vAlign w:val="bottom"/>
          </w:tcPr>
          <w:p>
            <w:pPr>
              <w:ind w:left="42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 906 of</w:t>
            </w:r>
          </w:p>
        </w:tc>
      </w:tr>
      <w:tr>
        <w:trPr>
          <w:trHeight w:val="222"/>
        </w:trPr>
        <w:tc>
          <w:tcPr>
            <w:tcW w:w="740" w:type="dxa"/>
            <w:vAlign w:val="bottom"/>
          </w:tcPr>
          <w:p>
            <w:pPr>
              <w:spacing w:after="0"/>
              <w:rPr>
                <w:sz w:val="19"/>
                <w:szCs w:val="19"/>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 Annual Report to Stockholders or annual Proxy materials have been sent to our stockholders as of the date of this report. The Annual Report to Stockholders and annual Proxy materials will be furnished to our stockholders subsequent to the filing of this report and we will provide such material to the SEC at that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3"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274"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March 16, 2007</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OVATEL</w:t>
      </w:r>
      <w:r>
        <w:rPr>
          <w:rFonts w:ascii="Arial" w:cs="Arial" w:eastAsia="Arial" w:hAnsi="Arial"/>
          <w:sz w:val="16"/>
          <w:szCs w:val="16"/>
          <w:color w:val="auto"/>
        </w:rPr>
        <w:t xml:space="preserve"> W</w:t>
      </w:r>
      <w:r>
        <w:rPr>
          <w:rFonts w:ascii="Arial" w:cs="Arial" w:eastAsia="Arial" w:hAnsi="Arial"/>
          <w:sz w:val="13"/>
          <w:szCs w:val="13"/>
          <w:color w:val="auto"/>
        </w:rPr>
        <w:t>IRELESS</w:t>
      </w:r>
      <w:r>
        <w:rPr>
          <w:rFonts w:ascii="Arial" w:cs="Arial" w:eastAsia="Arial" w:hAnsi="Arial"/>
          <w:sz w:val="16"/>
          <w:szCs w:val="16"/>
          <w:color w:val="auto"/>
        </w:rPr>
        <w:t>, I</w:t>
      </w:r>
      <w:r>
        <w:rPr>
          <w:rFonts w:ascii="Arial" w:cs="Arial" w:eastAsia="Arial" w:hAnsi="Arial"/>
          <w:sz w:val="13"/>
          <w:szCs w:val="13"/>
          <w:color w:val="auto"/>
        </w:rPr>
        <w:t>NC</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360" w:space="720"/>
            <w:col w:w="5340"/>
          </w:cols>
          <w:pgMar w:left="240" w:top="274" w:right="239" w:bottom="1440" w:gutter="0" w:footer="0" w:header="0"/>
          <w:type w:val="continuous"/>
        </w:sectPr>
      </w:pPr>
    </w:p>
    <w:p>
      <w:pPr>
        <w:spacing w:after="0" w:line="48"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10795</wp:posOffset>
            </wp:positionV>
            <wp:extent cx="3112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3">
            <w:col w:w="7360" w:space="720"/>
            <w:col w:w="180" w:space="160"/>
            <w:col w:w="3000"/>
          </w:cols>
          <w:pgMar w:left="240" w:top="274" w:right="239" w:bottom="1440" w:gutter="0" w:footer="0" w:header="0"/>
          <w:type w:val="continuous"/>
        </w:sectPr>
      </w:pPr>
    </w:p>
    <w:p>
      <w:pPr>
        <w:jc w:val="center"/>
        <w:ind w:left="6520"/>
        <w:spacing w:after="0"/>
        <w:rPr>
          <w:sz w:val="20"/>
          <w:szCs w:val="20"/>
          <w:color w:val="auto"/>
        </w:rPr>
      </w:pPr>
      <w:r>
        <w:rPr>
          <w:rFonts w:ascii="Arial" w:cs="Arial" w:eastAsia="Arial" w:hAnsi="Arial"/>
          <w:sz w:val="14"/>
          <w:szCs w:val="14"/>
          <w:b w:val="1"/>
          <w:bCs w:val="1"/>
          <w:color w:val="auto"/>
        </w:rPr>
        <w:t>Brad Weinert</w:t>
      </w:r>
    </w:p>
    <w:p>
      <w:pPr>
        <w:jc w:val="center"/>
        <w:ind w:left="6520"/>
        <w:spacing w:after="0" w:line="223" w:lineRule="auto"/>
        <w:rPr>
          <w:sz w:val="20"/>
          <w:szCs w:val="20"/>
          <w:color w:val="auto"/>
        </w:rPr>
      </w:pPr>
      <w:r>
        <w:rPr>
          <w:rFonts w:ascii="Arial" w:cs="Arial" w:eastAsia="Arial" w:hAnsi="Arial"/>
          <w:sz w:val="14"/>
          <w:szCs w:val="14"/>
          <w:b w:val="1"/>
          <w:bCs w:val="1"/>
          <w:color w:val="auto"/>
        </w:rPr>
        <w:t>Acting Chief Executive Officer and</w:t>
      </w:r>
    </w:p>
    <w:p>
      <w:pPr>
        <w:jc w:val="center"/>
        <w:ind w:left="6520"/>
        <w:spacing w:after="0" w:line="222" w:lineRule="auto"/>
        <w:rPr>
          <w:sz w:val="20"/>
          <w:szCs w:val="20"/>
          <w:color w:val="auto"/>
        </w:rPr>
      </w:pPr>
      <w:r>
        <w:rPr>
          <w:rFonts w:ascii="Arial" w:cs="Arial" w:eastAsia="Arial" w:hAnsi="Arial"/>
          <w:sz w:val="14"/>
          <w:szCs w:val="14"/>
          <w:b w:val="1"/>
          <w:bCs w:val="1"/>
          <w:color w:val="auto"/>
        </w:rPr>
        <w:t>Chief Operating Officer</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Brad Weinert and Dan L. Halvorson,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1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center"/>
              <w:ind w:right="1624"/>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4"/>
                <w:szCs w:val="14"/>
                <w:color w:val="auto"/>
              </w:rPr>
            </w:pPr>
          </w:p>
        </w:tc>
        <w:tc>
          <w:tcPr>
            <w:tcW w:w="41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329"/>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100" w:type="dxa"/>
            <w:vAlign w:val="bottom"/>
            <w:tcBorders>
              <w:bottom w:val="single" w:sz="8" w:color="auto"/>
            </w:tcBorders>
          </w:tcPr>
          <w:p>
            <w:pPr>
              <w:jc w:val="center"/>
              <w:ind w:right="1544"/>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Acting Chief Executive Officer and Chief Operating</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16, 2007</w:t>
            </w:r>
          </w:p>
        </w:tc>
      </w:tr>
      <w:tr>
        <w:trPr>
          <w:trHeight w:val="202"/>
        </w:trPr>
        <w:tc>
          <w:tcPr>
            <w:tcW w:w="1700" w:type="dxa"/>
            <w:vAlign w:val="bottom"/>
          </w:tcPr>
          <w:p>
            <w:pPr>
              <w:spacing w:after="0"/>
              <w:rPr>
                <w:sz w:val="17"/>
                <w:szCs w:val="17"/>
                <w:color w:val="auto"/>
              </w:rPr>
            </w:pPr>
          </w:p>
        </w:tc>
        <w:tc>
          <w:tcPr>
            <w:tcW w:w="3100" w:type="dxa"/>
            <w:vAlign w:val="bottom"/>
          </w:tcPr>
          <w:p>
            <w:pPr>
              <w:jc w:val="center"/>
              <w:ind w:right="1624"/>
              <w:spacing w:after="0"/>
              <w:rPr>
                <w:sz w:val="20"/>
                <w:szCs w:val="20"/>
                <w:color w:val="auto"/>
              </w:rPr>
            </w:pPr>
            <w:r>
              <w:rPr>
                <w:rFonts w:ascii="Arial" w:cs="Arial" w:eastAsia="Arial" w:hAnsi="Arial"/>
                <w:sz w:val="14"/>
                <w:szCs w:val="14"/>
                <w:b w:val="1"/>
                <w:bCs w:val="1"/>
                <w:color w:val="auto"/>
                <w:w w:val="91"/>
              </w:rPr>
              <w:t>Brad Weinert</w:t>
            </w:r>
          </w:p>
        </w:tc>
        <w:tc>
          <w:tcPr>
            <w:tcW w:w="240" w:type="dxa"/>
            <w:vAlign w:val="bottom"/>
          </w:tcPr>
          <w:p>
            <w:pPr>
              <w:spacing w:after="0"/>
              <w:rPr>
                <w:sz w:val="17"/>
                <w:szCs w:val="17"/>
                <w:color w:val="auto"/>
              </w:rPr>
            </w:pPr>
          </w:p>
        </w:tc>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Officer (Principal Executive 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18"/>
        </w:trPr>
        <w:tc>
          <w:tcPr>
            <w:tcW w:w="17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tcPr>
          <w:p>
            <w:pPr>
              <w:jc w:val="center"/>
              <w:ind w:right="1544"/>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AN</w:t>
            </w:r>
            <w:r>
              <w:rPr>
                <w:rFonts w:ascii="Arial" w:cs="Arial" w:eastAsia="Arial" w:hAnsi="Arial"/>
                <w:sz w:val="18"/>
                <w:szCs w:val="18"/>
                <w:color w:val="auto"/>
                <w:w w:val="99"/>
              </w:rPr>
              <w:t xml:space="preserve"> L. H</w:t>
            </w:r>
            <w:r>
              <w:rPr>
                <w:rFonts w:ascii="Arial" w:cs="Arial" w:eastAsia="Arial" w:hAnsi="Arial"/>
                <w:sz w:val="14"/>
                <w:szCs w:val="14"/>
                <w:color w:val="auto"/>
                <w:w w:val="99"/>
              </w:rPr>
              <w:t>ALVORSON</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0"/>
              </w:rPr>
              <w:t>Chief Financial Officer and Treasurer (Principal Financial</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16, 2007</w:t>
            </w:r>
          </w:p>
        </w:tc>
      </w:tr>
      <w:tr>
        <w:trPr>
          <w:trHeight w:val="202"/>
        </w:trPr>
        <w:tc>
          <w:tcPr>
            <w:tcW w:w="1700" w:type="dxa"/>
            <w:vAlign w:val="bottom"/>
          </w:tcPr>
          <w:p>
            <w:pPr>
              <w:spacing w:after="0"/>
              <w:rPr>
                <w:sz w:val="17"/>
                <w:szCs w:val="17"/>
                <w:color w:val="auto"/>
              </w:rPr>
            </w:pPr>
          </w:p>
        </w:tc>
        <w:tc>
          <w:tcPr>
            <w:tcW w:w="3100" w:type="dxa"/>
            <w:vAlign w:val="bottom"/>
          </w:tcPr>
          <w:p>
            <w:pPr>
              <w:jc w:val="center"/>
              <w:ind w:right="1624"/>
              <w:spacing w:after="0"/>
              <w:rPr>
                <w:sz w:val="20"/>
                <w:szCs w:val="20"/>
                <w:color w:val="auto"/>
              </w:rPr>
            </w:pPr>
            <w:r>
              <w:rPr>
                <w:rFonts w:ascii="Arial" w:cs="Arial" w:eastAsia="Arial" w:hAnsi="Arial"/>
                <w:sz w:val="14"/>
                <w:szCs w:val="14"/>
                <w:b w:val="1"/>
                <w:bCs w:val="1"/>
                <w:color w:val="auto"/>
                <w:w w:val="90"/>
              </w:rPr>
              <w:t>Dan L. Halvorson</w:t>
            </w:r>
          </w:p>
        </w:tc>
        <w:tc>
          <w:tcPr>
            <w:tcW w:w="240" w:type="dxa"/>
            <w:vAlign w:val="bottom"/>
          </w:tcPr>
          <w:p>
            <w:pPr>
              <w:spacing w:after="0"/>
              <w:rPr>
                <w:sz w:val="17"/>
                <w:szCs w:val="17"/>
                <w:color w:val="auto"/>
              </w:rPr>
            </w:pPr>
          </w:p>
        </w:tc>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06"/>
        </w:trPr>
        <w:tc>
          <w:tcPr>
            <w:tcW w:w="17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8"/>
        </w:trPr>
        <w:tc>
          <w:tcPr>
            <w:tcW w:w="1700" w:type="dxa"/>
            <w:vAlign w:val="bottom"/>
          </w:tcPr>
          <w:p>
            <w:pPr>
              <w:spacing w:after="0"/>
              <w:rPr>
                <w:sz w:val="14"/>
                <w:szCs w:val="14"/>
                <w:color w:val="auto"/>
              </w:rPr>
            </w:pPr>
          </w:p>
        </w:tc>
        <w:tc>
          <w:tcPr>
            <w:tcW w:w="3100" w:type="dxa"/>
            <w:vAlign w:val="bottom"/>
          </w:tcPr>
          <w:p>
            <w:pPr>
              <w:jc w:val="center"/>
              <w:ind w:right="1624"/>
              <w:spacing w:after="0"/>
              <w:rPr>
                <w:sz w:val="20"/>
                <w:szCs w:val="20"/>
                <w:color w:val="auto"/>
              </w:rPr>
            </w:pPr>
            <w:r>
              <w:rPr>
                <w:rFonts w:ascii="Arial" w:cs="Arial" w:eastAsia="Arial" w:hAnsi="Arial"/>
                <w:sz w:val="14"/>
                <w:szCs w:val="14"/>
                <w:b w:val="1"/>
                <w:bCs w:val="1"/>
                <w:color w:val="auto"/>
                <w:w w:val="90"/>
              </w:rPr>
              <w:t>Robert H. Getz</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tcPr>
          <w:p>
            <w:pPr>
              <w:jc w:val="center"/>
              <w:ind w:right="1564"/>
              <w:spacing w:after="0"/>
              <w:rPr>
                <w:sz w:val="20"/>
                <w:szCs w:val="20"/>
                <w:color w:val="auto"/>
              </w:rPr>
            </w:pPr>
            <w:r>
              <w:rPr>
                <w:rFonts w:ascii="Arial" w:cs="Arial" w:eastAsia="Arial" w:hAnsi="Arial"/>
                <w:sz w:val="18"/>
                <w:szCs w:val="18"/>
                <w:color w:val="auto"/>
                <w:w w:val="95"/>
              </w:rPr>
              <w:t>P</w:t>
            </w:r>
            <w:r>
              <w:rPr>
                <w:rFonts w:ascii="Arial" w:cs="Arial" w:eastAsia="Arial" w:hAnsi="Arial"/>
                <w:sz w:val="14"/>
                <w:szCs w:val="14"/>
                <w:color w:val="auto"/>
                <w:w w:val="95"/>
              </w:rPr>
              <w:t>ETER</w:t>
            </w:r>
            <w:r>
              <w:rPr>
                <w:rFonts w:ascii="Arial" w:cs="Arial" w:eastAsia="Arial" w:hAnsi="Arial"/>
                <w:sz w:val="18"/>
                <w:szCs w:val="18"/>
                <w:color w:val="auto"/>
                <w:w w:val="95"/>
              </w:rPr>
              <w:t xml:space="preserve"> V. L</w:t>
            </w:r>
            <w:r>
              <w:rPr>
                <w:rFonts w:ascii="Arial" w:cs="Arial" w:eastAsia="Arial" w:hAnsi="Arial"/>
                <w:sz w:val="14"/>
                <w:szCs w:val="14"/>
                <w:color w:val="auto"/>
                <w:w w:val="95"/>
              </w:rPr>
              <w:t>EPARULO</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16, 2007</w:t>
            </w:r>
          </w:p>
        </w:tc>
      </w:tr>
      <w:tr>
        <w:trPr>
          <w:trHeight w:val="169"/>
        </w:trPr>
        <w:tc>
          <w:tcPr>
            <w:tcW w:w="1700" w:type="dxa"/>
            <w:vAlign w:val="bottom"/>
          </w:tcPr>
          <w:p>
            <w:pPr>
              <w:spacing w:after="0"/>
              <w:rPr>
                <w:sz w:val="14"/>
                <w:szCs w:val="14"/>
                <w:color w:val="auto"/>
              </w:rPr>
            </w:pPr>
          </w:p>
        </w:tc>
        <w:tc>
          <w:tcPr>
            <w:tcW w:w="3100" w:type="dxa"/>
            <w:vAlign w:val="bottom"/>
          </w:tcPr>
          <w:p>
            <w:pPr>
              <w:jc w:val="center"/>
              <w:ind w:right="1604"/>
              <w:spacing w:after="0"/>
              <w:rPr>
                <w:sz w:val="20"/>
                <w:szCs w:val="20"/>
                <w:color w:val="auto"/>
              </w:rPr>
            </w:pPr>
            <w:r>
              <w:rPr>
                <w:rFonts w:ascii="Arial" w:cs="Arial" w:eastAsia="Arial" w:hAnsi="Arial"/>
                <w:sz w:val="14"/>
                <w:szCs w:val="14"/>
                <w:b w:val="1"/>
                <w:bCs w:val="1"/>
                <w:color w:val="auto"/>
                <w:w w:val="88"/>
              </w:rPr>
              <w:t>Peter V. Leparulo</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298"/>
        </w:trPr>
        <w:tc>
          <w:tcPr>
            <w:tcW w:w="17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8"/>
        </w:trPr>
        <w:tc>
          <w:tcPr>
            <w:tcW w:w="1700" w:type="dxa"/>
            <w:vAlign w:val="bottom"/>
          </w:tcPr>
          <w:p>
            <w:pPr>
              <w:spacing w:after="0"/>
              <w:rPr>
                <w:sz w:val="14"/>
                <w:szCs w:val="14"/>
                <w:color w:val="auto"/>
              </w:rPr>
            </w:pPr>
          </w:p>
        </w:tc>
        <w:tc>
          <w:tcPr>
            <w:tcW w:w="3100" w:type="dxa"/>
            <w:vAlign w:val="bottom"/>
          </w:tcPr>
          <w:p>
            <w:pPr>
              <w:jc w:val="center"/>
              <w:ind w:right="1604"/>
              <w:spacing w:after="0"/>
              <w:rPr>
                <w:sz w:val="20"/>
                <w:szCs w:val="20"/>
                <w:color w:val="auto"/>
              </w:rPr>
            </w:pPr>
            <w:r>
              <w:rPr>
                <w:rFonts w:ascii="Arial" w:cs="Arial" w:eastAsia="Arial" w:hAnsi="Arial"/>
                <w:sz w:val="14"/>
                <w:szCs w:val="14"/>
                <w:b w:val="1"/>
                <w:bCs w:val="1"/>
                <w:color w:val="auto"/>
                <w:w w:val="91"/>
              </w:rPr>
              <w:t>Peng K. Lim</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tcPr>
          <w:p>
            <w:pPr>
              <w:jc w:val="center"/>
              <w:ind w:right="1564"/>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REG</w:t>
            </w:r>
            <w:r>
              <w:rPr>
                <w:rFonts w:ascii="Arial" w:cs="Arial" w:eastAsia="Arial" w:hAnsi="Arial"/>
                <w:sz w:val="18"/>
                <w:szCs w:val="18"/>
                <w:color w:val="auto"/>
                <w:w w:val="99"/>
              </w:rPr>
              <w:t xml:space="preserve"> L</w:t>
            </w:r>
            <w:r>
              <w:rPr>
                <w:rFonts w:ascii="Arial" w:cs="Arial" w:eastAsia="Arial" w:hAnsi="Arial"/>
                <w:sz w:val="14"/>
                <w:szCs w:val="14"/>
                <w:color w:val="auto"/>
                <w:w w:val="99"/>
              </w:rPr>
              <w:t>ORENZETTI</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16, 2007</w:t>
            </w:r>
          </w:p>
        </w:tc>
      </w:tr>
      <w:tr>
        <w:trPr>
          <w:trHeight w:val="169"/>
        </w:trPr>
        <w:tc>
          <w:tcPr>
            <w:tcW w:w="1700" w:type="dxa"/>
            <w:vAlign w:val="bottom"/>
          </w:tcPr>
          <w:p>
            <w:pPr>
              <w:spacing w:after="0"/>
              <w:rPr>
                <w:sz w:val="14"/>
                <w:szCs w:val="14"/>
                <w:color w:val="auto"/>
              </w:rPr>
            </w:pPr>
          </w:p>
        </w:tc>
        <w:tc>
          <w:tcPr>
            <w:tcW w:w="3100" w:type="dxa"/>
            <w:vAlign w:val="bottom"/>
          </w:tcPr>
          <w:p>
            <w:pPr>
              <w:jc w:val="center"/>
              <w:ind w:right="1624"/>
              <w:spacing w:after="0"/>
              <w:rPr>
                <w:sz w:val="20"/>
                <w:szCs w:val="20"/>
                <w:color w:val="auto"/>
              </w:rPr>
            </w:pPr>
            <w:r>
              <w:rPr>
                <w:rFonts w:ascii="Arial" w:cs="Arial" w:eastAsia="Arial" w:hAnsi="Arial"/>
                <w:sz w:val="14"/>
                <w:szCs w:val="14"/>
                <w:b w:val="1"/>
                <w:bCs w:val="1"/>
                <w:color w:val="auto"/>
                <w:w w:val="88"/>
              </w:rPr>
              <w:t>Greg Lorenzetti</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tcPr>
          <w:p>
            <w:pPr>
              <w:jc w:val="center"/>
              <w:ind w:right="1544"/>
              <w:spacing w:after="0"/>
              <w:rPr>
                <w:sz w:val="20"/>
                <w:szCs w:val="20"/>
                <w:color w:val="auto"/>
              </w:rPr>
            </w:pPr>
            <w:r>
              <w:rPr>
                <w:rFonts w:ascii="Arial" w:cs="Arial" w:eastAsia="Arial" w:hAnsi="Arial"/>
                <w:sz w:val="18"/>
                <w:szCs w:val="18"/>
                <w:color w:val="auto"/>
                <w:w w:val="96"/>
              </w:rPr>
              <w:t>H</w:t>
            </w:r>
            <w:r>
              <w:rPr>
                <w:rFonts w:ascii="Arial" w:cs="Arial" w:eastAsia="Arial" w:hAnsi="Arial"/>
                <w:sz w:val="14"/>
                <w:szCs w:val="14"/>
                <w:color w:val="auto"/>
                <w:w w:val="96"/>
              </w:rPr>
              <w:t>ORST</w:t>
            </w:r>
            <w:r>
              <w:rPr>
                <w:rFonts w:ascii="Arial" w:cs="Arial" w:eastAsia="Arial" w:hAnsi="Arial"/>
                <w:sz w:val="18"/>
                <w:szCs w:val="18"/>
                <w:color w:val="auto"/>
                <w:w w:val="96"/>
              </w:rPr>
              <w:t xml:space="preserve"> J. P</w:t>
            </w:r>
            <w:r>
              <w:rPr>
                <w:rFonts w:ascii="Arial" w:cs="Arial" w:eastAsia="Arial" w:hAnsi="Arial"/>
                <w:sz w:val="14"/>
                <w:szCs w:val="14"/>
                <w:color w:val="auto"/>
                <w:w w:val="96"/>
              </w:rPr>
              <w:t>UDWILL</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16, 2007</w:t>
            </w:r>
          </w:p>
        </w:tc>
      </w:tr>
      <w:tr>
        <w:trPr>
          <w:trHeight w:val="169"/>
        </w:trPr>
        <w:tc>
          <w:tcPr>
            <w:tcW w:w="1700" w:type="dxa"/>
            <w:vAlign w:val="bottom"/>
          </w:tcPr>
          <w:p>
            <w:pPr>
              <w:spacing w:after="0"/>
              <w:rPr>
                <w:sz w:val="14"/>
                <w:szCs w:val="14"/>
                <w:color w:val="auto"/>
              </w:rPr>
            </w:pPr>
          </w:p>
        </w:tc>
        <w:tc>
          <w:tcPr>
            <w:tcW w:w="3100" w:type="dxa"/>
            <w:vAlign w:val="bottom"/>
          </w:tcPr>
          <w:p>
            <w:pPr>
              <w:jc w:val="center"/>
              <w:ind w:right="1604"/>
              <w:spacing w:after="0"/>
              <w:rPr>
                <w:sz w:val="20"/>
                <w:szCs w:val="20"/>
                <w:color w:val="auto"/>
              </w:rPr>
            </w:pPr>
            <w:r>
              <w:rPr>
                <w:rFonts w:ascii="Arial" w:cs="Arial" w:eastAsia="Arial" w:hAnsi="Arial"/>
                <w:sz w:val="14"/>
                <w:szCs w:val="14"/>
                <w:b w:val="1"/>
                <w:bCs w:val="1"/>
                <w:color w:val="auto"/>
                <w:w w:val="89"/>
              </w:rPr>
              <w:t>Horst J. Pudwill</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11"/>
        </w:trPr>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tcBorders>
              <w:bottom w:val="single" w:sz="8" w:color="auto"/>
            </w:tcBorders>
          </w:tcPr>
          <w:p>
            <w:pPr>
              <w:jc w:val="center"/>
              <w:ind w:right="1564"/>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A. W</w:t>
            </w:r>
            <w:r>
              <w:rPr>
                <w:rFonts w:ascii="Arial" w:cs="Arial" w:eastAsia="Arial" w:hAnsi="Arial"/>
                <w:sz w:val="14"/>
                <w:szCs w:val="14"/>
                <w:color w:val="auto"/>
                <w:w w:val="99"/>
              </w:rPr>
              <w:t>ERNER</w:t>
            </w:r>
          </w:p>
        </w:tc>
        <w:tc>
          <w:tcPr>
            <w:tcW w:w="24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March 16, 2007</w:t>
            </w:r>
          </w:p>
        </w:tc>
      </w:tr>
      <w:tr>
        <w:trPr>
          <w:trHeight w:val="169"/>
        </w:trPr>
        <w:tc>
          <w:tcPr>
            <w:tcW w:w="1700" w:type="dxa"/>
            <w:vAlign w:val="bottom"/>
          </w:tcPr>
          <w:p>
            <w:pPr>
              <w:spacing w:after="0"/>
              <w:rPr>
                <w:sz w:val="14"/>
                <w:szCs w:val="14"/>
                <w:color w:val="auto"/>
              </w:rPr>
            </w:pPr>
          </w:p>
        </w:tc>
        <w:tc>
          <w:tcPr>
            <w:tcW w:w="3100" w:type="dxa"/>
            <w:vAlign w:val="bottom"/>
          </w:tcPr>
          <w:p>
            <w:pPr>
              <w:jc w:val="center"/>
              <w:ind w:right="1604"/>
              <w:spacing w:after="0"/>
              <w:rPr>
                <w:sz w:val="20"/>
                <w:szCs w:val="20"/>
                <w:color w:val="auto"/>
              </w:rPr>
            </w:pPr>
            <w:r>
              <w:rPr>
                <w:rFonts w:ascii="Arial" w:cs="Arial" w:eastAsia="Arial" w:hAnsi="Arial"/>
                <w:sz w:val="14"/>
                <w:szCs w:val="14"/>
                <w:b w:val="1"/>
                <w:bCs w:val="1"/>
                <w:color w:val="auto"/>
                <w:w w:val="90"/>
              </w:rPr>
              <w:t>David A. Werner</w:t>
            </w:r>
          </w:p>
        </w:tc>
        <w:tc>
          <w:tcPr>
            <w:tcW w:w="2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50"/>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560"/>
              <w:spacing w:after="0"/>
              <w:rPr>
                <w:sz w:val="20"/>
                <w:szCs w:val="20"/>
                <w:color w:val="auto"/>
              </w:rPr>
            </w:pPr>
            <w:r>
              <w:rPr>
                <w:rFonts w:ascii="Arial" w:cs="Arial" w:eastAsia="Arial" w:hAnsi="Arial"/>
                <w:sz w:val="18"/>
                <w:szCs w:val="18"/>
                <w:color w:val="auto"/>
              </w:rPr>
              <w:t>S-1</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0" w:type="dxa"/>
            <w:vAlign w:val="bottom"/>
            <w:gridSpan w:val="3"/>
          </w:tcPr>
          <w:p>
            <w:pPr>
              <w:jc w:val="center"/>
              <w:ind w:right="1052"/>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19"/>
                <w:szCs w:val="19"/>
                <w:color w:val="auto"/>
              </w:rPr>
            </w:pPr>
          </w:p>
        </w:tc>
      </w:tr>
      <w:tr>
        <w:trPr>
          <w:trHeight w:val="380"/>
        </w:trPr>
        <w:tc>
          <w:tcPr>
            <w:tcW w:w="9480" w:type="dxa"/>
            <w:vAlign w:val="bottom"/>
            <w:gridSpan w:val="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1800" w:type="dxa"/>
            <w:vAlign w:val="bottom"/>
          </w:tcPr>
          <w:p>
            <w:pPr>
              <w:ind w:left="1460"/>
              <w:spacing w:after="0"/>
              <w:rPr>
                <w:sz w:val="20"/>
                <w:szCs w:val="20"/>
                <w:color w:val="auto"/>
              </w:rPr>
            </w:pPr>
            <w:r>
              <w:rPr>
                <w:rFonts w:ascii="Arial" w:cs="Arial" w:eastAsia="Arial" w:hAnsi="Arial"/>
                <w:sz w:val="18"/>
                <w:szCs w:val="18"/>
                <w:color w:val="auto"/>
              </w:rPr>
              <w:t>F-2</w:t>
            </w:r>
          </w:p>
        </w:tc>
      </w:tr>
      <w:tr>
        <w:trPr>
          <w:trHeight w:val="20"/>
        </w:trPr>
        <w:tc>
          <w:tcPr>
            <w:tcW w:w="2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Operations</w:t>
              </w:r>
            </w:hyperlink>
          </w:p>
        </w:tc>
        <w:tc>
          <w:tcPr>
            <w:tcW w:w="6720" w:type="dxa"/>
            <w:vAlign w:val="bottom"/>
            <w:gridSpan w:val="5"/>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F-3</w:t>
            </w: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Stockholders’ Equity and Comprehensive Income</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F-4</w:t>
            </w:r>
          </w:p>
        </w:tc>
      </w:tr>
      <w:tr>
        <w:trPr>
          <w:trHeight w:val="196"/>
        </w:trPr>
        <w:tc>
          <w:tcPr>
            <w:tcW w:w="54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w:t>
              </w:r>
            </w:hyperlink>
          </w:p>
        </w:tc>
        <w:tc>
          <w:tcPr>
            <w:tcW w:w="4000" w:type="dxa"/>
            <w:vAlign w:val="bottom"/>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F-5</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rPr>
              <w:t>F-7</w:t>
            </w:r>
          </w:p>
        </w:tc>
      </w:tr>
      <w:tr>
        <w:trPr>
          <w:trHeight w:val="20"/>
        </w:trPr>
        <w:tc>
          <w:tcPr>
            <w:tcW w:w="2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80" w:type="dxa"/>
            <w:vAlign w:val="bottom"/>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F-30</w:t>
            </w:r>
          </w:p>
        </w:tc>
      </w:tr>
      <w:tr>
        <w:trPr>
          <w:trHeight w:val="196"/>
        </w:trPr>
        <w:tc>
          <w:tcPr>
            <w:tcW w:w="41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Financial Statement Schedule II</w:t>
              </w:r>
            </w:hyperlink>
          </w:p>
        </w:tc>
        <w:tc>
          <w:tcPr>
            <w:tcW w:w="5360" w:type="dxa"/>
            <w:vAlign w:val="bottom"/>
            <w:gridSpan w:val="2"/>
          </w:tcPr>
          <w:p>
            <w:pPr>
              <w:spacing w:after="0"/>
              <w:rPr>
                <w:sz w:val="17"/>
                <w:szCs w:val="17"/>
                <w:color w:val="auto"/>
              </w:rPr>
            </w:pPr>
          </w:p>
        </w:tc>
        <w:tc>
          <w:tcPr>
            <w:tcW w:w="1800" w:type="dxa"/>
            <w:vAlign w:val="bottom"/>
          </w:tcPr>
          <w:p>
            <w:pPr>
              <w:ind w:left="1460"/>
              <w:spacing w:after="0" w:line="196" w:lineRule="exact"/>
              <w:rPr>
                <w:sz w:val="20"/>
                <w:szCs w:val="20"/>
                <w:color w:val="auto"/>
              </w:rPr>
            </w:pPr>
            <w:r>
              <w:rPr>
                <w:rFonts w:ascii="Arial" w:cs="Arial" w:eastAsia="Arial" w:hAnsi="Arial"/>
                <w:sz w:val="18"/>
                <w:szCs w:val="18"/>
                <w:color w:val="auto"/>
                <w:w w:val="86"/>
              </w:rPr>
              <w:t>F-31</w:t>
            </w:r>
          </w:p>
        </w:tc>
      </w:tr>
      <w:tr>
        <w:trPr>
          <w:trHeight w:val="383"/>
        </w:trPr>
        <w:tc>
          <w:tcPr>
            <w:tcW w:w="20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jc w:val="center"/>
              <w:ind w:right="3432"/>
              <w:spacing w:after="0"/>
              <w:rPr>
                <w:sz w:val="20"/>
                <w:szCs w:val="20"/>
                <w:color w:val="auto"/>
              </w:rPr>
            </w:pPr>
            <w:r>
              <w:rPr>
                <w:rFonts w:ascii="Arial" w:cs="Arial" w:eastAsia="Arial" w:hAnsi="Arial"/>
                <w:sz w:val="18"/>
                <w:szCs w:val="18"/>
                <w:color w:val="auto"/>
                <w:w w:val="88"/>
              </w:rPr>
              <w:t>F-1</w:t>
            </w:r>
          </w:p>
        </w:tc>
        <w:tc>
          <w:tcPr>
            <w:tcW w:w="1800" w:type="dxa"/>
            <w:vAlign w:val="bottom"/>
          </w:tcPr>
          <w:p>
            <w:pPr>
              <w:spacing w:after="0"/>
              <w:rPr>
                <w:sz w:val="24"/>
                <w:szCs w:val="24"/>
                <w:color w:val="auto"/>
              </w:rPr>
            </w:pPr>
          </w:p>
        </w:tc>
      </w:tr>
    </w:tbl>
    <w:p>
      <w:pPr>
        <w:sectPr>
          <w:pgSz w:w="11900" w:h="16838" w:orient="portrait"/>
          <w:cols w:equalWidth="0" w:num="1">
            <w:col w:w="11280"/>
          </w:cols>
          <w:pgMar w:left="240" w:top="274"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34,612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48,071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$631 in 2006 and $96 in 2005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47,774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25,662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165,394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420"/>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15,501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6,630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191,645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39,346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18,063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Line of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57,409</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w w:val="92"/>
              </w:rPr>
              <w:t>Common stock, par value $0.001, 50,000 shares authorized, 29,743 and 29,326 shares issued and outstanding at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640"/>
              <w:spacing w:after="0"/>
              <w:rPr>
                <w:sz w:val="20"/>
                <w:szCs w:val="20"/>
                <w:color w:val="auto"/>
              </w:rPr>
            </w:pPr>
            <w:r>
              <w:rPr>
                <w:rFonts w:ascii="Arial" w:cs="Arial" w:eastAsia="Arial" w:hAnsi="Arial"/>
                <w:sz w:val="18"/>
                <w:szCs w:val="18"/>
                <w:color w:val="auto"/>
              </w:rPr>
              <w:t>December 31, 2006 and 2005, respectively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356,138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(221,901)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(222,344)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8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134,236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191,645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4" w:right="239" w:bottom="1440" w:gutter="0" w:footer="0" w:header="0"/>
        </w:sectPr>
      </w:pPr>
    </w:p>
    <w:bookmarkStart w:id="46" w:name="page47"/>
    <w:bookmarkEnd w:id="46"/>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217,972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161,736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162,749</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115,568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55,223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14,168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61,791</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35,654</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(6,568)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12,522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20" w:type="dxa"/>
            <w:vAlign w:val="bottom"/>
            <w:gridSpan w:val="2"/>
          </w:tcPr>
          <w:p>
            <w:pPr>
              <w:spacing w:after="0"/>
              <w:rPr>
                <w:sz w:val="20"/>
                <w:szCs w:val="20"/>
                <w:color w:val="auto"/>
              </w:rPr>
            </w:pPr>
            <w:r>
              <w:rPr>
                <w:rFonts w:ascii="Arial" w:cs="Arial" w:eastAsia="Arial" w:hAnsi="Arial"/>
                <w:sz w:val="18"/>
                <w:szCs w:val="18"/>
                <w:color w:val="auto"/>
              </w:rPr>
              <w:t>Net income after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and beneficial conversion features pertaining to 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Net income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of basic and diluted net income)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29,580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30,058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4" w:right="239" w:bottom="1440" w:gutter="0" w:footer="0" w:header="0"/>
        </w:sectPr>
      </w:pPr>
    </w:p>
    <w:bookmarkStart w:id="47" w:name="page48"/>
    <w:bookmarkEnd w:id="47"/>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2"/>
              </w:rPr>
              <w:t>Preferred Stock</w:t>
            </w:r>
          </w:p>
        </w:tc>
        <w:tc>
          <w:tcPr>
            <w:tcW w:w="120" w:type="dxa"/>
            <w:vAlign w:val="bottom"/>
          </w:tcPr>
          <w:p>
            <w:pPr>
              <w:spacing w:after="0"/>
              <w:rPr>
                <w:sz w:val="14"/>
                <w:szCs w:val="14"/>
                <w:color w:val="auto"/>
              </w:rPr>
            </w:pPr>
          </w:p>
        </w:tc>
        <w:tc>
          <w:tcPr>
            <w:tcW w:w="110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w w:val="95"/>
              </w:rPr>
              <w:t>Common Stock</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8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320"/>
              <w:spacing w:after="0" w:line="116"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900" w:type="dxa"/>
            <w:vAlign w:val="bottom"/>
            <w:gridSpan w:val="2"/>
          </w:tcPr>
          <w:p>
            <w:pPr>
              <w:ind w:left="40"/>
              <w:spacing w:after="0" w:line="116" w:lineRule="exact"/>
              <w:rPr>
                <w:sz w:val="20"/>
                <w:szCs w:val="20"/>
                <w:color w:val="auto"/>
              </w:rPr>
            </w:pPr>
            <w:r>
              <w:rPr>
                <w:rFonts w:ascii="Arial" w:cs="Arial" w:eastAsia="Arial" w:hAnsi="Arial"/>
                <w:sz w:val="12"/>
                <w:szCs w:val="12"/>
                <w:b w:val="1"/>
                <w:bCs w:val="1"/>
                <w:color w:val="auto"/>
              </w:rPr>
              <w:t>Deferred</w:t>
            </w:r>
          </w:p>
        </w:tc>
        <w:tc>
          <w:tcPr>
            <w:tcW w:w="960" w:type="dxa"/>
            <w:vAlign w:val="bottom"/>
            <w:gridSpan w:val="2"/>
          </w:tcPr>
          <w:p>
            <w:pPr>
              <w:ind w:left="20"/>
              <w:spacing w:after="0" w:line="116" w:lineRule="exact"/>
              <w:rPr>
                <w:sz w:val="20"/>
                <w:szCs w:val="20"/>
                <w:color w:val="auto"/>
              </w:rPr>
            </w:pPr>
            <w:r>
              <w:rPr>
                <w:rFonts w:ascii="Arial" w:cs="Arial" w:eastAsia="Arial" w:hAnsi="Arial"/>
                <w:sz w:val="12"/>
                <w:szCs w:val="12"/>
                <w:b w:val="1"/>
                <w:bCs w:val="1"/>
                <w:color w:val="auto"/>
              </w:rPr>
              <w:t>Accumulated</w:t>
            </w:r>
          </w:p>
        </w:tc>
        <w:tc>
          <w:tcPr>
            <w:tcW w:w="1040" w:type="dxa"/>
            <w:vAlign w:val="bottom"/>
            <w:gridSpan w:val="3"/>
          </w:tcPr>
          <w:p>
            <w:pPr>
              <w:jc w:val="center"/>
              <w:ind w:right="120"/>
              <w:spacing w:after="0" w:line="116" w:lineRule="exact"/>
              <w:rPr>
                <w:sz w:val="20"/>
                <w:szCs w:val="20"/>
                <w:color w:val="auto"/>
              </w:rPr>
            </w:pPr>
            <w:r>
              <w:rPr>
                <w:rFonts w:ascii="Arial" w:cs="Arial" w:eastAsia="Arial" w:hAnsi="Arial"/>
                <w:sz w:val="12"/>
                <w:szCs w:val="12"/>
                <w:b w:val="1"/>
                <w:bCs w:val="1"/>
                <w:color w:val="auto"/>
                <w:w w:val="97"/>
              </w:rPr>
              <w:t>Comprehensive</w:t>
            </w:r>
          </w:p>
        </w:tc>
        <w:tc>
          <w:tcPr>
            <w:tcW w:w="60" w:type="dxa"/>
            <w:vAlign w:val="bottom"/>
          </w:tcPr>
          <w:p>
            <w:pPr>
              <w:spacing w:after="0"/>
              <w:rPr>
                <w:sz w:val="10"/>
                <w:szCs w:val="10"/>
                <w:color w:val="auto"/>
              </w:rPr>
            </w:pPr>
          </w:p>
        </w:tc>
        <w:tc>
          <w:tcPr>
            <w:tcW w:w="98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Stockholders’</w:t>
            </w:r>
          </w:p>
        </w:tc>
        <w:tc>
          <w:tcPr>
            <w:tcW w:w="980" w:type="dxa"/>
            <w:vAlign w:val="bottom"/>
            <w:gridSpan w:val="3"/>
          </w:tcPr>
          <w:p>
            <w:pPr>
              <w:ind w:left="20"/>
              <w:spacing w:after="0" w:line="116" w:lineRule="exact"/>
              <w:rPr>
                <w:sz w:val="20"/>
                <w:szCs w:val="20"/>
                <w:color w:val="auto"/>
              </w:rPr>
            </w:pPr>
            <w:r>
              <w:rPr>
                <w:rFonts w:ascii="Arial" w:cs="Arial" w:eastAsia="Arial" w:hAnsi="Arial"/>
                <w:sz w:val="12"/>
                <w:szCs w:val="12"/>
                <w:b w:val="1"/>
                <w:bCs w:val="1"/>
                <w:color w:val="auto"/>
              </w:rPr>
              <w:t>Comprehensive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12,738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(142)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(247,134)</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Exercise of stock options and warrants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8,582</w:t>
            </w:r>
          </w:p>
        </w:tc>
        <w:tc>
          <w:tcPr>
            <w:tcW w:w="1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2"/>
              </w:rPr>
              <w:t>Tax benefit from exercise of stock options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Amortization of deferred compensation</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142</w:t>
            </w:r>
          </w:p>
        </w:tc>
        <w:tc>
          <w:tcPr>
            <w:tcW w:w="18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Accretion of dividends on Series A</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w w:val="99"/>
              </w:rPr>
              <w:t>Conversion of Series A preferred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into shares of common stock</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102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Conversion of Series B preferred stock</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into shares of common stock</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on Series B</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2"/>
              </w:rPr>
              <w:t>Issuance of common stock, net of offering</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costs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68,538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68,543</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13,819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13,819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marketable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securities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333,945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(233,460)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100,178</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Exercise of stock options and warrants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w w:val="79"/>
              </w:rPr>
              <w:t>327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6"/>
              </w:rPr>
              <w:t>Tax benefit from reversal of deferred tax</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asset valuation</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8,216</w:t>
            </w:r>
          </w:p>
        </w:tc>
        <w:tc>
          <w:tcPr>
            <w:tcW w:w="18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11,116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11,116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marketable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securities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(222,344)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121,059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Exercise of stock options and warrants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w w:val="79"/>
              </w:rPr>
              <w:t>338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10,011</w:t>
            </w:r>
          </w:p>
        </w:tc>
        <w:tc>
          <w:tcPr>
            <w:tcW w:w="1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stock options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716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Unrealized gain on marketable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00" w:type="dxa"/>
            <w:vAlign w:val="bottom"/>
          </w:tcPr>
          <w:p>
            <w:pPr>
              <w:ind w:left="640"/>
              <w:spacing w:after="0"/>
              <w:rPr>
                <w:sz w:val="20"/>
                <w:szCs w:val="20"/>
                <w:color w:val="auto"/>
              </w:rPr>
            </w:pPr>
            <w:r>
              <w:rPr>
                <w:rFonts w:ascii="Arial" w:cs="Arial" w:eastAsia="Arial" w:hAnsi="Arial"/>
                <w:sz w:val="18"/>
                <w:szCs w:val="18"/>
                <w:color w:val="auto"/>
              </w:rPr>
              <w:t>securities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333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w w:val="86"/>
              </w:rPr>
              <w:t>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2006</w:t>
            </w: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29,743</w:t>
            </w: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356,138</w:t>
            </w:r>
          </w:p>
        </w:tc>
        <w:tc>
          <w:tcPr>
            <w:tcW w:w="18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89"/>
              </w:rPr>
              <w:t>$ (221,901)</w:t>
            </w:r>
          </w:p>
        </w:tc>
        <w:tc>
          <w:tcPr>
            <w:tcW w:w="200" w:type="dxa"/>
            <w:vAlign w:val="bottom"/>
            <w:vMerge w:val="restart"/>
          </w:tcPr>
          <w:p>
            <w:pPr>
              <w:jc w:val="right"/>
              <w:ind w:right="24"/>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(31)</w:t>
            </w: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8"/>
              </w:rPr>
              <w:t>134,236</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48" w:name="page49"/>
    <w:bookmarkEnd w:id="48"/>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6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11,116</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$ 13,819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8,037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4,472</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Inventory write-offs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2,937</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Tax benefit from stock options exercised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sale of property and equipment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Amortization of deferred compensation for stock options issued below fair value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expense (benefit)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Restricted cash</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Accounts receivable,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(20,288)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(14,079)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(16,415)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(7,754)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28,274</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6,332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3,593</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Restructuring accrual</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1280"/>
              <w:spacing w:after="0"/>
              <w:rPr>
                <w:sz w:val="20"/>
                <w:szCs w:val="20"/>
                <w:color w:val="auto"/>
              </w:rPr>
            </w:pPr>
            <w:r>
              <w:rPr>
                <w:rFonts w:ascii="Arial" w:cs="Arial" w:eastAsia="Arial" w:hAnsi="Arial"/>
                <w:sz w:val="18"/>
                <w:szCs w:val="18"/>
                <w:color w:val="auto"/>
              </w:rPr>
              <w:t>Deferred revenues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(531)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12,506</w:t>
            </w: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licensed technologies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(60,758)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(43,664)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65,227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54,684</w:t>
            </w: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(4,156)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3,878</w:t>
            </w:r>
          </w:p>
        </w:tc>
        <w:tc>
          <w:tcPr>
            <w:tcW w:w="5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(payments on) line of credit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under capital lease obligations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1,031</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shares issued under the employee stock purchase plan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the issuance of common stock</w:t>
            </w: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3,783</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20,167</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36,653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16,486</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34,612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36,653</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5580"/>
              <w:spacing w:after="0"/>
              <w:rPr>
                <w:sz w:val="20"/>
                <w:szCs w:val="20"/>
                <w:color w:val="auto"/>
              </w:rPr>
            </w:pPr>
            <w:r>
              <w:rPr>
                <w:rFonts w:ascii="Arial" w:cs="Arial" w:eastAsia="Arial" w:hAnsi="Arial"/>
                <w:sz w:val="18"/>
                <w:szCs w:val="18"/>
                <w:color w:val="auto"/>
              </w:rPr>
              <w:t>F-5</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4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9" w:name="page50"/>
    <w:bookmarkEnd w:id="49"/>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8"/>
              </w:rPr>
              <w:t>Year Ended December 31,</w:t>
            </w:r>
          </w:p>
        </w:tc>
        <w:tc>
          <w:tcPr>
            <w:tcW w:w="540" w:type="dxa"/>
            <w:vAlign w:val="bottom"/>
            <w:tcBorders>
              <w:bottom w:val="single" w:sz="8" w:color="auto"/>
            </w:tcBorders>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2004</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Accretion of dividends on Series A convertible preferred stock</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Conversion of Series B preferred stock into shares of common stock</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Accretion of dividends on Series B preferred stock</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obligations</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Supplemental disclosures of cash flow information:</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paid during the year for interest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134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7020" w:type="dxa"/>
            <w:vAlign w:val="bottom"/>
          </w:tcPr>
          <w:p>
            <w:pPr>
              <w:ind w:left="880"/>
              <w:spacing w:after="0"/>
              <w:rPr>
                <w:sz w:val="20"/>
                <w:szCs w:val="20"/>
                <w:color w:val="auto"/>
              </w:rPr>
            </w:pPr>
            <w:r>
              <w:rPr>
                <w:rFonts w:ascii="Arial" w:cs="Arial" w:eastAsia="Arial" w:hAnsi="Arial"/>
                <w:sz w:val="18"/>
                <w:szCs w:val="18"/>
                <w:color w:val="auto"/>
              </w:rPr>
              <w:t>Cash paid during the year for taxes</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383</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Novatel Wireless, Inc. (the “Company”) was incorporated in 1996 under the laws of the State of Delaware. The Company is a provider of wireless broadband access solutions for the worldwide mobile communications market. The Company’s broad range of products includes 3G wireless PC card and ExpressCard modems, embedded modems, communications software and Fixed-Mobile Convergence (FMC) solutions for wireless network operators, infrastructure providers, distributors, original equipment manufacturers (OEMs), and vertical markets worldwide. Through the integration of its hardware and software, the Company’s products are designed to operate on a majority of global wireless networks and provide mobile subscribers with secure and convenient high speed access to corporate, public and personal information through the Internet and enterprise networks. The Company also offers software engineering, integration and design services to its customers to facilitate the use of its products.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materially from these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Cash and cash equivalents include highly liquid investments with original maturities of three months or less at the time of acquisition. Cash and cash equivalents consist of money market and mutual funds, U.S. government and other corporate debt securities and are recorded at market value, which approximates cost. Cash and cash equivalents balances were $34.6 million at December 31, 2006 and $36.7 million at December 31, 2005.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 Company accounts for its marketable securities in accordance with Statement of Financial Accounting Standards (“SFAS”) No. 115,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Investments in Debt and Equity Securities. </w:t>
      </w:r>
      <w:r>
        <w:rPr>
          <w:rFonts w:ascii="Arial" w:cs="Arial" w:eastAsia="Arial" w:hAnsi="Arial"/>
          <w:sz w:val="18"/>
          <w:szCs w:val="18"/>
          <w:color w:val="auto"/>
        </w:rPr>
        <w:t>All of the Company’s cash equivalents and marketable securities are treated as “available-for-sale”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SFAS No. 115. Marketable securities consist of highly liquid investments with a maturity of greater than three months when purchased. While it is the Company’s intent to hold such securities until maturity, the Company may sell certain securities for cash flow purposes. Thus, the Company’s marketable securities are classified as available-for-sale and are carried on the balance sheet at fair value with the related unrealized gains and losses included in accumulated other comprehensive income, a component of stockholders’ equity. Realized gains and losses on the sale of marketable securities are determined using the specific-identification method.</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Inventories are stated at the lower of cost (first-in, first-out method) or market. Cash flows from the sale of inventories are included in cash flows from operating activities in the consolidated statements of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274" w:right="2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Property and equipment are stated at cost and depreciated using the straight-line method. Test equipment, computer equipment and purchased software, furniture and fixtures and product tooling are depreciated over lives ranging from two to five years and leasehold improvements are depreciated over the shorter of the related lease period or useful life. Amortization of assets held under capital leases is included in depreciation expense.</w:t>
      </w:r>
    </w:p>
    <w:p>
      <w:pPr>
        <w:spacing w:after="0" w:line="10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Intangible assets include the costs of non-exclusive and perpetual worldwide software technology licenses and software development costs. License costs are amortized on a straight-line basis over the estimated useful lives of the assets, which is estimated at five years.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periodically evaluates the carrying value of the unamortized balances of its long-lived assets, including fixed and intangible assets, to determine whether impairment of these assets has occurred or whether a revision to the related amortization periods should be made. This evaluation is based on management’s projections of the discounted future cash flows associated with each class of asset. If management’s evaluation indicates that the carrying values of these assets are impaired, such impairment is recognized by a reduction of the applicable asset carrying value to its estimated fair value and expensed through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revenue is generated from the sale of wireless modems to wireless operators, OEM customers, value added resellers (VARs) and distributors and from development services contracts. Revenue from product sales is recognized upon the latest of transfer of title or shipment of the product to the customer. For product sales with acceptance provisions, revenue is recognized at such time that the acceptance provisions are satisfied. The Company records deferred revenue for cash payments received from customers in advance of when revenue recognition criteria are met. The Company grants price protection to certain customers in accordance with the provisions of the respective contracts and tracks pricing and other terms offered to customers buying similar products to assess compliance with these provisions. To date, the Company has not incurred material price protection expenses. Revenues from sales to certain customers are subject to cooperative advertising. Allowances for cooperative advertising are provided for upon revenue recognition. Such amounts are recorded as a reduction of revenue or operating expense in accordance with EITF No. 01-9. The Company establishes reserves for estimated product returns allowances in the period in which revenue is recognized. In estimating future product returns, the Company considers various relevant factors, including the Company’s stated return policies and practices and historical trends. The Company recognizes revenue in accordance with Staff Accounting Bulletin (“SAB”) No. 101, “Revenue Recognition in Financial Statements,” as amended by SAB No. 104, which provides guidance on the application of generally accepted accounting principles to selected revenue recognition issues.</w:t>
      </w:r>
    </w:p>
    <w:p>
      <w:pPr>
        <w:spacing w:after="0" w:line="124"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For its fixed price development services contracts, the Company recognizes revenue as services are rendered using labor output measures or the achievement of milestones as indicators of progress. Total estimated costs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274" w:right="27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management’s assessment of costs to complete the project including periodic assessments of the progress achieved and the costs expended to date. To the extent that estimated costs materially change, revenue and profit recorded under the associated contract is adjusted accordingly. If total costs of completion are estimated to exceed the contract value, a loss is recognized in the period the loss is identified. Total revenue recognized for development services during 2006, 2005, and 2004 amounted to zero, $500,000, and $4.0 million, respectively. Total costs of revenue incurred for development services in 2006, 2005, and 2004 amounted to zero, $200,000 and $2.9 million, respectively. The Company expects that, going forward, the level of engineering services revenue, as a percentage of total revenue, will not be significant.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2003, the Company entered into a joint development agreement containing multiple elements with one of its customers. These elements include development services and product shipments. Accordingly, the Company has separated its deliverables into units of accounting and recognized revenue on these deliverables, consistent with the provisions of Emerging Issues Task Force (“EITF”) Issue No. 00-21, “Accounting for Revenue Arrangements with Multiple Deliverables.” Accordingly, $6.2 million in cash payments received in 2003 were recorded as deferred revenue, of which approximately $5.7 million had been recognized as revenue as products were shipped or as services were rendered during 2004. The remaining $531,000 was recognized as revenue as products were shipped during 2005.</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Research and development costs are expensed as incurred. Revenue is recorded for research and development efforts that are reimbursed under development services contracts with the related costs classified as cost of revenues.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accrues warranty costs based on estimates of future warranty related replacement, repairs or rework of products. The Company’s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relevant factors, including the historical frequency and volume of claims, and the cost to replace or repair products under warranty. The warranty provision for its products is determined by using a financial model to estimate future warranty costs. The Company’s financial model takes into consideration actual product failure rates; estimated replacement, repair or rework expenses; and potential risks associated with its different products. The risk levels, warranty cost information, and failure rates used within its model are reviewed throughout the year and updated, if and when, these inputs change. The Company has not experienced significant variances in the past between its estimated and actual warranty costs. Depending on the quality of the Company’s product design and manufacturing, actual product failure rates or actual warranty costs could be materially different than its estimates, which could harm its financial condition and results of operations.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Royalty Costs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has license agreements which commit it to royalty payments generally based on a percentage of the sales price of its products using certain technologies. The Company recognizes royalty obligations in accordance with terms of the respective royalty agreements. The Company has also accrued for royalty costs in cases where its does not have agreements by using its current best estimate of its obligation. These estimates are based on various market data information and other relevant information. If the Company enters into such agreements, or when additional market data becomes available, it revises its estimates accordingly.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274"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accounts for income taxes in accordance with SFAS No. 109, “Accounting for Income Taxes,” which requires the use of the asset and liability method of accounting for deferred income taxes. Under this method, deferred income taxes are recorded to reflect the tax consequences on future years of temporary differences between the tax bases of assets and liabilities and their financial reporting amounts at each period end. If it is more likely than not that some portion or all of a deferred tax asset will not be realized, a valuation allowance is recognized.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and Hedging</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enters into derivative financial instrument contracts only for hedging purposes and accounts for them in accordance with SFAS No. 133 and its amendments SFAS No. 137, “Accounting for Derivative Instruments and Hedging Activities-Deferral of the Effective Date of FASB Statement No. 133,” SFAS No. 138, “Accounting for Certain Derivative Instruments and Certain Hedging Activities” and SFAS No. 149, “Amendment of Statement 133 on Derivative Instruments and Hedging Activities.” These derivative financial instruments consist solely of foreign currency forward exchange contracts. The purpose of these derivative instruments is to hedge the Company’s economic exposure associated with sales and asset balances denominated in Euros. The Company’s forward contracts do not qualify as accounting hedges as prescribed by SFAS No. 133. The Company marks-to-market the forward contracts and includes unrealized gains and losses in the current period as a component of other income (expense) in the consolidated statements of operations.</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December 31, 2006 the total amount of outstanding forward contracts amounted to 12 million Euros. For the years ended December 31, 2006 and 2005, the Company recorded a loss of $1.4 million and a gain of $1.8 million on its foreign currency forward exchange contracts,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Company is currently involved in certain legal proceedings. The Company estimates the range of liability related to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 Information under SFAS 123R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granted incentive stock options to employees, and restricted stock and non-qualified stock options to employees and non-employee members of the Board of Directors. The Company also has an employee stock purchase plan for all eligible employees. On January 1, 2006, the Company adopted SFAS No. 123(R), Share-Based Payment, which requires the measurement and recognition of compensation expense for all share-based payment awards made to employees and directors including stock option grants, non-vested stock grants, and purchases of stock made pursuant to the Company’s ESPP based on estimated fair values. SFAS No. 123(R) supersedes the Company’s previous accounting under Accounting Principles Board Opinion (“APB”) No. 25, Accounting for Stock Issued to Employees. In March 2005, the SEC issued Staff Accounting Bulletin (“SAB”) No. 107, and the Company has applied the provisions of SAB No. 107 in its adoption of SFAS No. 123(R).</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adopted SFAS No. 123(R) using the modified prospective transition method of recognition of compensation expense related to share-based payments, which requires the application of the accounting standard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as of January 1, 2006. In accordance with the modified prospective transition method, the Company’s consolidated financial statements for the year ended December 31, 2005 have not been restated to reflect, and do not include, the impact of SFAS No. 123(R).</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SFAS No. 123(R) requires companies to estimate the fair value of share-based payment option awards on the date of grant using an option-pricing model. The value of the awards that are ultimately expected to vest are recognized as compensation expense over the requisite service periods using the straight-line method. Prior to the adoption of SFAS No. 123(R), the Company accounted for share-based awards to employees and directors using the intrinsic value method in accordance with APB No. 25 as allowed under SFAS No. 123, Accounting for Stock-Based Compensation. Under the intrinsic value method, share-based compensation expense was only recognized by the Company if the exercise price of the grant was less than the fair market value of the underlying stock at the date of grant. No stock-based compensation expense was recorded by the Company in 2005.</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2006, total unrecognized share-based compensation cost related to unvested stock options was $10.2 million, which is expected to be recognized over a weighted average period of approximately 14 months. As of December 31, 2006, total unrecognized share-based compensation cost related to restricted stock was $1.4 million, which is expected to be recognized over a weighted average period of approximately 19 months. As of December 31, 2006, total unrecognized ESPP compensation cost related to ESPP share purchases was approximately $300,000, which is expected to be recognized over a weighted average period of approximately six months. The Company has included the following amounts for share-based compensation expense, including the cost related to the ESPP, in the consolidated statements of operations for the year ended December 31, 2006 (in thousands, except per share data):</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1"/>
        </w:trPr>
        <w:tc>
          <w:tcPr>
            <w:tcW w:w="84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2006</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23"/>
        </w:trPr>
        <w:tc>
          <w:tcPr>
            <w:tcW w:w="842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Share-based compensation expense recognized during the year ended December 31, 2006 included (1) compensation expense for awards granted prior to, but not yet fully vested as of January 1, 2006, and (2) compensation expense for the share-based payment awards granted subsequent to December 31, 2005, based on the grant date fair values estimated in accordance with the provisions of SFAS No. 123 and SFAS No. 123(R), respectively. The Company has historically disclosed and currently recognizes share-based compensation expense using the straight-line method. SFAS No. 123(R) requires forfeitures to be estimated at the time of grant and revised, if necessary, in subsequent periods if actual forfeitures differ from those estimates. In the Company’s pro forma disclosures required under SFAS No. 123 for the periods prior to 2006, the Company accounted for forfeitures as they occurred. The Company has historically and continues to estimate the fair value of share based option awards using the Black-Scholes option-pricing model.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Pro-Forma Information under SFAS No. 123 for periods Prior to Fiscal 2006</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January 1, 2006, the Company disclosed compensation cost in accordance with SFAS No. 123. The provisions of SFAS No. 123 required the Company to disclose the assumptions used in calculating the fair value pro forma expense. Had compensation expense for the plans been determined based on the fair value of the options at the grant dates for awards under the plans consistent with SFAS No. 123, the Company’s net income (loss) for years ended December 31, 2005 and 2004 would have been as follows (in thousands, except per share data):</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applicable to common stockholders, 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11,116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spacing w:after="0"/>
              <w:rPr>
                <w:sz w:val="20"/>
                <w:szCs w:val="20"/>
                <w:color w:val="auto"/>
              </w:rPr>
            </w:pPr>
            <w:r>
              <w:rPr>
                <w:rFonts w:ascii="Arial" w:cs="Arial" w:eastAsia="Arial" w:hAnsi="Arial"/>
                <w:sz w:val="18"/>
                <w:szCs w:val="18"/>
                <w:color w:val="auto"/>
                <w:w w:val="99"/>
              </w:rPr>
              <w:t>Add: Share-based employee compensation expense included in reported net income available to common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tcPr>
          <w:p>
            <w:pPr>
              <w:ind w:left="220"/>
              <w:spacing w:after="0"/>
              <w:rPr>
                <w:sz w:val="20"/>
                <w:szCs w:val="20"/>
                <w:color w:val="auto"/>
              </w:rPr>
            </w:pPr>
            <w:r>
              <w:rPr>
                <w:rFonts w:ascii="Arial" w:cs="Arial" w:eastAsia="Arial" w:hAnsi="Arial"/>
                <w:sz w:val="18"/>
                <w:szCs w:val="18"/>
                <w:color w:val="auto"/>
              </w:rPr>
              <w:t>stockholders, net of related tax benefits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w w:val="89"/>
              </w:rPr>
              <w:t>Deduct: Share-based employee compensation expense determined under the fair value based method for all awards,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related tax benefits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(18,815)</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(8,624)</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Net income (loss) applicable to common stockholders, pro forma</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20" w:type="dxa"/>
            <w:vAlign w:val="bottom"/>
            <w:vMerge w:val="continue"/>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(7,699)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 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Net income (loss) per share, Basic pro forma</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Diluted 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tcPr>
          <w:p>
            <w:pPr>
              <w:spacing w:after="0"/>
              <w:rPr>
                <w:sz w:val="20"/>
                <w:szCs w:val="20"/>
                <w:color w:val="auto"/>
              </w:rPr>
            </w:pPr>
            <w:r>
              <w:rPr>
                <w:rFonts w:ascii="Arial" w:cs="Arial" w:eastAsia="Arial" w:hAnsi="Arial"/>
                <w:sz w:val="18"/>
                <w:szCs w:val="18"/>
                <w:color w:val="auto"/>
              </w:rPr>
              <w:t>Net income (loss) per share, Diluted pro forma</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Pro forma disclosures for the year ended December 31, 2006 are not presented because the compensation expense is recorded in the consolidated statements of operations.</w:t>
      </w:r>
    </w:p>
    <w:p>
      <w:pPr>
        <w:spacing w:after="0" w:line="132"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To estimate compensation expense which would have been recognized under SFAS No. 123 for the years ended December 31, 2005 and 2004, and the compensation cost that was recognized under SFAS No. 123(R) for the year ended December 31, 2006, the Company used the Black-Scholes option-pricing model with the following weighted-average assumptions for equity awards granted: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Years Ended December 31,</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ESPP</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3.7%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66%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ESPP</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Term:</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5.5 years</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 years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years</w:t>
            </w:r>
          </w:p>
        </w:tc>
      </w:tr>
      <w:tr>
        <w:trPr>
          <w:trHeight w:val="222"/>
        </w:trPr>
        <w:tc>
          <w:tcPr>
            <w:tcW w:w="6980" w:type="dxa"/>
            <w:vAlign w:val="bottom"/>
          </w:tcPr>
          <w:p>
            <w:pPr>
              <w:ind w:left="440"/>
              <w:spacing w:after="0"/>
              <w:rPr>
                <w:sz w:val="20"/>
                <w:szCs w:val="20"/>
                <w:color w:val="auto"/>
              </w:rPr>
            </w:pPr>
            <w:r>
              <w:rPr>
                <w:rFonts w:ascii="Arial" w:cs="Arial" w:eastAsia="Arial" w:hAnsi="Arial"/>
                <w:sz w:val="18"/>
                <w:szCs w:val="18"/>
                <w:color w:val="auto"/>
              </w:rPr>
              <w:t>ESPP</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 months</w:t>
            </w:r>
          </w:p>
        </w:tc>
        <w:tc>
          <w:tcPr>
            <w:tcW w:w="42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15 months</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 months</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risk-free interest rate is based on the implied yield available on U.S. Treasury issues with an equivalent remaining term. The Company has not paid dividends in the past and currently does not plan to pay any dividends in the foreseeable future. The expected volatility is based on an average of historical and implied volatility of the Company’s stock for the related expected life. The expected term of options granted is estimated using the average of the vesting date, the contractual term and historical experience.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274" w:right="25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Computation of Net Income Per Share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SFAS No. 128, “Earnings Per Share,” requires companies to compute basic and diluted per share data for all periods for which a statement of operations is presented. Basic net income per share excludes dilution and is computed by dividing the net income applicable to common stockholders by the weighted-average number of common shares that were outstanding during the period. Diluted EPS reflects the potential dilution that could occur if securities or other contracts to issue common stock were exercised or converted into common stock. Potential dilutive securities are excluded from the diluted EPS computation in loss periods as their effect would be anti-dilutive.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accounts payable accrued expenses and line of credit approximate their fair value due to their short-term nature. The Company performs credit evaluations of key customers and management believes it is not exposed to significant credit risk on its accounts receivable in excess of established reserves.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SFAS No. 130, “Comprehensive Income,” requires that all items recognized under accounting standards as components of comprehensive income be reported with the same prominence as other financial statements. Comprehensive income consists of net earnings and unrealized gains and losses on available-for-sale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public companies to report financial and descriptive information about their reportable operating segments. The Company identifies its operating segments based on how management internally evaluates separate financial information, business activities and management responsibility. The Company operates in a single business segment consisting of the development, manufacture and sale of wireless access products.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February 2006, the FASB issued SFAS No. 155, Accounting for Certain Hybrid Instruments (“SFAS No. 155”). SFAS No. 155 amends SFAS No. 133, Accounting for Derivative Instruments and Hedging and SFAS No. 140, Accounting for Transfers and Servicing of Financial Assets and Extinguishments of Liabilities. SFAS No. 155 allows financial instruments that have embedded derivatives to be accounted for as a whole, eliminating the need to bifurcate the derivative from its host, if the holder elects to account for the whole instrument on a fair value basis. In addition, among other changes, SFAS No. 155 (i) clarifies which interest-only strips and principal-only strips are not subject to the requirements of SFAS No. 133; (ii) establishes a requirement to evaluate interests in securitized financial assets to identify interests that are freestanding derivatives or that are hybrid financial instruments that contain an embedded derivative requiring bifurcation; (iii) clarifies that concentrations of credit risk in the form of subordination are not embedded derivatives; and (iv) eliminates the prohibition on a qualifying special-purpose entity (“QSPE”) from holding a derivative financial instrument that pertains to a beneficial interest other than another derivative financial interest. SFAS No. 155 will be applied prospectively and is effective for all financial instruments acquired or issued for fiscal years beginning after September 15, 2006. SFAS No. 155 is not expected to have a material impact on the Company’s consolidated financial statements.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274" w:right="2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July 2006, the FASB issued FASB Interpretation No. 48, Accounting for Uncertainty in Income Taxes—an interpretation of FASB Statement No. 109 (“FIN 48”) and is effective for fiscal years beginning after December 15, 2006. FIN 48 clarifies the accounting for uncertainties in income taxes recognized in accordance with SFAS No. 109, “Accounting for Income Taxes” by prescribing guidance for the recognition, derecognition and measurement in financial statements of income tax positions taken in previously filed tax returns or tax positions expected to be taken in tax returns, including a decision whether to file or not to file in a particular jurisdiction. FIN 48 requires that any liability created for unrecognized tax benefits be disclosed. The application of FIN 48 may also affect the tax bases of assets and liabilities and therefore may change or create deferred tax liabilities or assets. The Company will be required to adopt FIN 48 as of January 1, 2007. If there are changes in the net assets of the Company as a result of the application of FIN 48, the cumulative effects, if any, will be recorded as an adjustment to retained earnings. The Company is currently evaluating the impact of its adoption of FIN 48 and has not yet determined the effect on its earnings or financial position.</w:t>
      </w:r>
    </w:p>
    <w:p>
      <w:pPr>
        <w:spacing w:after="0" w:line="12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September 2006, the FASB issued SFAS No. 157, “Fair Value Measurements”, which is effective for fiscal years beginning after November 15, 2007. SFAS No.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No. 157 does not require any new fair value measurements. However, for some entities, the application of this Statement will change current practice. This Statement is effective for the Company on January 1, 2008. The Company is currently evaluating the impact of its adoption of SFAS No. 157 and has not yet determined the effect on its earnings or financial position.</w:t>
      </w:r>
    </w:p>
    <w:p>
      <w:pPr>
        <w:spacing w:after="0" w:line="23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2006</w:t>
            </w: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 in</w:t>
            </w: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4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8"/>
        </w:trPr>
        <w:tc>
          <w:tcPr>
            <w:tcW w:w="4960" w:type="dxa"/>
            <w:vAlign w:val="bottom"/>
            <w:gridSpan w:val="2"/>
            <w:vMerge w:val="continue"/>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Years</w:t>
            </w:r>
          </w:p>
        </w:tc>
        <w:tc>
          <w:tcPr>
            <w:tcW w:w="4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Cost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4,249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Asset backed</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1 or less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Corporate debenture/bonds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1 or less</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short-term marketable securities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w w:val="99"/>
              </w:rPr>
              <w:t>Corporate debentures/bonds—long-term marketable securities</w:t>
            </w: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88"/>
              </w:rPr>
              <w:t>1 to 2</w:t>
            </w: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$ 49,598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2005</w:t>
            </w: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 in</w:t>
            </w: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4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48"/>
        </w:trPr>
        <w:tc>
          <w:tcPr>
            <w:tcW w:w="4960" w:type="dxa"/>
            <w:vAlign w:val="bottom"/>
            <w:gridSpan w:val="2"/>
            <w:vMerge w:val="continue"/>
          </w:tcPr>
          <w:p>
            <w:pPr>
              <w:spacing w:after="0"/>
              <w:rPr>
                <w:sz w:val="12"/>
                <w:szCs w:val="12"/>
                <w:color w:val="auto"/>
              </w:rPr>
            </w:pPr>
          </w:p>
        </w:tc>
        <w:tc>
          <w:tcPr>
            <w:tcW w:w="2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Years</w:t>
            </w:r>
          </w:p>
        </w:tc>
        <w:tc>
          <w:tcPr>
            <w:tcW w:w="4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Cost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$ 11,781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Corporate bonds</w:t>
            </w:r>
          </w:p>
        </w:tc>
        <w:tc>
          <w:tcPr>
            <w:tcW w:w="2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5"/>
              </w:rPr>
              <w:t>1 or less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27,986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or less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420"/>
              <w:spacing w:after="0"/>
              <w:rPr>
                <w:sz w:val="20"/>
                <w:szCs w:val="20"/>
                <w:color w:val="auto"/>
              </w:rPr>
            </w:pPr>
            <w:r>
              <w:rPr>
                <w:rFonts w:ascii="Arial" w:cs="Arial" w:eastAsia="Arial" w:hAnsi="Arial"/>
                <w:sz w:val="18"/>
                <w:szCs w:val="18"/>
                <w:color w:val="auto"/>
              </w:rPr>
              <w:t>Total short-term marketable securities</w:t>
            </w: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47,075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bonds—long-term marketable securities</w:t>
            </w:r>
          </w:p>
        </w:tc>
        <w:tc>
          <w:tcPr>
            <w:tcW w:w="2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$ 54,050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$ 53,686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40" w:type="dxa"/>
            <w:vAlign w:val="bottom"/>
            <w:gridSpan w:val="3"/>
            <w:vMerge w:val="restart"/>
          </w:tcPr>
          <w:p>
            <w:pPr>
              <w:ind w:left="580"/>
              <w:spacing w:after="0"/>
              <w:rPr>
                <w:sz w:val="20"/>
                <w:szCs w:val="20"/>
                <w:color w:val="auto"/>
              </w:rPr>
            </w:pPr>
            <w:r>
              <w:rPr>
                <w:rFonts w:ascii="Arial" w:cs="Arial" w:eastAsia="Arial" w:hAnsi="Arial"/>
                <w:sz w:val="18"/>
                <w:szCs w:val="18"/>
                <w:color w:val="auto"/>
              </w:rPr>
              <w:t>F-14</w:t>
            </w: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2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unrealized losses for the years ended December 31, 2006 and 2005, of $48,000, or $31,000 net of taxes, and $364,000, respectively, are the result of market conditions affecting fixed-income securities and are included in accumulated other comprehensive loss in the consolidated balance sheets.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2006, the Company did not have any investments in individual securities that have been in a continuous unrealized loss position deemed to be temporary for more than 12 months. Because the Company’s general intent is to hold its investment securities to maturity, and considering the high quality of the investment securities, the Company is confident that the unrealized losses at December 31, 2006 represent a temporary condition and will not result in realized losses on sale or maturity of the securities.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3.</w:t>
            </w:r>
          </w:p>
        </w:tc>
        <w:tc>
          <w:tcPr>
            <w:tcW w:w="8840" w:type="dxa"/>
            <w:vAlign w:val="bottom"/>
            <w:gridSpan w:val="2"/>
          </w:tcPr>
          <w:p>
            <w:pPr>
              <w:ind w:left="280"/>
              <w:spacing w:after="0"/>
              <w:rPr>
                <w:sz w:val="20"/>
                <w:szCs w:val="20"/>
                <w:color w:val="auto"/>
              </w:rPr>
            </w:pPr>
            <w:r>
              <w:rPr>
                <w:rFonts w:ascii="Arial" w:cs="Arial" w:eastAsia="Arial" w:hAnsi="Arial"/>
                <w:sz w:val="18"/>
                <w:szCs w:val="18"/>
                <w:b w:val="1"/>
                <w:bCs w:val="1"/>
                <w:color w:val="auto"/>
              </w:rPr>
              <w:t>Financial Statement Details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840" w:type="dxa"/>
            <w:vAlign w:val="bottom"/>
            <w:gridSpan w:val="2"/>
          </w:tcPr>
          <w:p>
            <w:pPr>
              <w:ind w:left="60"/>
              <w:spacing w:after="0"/>
              <w:rPr>
                <w:sz w:val="20"/>
                <w:szCs w:val="20"/>
                <w:color w:val="auto"/>
              </w:rPr>
            </w:pPr>
            <w:r>
              <w:rPr>
                <w:rFonts w:ascii="Arial" w:cs="Arial" w:eastAsia="Arial" w:hAnsi="Arial"/>
                <w:sz w:val="18"/>
                <w:szCs w:val="18"/>
                <w:i w:val="1"/>
                <w:iCs w:val="1"/>
                <w:color w:val="auto"/>
              </w:rPr>
              <w:t>Inventories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840" w:type="dxa"/>
            <w:vAlign w:val="bottom"/>
            <w:gridSpan w:val="2"/>
          </w:tcPr>
          <w:p>
            <w:pPr>
              <w:ind w:left="280"/>
              <w:spacing w:after="0"/>
              <w:rPr>
                <w:sz w:val="20"/>
                <w:szCs w:val="20"/>
                <w:color w:val="auto"/>
              </w:rPr>
            </w:pPr>
            <w:r>
              <w:rPr>
                <w:rFonts w:ascii="Arial" w:cs="Arial" w:eastAsia="Arial" w:hAnsi="Arial"/>
                <w:sz w:val="18"/>
                <w:szCs w:val="18"/>
                <w:color w:val="auto"/>
              </w:rPr>
              <w:t>Inventories consist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gridSpan w:val="2"/>
          </w:tcPr>
          <w:p>
            <w:pPr>
              <w:spacing w:after="0"/>
              <w:rPr>
                <w:sz w:val="12"/>
                <w:szCs w:val="12"/>
                <w:color w:val="auto"/>
              </w:rPr>
            </w:pPr>
          </w:p>
        </w:tc>
        <w:tc>
          <w:tcPr>
            <w:tcW w:w="5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$ 25,059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$ 20,325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60" w:type="dxa"/>
            <w:vAlign w:val="bottom"/>
            <w:gridSpan w:val="2"/>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603</w:t>
            </w:r>
          </w:p>
        </w:tc>
        <w:tc>
          <w:tcPr>
            <w:tcW w:w="42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$ 25,662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$ 23,132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40" w:type="dxa"/>
            <w:vAlign w:val="bottom"/>
            <w:gridSpan w:val="2"/>
            <w:vMerge w:val="restart"/>
          </w:tcPr>
          <w:p>
            <w:pPr>
              <w:ind w:left="60"/>
              <w:spacing w:after="0"/>
              <w:rPr>
                <w:sz w:val="20"/>
                <w:szCs w:val="20"/>
                <w:color w:val="auto"/>
              </w:rPr>
            </w:pPr>
            <w:r>
              <w:rPr>
                <w:rFonts w:ascii="Arial" w:cs="Arial" w:eastAsia="Arial" w:hAnsi="Arial"/>
                <w:sz w:val="18"/>
                <w:szCs w:val="18"/>
                <w:i w:val="1"/>
                <w:iCs w:val="1"/>
                <w:color w:val="auto"/>
              </w:rPr>
              <w:t>Property and Equipment</w:t>
            </w: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80" w:type="dxa"/>
            <w:vAlign w:val="bottom"/>
          </w:tcPr>
          <w:p>
            <w:pPr>
              <w:spacing w:after="0"/>
              <w:rPr>
                <w:sz w:val="24"/>
                <w:szCs w:val="24"/>
                <w:color w:val="auto"/>
              </w:rPr>
            </w:pPr>
          </w:p>
        </w:tc>
        <w:tc>
          <w:tcPr>
            <w:tcW w:w="88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8840" w:type="dxa"/>
            <w:vAlign w:val="bottom"/>
            <w:gridSpan w:val="2"/>
          </w:tcPr>
          <w:p>
            <w:pPr>
              <w:ind w:left="280"/>
              <w:spacing w:after="0"/>
              <w:rPr>
                <w:sz w:val="20"/>
                <w:szCs w:val="20"/>
                <w:color w:val="auto"/>
              </w:rPr>
            </w:pPr>
            <w:r>
              <w:rPr>
                <w:rFonts w:ascii="Arial" w:cs="Arial" w:eastAsia="Arial" w:hAnsi="Arial"/>
                <w:sz w:val="18"/>
                <w:szCs w:val="18"/>
                <w:color w:val="auto"/>
              </w:rPr>
              <w:t>Property and equipment consists of the following (in thousands):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Test equipment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$ 20,767</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$ 17,053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9,896</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Product tooling</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1,448</w:t>
            </w:r>
          </w:p>
        </w:tc>
        <w:tc>
          <w:tcPr>
            <w:tcW w:w="2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37,637</w:t>
            </w:r>
          </w:p>
        </w:tc>
        <w:tc>
          <w:tcPr>
            <w:tcW w:w="2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29,511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Less—accumulated depreciation and amortization</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8"/>
              </w:rPr>
              <w:t>(22,136)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(15,646)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$ 15,501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$ 13,865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60" w:type="dxa"/>
            <w:vAlign w:val="bottom"/>
            <w:gridSpan w:val="3"/>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10800" w:type="dxa"/>
            <w:vAlign w:val="bottom"/>
            <w:gridSpan w:val="10"/>
          </w:tcPr>
          <w:p>
            <w:pPr>
              <w:ind w:left="280"/>
              <w:spacing w:after="0"/>
              <w:rPr>
                <w:sz w:val="20"/>
                <w:szCs w:val="20"/>
                <w:color w:val="auto"/>
              </w:rPr>
            </w:pPr>
            <w:r>
              <w:rPr>
                <w:rFonts w:ascii="Arial" w:cs="Arial" w:eastAsia="Arial" w:hAnsi="Arial"/>
                <w:sz w:val="18"/>
                <w:szCs w:val="18"/>
                <w:color w:val="auto"/>
                <w:w w:val="91"/>
              </w:rPr>
              <w:t>Depreciation and amortization expense was $6.5 million, $2.9 million, and $1.8 million for the years ended December 31, 2006, 2005, and 2004,</w:t>
            </w:r>
          </w:p>
        </w:tc>
        <w:tc>
          <w:tcPr>
            <w:tcW w:w="0" w:type="dxa"/>
            <w:vAlign w:val="bottom"/>
          </w:tcPr>
          <w:p>
            <w:pPr>
              <w:spacing w:after="0"/>
              <w:rPr>
                <w:sz w:val="1"/>
                <w:szCs w:val="1"/>
                <w:color w:val="auto"/>
              </w:rPr>
            </w:pPr>
          </w:p>
        </w:tc>
      </w:tr>
    </w:tbl>
    <w:p>
      <w:pPr>
        <w:ind w:right="240"/>
        <w:spacing w:after="0" w:line="261" w:lineRule="auto"/>
        <w:rPr>
          <w:sz w:val="20"/>
          <w:szCs w:val="20"/>
          <w:color w:val="auto"/>
        </w:rPr>
      </w:pPr>
      <w:r>
        <w:rPr>
          <w:rFonts w:ascii="Arial" w:cs="Arial" w:eastAsia="Arial" w:hAnsi="Arial"/>
          <w:sz w:val="18"/>
          <w:szCs w:val="18"/>
          <w:color w:val="auto"/>
        </w:rPr>
        <w:t>respectively. At December 31, 2006 and 2005, assets held under capital leases had a net book value of zero and $6.6 million, respectively, net of accumulated amortization of zero and $1.1 million, respectively.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00"/>
          </w:cols>
          <w:pgMar w:left="240" w:top="274" w:right="359" w:bottom="1440" w:gutter="0" w:footer="0" w:header="0"/>
        </w:sectPr>
      </w:pPr>
    </w:p>
    <w:bookmarkStart w:id="59" w:name="page60"/>
    <w:bookmarkEnd w:id="59"/>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HSDPA, UMTS, and GPRS licenses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$ 4,735</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$ 4,535</w:t>
            </w:r>
          </w:p>
        </w:tc>
        <w:tc>
          <w:tcPr>
            <w:tcW w:w="6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EV-DO and CDMA licenses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6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6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Less—accumulated amortization</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(7,034)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(5,486)</w:t>
            </w:r>
          </w:p>
        </w:tc>
      </w:tr>
      <w:tr>
        <w:trPr>
          <w:trHeight w:val="27"/>
        </w:trPr>
        <w:tc>
          <w:tcPr>
            <w:tcW w:w="8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$ 2,411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$ 3,459</w:t>
            </w:r>
          </w:p>
        </w:tc>
        <w:tc>
          <w:tcPr>
            <w:tcW w:w="60" w:type="dxa"/>
            <w:vAlign w:val="bottom"/>
            <w:shd w:val="clear" w:color="auto" w:fill="CCEEFF"/>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Amortization expense relating to intangible licenses was $1.5 million, $1.6 million and $1.8 million for the years ended December 31, 2006, 2005 and 2004,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estimated amortization expense over the following five-year period is as follows (in thousands):</w:t>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2008</w:t>
            </w:r>
          </w:p>
        </w:tc>
        <w:tc>
          <w:tcPr>
            <w:tcW w:w="4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568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2010</w:t>
            </w:r>
          </w:p>
        </w:tc>
        <w:tc>
          <w:tcPr>
            <w:tcW w:w="4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5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2,411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00" w:type="dxa"/>
            <w:vAlign w:val="bottom"/>
            <w:gridSpan w:val="3"/>
            <w:vMerge w:val="continue"/>
          </w:tcPr>
          <w:p>
            <w:pPr>
              <w:spacing w:after="0"/>
              <w:rPr>
                <w:sz w:val="24"/>
                <w:szCs w:val="24"/>
                <w:color w:val="auto"/>
              </w:rPr>
            </w:pPr>
          </w:p>
        </w:tc>
        <w:tc>
          <w:tcPr>
            <w:tcW w:w="4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0" w:type="dxa"/>
            <w:vAlign w:val="bottom"/>
            <w:gridSpan w:val="3"/>
          </w:tcPr>
          <w:p>
            <w:pPr>
              <w:ind w:left="220"/>
              <w:spacing w:after="0"/>
              <w:rPr>
                <w:sz w:val="20"/>
                <w:szCs w:val="20"/>
                <w:color w:val="auto"/>
              </w:rPr>
            </w:pPr>
            <w:r>
              <w:rPr>
                <w:rFonts w:ascii="Arial" w:cs="Arial" w:eastAsia="Arial" w:hAnsi="Arial"/>
                <w:sz w:val="18"/>
                <w:szCs w:val="18"/>
                <w:color w:val="auto"/>
                <w:w w:val="99"/>
              </w:rPr>
              <w:t>Accrued expenses consist of the following (in thousands):</w:t>
            </w:r>
          </w:p>
        </w:tc>
        <w:tc>
          <w:tcPr>
            <w:tcW w:w="4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0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Royalties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Payroll and related</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4,947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Product warranty</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 protection and sales returns allowance</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Restructuring Accrual</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$ 18,063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11,888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020" w:type="dxa"/>
            <w:vAlign w:val="bottom"/>
            <w:gridSpan w:val="4"/>
          </w:tcPr>
          <w:p>
            <w:pPr>
              <w:jc w:val="right"/>
              <w:ind w:right="4180"/>
              <w:spacing w:after="0"/>
              <w:rPr>
                <w:sz w:val="20"/>
                <w:szCs w:val="20"/>
                <w:color w:val="auto"/>
              </w:rPr>
            </w:pPr>
            <w:r>
              <w:rPr>
                <w:rFonts w:ascii="Arial" w:cs="Arial" w:eastAsia="Arial" w:hAnsi="Arial"/>
                <w:sz w:val="18"/>
                <w:szCs w:val="18"/>
                <w:color w:val="auto"/>
              </w:rPr>
              <w:t>F-16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74" w:right="639" w:bottom="1440" w:gutter="0" w:footer="0" w:header="0"/>
        </w:sectPr>
      </w:pPr>
    </w:p>
    <w:bookmarkStart w:id="60" w:name="page61"/>
    <w:bookmarkEnd w:id="6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Company reduced its operating costs from 2001 through 2003, primarily through employee layoffs and facility consolidations. No restructuring charges were recorded during 2006, 2005 and 2004. The remaining accrual at December 31, 2006 and 2005 consists solely of lease obligations from exited facilities.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the activity and balances of the restructuring accrual from January 1, 2005 to December 31, 2006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Facility</w:t>
            </w:r>
          </w:p>
        </w:tc>
      </w:tr>
      <w:tr>
        <w:trPr>
          <w:trHeight w:val="161"/>
        </w:trPr>
        <w:tc>
          <w:tcPr>
            <w:tcW w:w="902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1"/>
              </w:rPr>
              <w:t>Closings</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Net cash payments</w:t>
            </w: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(240)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2005</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Net cash payments</w:t>
            </w: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(205)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2006</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payments for facility consolidations of $128,000 are expected to be paid ratably over the next 9 months.</w:t>
      </w:r>
    </w:p>
    <w:p>
      <w:pPr>
        <w:spacing w:after="0" w:line="28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Per Share</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Basic earnings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Potentially dilutive securities (currently consisting of options, warrants and restricted stock using the treasury stock method) are excluded from the diluted EPS computation in loss periods and when their exercise price is greater than the market price as their effect would be anti-dilutive. In addition, convertible and redeemable preferred stock were considered in the calculation of diluted earnings per share for 2004. The difference between net income and net loss applicable to common stockholders consists of accretion of dividends on convertible and redeemable preferred stock and amortization of offering costs for convertible and redeemable preferred stock (see Note 5).</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00"/>
          </w:cols>
          <w:pgMar w:left="240" w:top="274" w:right="3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 average common and potential common shares outstanding for the years ended December 31, 2006, 2005 and 2004, respectively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w w:val="85"/>
              </w:rPr>
              <w:t>Years Ended December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6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2"/>
                <w:szCs w:val="12"/>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23,969</w:t>
            </w:r>
          </w:p>
        </w:tc>
        <w:tc>
          <w:tcPr>
            <w:tcW w:w="20" w:type="dxa"/>
            <w:vAlign w:val="bottom"/>
          </w:tcPr>
          <w:p>
            <w:pPr>
              <w:spacing w:after="0"/>
              <w:rPr>
                <w:sz w:val="18"/>
                <w:szCs w:val="18"/>
                <w:color w:val="auto"/>
              </w:rPr>
            </w:pPr>
          </w:p>
        </w:tc>
      </w:tr>
      <w:tr>
        <w:trPr>
          <w:trHeight w:val="322"/>
        </w:trPr>
        <w:tc>
          <w:tcPr>
            <w:tcW w:w="79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Options</w:t>
            </w: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0" w:type="dxa"/>
            <w:vAlign w:val="bottom"/>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640" w:type="dxa"/>
            <w:vAlign w:val="bottom"/>
          </w:tcPr>
          <w:p>
            <w:pPr>
              <w:jc w:val="right"/>
              <w:spacing w:after="0"/>
              <w:rPr>
                <w:sz w:val="20"/>
                <w:szCs w:val="20"/>
                <w:color w:val="auto"/>
              </w:rPr>
            </w:pPr>
            <w:r>
              <w:rPr>
                <w:rFonts w:ascii="Arial" w:cs="Arial" w:eastAsia="Arial" w:hAnsi="Arial"/>
                <w:sz w:val="18"/>
                <w:szCs w:val="18"/>
                <w:color w:val="auto"/>
              </w:rPr>
              <w:t>30,058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30,319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28,863</w:t>
            </w:r>
          </w:p>
        </w:tc>
      </w:tr>
      <w:tr>
        <w:trPr>
          <w:trHeight w:val="20"/>
        </w:trPr>
        <w:tc>
          <w:tcPr>
            <w:tcW w:w="7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Weighted average options and warrants to purchase a total of 4,503,911, 3,151,709, and 899,418 shares of common stock for the years ended December 31, 2006, 2005 and 2004 respectively, were outstanding but not included in the computation of diluted earnings per share as their effect was anti-dilutive.</w:t>
      </w:r>
    </w:p>
    <w:p>
      <w:pPr>
        <w:spacing w:after="0" w:line="201" w:lineRule="exact"/>
        <w:rPr>
          <w:sz w:val="20"/>
          <w:szCs w:val="20"/>
          <w:color w:val="auto"/>
        </w:rPr>
      </w:pPr>
    </w:p>
    <w:p>
      <w:pPr>
        <w:ind w:left="240" w:right="9360" w:hanging="232"/>
        <w:spacing w:after="0" w:line="347" w:lineRule="auto"/>
        <w:tabs>
          <w:tab w:leader="none" w:pos="45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Financing</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2004, the Company completed an underwritten registered, public equity offering transaction, raising approximately $61.0 million, net of offering costs and underwriters’ commissions of approximately $4.9 million, upon the issuance of 4,250,000 shares of the Company’s common stock. Additionally, in conjunction with this offering, the remaining 4,703 shares of the Company’s Series B preferred stock, including accrued dividends, were converted into 7,059,127 shares of common stock, of which 1,750,000 were sold by selling stockholders as part of the equity offering transaction. Net proceeds to the selling shareholders from the sale of these shares amounted to approximately $25.7 million.</w:t>
      </w:r>
    </w:p>
    <w:p>
      <w:pPr>
        <w:spacing w:after="0" w:line="14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January 2004, the Company raised proceeds of approximately $7.5 million, net of fees to the placement agent and offering costs, from the issuance of 1,142,855 shares of common stock in a private placement transaction. Warrants to acquire 228,565 common shares at a price of $8.83 per share, expiring on January 15, 2009 and exercisable at anytime prior to expiration, were also issued in conjunction with this offering.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has issued warrants to purchase shares of the Company’s capital stock to various investors and lenders as approved by its board of directors.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274" w:right="2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warrant activity is as follows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2005</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2004</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8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4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1"/>
              </w:rPr>
              <w:t>of Shares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3"/>
              </w:rPr>
              <w:t>of Shares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1"/>
              </w:rPr>
              <w:t>of Shares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208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7.91</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(518)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Exercised</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w w:val="87"/>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3.60</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(1,979)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172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8.83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2004, the Company received aggregate proceeds of approximately $3.7 million in connection with the issuance of 1,944,629 shares of common stock upon the exercise of certain outstanding warrants. Of the warrants exercised during 2004, a total of 39,636 shares of common stock were issued as a result of the cashless exercise of 73,851 warrants at a weighted average exercise price of $7.97 per share.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Private Placement Transaction in January 2004, the Company issued warrants to buy 228,565 shares of common stock. These warrants may be exercised at $8.83 per share at any time up to January 15, 2009. Under the fair value method, the value of these warrants at the date of issuance was nominal and, accordingly, no value has been assigned to them.</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connection with the Private Placement Transactions in March and May 2003, the Company issued warrants to buy 2,841,072 shares of common stock. These warrants may be exercised at $0.70 per share at any time up to September 12, 2008 with respect to 857,141 warrants and November 14, 2008 with respect to 1,983,931 warrants. Under the fair value method, the value of these warrants at the date of issuance was determined using the Black-Scholes option-pricing model with the following assumptions: risk free interest rate of 3.5%, volatility of 116% and expected lives of four years. The proceeds from the Private Placement Transactions allocable to the warrants was $1.4 million which was recorded as a component of Additional Paid-in Capital, and was determined based on the relative fair values of the debt securities issued and warrants granted.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for future issuance as of December 31, 2006 as follows (in thousands):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Stock options available for future grant</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1,120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Stock warrants outstanding</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w w:val="92"/>
              </w:rPr>
              <w:t>Shares available under the Employee Stock Purchase Plan</w:t>
            </w:r>
          </w:p>
        </w:tc>
        <w:tc>
          <w:tcPr>
            <w:tcW w:w="47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Total reserved shares for issuance of common stock</w:t>
            </w:r>
          </w:p>
        </w:tc>
        <w:tc>
          <w:tcPr>
            <w:tcW w:w="47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w:t>
            </w:r>
          </w:p>
        </w:tc>
      </w:tr>
      <w:tr>
        <w:trPr>
          <w:trHeight w:val="20"/>
        </w:trPr>
        <w:tc>
          <w:tcPr>
            <w:tcW w:w="43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5220" w:type="dxa"/>
            <w:vAlign w:val="bottom"/>
            <w:gridSpan w:val="2"/>
          </w:tcPr>
          <w:p>
            <w:pPr>
              <w:jc w:val="right"/>
              <w:ind w:right="4532"/>
              <w:spacing w:after="0"/>
              <w:rPr>
                <w:sz w:val="20"/>
                <w:szCs w:val="20"/>
                <w:color w:val="auto"/>
              </w:rPr>
            </w:pPr>
            <w:r>
              <w:rPr>
                <w:rFonts w:ascii="Arial" w:cs="Arial" w:eastAsia="Arial" w:hAnsi="Arial"/>
                <w:sz w:val="18"/>
                <w:szCs w:val="18"/>
                <w:color w:val="auto"/>
              </w:rPr>
              <w:t>F-19</w:t>
            </w:r>
          </w:p>
        </w:tc>
      </w:tr>
    </w:tbl>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Applicable to Common Stockholders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net income to net income applicable to common stockholders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26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2005</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Adjustments to net income used in computing basic and diluted net income applicable to common stockholders: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dividends on Series A preferred stock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Accretion of dividends on Series B Preferred Stock</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36"/>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color w:val="auto"/>
              </w:rPr>
              <w:t>Net income available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60" w:type="dxa"/>
            <w:vAlign w:val="bottom"/>
            <w:gridSpan w:val="3"/>
            <w:vMerge w:val="continue"/>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443</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11,116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w:t>
            </w:r>
          </w:p>
        </w:tc>
        <w:tc>
          <w:tcPr>
            <w:tcW w:w="89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Stock Option and Employee Stock Purchase Plans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80" w:type="dxa"/>
            <w:vAlign w:val="bottom"/>
            <w:gridSpan w:val="2"/>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80" w:type="dxa"/>
            <w:vAlign w:val="bottom"/>
          </w:tcPr>
          <w:p>
            <w:pPr>
              <w:ind w:left="60"/>
              <w:spacing w:after="0"/>
              <w:rPr>
                <w:sz w:val="20"/>
                <w:szCs w:val="20"/>
                <w:color w:val="auto"/>
              </w:rPr>
            </w:pPr>
            <w:r>
              <w:rPr>
                <w:rFonts w:ascii="Arial" w:cs="Arial" w:eastAsia="Arial" w:hAnsi="Arial"/>
                <w:sz w:val="18"/>
                <w:szCs w:val="18"/>
                <w:i w:val="1"/>
                <w:iCs w:val="1"/>
                <w:color w:val="auto"/>
              </w:rPr>
              <w:t>Stock Option Plans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Company’s amended and restated 1997 employee stock option plan (the “1997 Plan”) for employees authorizes the granting of options for up to 800,000 shares of the Company’s common stock. Generally, options are to be granted at prices equal to at least 100% of the fair value of the stock on the date of grant, expire not later than ten years from the date of grant and vest ratably and annually over a four-year period following the date of grant. From time to time, as approved by the Company’s Board of Directors, options with differing vesting terms have also been granted. The 1997 Plan provides that any shares issued come from the Company’s authorized but unissued or reacquired common stock. In September, 2000 the Company suspended making any further grants pursuant to the 1997 Plan and contributed the remaining shares then reserved for issuance under such plan to the 2000 Stock Incentive Plan (the “2000 Plan”).</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July 2000, the Company’s Board of Directors approved and in September 2000, the Company’s stockholders approved the 2000 Plan authorizing the granting of options for up to 1,100,000 shares of the Company’s common stock, including the 800,000 shares authorized under the 1997 Plan, plus an automatic annual increase, to be added on the first day of the fiscal year beginning in 2001, equal to the lesser of (a) 3.0% of the outstanding shares on the last day of the prior fiscal year, (b) 100,000 shares, or (c) such lesser number of shares as may be determined by the Board in its sole discretion. The Company implemented the 2000 Plan upon the effective date of the Company’s initial public offering in November 2000. The Compensation Committee of the Company’s Board of Directors administers the 2000 Plan. Options granted under the 2000 Plan typically vest over either a three or a four year period.</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June 2003, the stockholders of the Company approved the amendment of the 2000 Plan to increase the number of shares reserved for issuance under the plan by 4,222,743 shares of the Company’s common stock. In June 2004, the stockholders of the Company approved the amendment of the 2000 Plan to increase the number of shares reserved for issuance under the plan by an additional 2,000,000 shares of the Company’s common stock.</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July 2005, the stockholders of the Company approved the amendment of the 2000 Plan to increase the number of shares reserved for issuance under the plan by 1,500,000 shares of the Company’s common stock, and eliminate a provision from the plan that provides for the automatic annual increase in the number of shares reserved for issuance effective in 2006. The Company’s stockholders also voted to remove a provision from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7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2000 plan that permitted the repricing of the exercise prices with respect to stock options or stock appreciation rights.</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On December 29, 2005, the Company’s Board of Directors authorized and approved the acceleration of vesting of certain unvested “out-of-the-money” stock options outstanding under the 2000 Plan that have exercise prices per share of $18.00 or higher. As a result, options to purchase approximately 550,000 shares of the Company’s common stock became fully vested and exercisable immediately. Options held by officers and directors of the Company were not included in the vesting acceleration. The acceleration of the vesting of these stock options eliminates future compensation expense that the Company would otherwise have to recognize in its consolidated statement of operations with respect to such options when SFAS No. 123(R) becomes effective for the Company in the first quarter of 2006. As a result of the acceleration, the Company expects to reduce the stock option expense it otherwise would be required to record by approximately $6.9 million beginning in 2006 on a pre-tax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is as follows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Options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52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Options</w:t>
            </w: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780" w:type="dxa"/>
            <w:vAlign w:val="bottom"/>
          </w:tcPr>
          <w:p>
            <w:pPr>
              <w:spacing w:after="0"/>
              <w:rPr>
                <w:sz w:val="15"/>
                <w:szCs w:val="15"/>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for Grant</w:t>
            </w:r>
          </w:p>
        </w:tc>
        <w:tc>
          <w:tcPr>
            <w:tcW w:w="1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New authorized options</w:t>
            </w: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(1,702)</w:t>
            </w:r>
          </w:p>
        </w:tc>
        <w:tc>
          <w:tcPr>
            <w:tcW w:w="136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Options outstanding December 31, 2004</w:t>
            </w: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4,449</w:t>
            </w:r>
          </w:p>
        </w:tc>
        <w:tc>
          <w:tcPr>
            <w:tcW w:w="7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authorized options</w:t>
            </w: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1,749</w:t>
            </w:r>
          </w:p>
        </w:tc>
        <w:tc>
          <w:tcPr>
            <w:tcW w:w="7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w:t>
            </w: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(427)</w:t>
            </w: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December 31, 2005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798</w:t>
            </w:r>
          </w:p>
        </w:tc>
        <w:tc>
          <w:tcPr>
            <w:tcW w:w="78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(301)</w:t>
            </w: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(481)</w:t>
            </w: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 issuances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Options outstanding December 31, 2006</w:t>
            </w: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5,460</w:t>
            </w:r>
          </w:p>
        </w:tc>
        <w:tc>
          <w:tcPr>
            <w:tcW w:w="780" w:type="dxa"/>
            <w:vAlign w:val="bottom"/>
          </w:tcPr>
          <w:p>
            <w:pPr>
              <w:spacing w:after="0"/>
              <w:rPr>
                <w:sz w:val="19"/>
                <w:szCs w:val="19"/>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December 31, 2004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2005</w:t>
            </w: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3,171</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Exercisable, December 31, 2006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2006, the total pre-tax intrinsic value of options exercised to purchase common stock was approximately $2.3 million, and the weighted average fair value of options to purchase common stock that were granted was $6.48. During the year ended December 31, 2005, the total pre-tax intrinsic value of options exercised to purchase common stock was $3.3 million, and the weighted average fair value of options to purchase common stock that were granted was $6.34 per share. During the year ended December 31, 2004, the total pre-tax intrinsic value of options exercised to purchase common stock was $27.1 million, and the weighted average fair value of options to purchase common stock that were granted was $17.03 per share.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27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options outstanding for all plans as of December 31, 2006, is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Options Outstanding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8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5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80" w:type="dxa"/>
            <w:vAlign w:val="bottom"/>
          </w:tcPr>
          <w:p>
            <w:pPr>
              <w:spacing w:after="0"/>
              <w:rPr>
                <w:sz w:val="12"/>
                <w:szCs w:val="12"/>
                <w:color w:val="auto"/>
              </w:rPr>
            </w:pPr>
          </w:p>
        </w:tc>
        <w:tc>
          <w:tcPr>
            <w:tcW w:w="10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6"/>
              </w:rPr>
              <w:t>Number</w:t>
            </w:r>
          </w:p>
        </w:tc>
        <w:tc>
          <w:tcPr>
            <w:tcW w:w="5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8"/>
        </w:trPr>
        <w:tc>
          <w:tcPr>
            <w:tcW w:w="56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420" w:type="dxa"/>
            <w:vAlign w:val="bottom"/>
          </w:tcPr>
          <w:p>
            <w:pPr>
              <w:spacing w:after="0"/>
              <w:rPr>
                <w:sz w:val="12"/>
                <w:szCs w:val="12"/>
                <w:color w:val="auto"/>
              </w:rPr>
            </w:pPr>
          </w:p>
        </w:tc>
        <w:tc>
          <w:tcPr>
            <w:tcW w:w="10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Life (yrs.)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Price</w:t>
            </w: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Exercisable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$0.95 – 2.65</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$3.90 – 11.04</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1,547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10.30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$11.26 – 15.43</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13.36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$15.77 – 16.27</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744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16.27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$16.50 – 193.14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27.18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13.51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7,752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remaining contractual life (in years)</w:t>
            </w: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7.62</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aggregate intrinsic value in the table above is based on the Company’s closing stock price of $9.67 per share as of the last business day of the year ended December 31, 2006, which amount would have been received by the optionees had all options been exercised on that date.</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May 17, 2006, the Compensation Committee of the Board of Directors, pursuant to the 2000 Plan, granted 222,000 shares of market-based restricted stock to executives at a fair value of $10.61 per share. The restricted stock awards vest in one-third increments based on closing per share stock price achievement of $13.26, $15.92 and $18.57 for 10 consecutive trading days, but no more than 50% of the shares are permitted to vest earlier than May 1, 2007. If the stock price levels are not achieved, these shares will become fully vested on May 17, 2011 assuming continued employment or other qualifying service for the Company through such date. The Company has estimated the aggregate fair value of this award at approximately $2.4 million which is being amortized and recorded as compensation expense over a period of eight months for the first $800,000 of the compensation expense, 17 months for the next $800,000 of the compensation expense and 28 months for the final $800,000 of the compensation expense. The vesting term for each increment was calculated using a Monte Carlo valuation model using the following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Volatility</w:t>
            </w:r>
          </w:p>
        </w:tc>
        <w:tc>
          <w:tcPr>
            <w:tcW w:w="4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May 17, 2006, the Company also awarded 7,500 shares of restricted stock to each of the 5 non-employee directors (for a total of 37,500 shares) at a fair value of $10.61 per share. 2,500 shares of each grant vests annually each May 17, commencing in 2007, so long as the director is serving on such date. The Company has estimated the aggregate fair value of these awards to the non-employee directors at approximately $400,000, which is being amortized to compensation expense ratably over a three year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for the year ended December 31, 2006 is presented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May 17,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259,500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6"/>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252,000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10.61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fair value of restricted stock recognized as expense during the year ended December 31, 2006 was approximately $1.3 million and the related tax benefit realized was approximately $477,000.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In July 2000, the Company’s Board of Directors approved the 2000 Employee Stock Purchase Plan (“ESPP”) and in September 2000, the Company’s stockholders approved the ESPP. The Company implemented the ESPP in 2001 following the completion of the initial public offering in November 2000. The ESPP, subject to certain limitations, permits eligible employees of the Company to purchase common stock, at a price equal to 85.0% of the lower of the fair market value on the first day of the offering period or the last day of each six-month purchase period, through payroll deductions of up to 10.0% of their annual compensation. The ESPP initially provided for the issuance of up to 100,000 shares of common stock, plus an automatic annual increase, to be added on the first day of the fiscal year beginning in 2001, equal to the lesser of (a) 0.5% of the outstanding shares on the last day of the prior fiscal year, (b) 18,000 shares, or</w:t>
      </w:r>
    </w:p>
    <w:p>
      <w:pPr>
        <w:spacing w:after="0" w:line="1" w:lineRule="exact"/>
        <w:rPr>
          <w:sz w:val="20"/>
          <w:szCs w:val="20"/>
          <w:color w:val="auto"/>
        </w:rPr>
      </w:pPr>
    </w:p>
    <w:p>
      <w:pPr>
        <w:ind w:firstLine="8"/>
        <w:spacing w:after="0" w:line="295" w:lineRule="auto"/>
        <w:tabs>
          <w:tab w:leader="none" w:pos="2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such lesser number of shares as may be determined by the Board in its sole discretion. During 2004, our stockholders approved an amendment to the ESPP which increased the number of shares reserved for future issuance under the ESPP by 80,000 shares. If purchases of stock through the plan deplete this supply, the Company will limit, suspend or discontinue purchases under the plan until additional shares of stock are available. During 2006, the Company sold 78,808 shares under this plan and received $683,000 in cash. During 2005, the Company sold 54,570 shares under this plan and received $547,000 in cash.</w:t>
      </w:r>
    </w:p>
    <w:p>
      <w:pPr>
        <w:spacing w:after="0" w:line="231"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Total income taxes for the years ended December 31, 2006, 2005 and 2004 were allocated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6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 income from continuing operations</w:t>
            </w:r>
          </w:p>
        </w:tc>
        <w:tc>
          <w:tcPr>
            <w:tcW w:w="5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$(2,706)</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$ 1,406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 stockholders’ equity</w:t>
            </w:r>
          </w:p>
        </w:tc>
        <w:tc>
          <w:tcPr>
            <w:tcW w:w="50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(733)</w:t>
            </w: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(8,216)</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taxes</w:t>
            </w:r>
          </w:p>
        </w:tc>
        <w:tc>
          <w:tcPr>
            <w:tcW w:w="5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(3,439)</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(6,810)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800" w:type="dxa"/>
            <w:vAlign w:val="bottom"/>
            <w:gridSpan w:val="3"/>
          </w:tcPr>
          <w:p>
            <w:pPr>
              <w:jc w:val="right"/>
              <w:ind w:right="4040"/>
              <w:spacing w:after="0"/>
              <w:rPr>
                <w:sz w:val="20"/>
                <w:szCs w:val="20"/>
                <w:color w:val="auto"/>
              </w:rPr>
            </w:pPr>
            <w:r>
              <w:rPr>
                <w:rFonts w:ascii="Arial" w:cs="Arial" w:eastAsia="Arial" w:hAnsi="Arial"/>
                <w:sz w:val="18"/>
                <w:szCs w:val="18"/>
                <w:color w:val="auto"/>
              </w:rPr>
              <w:t>F-23</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Income (loss) before income taxes for the years ended December 31, 2006, 2005 and 2004 is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$11,695</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$ 13,678</w:t>
            </w:r>
          </w:p>
        </w:tc>
        <w:tc>
          <w:tcPr>
            <w:tcW w:w="20" w:type="dxa"/>
            <w:vAlign w:val="bottom"/>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Foreign</w:t>
            </w:r>
          </w:p>
        </w:tc>
        <w:tc>
          <w:tcPr>
            <w:tcW w:w="35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41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12,522</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$ 14,168</w:t>
            </w: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(benefit) for income taxes for the years ended December 31, 2006, 2005 and 2004 is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8"/>
              </w:rPr>
              <w:t>Year Ended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54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8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Federal</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$ 4,546</w:t>
            </w:r>
          </w:p>
        </w:tc>
        <w:tc>
          <w:tcPr>
            <w:tcW w:w="320" w:type="dxa"/>
            <w:vAlign w:val="bottom"/>
          </w:tcPr>
          <w:p>
            <w:pPr>
              <w:spacing w:after="0"/>
              <w:rPr>
                <w:sz w:val="18"/>
                <w:szCs w:val="18"/>
                <w:color w:val="auto"/>
              </w:rPr>
            </w:pPr>
          </w:p>
        </w:tc>
        <w:tc>
          <w:tcPr>
            <w:tcW w:w="1380" w:type="dxa"/>
            <w:vAlign w:val="bottom"/>
            <w:gridSpan w:val="3"/>
          </w:tcPr>
          <w:p>
            <w:pPr>
              <w:jc w:val="right"/>
              <w:ind w:right="580"/>
              <w:spacing w:after="0"/>
              <w:rPr>
                <w:sz w:val="20"/>
                <w:szCs w:val="20"/>
                <w:color w:val="auto"/>
              </w:rPr>
            </w:pPr>
            <w:r>
              <w:rPr>
                <w:rFonts w:ascii="Arial" w:cs="Arial" w:eastAsia="Arial" w:hAnsi="Arial"/>
                <w:sz w:val="18"/>
                <w:szCs w:val="18"/>
                <w:color w:val="auto"/>
              </w:rPr>
              <w:t>$ 4,611</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Foreign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$ 4,617</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$ 5,522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86"/>
              </w:rPr>
              <w:t>$(4,986)</w:t>
            </w: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$(3,261)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State</w:t>
            </w:r>
          </w:p>
        </w:tc>
        <w:tc>
          <w:tcPr>
            <w:tcW w:w="860" w:type="dxa"/>
            <w:vAlign w:val="bottom"/>
            <w:gridSpan w:val="2"/>
          </w:tcPr>
          <w:p>
            <w:pPr>
              <w:jc w:val="right"/>
              <w:ind w:right="192"/>
              <w:spacing w:after="0"/>
              <w:rPr>
                <w:sz w:val="20"/>
                <w:szCs w:val="20"/>
                <w:color w:val="auto"/>
              </w:rPr>
            </w:pPr>
            <w:r>
              <w:rPr>
                <w:rFonts w:ascii="Arial" w:cs="Arial" w:eastAsia="Arial" w:hAnsi="Arial"/>
                <w:sz w:val="18"/>
                <w:szCs w:val="18"/>
                <w:color w:val="auto"/>
              </w:rPr>
              <w:t>(67)</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(855)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(2,270)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(7,323)</w:t>
            </w:r>
          </w:p>
        </w:tc>
        <w:tc>
          <w:tcPr>
            <w:tcW w:w="138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(4,116)</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8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(2,706)</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$ 1,406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2,467</w:t>
            </w:r>
          </w:p>
        </w:tc>
        <w:tc>
          <w:tcPr>
            <w:tcW w:w="5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obsolescence provision</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Net operating loss and credit carryforwards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3,087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4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14,939</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(2,378)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(5,207)</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4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12,561</w:t>
            </w:r>
          </w:p>
        </w:tc>
        <w:tc>
          <w:tcPr>
            <w:tcW w:w="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80" w:type="dxa"/>
            <w:vAlign w:val="bottom"/>
          </w:tcPr>
          <w:p>
            <w:pPr>
              <w:spacing w:after="0"/>
              <w:rPr>
                <w:sz w:val="24"/>
                <w:szCs w:val="24"/>
                <w:color w:val="auto"/>
              </w:rPr>
            </w:pPr>
          </w:p>
        </w:tc>
        <w:tc>
          <w:tcPr>
            <w:tcW w:w="4500" w:type="dxa"/>
            <w:vAlign w:val="bottom"/>
            <w:gridSpan w:val="2"/>
          </w:tcPr>
          <w:p>
            <w:pPr>
              <w:jc w:val="right"/>
              <w:ind w:right="3360"/>
              <w:spacing w:after="0"/>
              <w:rPr>
                <w:sz w:val="20"/>
                <w:szCs w:val="20"/>
                <w:color w:val="auto"/>
              </w:rPr>
            </w:pPr>
            <w:r>
              <w:rPr>
                <w:rFonts w:ascii="Arial" w:cs="Arial" w:eastAsia="Arial" w:hAnsi="Arial"/>
                <w:sz w:val="18"/>
                <w:szCs w:val="18"/>
                <w:color w:val="auto"/>
              </w:rPr>
              <w:t>F-24</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to income before provision for income taxes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statutory rate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4,817</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(2,781)</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(5,382)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Deferred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 to State net operating losses and capitalized research and development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(2,706)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At December 31, 2006 and 2005, the Company provided a valuation allowance for its deferred tax assets for which significant uncertainty exists regarding the ultimate realization. These assets consist of $1.5 million relating to certain of the Company net operating loss carryforwards and $900,000 relating to the Company’s Canadian subsidiary. The Company evaluates its deferred tax assets for future realization and reduces it by a valuation allowance to the extent significant uncertainty exists. Many factors are considered when assessing the likelihood of future realization of deferred tax assets including recent cumulative earnings experience, expectations of future taxable income, the carryforwards periods available for tax reporting purposes, and other relevant factors. During 2006, management evaluated the deferred tax valuation allowance and determined that the valuation allowance on a portion of the Canadian deferred tax assets should be revised and as a result, the Company recorded a non-cash deferred income tax benefit to the statements of operations of $2.4 million for the year ended December 31, 2006. Management believes that it is more likely than not that the results of future operations will generate sufficient future taxable income to realize deferred tax assets, net of the valuation allowance.</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At December 31, 2006, the Company has U.S. federal net operating loss carryforwards of approximately $5.3 million. Federal net operating loss carryforwards expire at various dates from 2011 through 2024. The Company has California net operating loss carryforwards of approximately $5.3 million, which expire at various dates from 2007 through 2014. The Company also has a California research and development tax credit carryforward of approximately $1.1 million. The federal tax credits carryforward will expire commencing in 2025 and California tax credits have no expiration date.</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2005, the Company completed its formal IRC Section 382 study and analysis. The results of this study concluded that the Company experienced several ownership changes for purposes of the IRC Section 382 limitation. As a result of the most recent ownership change, which occurred in 2003, utilization of the Company’s net operating loss is subject to an annual limitation under Section 382 determined by multiplying the value of our stock at the time of the ownership change by the applicable long-term tax-exempt rate. The Company estimates its annual limitation for GAAP reporting purposes to be approximately$311,000. Of the aggregate $156.5 million net operating carryforward as of December 31, 2005, the Company expects to utilize a total of approximately $6.2 million for GAAP reporting purposes. Based on the conclusion of the Section 382 study, the Company reduced its deferred tax assets and valuation allowance on these assets by approximately $52.1 million to reflect this limitation. The Company may take positions for filing our tax returns which differ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274" w:right="259" w:bottom="1440" w:gutter="0" w:footer="0" w:header="0"/>
        </w:sectPr>
      </w:pPr>
    </w:p>
    <w:bookmarkStart w:id="69" w:name="page70"/>
    <w:bookmarkEnd w:id="6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the treatment of the same time or items for financial reporting purposes. Any benefits associated with such tax positions will be reflected in the Company’s financial statement when realized.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25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29, 2005, the Company entered into a two-year $25.0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(8.75% at December 31, 2006). The Credit Agreement further contains certain customary restrictive financial and operating 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December 31, 2006 and 2005, the Company had zero and $5.0 million outstanding under the Credit Agreement and was in compliance with all covenants of the Credit Agreement.</w:t>
      </w:r>
    </w:p>
    <w:p>
      <w:pPr>
        <w:spacing w:after="0" w:line="236" w:lineRule="exact"/>
        <w:rPr>
          <w:sz w:val="20"/>
          <w:szCs w:val="20"/>
          <w:color w:val="auto"/>
        </w:rPr>
      </w:pPr>
    </w:p>
    <w:p>
      <w:pPr>
        <w:ind w:left="240" w:right="8420" w:hanging="232"/>
        <w:spacing w:after="0" w:line="391" w:lineRule="auto"/>
        <w:tabs>
          <w:tab w:leader="none" w:pos="45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Operating Leases</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leases its office space and certain equipment under non-cancelable operating leases with various terms through 2010.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fiscal 2006, 2005 and 2004 was approximately $3.3 million, $3.0 million and $2.0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274" w:right="299" w:bottom="1440" w:gutter="0" w:footer="0" w:header="0"/>
        </w:sectPr>
      </w:pPr>
    </w:p>
    <w:bookmarkStart w:id="70" w:name="page71"/>
    <w:bookmarkEnd w:id="70"/>
    <w:tbl>
      <w:tblPr>
        <w:tblLayout w:type="fixed"/>
        <w:tblInd w:w="460" w:type="dxa"/>
        <w:tblCellMar>
          <w:top w:w="0" w:type="dxa"/>
          <w:left w:w="0" w:type="dxa"/>
          <w:bottom w:w="0" w:type="dxa"/>
          <w:right w:w="0" w:type="dxa"/>
        </w:tblCellMar>
      </w:tblPr>
      <w:tr>
        <w:trPr>
          <w:trHeight w:val="228"/>
        </w:trPr>
        <w:tc>
          <w:tcPr>
            <w:tcW w:w="9900" w:type="dxa"/>
            <w:vAlign w:val="bottom"/>
          </w:tcPr>
          <w:p>
            <w:pPr>
              <w:ind w:left="4140"/>
              <w:spacing w:after="0"/>
              <w:rPr>
                <w:sz w:val="20"/>
                <w:szCs w:val="20"/>
                <w:color w:val="auto"/>
              </w:rPr>
            </w:pPr>
            <w:r>
              <w:rPr>
                <w:rFonts w:ascii="Arial" w:cs="Arial" w:eastAsia="Arial" w:hAnsi="Arial"/>
                <w:sz w:val="18"/>
                <w:szCs w:val="18"/>
                <w:b w:val="1"/>
                <w:bCs w:val="1"/>
                <w:color w:val="auto"/>
              </w:rPr>
              <w:t>NOVATEL WIRELESS, INC.</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9900" w:type="dxa"/>
            <w:vAlign w:val="bottom"/>
          </w:tcPr>
          <w:p>
            <w:pPr>
              <w:ind w:left="242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9900" w:type="dxa"/>
            <w:vAlign w:val="bottom"/>
          </w:tcPr>
          <w:p>
            <w:pPr>
              <w:spacing w:after="0"/>
              <w:rPr>
                <w:sz w:val="20"/>
                <w:szCs w:val="20"/>
                <w:color w:val="auto"/>
              </w:rPr>
            </w:pPr>
            <w:r>
              <w:rPr>
                <w:rFonts w:ascii="Arial" w:cs="Arial" w:eastAsia="Arial" w:hAnsi="Arial"/>
                <w:sz w:val="18"/>
                <w:szCs w:val="18"/>
                <w:color w:val="auto"/>
                <w:w w:val="93"/>
              </w:rPr>
              <w:t>The minimum future lease payments under non-cancelable operating leases as of December 31, 2006 are as follows (in thousands):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990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0"/>
              </w:rPr>
              <w:t>Operating</w:t>
            </w: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1,895</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1,483</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1,516</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1,589</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6,571</w:t>
            </w:r>
          </w:p>
        </w:tc>
        <w:tc>
          <w:tcPr>
            <w:tcW w:w="20" w:type="dxa"/>
            <w:vAlign w:val="bottom"/>
          </w:tcPr>
          <w:p>
            <w:pPr>
              <w:spacing w:after="0"/>
              <w:rPr>
                <w:sz w:val="18"/>
                <w:szCs w:val="18"/>
                <w:color w:val="auto"/>
              </w:rPr>
            </w:pPr>
          </w:p>
        </w:tc>
      </w:tr>
      <w:tr>
        <w:trPr>
          <w:trHeight w:val="20"/>
        </w:trPr>
        <w:tc>
          <w:tcPr>
            <w:tcW w:w="9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has license agreements which commit it to royalty payments generally based on a percentage of the sales price of its products using certain technologies. The Company recognizes royalty obligations in accordance with terms of the respective royalty agreements. The Company has also accrued for royalty costs in cases where it does not have agreements by using its current best estimate of its obligation. These estimates are based on various market data information and other relevant information. If the Company enters into such agreements, or when additional market data becomes available, it will revise its estimates accordingly. In 2006, 2005 and 2004, the Company incurred royalty expense of $13.6 million, $11.3 million and $8.7 million,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Retention Agreements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2005 and 2004, the Company entered into management retention agreements with the Company’s named executive officers, other than its chief executive officer. The agreements entitle those employees to enumerated severance benefits if, within the one year period immediately following a change of control (as defined in the agreement) or at the direction of an acquirer in anticipation of such an event, the Company terminates the employee’s employment other than for cause or disability or the employee terminates his or her employment for good reason. These severance benefits would include a lump sum payment of three times the sum of the employee’s annual base salary then in effect and the applicable targeted annual bonus, continued employee benefits, full acceleration of vesting of the employee’s stock options, a tax equalization payment to eliminate the effects of any applicable excise tax, and financial planning and outplacement services.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will not have a material adverse effect on the consolidated results of operations or financial position.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December 2006, the Company filed a complaint in U.S. District Court for the Southern District of California against a former supplier seeking damages for breach of contract. The supplier has contended that it was damaged by the Company and it is expected that the supplier will file a counter claim.</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274" w:right="2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7240" w:hanging="232"/>
        <w:spacing w:after="0" w:line="347" w:lineRule="auto"/>
        <w:tabs>
          <w:tab w:leader="none" w:pos="45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has operations in the United States, Canada and the United Kingdom. The amount of the Company’s assets in the United States, Canada and the United Kingdom as of December 31, 2006 were $172.8 million, $18.0 million, and approximately $835,000, respectively and as of December 31, 2005 were $166.5 million, $9.6 million and zero, respectively. For the year ended December 31, 2006, approximately 37% of revenues were derived from international customers (Europe/Middle East/Africa 27%, Asia/Australia 10%) as compared to approximately 58% of revenues derived from international customers (Europe/Middle East/Africa 55%, Asia/Australia 3%), for the year ended December 31, 2005. For the year ended December 31, 2004, approximately 76% of revenues were derived from international customers (Europe/Middle East/Africa 66%, Asia/Australia 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Substantially all of the Company’s revenue is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8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A significant portion of the Company’s revenue comes from a small number of customers. Two customers accounted for 38.2%, and 19.7% of 2006 revenues. Three customers accounted for 22.5%, 16.1%, and 14.4% of 2005 revenues. One customer accounted for 15.7% of 2004 revenues.</w:t>
      </w:r>
    </w:p>
    <w:p>
      <w:pPr>
        <w:spacing w:after="0" w:line="20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in the past sold products to and purchased products from AirLink Communications, Inc. (AirLink), a provider of fixed and mobile wireless data solutions. AirLink’s Chairman and principal stockholder was also a member of our Board of Directors until March 11, 2004 and is a stockholder of the Company. Sales to AirLink were $369,000 for the year ended December 31, 2004. Purchases by the Company from AirLink were $662,000 for the year ended December 31, 2004. There were no sales to AirLink during 2006 or 2005, nor were there receivables from or payables to AirLink as of December 31, 2006 or December 31, 2005.</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from time to time, sold products to a subsidiary of Chinatron Group Holdings Limited (Chinatron). Mr. Horst J. Pudwill, one of the Company’s directors, is also a director of Chinatron and an affiliated company of Mr. Pudwill is a stockholder of Chinatron. In addition, the chairman and chief executive officer of Chinatron participated in private placement transactions, which were completed in 2003. Sales to Chinatron for the year ended December 31, 2004 was $39,000. There were no sales to Chinatron during 2006 or 2005, nor were there receivables from Chinatron as of December 31, 2006 or December 31, 2005.</w:t>
      </w:r>
    </w:p>
    <w:p>
      <w:pPr>
        <w:spacing w:after="0" w:line="25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Savings Plan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has a defined contribution 401(k) retirement savings plan (the “Plan”). Substantially all of the Company’s U.S. employees are eligible to participate in the Plan after meeting certain minimum age and service requirements. Employees may make discretionary contributions to the Plan subject to Internal Revenue Service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274"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limitations. Employer matching contributions amounted to $427,000, $274,000, and $194,000 for the years ended December 31, 2006, 2005 and 2004, respectively. Employer matching contributions vest over a four year period.</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has a Registered Retirement Savings Plan for its Canadian employees. Substantially all of the Company’s Canadian employees are eligible to participate in the Plan. Employees make discretionary contributions to the plan subject to local limitations. Employer contributions amounted to $77,000, $113,000 and $96,000 for the years ended December 31, 2006, 2005 and 2004, respectively.</w:t>
      </w:r>
    </w:p>
    <w:p>
      <w:pPr>
        <w:spacing w:after="0" w:line="25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unaudited quarterly results of operations for the years ended December 31, 2006 and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First</w:t>
            </w:r>
          </w:p>
        </w:tc>
        <w:tc>
          <w:tcPr>
            <w:tcW w:w="4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Second</w:t>
            </w:r>
          </w:p>
        </w:tc>
        <w:tc>
          <w:tcPr>
            <w:tcW w:w="340" w:type="dxa"/>
            <w:vAlign w:val="bottom"/>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Fourth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92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3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$40,159</w:t>
            </w:r>
          </w:p>
        </w:tc>
        <w:tc>
          <w:tcPr>
            <w:tcW w:w="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$45,654</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$55,143</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(loss) applicable to common stockholders</w:t>
            </w:r>
          </w:p>
        </w:tc>
        <w:tc>
          <w:tcPr>
            <w:tcW w:w="4260" w:type="dxa"/>
            <w:vAlign w:val="bottom"/>
            <w:gridSpan w:val="3"/>
          </w:tcPr>
          <w:p>
            <w:pPr>
              <w:jc w:val="right"/>
              <w:ind w:right="292"/>
              <w:spacing w:after="0"/>
              <w:rPr>
                <w:sz w:val="20"/>
                <w:szCs w:val="20"/>
                <w:color w:val="auto"/>
              </w:rPr>
            </w:pPr>
            <w:r>
              <w:rPr>
                <w:rFonts w:ascii="Arial" w:cs="Arial" w:eastAsia="Arial" w:hAnsi="Arial"/>
                <w:sz w:val="18"/>
                <w:szCs w:val="18"/>
                <w:color w:val="auto"/>
              </w:rPr>
              <w:t>(1,346)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common share</w:t>
            </w:r>
          </w:p>
        </w:tc>
        <w:tc>
          <w:tcPr>
            <w:tcW w:w="426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(0.05)</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per common share</w:t>
            </w:r>
          </w:p>
        </w:tc>
        <w:tc>
          <w:tcPr>
            <w:tcW w:w="4260" w:type="dxa"/>
            <w:vAlign w:val="bottom"/>
            <w:gridSpan w:val="3"/>
          </w:tcPr>
          <w:p>
            <w:pPr>
              <w:jc w:val="right"/>
              <w:ind w:right="292"/>
              <w:spacing w:after="0"/>
              <w:rPr>
                <w:sz w:val="20"/>
                <w:szCs w:val="20"/>
                <w:color w:val="auto"/>
              </w:rPr>
            </w:pPr>
            <w:r>
              <w:rPr>
                <w:rFonts w:ascii="Arial" w:cs="Arial" w:eastAsia="Arial" w:hAnsi="Arial"/>
                <w:sz w:val="18"/>
                <w:szCs w:val="18"/>
                <w:color w:val="auto"/>
              </w:rPr>
              <w:t>(0.05)</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revenue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$32,328</w:t>
            </w:r>
          </w:p>
        </w:tc>
        <w:tc>
          <w:tcPr>
            <w:tcW w:w="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$38,597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$42,129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applicable to common stockholders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2,652</w:t>
            </w:r>
          </w:p>
        </w:tc>
        <w:tc>
          <w:tcPr>
            <w:tcW w:w="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2,892</w:t>
            </w:r>
          </w:p>
        </w:tc>
        <w:tc>
          <w:tcPr>
            <w:tcW w:w="580" w:type="dxa"/>
            <w:vAlign w:val="bottom"/>
          </w:tcPr>
          <w:p>
            <w:pPr>
              <w:jc w:val="right"/>
              <w:spacing w:after="0"/>
              <w:rPr>
                <w:sz w:val="20"/>
                <w:szCs w:val="20"/>
                <w:color w:val="auto"/>
              </w:rPr>
            </w:pPr>
            <w:r>
              <w:rPr>
                <w:rFonts w:ascii="Arial" w:cs="Arial" w:eastAsia="Arial" w:hAnsi="Arial"/>
                <w:sz w:val="18"/>
                <w:szCs w:val="18"/>
                <w:color w:val="auto"/>
              </w:rPr>
              <w:t>5,451</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common share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Diluted net earnings per common share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42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260" w:type="dxa"/>
            <w:vAlign w:val="bottom"/>
            <w:gridSpan w:val="3"/>
          </w:tcPr>
          <w:p>
            <w:pPr>
              <w:jc w:val="right"/>
              <w:ind w:right="2992"/>
              <w:spacing w:after="0"/>
              <w:rPr>
                <w:sz w:val="20"/>
                <w:szCs w:val="20"/>
                <w:color w:val="auto"/>
              </w:rPr>
            </w:pPr>
            <w:r>
              <w:rPr>
                <w:rFonts w:ascii="Arial" w:cs="Arial" w:eastAsia="Arial" w:hAnsi="Arial"/>
                <w:sz w:val="18"/>
                <w:szCs w:val="18"/>
                <w:color w:val="auto"/>
              </w:rPr>
              <w:t>F-29</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Novatel Wireless, Inc. and subsidiaries: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Novatel Wireless, Inc. and subsidiaries as of December 31, 2006 and 2005, and the related consolidated statements of operations, stockholders’ equity and comprehensive income, and cash flows for each of the years in the three-year period ended December 31, 2006. In connection with our audits of the consolidated financial statements, we also have audited financial statement Schedule II. These consolidated financial statements and financial statement schedule are the responsibility of the Company’s management. Our responsibility is to express an opinion on these consolidated financial statements and financial statement Schedule II based on our audits.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Novatel Wireless, Inc. and subsidiaries as of December 31, 2006 and 2005, and the results of their operations and their cash flows for each of the years in the three-year period ended December 31, 2006, in conformity with U.S. generally accepted accounting principles. Also in our opinion, the related financial statement Schedule II, when considered in relation to the basic consolidated financial statements taken as a whole, presents fairly, in all material respects, the information set forth therein.</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 xml:space="preserve">As discussed in Note 1 to the consolidated financial statements, effective January 1, 2006 the Company adopted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Novatel Wireless’ internal control over financial reporting as of December 31, 2006, based on criteria established in Internal Control–Integrated Framework issued by the Committee of Sponsoring Organizations of the Treadway Commission (COSO), and our report dated March 16, 2007 expressed an unqualified opinion on management’s assessment of, and the effective operation of, internal control over financial reporting.</w:t>
      </w:r>
    </w:p>
    <w:p>
      <w:pPr>
        <w:spacing w:after="0" w:line="113"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274" w:right="259" w:bottom="1440" w:gutter="0" w:footer="0" w:header="0"/>
        </w:sectPr>
      </w:pPr>
    </w:p>
    <w:bookmarkStart w:id="74" w:name="page75"/>
    <w:bookmarkEnd w:id="74"/>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NOVATEL WIRELESS INC.</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and 2004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2"/>
              </w:rPr>
              <w:t>Additions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Deductions</w:t>
            </w:r>
          </w:p>
        </w:tc>
        <w:tc>
          <w:tcPr>
            <w:tcW w:w="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3"/>
              </w:rPr>
              <w:t>Balance</w:t>
            </w:r>
          </w:p>
        </w:tc>
      </w:tr>
      <w:tr>
        <w:trPr>
          <w:trHeight w:val="149"/>
        </w:trPr>
        <w:tc>
          <w:tcPr>
            <w:tcW w:w="43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120" w:type="dxa"/>
            <w:vAlign w:val="bottom"/>
          </w:tcPr>
          <w:p>
            <w:pPr>
              <w:spacing w:after="0"/>
              <w:rPr>
                <w:sz w:val="12"/>
                <w:szCs w:val="12"/>
                <w:color w:val="auto"/>
              </w:rPr>
            </w:pPr>
          </w:p>
        </w:tc>
        <w:tc>
          <w:tcPr>
            <w:tcW w:w="5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1"/>
              </w:rPr>
              <w:t>From</w:t>
            </w:r>
          </w:p>
        </w:tc>
        <w:tc>
          <w:tcPr>
            <w:tcW w:w="60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At End</w:t>
            </w:r>
          </w:p>
        </w:tc>
      </w:tr>
      <w:tr>
        <w:trPr>
          <w:trHeight w:val="175"/>
        </w:trPr>
        <w:tc>
          <w:tcPr>
            <w:tcW w:w="43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of Year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Reserves</w:t>
            </w:r>
          </w:p>
        </w:tc>
        <w:tc>
          <w:tcPr>
            <w:tcW w:w="600" w:type="dxa"/>
            <w:vAlign w:val="bottom"/>
          </w:tcPr>
          <w:p>
            <w:pPr>
              <w:spacing w:after="0"/>
              <w:rPr>
                <w:sz w:val="15"/>
                <w:szCs w:val="15"/>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b w:val="1"/>
                <w:bCs w:val="1"/>
                <w:color w:val="auto"/>
              </w:rPr>
              <w:t>of Year</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w:t>
            </w:r>
          </w:p>
        </w:tc>
        <w:tc>
          <w:tcPr>
            <w:tcW w:w="2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635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631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2004</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Warranty and Sales Returns Allowance: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2004</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2006</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5,207</w:t>
            </w:r>
          </w:p>
        </w:tc>
        <w:tc>
          <w:tcPr>
            <w:tcW w:w="18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2,378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67,543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62,336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5,207</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December 31, 2004</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w w:val="90"/>
              </w:rPr>
              <w:t>66,006</w:t>
            </w:r>
          </w:p>
        </w:tc>
        <w:tc>
          <w:tcPr>
            <w:tcW w:w="18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67,543</w:t>
            </w:r>
          </w:p>
        </w:tc>
      </w:tr>
      <w:tr>
        <w:trPr>
          <w:trHeight w:val="356"/>
        </w:trPr>
        <w:tc>
          <w:tcPr>
            <w:tcW w:w="4320" w:type="dxa"/>
            <w:vAlign w:val="bottom"/>
          </w:tcPr>
          <w:p>
            <w:pPr>
              <w:spacing w:after="0"/>
              <w:rPr>
                <w:sz w:val="24"/>
                <w:szCs w:val="24"/>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F-31</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1420" w:type="dxa"/>
            <w:vAlign w:val="bottom"/>
            <w:gridSpan w:val="3"/>
          </w:tcPr>
          <w:p>
            <w:pPr>
              <w:ind w:left="460"/>
              <w:spacing w:after="0"/>
              <w:rPr>
                <w:sz w:val="20"/>
                <w:szCs w:val="20"/>
                <w:color w:val="auto"/>
              </w:rPr>
            </w:pPr>
            <w:r>
              <w:rPr>
                <w:rFonts w:ascii="Arial" w:cs="Arial" w:eastAsia="Arial" w:hAnsi="Arial"/>
                <w:sz w:val="18"/>
                <w:szCs w:val="18"/>
                <w:color w:val="auto"/>
              </w:rPr>
              <w:t>The following Exhibits are filed as part of, or incorporated by reference into, this Report on Form 10-K:</w:t>
            </w:r>
          </w:p>
        </w:tc>
      </w:tr>
      <w:tr>
        <w:trPr>
          <w:trHeight w:val="340"/>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88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880" w:type="dxa"/>
            <w:vAlign w:val="bottom"/>
          </w:tcPr>
          <w:p>
            <w:pPr>
              <w:spacing w:after="0"/>
              <w:rPr>
                <w:sz w:val="14"/>
                <w:szCs w:val="14"/>
                <w:color w:val="auto"/>
              </w:rPr>
            </w:pPr>
          </w:p>
        </w:tc>
        <w:tc>
          <w:tcPr>
            <w:tcW w:w="1004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Amended and Restated Certificate of Incorporation (incorporated by reference to Exhibit 3.1 to the Company’s Annual Report on Form 10-K</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for the year ended December 31, 2000, filed on March 27, 2001).</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3.1 to the Company’s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0"/>
              </w:rPr>
              <w:t>Certificate of Amendment to Amended and Restated Certificate of Incorporation (incorporated by reference to Exhibit 3.2 to the Company’s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Amended and Restated Certificate of Designation of Series A Convertible Preferred Stock (incorporated by reference to Exhibit 3.4 to the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Certificate of Designation of Series B Convertible Preferred Stock (incorporated by reference to Exhibit 3.5 to the Company’s Amendment</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Bylaws (incorporated by reference to Exhibit 3.2 to the Company’s Annual Report on Form 10-K for the year ended December 31, 2000, filed</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on March 27, 2001).</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8"/>
              </w:rPr>
              <w:t>Amended and Restated Registration Rights Agreement, dated as of June 15, 1999, by and among the Company and certain of its stockholders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(incorporated by reference to Exhibit 10.4 to the Company’s Registration Statement on Form S-1 (No. 333-42570), filed November 14, 2000,</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as amended).</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Amended and Restated Investors’ Rights Agreement, dated as of June 30, 2000, by and among the Company and certain of its stockholders</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(incorporated by reference to Exhibit 10.5 to the Company’s Registration Statement on Form S-1 (No. 333-42570), filed November 14, 2000,</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as amended).</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Specimen Common Stock Certificate (incorporated by reference to Exhibit 4.1 to the Company’s Registration Statement on Form S-1 (No.</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333-42570), filed November 14, 2000, as amended).</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4"/>
              </w:rPr>
              <w:t>Form of Preferred Stock and Warrant Purchase Agreement entered into in connection with the Company’s 2001 Series A Convertible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1"/>
              </w:rPr>
              <w:t>Preferred Stock Financing (incorporated by reference to Exhibit 4.1 to the Company’s Current Report on Form 8-K filed January 18, 2002.</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Registration Rights Agreement dated as of September 12, 2002 by and among the Company and certain of its stockholders (incorporated by</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89"/>
              </w:rPr>
              <w:t>Form of Securities Purchase Agreement entered into in connection with the Company’s 2003 Series B Convertible Preferred Stock Financing</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5"/>
              </w:rPr>
              <w:t>Registration Rights Agreement entered into in connection with the Company’s 2003 Series B Convertible Preferred Stock Financing</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(incorporated by reference to Exhibit 4.8 to the Company’s Current Report on Form 8-K, filed March 28, 2003).</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4"/>
              </w:rPr>
              <w:t>Securities Purchase Agreement entered into in connection with the Company’s January 2004 Common Stock and Warrant Financing</w:t>
            </w: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w w:val="92"/>
              </w:rPr>
              <w:t>Transaction (incorporated by reference to Exhibit 10.20 to the Company’s Annual Report on Form 10-K for the year ended December 31,</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880"/>
              <w:spacing w:after="0"/>
              <w:rPr>
                <w:sz w:val="20"/>
                <w:szCs w:val="20"/>
                <w:color w:val="auto"/>
              </w:rPr>
            </w:pPr>
            <w:r>
              <w:rPr>
                <w:rFonts w:ascii="Arial" w:cs="Arial" w:eastAsia="Arial" w:hAnsi="Arial"/>
                <w:sz w:val="18"/>
                <w:szCs w:val="18"/>
                <w:color w:val="auto"/>
              </w:rPr>
              <w:t>2003, filed March 15, 2004).</w:t>
            </w:r>
          </w:p>
        </w:tc>
      </w:tr>
    </w:tbl>
    <w:p>
      <w:pPr>
        <w:sectPr>
          <w:pgSz w:w="11900" w:h="16838" w:orient="portrait"/>
          <w:cols w:equalWidth="0" w:num="1">
            <w:col w:w="11420"/>
          </w:cols>
          <w:pgMar w:left="240" w:top="274" w:right="23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Registration Rights Agreement entered into in connection with the Company’s January 2004 Common Stock and Warrant Financing Transaction</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(incorporated by reference to Exhibit 10.21 to the Company’s Annual Report on Form 10-K for the year ended December 31, 2003, filed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15, 2004).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Common Stock Purchase Warrant issued in connection with the Company’s January 2004 Common Stock and Warrant Financing</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Transaction (incorporated by reference to Exhibit 10.22 to the Company’s Annual Report on Form 10-K for the year ended December 31, 2003,</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March 15, 2004).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Statement on Form S-1 (No. 333-42570), filed November 14, 2000, as amended).</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Amended and Restated Novatel Wireless, Inc. 2000 Stock Incentive Plan (“2000 Plan”) (incorporated by reference to Exhibit 10.2 to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2005, filed March 16,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Executive Officer Stock Option Agreement under the 2000 Plan (incorporated by reference to Exhibit 10.3 to the Company’s Annual</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Director Stock Option Agreement under the 2000 Stock Incentive Plan (incorporated by reference to Exhibit 10.4 to the Company’s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2005, filed March 16,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1997 Plan</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(incorporated by reference to Exhibit 10.2 to the Company’s Quarterly Report on Form 10-Q for the period ended September 30, 2006, filed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9,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(incorporated by reference to Exhibit 10.3 to the Company’s Quarterly Report on Form 10-Q for the period ended September 30, 2006, filed</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9,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Form of Amendment of Stock Option Agreements dated July 20, 2006 by and between the Company and Optionee with respect to the 2000 Plan</w:t>
            </w:r>
          </w:p>
        </w:tc>
      </w:tr>
      <w:tr>
        <w:trPr>
          <w:trHeight w:val="216"/>
        </w:trPr>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and grants made pursuant thereto in 2004 and subsequently (incorporated by reference to Exhibit 10.4 to the Company’s Quarterly Report on</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period ended September 30, 2006, filed November 9,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Amended and Restated Novatel Wireless, Inc. 2000 Employee Stock Purchase Plan (incorporated by reference to Exhibit 10.5 to the Company’s</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2005, filed March 16,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restricted stock granted to non-employee Directors (incorporated by reference to Exhibit 10.10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Restricted Share Award agreement for restricted stock granted to executive officers (incorporated by reference to Exhibit 10.11 to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10.11</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2006 Management Bonus Plan (incorporated by reference to Exhibit 10.12 to the Company’s Quarterly Report on Form 10-Q for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period ended June 30, 2006, filed August 9, 2006).</w:t>
            </w:r>
          </w:p>
        </w:tc>
      </w:tr>
    </w:tbl>
    <w:p>
      <w:pPr>
        <w:sectPr>
          <w:pgSz w:w="11900" w:h="16838" w:orient="portrait"/>
          <w:cols w:equalWidth="0" w:num="1">
            <w:col w:w="11420"/>
          </w:cols>
          <w:pgMar w:left="240" w:top="263" w:right="239"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Indemnification Agreement by and between the Company and each of its executive officers and directors (incorporated by reference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10.6 to the Company’s Registration Statement on Form S-1 (No. 333-42570), filed November 14, 2000, as amended).</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10.14</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Executive Officer Bonus Plan (incorporated by reference to Exhibit 10.6 to the Company’s Quarterly Report on Form 10-Q for the</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period ended March 31, 2005, filed May 10, 2005).</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10.15</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Credit Agreement, dated December 29, 2005, by and between Bank of America, N.A. and the Company (incorporated by reference to Exhibit</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10.9 to the Company’s Annual Report on Form 10-K for the year ended December 31, 2005, filed March 16, 2006).</w:t>
            </w:r>
          </w:p>
        </w:tc>
      </w:tr>
      <w:tr>
        <w:trPr>
          <w:trHeight w:val="318"/>
        </w:trPr>
        <w:tc>
          <w:tcPr>
            <w:tcW w:w="500" w:type="dxa"/>
            <w:vAlign w:val="bottom"/>
          </w:tcPr>
          <w:p>
            <w:pPr>
              <w:jc w:val="right"/>
              <w:spacing w:after="0"/>
              <w:rPr>
                <w:sz w:val="20"/>
                <w:szCs w:val="20"/>
                <w:color w:val="auto"/>
              </w:rPr>
            </w:pPr>
            <w:r>
              <w:rPr>
                <w:rFonts w:ascii="Arial" w:cs="Arial" w:eastAsia="Arial" w:hAnsi="Arial"/>
                <w:sz w:val="18"/>
                <w:szCs w:val="18"/>
                <w:color w:val="auto"/>
              </w:rPr>
              <w:t>10.16</w:t>
            </w:r>
          </w:p>
        </w:tc>
        <w:tc>
          <w:tcPr>
            <w:tcW w:w="66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Executive Chairman Agreement, dated October 19, 2006, by and between Peter V. Leparulo and the Company (incorporated by reference to</w:t>
            </w:r>
          </w:p>
        </w:tc>
      </w:tr>
      <w:tr>
        <w:trPr>
          <w:trHeight w:val="222"/>
        </w:trPr>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99.3 to the Company’s Current Report on Form 8-K, filed October 24, 2006).</w:t>
            </w:r>
          </w:p>
        </w:tc>
      </w:tr>
    </w:tbl>
    <w:p>
      <w:pPr>
        <w:spacing w:after="0" w:line="102" w:lineRule="exact"/>
        <w:rPr>
          <w:sz w:val="20"/>
          <w:szCs w:val="20"/>
          <w:color w:val="auto"/>
        </w:rPr>
      </w:pPr>
    </w:p>
    <w:p>
      <w:pPr>
        <w:ind w:left="1160" w:right="20" w:hanging="841"/>
        <w:spacing w:after="0" w:line="268"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2005, filed March 16, 2006).</w:t>
      </w:r>
    </w:p>
    <w:p>
      <w:pPr>
        <w:spacing w:after="0" w:line="78"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23.1</w:t>
            </w:r>
          </w:p>
        </w:tc>
        <w:tc>
          <w:tcPr>
            <w:tcW w:w="10380" w:type="dxa"/>
            <w:vAlign w:val="bottom"/>
          </w:tcPr>
          <w:p>
            <w:pPr>
              <w:ind w:left="3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24"/>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24</w:t>
            </w:r>
          </w:p>
        </w:tc>
        <w:tc>
          <w:tcPr>
            <w:tcW w:w="10380" w:type="dxa"/>
            <w:vAlign w:val="bottom"/>
          </w:tcPr>
          <w:p>
            <w:pPr>
              <w:ind w:left="340"/>
              <w:spacing w:after="0"/>
              <w:rPr>
                <w:sz w:val="20"/>
                <w:szCs w:val="20"/>
                <w:color w:val="auto"/>
              </w:rPr>
            </w:pPr>
            <w:r>
              <w:rPr>
                <w:rFonts w:ascii="Arial" w:cs="Arial" w:eastAsia="Arial" w:hAnsi="Arial"/>
                <w:sz w:val="18"/>
                <w:szCs w:val="18"/>
                <w:color w:val="auto"/>
              </w:rPr>
              <w:t>Power of Attorney (See signature page).</w:t>
            </w:r>
          </w:p>
        </w:tc>
      </w:tr>
      <w:tr>
        <w:trPr>
          <w:trHeight w:val="324"/>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31.1</w:t>
            </w:r>
          </w:p>
        </w:tc>
        <w:tc>
          <w:tcPr>
            <w:tcW w:w="10380" w:type="dxa"/>
            <w:vAlign w:val="bottom"/>
          </w:tcPr>
          <w:p>
            <w:pPr>
              <w:ind w:left="340"/>
              <w:spacing w:after="0"/>
              <w:rPr>
                <w:sz w:val="20"/>
                <w:szCs w:val="20"/>
                <w:color w:val="auto"/>
              </w:rPr>
            </w:pPr>
            <w:r>
              <w:rPr>
                <w:rFonts w:ascii="Arial" w:cs="Arial" w:eastAsia="Arial" w:hAnsi="Arial"/>
                <w:sz w:val="18"/>
                <w:szCs w:val="18"/>
                <w:color w:val="auto"/>
              </w:rPr>
              <w:t>Certification of our Chief Executive Officer adopted pursuant to Section 302 of the Sarbanes-Oxley Act of 2002.*</w:t>
            </w:r>
          </w:p>
        </w:tc>
      </w:tr>
      <w:tr>
        <w:trPr>
          <w:trHeight w:val="324"/>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31.2</w:t>
            </w:r>
          </w:p>
        </w:tc>
        <w:tc>
          <w:tcPr>
            <w:tcW w:w="10380" w:type="dxa"/>
            <w:vAlign w:val="bottom"/>
          </w:tcPr>
          <w:p>
            <w:pPr>
              <w:ind w:left="340"/>
              <w:spacing w:after="0"/>
              <w:rPr>
                <w:sz w:val="20"/>
                <w:szCs w:val="20"/>
                <w:color w:val="auto"/>
              </w:rPr>
            </w:pPr>
            <w:r>
              <w:rPr>
                <w:rFonts w:ascii="Arial" w:cs="Arial" w:eastAsia="Arial" w:hAnsi="Arial"/>
                <w:sz w:val="18"/>
                <w:szCs w:val="18"/>
                <w:color w:val="auto"/>
              </w:rPr>
              <w:t>Certification of our Chief Financial Officer adopted pursuant to Section 302 of the Sarbanes-Oxley Act of 2002.*</w:t>
            </w:r>
          </w:p>
        </w:tc>
      </w:tr>
      <w:tr>
        <w:trPr>
          <w:trHeight w:val="318"/>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32.1</w:t>
            </w:r>
          </w:p>
        </w:tc>
        <w:tc>
          <w:tcPr>
            <w:tcW w:w="10380" w:type="dxa"/>
            <w:vAlign w:val="bottom"/>
          </w:tcPr>
          <w:p>
            <w:pPr>
              <w:ind w:left="340"/>
              <w:spacing w:after="0"/>
              <w:rPr>
                <w:sz w:val="20"/>
                <w:szCs w:val="20"/>
                <w:color w:val="auto"/>
              </w:rPr>
            </w:pPr>
            <w:r>
              <w:rPr>
                <w:rFonts w:ascii="Arial" w:cs="Arial" w:eastAsia="Arial" w:hAnsi="Arial"/>
                <w:sz w:val="18"/>
                <w:szCs w:val="18"/>
                <w:color w:val="auto"/>
                <w:w w:val="89"/>
              </w:rPr>
              <w:t>Certification of Chief Executive Officer and Chief Financial Officer pursuant to 18 U.S.C. Section 1350, as adopted pursuant to Section 906 of</w:t>
            </w:r>
          </w:p>
        </w:tc>
      </w:tr>
      <w:tr>
        <w:trPr>
          <w:trHeight w:val="222"/>
        </w:trPr>
        <w:tc>
          <w:tcPr>
            <w:tcW w:w="64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Arial" w:cs="Arial" w:eastAsia="Arial" w:hAnsi="Arial"/>
                <w:sz w:val="18"/>
                <w:szCs w:val="18"/>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electronically herewith</w:t>
      </w:r>
    </w:p>
    <w:p>
      <w:pPr>
        <w:sectPr>
          <w:pgSz w:w="11900" w:h="16838" w:orient="portrait"/>
          <w:cols w:equalWidth="0" w:num="1">
            <w:col w:w="11420"/>
          </w:cols>
          <w:pgMar w:left="240" w:top="263"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6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333-139730 and 333-53692) on Form S-8 and (Nos. 333-114116, 333-112857, 333-109321, 333-81190, and 333-100633) on Form S-3 of Novatel Wireless, Inc. and subsidiaries of our reports dated March 16, 2007, with respect to the consolidated balance sheets of Novatel Wireless, Inc. as of December 31, 2006 and 2005, and the related consolidated statements of operations, stockholders’ equity and comprehensive income, and cash flows, and the related financial statement Schedule II, for each of the years in the three-year period ended December 31, 2006, management’s assessment of the effectiveness of internal control over financial reporting as of December 31, 2006, and the effectiveness of internal control over financial reporting as of December 31, 2006, which reports appear in the December 31, 2006 annual report on Form 10-K of Novatel Wireless, Inc.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Our report refers to the Company’s adoption of Statement of Financial Accounting Standards No. 123(R), </w:t>
      </w:r>
      <w:r>
        <w:rPr>
          <w:rFonts w:ascii="Arial" w:cs="Arial" w:eastAsia="Arial" w:hAnsi="Arial"/>
          <w:sz w:val="15"/>
          <w:szCs w:val="15"/>
          <w:i w:val="1"/>
          <w:iCs w:val="1"/>
          <w:color w:val="auto"/>
        </w:rPr>
        <w:t>Share-Based Payment</w:t>
      </w:r>
      <w:r>
        <w:rPr>
          <w:rFonts w:ascii="Arial" w:cs="Arial" w:eastAsia="Arial" w:hAnsi="Arial"/>
          <w:sz w:val="15"/>
          <w:szCs w:val="15"/>
          <w:color w:val="auto"/>
        </w:rPr>
        <w:t>, effective January 1, 2006.</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16, 2007</w:t>
      </w:r>
    </w:p>
    <w:p>
      <w:pPr>
        <w:sectPr>
          <w:pgSz w:w="11900" w:h="16838" w:orient="portrait"/>
          <w:cols w:equalWidth="0" w:num="1">
            <w:col w:w="11420"/>
          </w:cols>
          <w:pgMar w:left="240" w:top="125"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Brad Weinert, certify that:</w:t>
      </w:r>
    </w:p>
    <w:p>
      <w:pPr>
        <w:spacing w:after="0" w:line="90"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46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240"/>
        <w:spacing w:after="0"/>
        <w:tabs>
          <w:tab w:leader="none" w:pos="8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RAD</w:t>
      </w:r>
      <w:r>
        <w:rPr>
          <w:rFonts w:ascii="Arial" w:cs="Arial" w:eastAsia="Arial" w:hAnsi="Arial"/>
          <w:sz w:val="16"/>
          <w:szCs w:val="16"/>
          <w:color w:val="auto"/>
        </w:rPr>
        <w:t xml:space="preserve"> W</w:t>
      </w:r>
      <w:r>
        <w:rPr>
          <w:rFonts w:ascii="Arial" w:cs="Arial" w:eastAsia="Arial" w:hAnsi="Arial"/>
          <w:sz w:val="13"/>
          <w:szCs w:val="13"/>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Brad Weinert</w:t>
      </w:r>
    </w:p>
    <w:p>
      <w:pPr>
        <w:jc w:val="center"/>
        <w:ind w:left="6860"/>
        <w:spacing w:after="0" w:line="223" w:lineRule="auto"/>
        <w:rPr>
          <w:sz w:val="20"/>
          <w:szCs w:val="20"/>
          <w:color w:val="auto"/>
        </w:rPr>
      </w:pPr>
      <w:r>
        <w:rPr>
          <w:rFonts w:ascii="Arial" w:cs="Arial" w:eastAsia="Arial" w:hAnsi="Arial"/>
          <w:sz w:val="14"/>
          <w:szCs w:val="14"/>
          <w:b w:val="1"/>
          <w:bCs w:val="1"/>
          <w:color w:val="auto"/>
        </w:rPr>
        <w:t>Acting Chief Executive Officer and Chief Operating Officer (Principal</w:t>
      </w:r>
    </w:p>
    <w:p>
      <w:pPr>
        <w:jc w:val="center"/>
        <w:ind w:left="6860"/>
        <w:spacing w:after="0"/>
        <w:rPr>
          <w:sz w:val="20"/>
          <w:szCs w:val="20"/>
          <w:color w:val="auto"/>
        </w:rPr>
      </w:pPr>
      <w:r>
        <w:rPr>
          <w:rFonts w:ascii="Arial" w:cs="Arial" w:eastAsia="Arial" w:hAnsi="Arial"/>
          <w:sz w:val="14"/>
          <w:szCs w:val="14"/>
          <w:b w:val="1"/>
          <w:bCs w:val="1"/>
          <w:color w:val="auto"/>
        </w:rPr>
        <w:t>Executive Officer)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2007</w:t>
      </w:r>
    </w:p>
    <w:p>
      <w:pPr>
        <w:sectPr>
          <w:pgSz w:w="11900" w:h="16838" w:orient="portrait"/>
          <w:cols w:equalWidth="0" w:num="1">
            <w:col w:w="11420"/>
          </w:cols>
          <w:pgMar w:left="240" w:top="12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Dan L. Halvorson, certify that:</w:t>
      </w:r>
    </w:p>
    <w:p>
      <w:pPr>
        <w:spacing w:after="0" w:line="90" w:lineRule="exact"/>
        <w:rPr>
          <w:sz w:val="20"/>
          <w:szCs w:val="20"/>
          <w:color w:val="auto"/>
        </w:rPr>
      </w:pPr>
    </w:p>
    <w:p>
      <w:pPr>
        <w:ind w:left="640" w:hanging="17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right="46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w:t>
      </w:r>
      <w:r>
        <w:rPr>
          <w:rFonts w:ascii="Arial" w:cs="Arial" w:eastAsia="Arial" w:hAnsi="Arial"/>
          <w:sz w:val="16"/>
          <w:szCs w:val="16"/>
          <w:color w:val="auto"/>
        </w:rPr>
        <w:t xml:space="preserve"> L. H</w:t>
      </w:r>
      <w:r>
        <w:rPr>
          <w:rFonts w:ascii="Arial" w:cs="Arial" w:eastAsia="Arial" w:hAnsi="Arial"/>
          <w:sz w:val="13"/>
          <w:szCs w:val="13"/>
          <w:color w:val="auto"/>
        </w:rPr>
        <w:t>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Dan L. Halvorson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16, 2007</w:t>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Brad Weinert, Acting Chief Executive Officer and Chief Operating Officer of Novatel Wireless Inc. (the “Company”), and Dan L. Halvorson, Chief Financial Officer and Treasurer of the Company, each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43" w:lineRule="exact"/>
        <w:rPr>
          <w:sz w:val="20"/>
          <w:szCs w:val="20"/>
          <w:color w:val="auto"/>
        </w:rPr>
      </w:pPr>
    </w:p>
    <w:p>
      <w:pPr>
        <w:ind w:right="40" w:firstLine="464"/>
        <w:spacing w:after="0" w:line="268" w:lineRule="auto"/>
        <w:tabs>
          <w:tab w:leader="none" w:pos="632"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Annual Report on Form 10-K of the Company for the year ended December 31, 2006 fully complies with the requirements of Section 13(a) or 15(d) of the Exchange Act; and</w:t>
      </w:r>
    </w:p>
    <w:p>
      <w:pPr>
        <w:spacing w:after="0" w:line="126"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The information contained in the Annual Report on Form 10-K of the Company for the year ended December 31, 2006 fairly presents, in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the financial condition of the Company at the end of the period covered by the Annual Report and the results of operations of the Company for the period covered by the Annual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16th day of March, 2007.</w:t>
      </w:r>
    </w:p>
    <w:p>
      <w:pPr>
        <w:spacing w:after="0" w:line="218" w:lineRule="exact"/>
        <w:rPr>
          <w:sz w:val="20"/>
          <w:szCs w:val="20"/>
          <w:color w:val="auto"/>
        </w:rPr>
      </w:pPr>
    </w:p>
    <w:p>
      <w:pPr>
        <w:ind w:left="8240"/>
        <w:spacing w:after="0"/>
        <w:tabs>
          <w:tab w:leader="none" w:pos="85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RAD</w:t>
      </w:r>
      <w:r>
        <w:rPr>
          <w:rFonts w:ascii="Arial" w:cs="Arial" w:eastAsia="Arial" w:hAnsi="Arial"/>
          <w:sz w:val="16"/>
          <w:szCs w:val="16"/>
          <w:color w:val="auto"/>
        </w:rPr>
        <w:t xml:space="preserve"> W</w:t>
      </w:r>
      <w:r>
        <w:rPr>
          <w:rFonts w:ascii="Arial" w:cs="Arial" w:eastAsia="Arial" w:hAnsi="Arial"/>
          <w:sz w:val="13"/>
          <w:szCs w:val="13"/>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Brad Weinert</w:t>
      </w:r>
    </w:p>
    <w:p>
      <w:pPr>
        <w:jc w:val="center"/>
        <w:ind w:left="6860"/>
        <w:spacing w:after="0" w:line="223" w:lineRule="auto"/>
        <w:rPr>
          <w:sz w:val="20"/>
          <w:szCs w:val="20"/>
          <w:color w:val="auto"/>
        </w:rPr>
      </w:pPr>
      <w:r>
        <w:rPr>
          <w:rFonts w:ascii="Arial" w:cs="Arial" w:eastAsia="Arial" w:hAnsi="Arial"/>
          <w:sz w:val="14"/>
          <w:szCs w:val="14"/>
          <w:b w:val="1"/>
          <w:bCs w:val="1"/>
          <w:color w:val="auto"/>
        </w:rPr>
        <w:t>Acting Chief Executive Officer and Chief Operating Officer (Principal</w:t>
      </w:r>
    </w:p>
    <w:p>
      <w:pPr>
        <w:jc w:val="center"/>
        <w:ind w:left="6860"/>
        <w:spacing w:after="0"/>
        <w:rPr>
          <w:sz w:val="20"/>
          <w:szCs w:val="20"/>
          <w:color w:val="auto"/>
        </w:rPr>
      </w:pPr>
      <w:r>
        <w:rPr>
          <w:rFonts w:ascii="Arial" w:cs="Arial" w:eastAsia="Arial" w:hAnsi="Arial"/>
          <w:sz w:val="14"/>
          <w:szCs w:val="14"/>
          <w:b w:val="1"/>
          <w:bCs w:val="1"/>
          <w:color w:val="auto"/>
        </w:rPr>
        <w:t>Executive Officer)</w:t>
      </w:r>
    </w:p>
    <w:p>
      <w:pPr>
        <w:spacing w:after="0" w:line="208"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w:t>
      </w:r>
      <w:r>
        <w:rPr>
          <w:rFonts w:ascii="Arial" w:cs="Arial" w:eastAsia="Arial" w:hAnsi="Arial"/>
          <w:sz w:val="16"/>
          <w:szCs w:val="16"/>
          <w:color w:val="auto"/>
        </w:rPr>
        <w:t xml:space="preserve"> L. H</w:t>
      </w:r>
      <w:r>
        <w:rPr>
          <w:rFonts w:ascii="Arial" w:cs="Arial" w:eastAsia="Arial" w:hAnsi="Arial"/>
          <w:sz w:val="13"/>
          <w:szCs w:val="13"/>
          <w:color w:val="auto"/>
        </w:rPr>
        <w:t>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Dan L. Halvorson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Roman"/>
      <w:start w:val="3"/>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2"/>
    </w:lvl>
  </w:abstractNum>
  <w:abstractNum w:abstractNumId="25">
    <w:nsid w:val="5C482A97"/>
    <w:multiLevelType w:val="hybridMultilevel"/>
    <w:lvl w:ilvl="0">
      <w:lvlJc w:val="left"/>
      <w:lvlText w:val="%1"/>
      <w:numFmt w:val="decimal"/>
      <w:start w:val="2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2"/>
    </w:lvl>
  </w:abstractNum>
  <w:abstractNum w:abstractNumId="29">
    <w:nsid w:val="2D517796"/>
    <w:multiLevelType w:val="hybridMultilevel"/>
    <w:lvl w:ilvl="0">
      <w:lvlJc w:val="left"/>
      <w:lvlText w:val="%1."/>
      <w:numFmt w:val="decimal"/>
      <w:start w:val="4"/>
    </w:lvl>
  </w:abstractNum>
  <w:abstractNum w:abstractNumId="30">
    <w:nsid w:val="580BD78F"/>
    <w:multiLevelType w:val="hybridMultilevel"/>
    <w:lvl w:ilvl="0">
      <w:lvlJc w:val="left"/>
      <w:lvlText w:val="%1."/>
      <w:numFmt w:val="decimal"/>
      <w:start w:val="5"/>
    </w:lvl>
  </w:abstractNum>
  <w:abstractNum w:abstractNumId="31">
    <w:nsid w:val="153EA438"/>
    <w:multiLevelType w:val="hybridMultilevel"/>
    <w:lvl w:ilvl="0">
      <w:lvlJc w:val="left"/>
      <w:lvlText w:val="(%1)"/>
      <w:numFmt w:val="lowerLetter"/>
      <w:start w:val="3"/>
    </w:lvl>
  </w:abstractNum>
  <w:abstractNum w:abstractNumId="32">
    <w:nsid w:val="3855585C"/>
    <w:multiLevelType w:val="hybridMultilevel"/>
    <w:lvl w:ilvl="0">
      <w:lvlJc w:val="left"/>
      <w:lvlText w:val="%1."/>
      <w:numFmt w:val="decimal"/>
      <w:start w:val="7"/>
    </w:lvl>
  </w:abstractNum>
  <w:abstractNum w:abstractNumId="33">
    <w:nsid w:val="70A64E2A"/>
    <w:multiLevelType w:val="hybridMultilevel"/>
    <w:lvl w:ilvl="0">
      <w:lvlJc w:val="left"/>
      <w:lvlText w:val="%1."/>
      <w:numFmt w:val="decimal"/>
      <w:start w:val="8"/>
    </w:lvl>
  </w:abstractNum>
  <w:abstractNum w:abstractNumId="34">
    <w:nsid w:val="6A2342EC"/>
    <w:multiLevelType w:val="hybridMultilevel"/>
    <w:lvl w:ilvl="0">
      <w:lvlJc w:val="left"/>
      <w:lvlText w:val="%1."/>
      <w:numFmt w:val="decimal"/>
      <w:start w:val="9"/>
    </w:lvl>
  </w:abstractNum>
  <w:abstractNum w:abstractNumId="35">
    <w:nsid w:val="2A487CB0"/>
    <w:multiLevelType w:val="hybridMultilevel"/>
    <w:lvl w:ilvl="0">
      <w:lvlJc w:val="left"/>
      <w:lvlText w:val="%1."/>
      <w:numFmt w:val="decimal"/>
      <w:start w:val="10"/>
    </w:lvl>
  </w:abstractNum>
  <w:abstractNum w:abstractNumId="36">
    <w:nsid w:val="1D4ED43B"/>
    <w:multiLevelType w:val="hybridMultilevel"/>
    <w:lvl w:ilvl="0">
      <w:lvlJc w:val="left"/>
      <w:lvlText w:val="%1."/>
      <w:numFmt w:val="decimal"/>
      <w:start w:val="11"/>
    </w:lvl>
  </w:abstractNum>
  <w:abstractNum w:abstractNumId="37">
    <w:nsid w:val="725A06FB"/>
    <w:multiLevelType w:val="hybridMultilevel"/>
    <w:lvl w:ilvl="0">
      <w:lvlJc w:val="left"/>
      <w:lvlText w:val="%1."/>
      <w:numFmt w:val="decimal"/>
      <w:start w:val="12"/>
    </w:lvl>
  </w:abstractNum>
  <w:abstractNum w:abstractNumId="38">
    <w:nsid w:val="2CD89A32"/>
    <w:multiLevelType w:val="hybridMultilevel"/>
    <w:lvl w:ilvl="0">
      <w:lvlJc w:val="left"/>
      <w:lvlText w:val="%1."/>
      <w:numFmt w:val="decimal"/>
      <w:start w:val="13"/>
    </w:lvl>
  </w:abstractNum>
  <w:abstractNum w:abstractNumId="39">
    <w:nsid w:val="57E4CCAF"/>
    <w:multiLevelType w:val="hybridMultilevel"/>
    <w:lvl w:ilvl="0">
      <w:lvlJc w:val="left"/>
      <w:lvlText w:val="%1"/>
      <w:numFmt w:val="decimal"/>
      <w:start w:val="2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decimal"/>
      <w:start w:val="5"/>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decimal"/>
      <w:start w:val="5"/>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2019-12-11T23:51:35Z</dcterms:created>
  <dcterms:modified xsi:type="dcterms:W3CDTF">2019-12-11T23:51:35Z</dcterms:modified>
</cp:coreProperties>
</file>