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Sarvikas Juho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INSEEGO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9710 SCRANTON ROAD,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INSEEGO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INSG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502"/>
        <w:gridCol w:w="675"/>
        <w:gridCol w:w="1174"/>
        <w:gridCol w:w="1006"/>
        <w:gridCol w:w="9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6,749</w:t>
            </w:r>
          </w:p>
        </w:tc>
        <w:tc>
          <w:tcPr>
            <w:tcW w:w="5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243,956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payment of the tax liabilities of the reporting person related to the vesting of shares from a restricted stock unit (RSU) award that was granted on 01/06/2025. The grant of the RSU was previously reported in Table I of reporting person's Form 4 filed on 01/07/2025.The vesting schedule for the award was subsequently modified from an initial structure of monthly vesting over four years (with one-fourth vesting on the first anniversary of the grant date and 1/48th vesting monthly thereafter) to a quarterly vesting schedule, including a 7.5% acceleration of vesting.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Frances Wong,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0984" TargetMode="External"/><Relationship Id="rId5" Type="http://schemas.openxmlformats.org/officeDocument/2006/relationships/hyperlink" Target="http://www.sec.gov/cgi-bin/browse-edgar?action=getcompany&amp;CIK=00010226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3578</Characters>
  <CharactersWithSpaces>4179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