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80" w:right="428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2012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0" w:right="259" w:bottom="1440" w:gutter="0" w:footer="0" w:header="0"/>
        </w:sectPr>
      </w:pPr>
    </w:p>
    <w:p>
      <w:pPr>
        <w:ind w:left="3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080" w:space="720"/>
            <w:col w:w="460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000-31659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40" w:top="230" w:right="259" w:bottom="1440" w:gutter="0" w:footer="0" w:header="0"/>
          <w:type w:val="continuous"/>
        </w:sectPr>
      </w:pPr>
    </w:p>
    <w:p>
      <w:pPr>
        <w:spacing w:after="0" w:line="2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47" w:lineRule="exact"/>
        <w:rPr>
          <w:sz w:val="24"/>
          <w:szCs w:val="24"/>
          <w:color w:val="auto"/>
        </w:rPr>
      </w:pPr>
    </w:p>
    <w:p>
      <w:pPr>
        <w:sectPr>
          <w:pgSz w:w="11900" w:h="16838" w:orient="portrait"/>
          <w:cols w:equalWidth="0" w:num="2">
            <w:col w:w="7540" w:space="720"/>
            <w:col w:w="3140"/>
          </w:cols>
          <w:pgMar w:left="240" w:top="230" w:right="259" w:bottom="1440" w:gutter="0" w:footer="0" w:header="0"/>
          <w:type w:val="continuous"/>
        </w:sectPr>
      </w:pPr>
    </w:p>
    <w:p>
      <w:pPr>
        <w:jc w:val="center"/>
        <w:ind w:right="1700"/>
        <w:spacing w:after="0"/>
        <w:rPr>
          <w:sz w:val="20"/>
          <w:szCs w:val="20"/>
          <w:color w:val="auto"/>
        </w:rPr>
      </w:pPr>
      <w:r>
        <w:rPr>
          <w:rFonts w:ascii="Arial" w:cs="Arial" w:eastAsia="Arial" w:hAnsi="Arial"/>
          <w:sz w:val="14"/>
          <w:szCs w:val="14"/>
          <w:b w:val="1"/>
          <w:bCs w:val="1"/>
          <w:color w:val="auto"/>
        </w:rPr>
        <w:t>(State or Other Jurisdiction</w:t>
      </w:r>
    </w:p>
    <w:p>
      <w:pPr>
        <w:jc w:val="center"/>
        <w:ind w:right="170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20" w:space="720"/>
            <w:col w:w="3260"/>
          </w:cols>
          <w:pgMar w:left="240" w:top="230" w:right="259" w:bottom="1440" w:gutter="0" w:footer="0" w:header="0"/>
          <w:type w:val="continuous"/>
        </w:sectPr>
      </w:pPr>
    </w:p>
    <w:p>
      <w:pPr>
        <w:spacing w:after="0" w:line="25"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9645 Scranton Road</w:t>
      </w:r>
    </w:p>
    <w:p>
      <w:pPr>
        <w:spacing w:after="0" w:line="44" w:lineRule="exact"/>
        <w:rPr>
          <w:sz w:val="24"/>
          <w:szCs w:val="24"/>
          <w:color w:val="auto"/>
        </w:rPr>
      </w:pPr>
    </w:p>
    <w:p>
      <w:pPr>
        <w:ind w:left="2060"/>
        <w:spacing w:after="0"/>
        <w:rPr>
          <w:sz w:val="20"/>
          <w:szCs w:val="20"/>
          <w:color w:val="auto"/>
        </w:rPr>
      </w:pPr>
      <w:r>
        <w:rPr>
          <w:rFonts w:ascii="Arial" w:cs="Arial" w:eastAsia="Arial" w:hAnsi="Arial"/>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56" w:lineRule="exact"/>
        <w:rPr>
          <w:sz w:val="24"/>
          <w:szCs w:val="24"/>
          <w:color w:val="auto"/>
        </w:rPr>
      </w:pPr>
    </w:p>
    <w:p>
      <w:pPr>
        <w:sectPr>
          <w:pgSz w:w="11900" w:h="16838" w:orient="portrait"/>
          <w:cols w:equalWidth="0" w:num="2">
            <w:col w:w="7740" w:space="720"/>
            <w:col w:w="2940"/>
          </w:cols>
          <w:pgMar w:left="240" w:top="230" w:right="2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90" w:lineRule="exact"/>
        <w:rPr>
          <w:sz w:val="24"/>
          <w:szCs w:val="24"/>
          <w:color w:val="auto"/>
        </w:rPr>
      </w:pPr>
    </w:p>
    <w:p>
      <w:pPr>
        <w:sectPr>
          <w:pgSz w:w="11900" w:h="16838" w:orient="portrait"/>
          <w:cols w:equalWidth="0" w:num="2">
            <w:col w:w="7680" w:space="720"/>
            <w:col w:w="3000"/>
          </w:cols>
          <w:pgMar w:left="240" w:top="230"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Registrant’s telephone number, including area code: (858) 320-8800</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 None</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ectPr>
          <w:pgSz w:w="11900" w:h="16838" w:orient="portrait"/>
          <w:cols w:equalWidth="0" w:num="1">
            <w:col w:w="11400"/>
          </w:cols>
          <w:pgMar w:left="240" w:top="230" w:right="259" w:bottom="1440" w:gutter="0" w:footer="0" w:header="0"/>
          <w:type w:val="continuous"/>
        </w:sectPr>
      </w:pPr>
    </w:p>
    <w:p>
      <w:pPr>
        <w:spacing w:after="0" w:line="43"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4">
            <w:col w:w="8940" w:space="100"/>
            <w:col w:w="140" w:space="180"/>
            <w:col w:w="220" w:space="100"/>
            <w:col w:w="1720"/>
          </w:cols>
          <w:pgMar w:left="240" w:top="230" w:right="25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4">
            <w:col w:w="9100" w:space="100"/>
            <w:col w:w="140" w:space="180"/>
            <w:col w:w="220" w:space="80"/>
            <w:col w:w="1580"/>
          </w:cols>
          <w:pgMar w:left="240" w:top="230" w:right="259" w:bottom="1440" w:gutter="0" w:footer="0" w:header="0"/>
          <w:type w:val="continuous"/>
        </w:sect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firstLine="342"/>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60"/>
        <w:spacing w:after="0" w:line="207" w:lineRule="exact"/>
        <w:tabs>
          <w:tab w:leader="none" w:pos="2320" w:val="left"/>
          <w:tab w:leader="none" w:pos="3920" w:val="left"/>
          <w:tab w:leader="none" w:pos="5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 w:lineRule="exact"/>
        <w:rPr>
          <w:sz w:val="24"/>
          <w:szCs w:val="24"/>
          <w:color w:val="auto"/>
        </w:rPr>
      </w:pPr>
    </w:p>
    <w:p>
      <w:pPr>
        <w:ind w:left="360"/>
        <w:spacing w:after="0" w:line="184" w:lineRule="exact"/>
        <w:tabs>
          <w:tab w:leader="none" w:pos="90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7"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2012, as reported by The Nasdaq Global Select Market, was approximately $80,047,404.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ind w:left="360"/>
        <w:spacing w:after="0"/>
        <w:rPr>
          <w:sz w:val="20"/>
          <w:szCs w:val="20"/>
          <w:color w:val="auto"/>
        </w:rPr>
      </w:pPr>
      <w:r>
        <w:rPr>
          <w:rFonts w:ascii="Arial" w:cs="Arial" w:eastAsia="Arial" w:hAnsi="Arial"/>
          <w:sz w:val="18"/>
          <w:szCs w:val="18"/>
          <w:color w:val="auto"/>
        </w:rPr>
        <w:t>The number of shares of the Registrant’s common stock outstanding as of February 27, 2013 was 33,705,412.</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860" w:firstLine="342"/>
        <w:spacing w:after="0" w:line="332" w:lineRule="auto"/>
        <w:rPr>
          <w:sz w:val="20"/>
          <w:szCs w:val="20"/>
          <w:color w:val="auto"/>
        </w:rPr>
      </w:pPr>
      <w:r>
        <w:rPr>
          <w:rFonts w:ascii="Arial" w:cs="Arial" w:eastAsia="Arial" w:hAnsi="Arial"/>
          <w:sz w:val="16"/>
          <w:szCs w:val="16"/>
          <w:color w:val="auto"/>
        </w:rPr>
        <w:t>Portions of the Registrant’s definitive proxy statement for the 2013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40" w:type="dxa"/>
            <w:vAlign w:val="bottom"/>
            <w:gridSpan w:val="8"/>
          </w:tcPr>
          <w:p>
            <w:pPr>
              <w:ind w:left="3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1.</w:t>
            </w:r>
          </w:p>
        </w:tc>
        <w:tc>
          <w:tcPr>
            <w:tcW w:w="9880" w:type="dxa"/>
            <w:vAlign w:val="bottom"/>
            <w:gridSpan w:val="22"/>
          </w:tcPr>
          <w:p>
            <w:pPr>
              <w:ind w:left="8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CCEEFF"/>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Item 1A.</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8900" w:type="dxa"/>
            <w:vAlign w:val="bottom"/>
            <w:tcBorders>
              <w:bottom w:val="single" w:sz="8" w:color="CCEEFF"/>
            </w:tcBorders>
            <w:gridSpan w:val="18"/>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1B.</w:t>
            </w:r>
          </w:p>
        </w:tc>
        <w:tc>
          <w:tcPr>
            <w:tcW w:w="9880" w:type="dxa"/>
            <w:vAlign w:val="bottom"/>
            <w:gridSpan w:val="22"/>
          </w:tcPr>
          <w:p>
            <w:pPr>
              <w:ind w:left="80"/>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2.</w:t>
            </w:r>
          </w:p>
        </w:tc>
        <w:tc>
          <w:tcPr>
            <w:tcW w:w="80" w:type="dxa"/>
            <w:vAlign w:val="bottom"/>
            <w:shd w:val="clear" w:color="auto" w:fill="CCEEFF"/>
          </w:tcPr>
          <w:p>
            <w:pPr>
              <w:spacing w:after="0"/>
              <w:rPr>
                <w:sz w:val="15"/>
                <w:szCs w:val="15"/>
                <w:color w:val="auto"/>
              </w:rPr>
            </w:pPr>
          </w:p>
        </w:tc>
        <w:tc>
          <w:tcPr>
            <w:tcW w:w="9800" w:type="dxa"/>
            <w:vAlign w:val="bottom"/>
            <w:gridSpan w:val="21"/>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CCEEFF"/>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Item 4.</w:t>
            </w:r>
          </w:p>
        </w:tc>
        <w:tc>
          <w:tcPr>
            <w:tcW w:w="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Mine Safety Disclosures</w:t>
              </w:r>
            </w:hyperlink>
          </w:p>
        </w:tc>
        <w:tc>
          <w:tcPr>
            <w:tcW w:w="8060" w:type="dxa"/>
            <w:vAlign w:val="bottom"/>
            <w:tcBorders>
              <w:bottom w:val="single" w:sz="8" w:color="CCEEFF"/>
            </w:tcBorders>
            <w:gridSpan w:val="1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0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5.</w:t>
            </w:r>
          </w:p>
        </w:tc>
        <w:tc>
          <w:tcPr>
            <w:tcW w:w="80" w:type="dxa"/>
            <w:vAlign w:val="bottom"/>
            <w:shd w:val="clear" w:color="auto" w:fill="CCEEFF"/>
          </w:tcPr>
          <w:p>
            <w:pPr>
              <w:spacing w:after="0"/>
              <w:rPr>
                <w:sz w:val="17"/>
                <w:szCs w:val="17"/>
                <w:color w:val="auto"/>
              </w:rPr>
            </w:pPr>
          </w:p>
        </w:tc>
        <w:tc>
          <w:tcPr>
            <w:tcW w:w="9800" w:type="dxa"/>
            <w:vAlign w:val="bottom"/>
            <w:gridSpan w:val="2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Item 6.</w:t>
            </w:r>
          </w:p>
        </w:tc>
        <w:tc>
          <w:tcPr>
            <w:tcW w:w="80" w:type="dxa"/>
            <w:vAlign w:val="bottom"/>
            <w:tcBorders>
              <w:top w:val="single" w:sz="8" w:color="CCEEFF"/>
            </w:tcBorders>
          </w:tcPr>
          <w:p>
            <w:pPr>
              <w:spacing w:after="0"/>
              <w:rPr>
                <w:sz w:val="24"/>
                <w:szCs w:val="24"/>
                <w:color w:val="auto"/>
              </w:rPr>
            </w:pPr>
          </w:p>
        </w:tc>
        <w:tc>
          <w:tcPr>
            <w:tcW w:w="7880" w:type="dxa"/>
            <w:vAlign w:val="bottom"/>
            <w:tcBorders>
              <w:top w:val="single" w:sz="8" w:color="0000EE"/>
            </w:tcBorders>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9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7.</w:t>
            </w:r>
          </w:p>
        </w:tc>
        <w:tc>
          <w:tcPr>
            <w:tcW w:w="80" w:type="dxa"/>
            <w:vAlign w:val="bottom"/>
            <w:shd w:val="clear" w:color="auto" w:fill="CCEEFF"/>
          </w:tcPr>
          <w:p>
            <w:pPr>
              <w:spacing w:after="0"/>
              <w:rPr>
                <w:sz w:val="17"/>
                <w:szCs w:val="17"/>
                <w:color w:val="auto"/>
              </w:rPr>
            </w:pPr>
          </w:p>
        </w:tc>
        <w:tc>
          <w:tcPr>
            <w:tcW w:w="9800" w:type="dxa"/>
            <w:vAlign w:val="bottom"/>
            <w:gridSpan w:val="21"/>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Item 7A.</w:t>
            </w:r>
          </w:p>
        </w:tc>
        <w:tc>
          <w:tcPr>
            <w:tcW w:w="80" w:type="dxa"/>
            <w:vAlign w:val="bottom"/>
            <w:tcBorders>
              <w:top w:val="single" w:sz="8" w:color="CCEEFF"/>
            </w:tcBorders>
          </w:tcPr>
          <w:p>
            <w:pPr>
              <w:spacing w:after="0"/>
              <w:rPr>
                <w:sz w:val="24"/>
                <w:szCs w:val="24"/>
                <w:color w:val="auto"/>
              </w:rPr>
            </w:pP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500" w:type="dxa"/>
            <w:vAlign w:val="bottom"/>
            <w:tcBorders>
              <w:top w:val="single" w:sz="8" w:color="CCEEFF"/>
            </w:tcBorders>
            <w:gridSpan w:val="4"/>
          </w:tcPr>
          <w:p>
            <w:pPr>
              <w:spacing w:after="0"/>
              <w:rPr>
                <w:sz w:val="24"/>
                <w:szCs w:val="24"/>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CCEEFF"/>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Item 8.</w:t>
            </w:r>
          </w:p>
        </w:tc>
        <w:tc>
          <w:tcPr>
            <w:tcW w:w="8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Financial Statements and Supplementary Data</w:t>
              </w:r>
            </w:hyperlink>
          </w:p>
        </w:tc>
        <w:tc>
          <w:tcPr>
            <w:tcW w:w="6540" w:type="dxa"/>
            <w:vAlign w:val="bottom"/>
            <w:tcBorders>
              <w:bottom w:val="single" w:sz="8" w:color="CCEEFF"/>
            </w:tcBorders>
            <w:gridSpan w:val="8"/>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9.</w:t>
            </w:r>
          </w:p>
        </w:tc>
        <w:tc>
          <w:tcPr>
            <w:tcW w:w="9880" w:type="dxa"/>
            <w:vAlign w:val="bottom"/>
            <w:gridSpan w:val="22"/>
          </w:tcPr>
          <w:p>
            <w:pPr>
              <w:ind w:left="80"/>
              <w:spacing w:after="0"/>
              <w:rPr>
                <w:rFonts w:ascii="Arial" w:cs="Arial" w:eastAsia="Arial" w:hAnsi="Arial"/>
                <w:sz w:val="18"/>
                <w:szCs w:val="18"/>
                <w:color w:val="0000EE"/>
              </w:rPr>
            </w:pPr>
            <w:hyperlink w:anchor="page48">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CCEEFF"/>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Item 9A.</w:t>
            </w:r>
          </w:p>
        </w:tc>
        <w:tc>
          <w:tcPr>
            <w:tcW w:w="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Controls and Procedures</w:t>
              </w:r>
            </w:hyperlink>
          </w:p>
        </w:tc>
        <w:tc>
          <w:tcPr>
            <w:tcW w:w="8060" w:type="dxa"/>
            <w:vAlign w:val="bottom"/>
            <w:tcBorders>
              <w:bottom w:val="single" w:sz="8" w:color="CCEEFF"/>
            </w:tcBorders>
            <w:gridSpan w:val="14"/>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9B.</w:t>
            </w:r>
          </w:p>
        </w:tc>
        <w:tc>
          <w:tcPr>
            <w:tcW w:w="9880" w:type="dxa"/>
            <w:vAlign w:val="bottom"/>
            <w:gridSpan w:val="22"/>
          </w:tcPr>
          <w:p>
            <w:pPr>
              <w:ind w:left="80"/>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10.</w:t>
            </w:r>
          </w:p>
        </w:tc>
        <w:tc>
          <w:tcPr>
            <w:tcW w:w="9880" w:type="dxa"/>
            <w:vAlign w:val="bottom"/>
            <w:gridSpan w:val="22"/>
          </w:tcPr>
          <w:p>
            <w:pPr>
              <w:ind w:left="80"/>
              <w:spacing w:after="0"/>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11.</w:t>
            </w:r>
          </w:p>
        </w:tc>
        <w:tc>
          <w:tcPr>
            <w:tcW w:w="80" w:type="dxa"/>
            <w:vAlign w:val="bottom"/>
            <w:shd w:val="clear" w:color="auto" w:fill="CCEEFF"/>
          </w:tcPr>
          <w:p>
            <w:pPr>
              <w:spacing w:after="0"/>
              <w:rPr>
                <w:sz w:val="15"/>
                <w:szCs w:val="15"/>
                <w:color w:val="auto"/>
              </w:rPr>
            </w:pPr>
          </w:p>
        </w:tc>
        <w:tc>
          <w:tcPr>
            <w:tcW w:w="980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w:t>
              </w:r>
            </w:hyperlink>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12.</w:t>
            </w:r>
          </w:p>
        </w:tc>
        <w:tc>
          <w:tcPr>
            <w:tcW w:w="8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60" w:type="dxa"/>
            <w:vAlign w:val="bottom"/>
            <w:tcBorders>
              <w:top w:val="single" w:sz="8" w:color="0000EE"/>
            </w:tcBorders>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Item 13.</w:t>
            </w:r>
          </w:p>
        </w:tc>
        <w:tc>
          <w:tcPr>
            <w:tcW w:w="80" w:type="dxa"/>
            <w:vAlign w:val="bottom"/>
            <w:shd w:val="clear" w:color="auto" w:fill="CCEEFF"/>
          </w:tcPr>
          <w:p>
            <w:pPr>
              <w:spacing w:after="0"/>
              <w:rPr>
                <w:sz w:val="17"/>
                <w:szCs w:val="17"/>
                <w:color w:val="auto"/>
              </w:rPr>
            </w:pPr>
          </w:p>
        </w:tc>
        <w:tc>
          <w:tcPr>
            <w:tcW w:w="980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 and Director Independence</w:t>
              </w:r>
            </w:hyperlink>
          </w:p>
        </w:tc>
        <w:tc>
          <w:tcPr>
            <w:tcW w:w="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Item 14.</w:t>
            </w:r>
          </w:p>
        </w:tc>
        <w:tc>
          <w:tcPr>
            <w:tcW w:w="80" w:type="dxa"/>
            <w:vAlign w:val="bottom"/>
            <w:tcBorders>
              <w:top w:val="single" w:sz="8" w:color="CCEEFF"/>
            </w:tcBorders>
          </w:tcPr>
          <w:p>
            <w:pPr>
              <w:spacing w:after="0"/>
              <w:rPr>
                <w:sz w:val="24"/>
                <w:szCs w:val="24"/>
                <w:color w:val="auto"/>
              </w:rPr>
            </w:pP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4480" w:type="dxa"/>
            <w:vAlign w:val="bottom"/>
            <w:tcBorders>
              <w:top w:val="single" w:sz="8" w:color="CCEEFF"/>
            </w:tcBorders>
            <w:gridSpan w:val="5"/>
          </w:tcPr>
          <w:p>
            <w:pPr>
              <w:spacing w:after="0"/>
              <w:rPr>
                <w:sz w:val="24"/>
                <w:szCs w:val="24"/>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8"/>
                <w:szCs w:val="18"/>
                <w:color w:val="auto"/>
              </w:rPr>
              <w:t>Item 15.</w:t>
            </w:r>
          </w:p>
        </w:tc>
        <w:tc>
          <w:tcPr>
            <w:tcW w:w="9880" w:type="dxa"/>
            <w:vAlign w:val="bottom"/>
            <w:gridSpan w:val="22"/>
          </w:tcPr>
          <w:p>
            <w:pPr>
              <w:ind w:left="80"/>
              <w:spacing w:after="0"/>
              <w:rPr>
                <w:rFonts w:ascii="Arial" w:cs="Arial" w:eastAsia="Arial" w:hAnsi="Arial"/>
                <w:sz w:val="18"/>
                <w:szCs w:val="18"/>
                <w:color w:val="0000EE"/>
              </w:rPr>
            </w:pPr>
            <w:hyperlink w:anchor="page52">
              <w:r>
                <w:rPr>
                  <w:rFonts w:ascii="Arial" w:cs="Arial" w:eastAsia="Arial" w:hAnsi="Arial"/>
                  <w:sz w:val="18"/>
                  <w:szCs w:val="18"/>
                  <w:color w:val="0000EE"/>
                </w:rPr>
                <w:t>Exhibits and Financial Statement Schedules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SIGNATURES</w:t>
              </w:r>
            </w:hyperlink>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INDEX TO CONSOLIDATED FINANCIAL STATEMENTS</w:t>
              </w:r>
            </w:hyperlink>
          </w:p>
        </w:tc>
        <w:tc>
          <w:tcPr>
            <w:tcW w:w="6600" w:type="dxa"/>
            <w:vAlign w:val="bottom"/>
            <w:gridSpan w:val="9"/>
          </w:tcPr>
          <w:p>
            <w:pPr>
              <w:spacing w:after="0"/>
              <w:rPr>
                <w:sz w:val="24"/>
                <w:szCs w:val="24"/>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“Novatel Wireless”, the Novatel Wireless logo, “MiFi”, “MiFi Intelligent Mobile Hotspot”, “MiFi OS”, “MiFi Home”, “MobiLink”, “Ovation,” “Expedite” and “MiFi.Freedom. My Way” are trademarks of Novatel Wireless, Inc. “Enfora”, the Enfora logo, “Spider”, “Enabling Information Anywhere”, “Enabler”, “eWide” and “N4A” are trademarks of Enfora, Inc. Other trademarks, trade names or service marks used in this report are the property of their respective owners.</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providers of security systems, application service providers and distributors. We have strategic relationships with several of these customers for technology development and marketing.</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the years ended December 31, 2012, 2011, and 2010, net revenues recognized from sales of our products were $344.3 million, $402.9 million, and $338.9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a leading provider of intelligent wireless solutions. The key elements of our strategy are to:</w:t>
      </w:r>
    </w:p>
    <w:p>
      <w:pPr>
        <w:spacing w:after="0" w:line="90" w:lineRule="exact"/>
        <w:rPr>
          <w:sz w:val="20"/>
          <w:szCs w:val="20"/>
          <w:color w:val="auto"/>
        </w:rPr>
      </w:pPr>
    </w:p>
    <w:p>
      <w:pPr>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Broaden Our Product Offerings. </w:t>
      </w:r>
      <w:r>
        <w:rPr>
          <w:rFonts w:ascii="Arial" w:cs="Arial" w:eastAsia="Arial" w:hAnsi="Arial"/>
          <w:sz w:val="18"/>
          <w:szCs w:val="18"/>
          <w:color w:val="auto"/>
        </w:rPr>
        <w:t>We intend to diversify and continue to broaden our product lines in the following areas: intelligent mobile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modules supporting The Internet of Things, integrated M2M devices for asset tracking, telemetry, and mobile tracking and customized service-delivery platforms to manage and enable M2M applications.</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 Our Wireless Product Offerings Worldwide. </w:t>
      </w:r>
      <w:r>
        <w:rPr>
          <w:rFonts w:ascii="Arial" w:cs="Arial" w:eastAsia="Arial" w:hAnsi="Arial"/>
          <w:sz w:val="18"/>
          <w:szCs w:val="18"/>
          <w:color w:val="auto"/>
        </w:rPr>
        <w:t>We intend to continue expanding our portfolio of wireless products with leading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and enterprises worldwide. Our products operate on the major wireless technology platforms, including Second Generation (2G) networks: GSM, CDMA, GPRS; Third Generation (3G) networks: CDMA2000 1xEV-DO, HSDPA and HSUPA; and Fourth Generation (4G) networks: LTE, dual carrier HSPA+, and WiMAX.</w:t>
      </w:r>
    </w:p>
    <w:p>
      <w:pPr>
        <w:spacing w:after="0" w:line="62" w:lineRule="exact"/>
        <w:rPr>
          <w:rFonts w:ascii="Arial" w:cs="Arial" w:eastAsia="Arial" w:hAnsi="Arial"/>
          <w:sz w:val="18"/>
          <w:szCs w:val="18"/>
          <w:color w:val="auto"/>
        </w:rPr>
      </w:pPr>
    </w:p>
    <w:p>
      <w:pPr>
        <w:ind w:left="900" w:right="6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Lead the Intelligent Mobile Hotspot Product Category</w:t>
      </w:r>
      <w:r>
        <w:rPr>
          <w:rFonts w:ascii="Arial" w:cs="Arial" w:eastAsia="Arial" w:hAnsi="Arial"/>
          <w:sz w:val="16"/>
          <w:szCs w:val="16"/>
          <w:color w:val="auto"/>
        </w:rPr>
        <w:t>. We invented and developed the MiFi</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Intelligent Mobile Hotspot, a new category in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mobile data devices. In May 2009, the first nationwide commercial deployment of MiFi hotspots was launched by Verizon Wireless. Since that time, approximately 20 additional operators around the world have commercially launched MiFi for both 3G and 4G technologies. In September 2012 we introduced the next-generation MiFi</w:t>
      </w:r>
      <w:r>
        <w:rPr>
          <w:rFonts w:ascii="Arial" w:cs="Arial" w:eastAsia="Arial" w:hAnsi="Arial"/>
          <w:sz w:val="10"/>
          <w:szCs w:val="10"/>
          <w:color w:val="auto"/>
        </w:rPr>
        <w:t>®</w:t>
      </w:r>
      <w:r>
        <w:rPr>
          <w:rFonts w:ascii="Arial" w:cs="Arial" w:eastAsia="Arial" w:hAnsi="Arial"/>
          <w:sz w:val="16"/>
          <w:szCs w:val="16"/>
          <w:color w:val="auto"/>
        </w:rPr>
        <w:t xml:space="preserve"> Intelligent Mobile Hotspot – the MiFi 2. The MiFi 2 was the first mobile hotspot with a touch-screen display and the most feature rich mobile hotspot in the market. We have multiple versions of MiFi mobile hotspots currently in development and we plan to continue to be a leader and innovator of the MiFi family of products.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Direct Relationships with Wireless Operators. </w:t>
      </w:r>
      <w:r>
        <w:rPr>
          <w:rFonts w:ascii="Arial" w:cs="Arial" w:eastAsia="Arial" w:hAnsi="Arial"/>
          <w:sz w:val="16"/>
          <w:szCs w:val="16"/>
          <w:color w:val="auto"/>
        </w:rPr>
        <w:t>We intend to continue to capitalize on our direct and long-standing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wireless operators in order to increase our worldwide market position. In the United States and internationally, we are working closely with wireless operators to provide the best mobile computing solutions and relevant M2M solutions to consumers and enterprise customers.</w:t>
      </w:r>
    </w:p>
    <w:p>
      <w:pPr>
        <w:spacing w:after="0" w:line="25" w:lineRule="exact"/>
        <w:rPr>
          <w:rFonts w:ascii="Arial" w:cs="Arial" w:eastAsia="Arial" w:hAnsi="Arial"/>
          <w:sz w:val="16"/>
          <w:szCs w:val="16"/>
          <w:color w:val="auto"/>
        </w:rPr>
      </w:pPr>
    </w:p>
    <w:p>
      <w:pPr>
        <w:ind w:left="900" w:right="380" w:hanging="325"/>
        <w:spacing w:after="0" w:line="25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Leverage Strategic Relationships. </w:t>
      </w:r>
      <w:r>
        <w:rPr>
          <w:rFonts w:ascii="Arial" w:cs="Arial" w:eastAsia="Arial" w:hAnsi="Arial"/>
          <w:sz w:val="18"/>
          <w:szCs w:val="18"/>
          <w:color w:val="auto"/>
        </w:rPr>
        <w:t>We believe that strategic relationships with wireless carriers and enterprises that utilize mobile computing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M2M technology are critical to our ability to leverage sales opportunities and ensure that our technology investments address customer needs. Through strategic relationships, we believe that we can increase market penetration and differentiate our products by leveraging resources and knowledge including sales, marketing, and distribution systems. We are also addressing new market opportunities through innovation with our strategic partners.</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Target Key Vertical Market Opportunities and Penetrate New Markets. </w:t>
      </w:r>
      <w:r>
        <w:rPr>
          <w:rFonts w:ascii="Arial" w:cs="Arial" w:eastAsia="Arial" w:hAnsi="Arial"/>
          <w:sz w:val="18"/>
          <w:szCs w:val="18"/>
          <w:color w:val="auto"/>
        </w:rPr>
        <w:t>We believe that continuing developments in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additional vertical market opportunities and more applications for our products. Currently, we market our wireless access and M2M solutions to key vertical industry segments by offering innovative solutions that are intended to increase productivity, reduce costs and create operational efficiencies.</w:t>
      </w:r>
    </w:p>
    <w:p>
      <w:pPr>
        <w:spacing w:after="0" w:line="62"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functionality and intellectual property to our products and develop new</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software applications to enhance the overall value and ease of use that our products provide to our customers and end users.</w:t>
      </w:r>
    </w:p>
    <w:p>
      <w:pPr>
        <w:spacing w:after="0" w:line="4" w:lineRule="exact"/>
        <w:rPr>
          <w:rFonts w:ascii="Arial" w:cs="Arial" w:eastAsia="Arial" w:hAnsi="Arial"/>
          <w:sz w:val="16"/>
          <w:szCs w:val="16"/>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Acquire Companies that Accelerate the Growth of Our Business</w:t>
      </w:r>
      <w:r>
        <w:rPr>
          <w:rFonts w:ascii="Arial" w:cs="Arial" w:eastAsia="Arial" w:hAnsi="Arial"/>
          <w:sz w:val="18"/>
          <w:szCs w:val="18"/>
          <w:color w:val="auto"/>
        </w:rPr>
        <w:t>. We will continue to seek strategic acquisitions of companies in closely aligned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technologies that will provide synergistic growth in revenue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the wireless communications industry in the following reportable segments:</w:t>
      </w:r>
    </w:p>
    <w:p>
      <w:pPr>
        <w:spacing w:after="0" w:line="90" w:lineRule="exact"/>
        <w:rPr>
          <w:sz w:val="20"/>
          <w:szCs w:val="20"/>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Computing Products—includes our MiFi Intelligent Mobile Hotspot devices,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M2M Products and Solutions—includes our M2M embedded modules, integrated M2M communications devices and our service delivery platform – the N4A™ Communication and Management Software (CMS) that provides easy device management and service enablement.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our segments, see Note 12 to our consolidated financial statements.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Mobile Computing Products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have a growing portfolio of leading-edge technology solutions that enable data transmission and services via cellular wireless networks. In 2012, we launched new products in our line of MiFi mobile hotspots, modems, and embedded modules for both CDMA and GSM networks.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major Mobile Computing product lines:</w:t>
      </w:r>
    </w:p>
    <w:p>
      <w:pPr>
        <w:spacing w:after="0" w:line="171"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b w:val="1"/>
          <w:bCs w:val="1"/>
          <w:i w:val="1"/>
          <w:iCs w:val="1"/>
          <w:color w:val="auto"/>
        </w:rPr>
        <w:t>MiFi</w:t>
      </w:r>
      <w:r>
        <w:rPr>
          <w:rFonts w:ascii="Arial" w:cs="Arial" w:eastAsia="Arial" w:hAnsi="Arial"/>
          <w:sz w:val="10"/>
          <w:szCs w:val="10"/>
          <w:b w:val="1"/>
          <w:bCs w:val="1"/>
          <w:i w:val="1"/>
          <w:iCs w:val="1"/>
          <w:color w:val="auto"/>
        </w:rPr>
        <w:t>®</w:t>
      </w:r>
      <w:r>
        <w:rPr>
          <w:rFonts w:ascii="Arial" w:cs="Arial" w:eastAsia="Arial" w:hAnsi="Arial"/>
          <w:sz w:val="16"/>
          <w:szCs w:val="16"/>
          <w:b w:val="1"/>
          <w:bCs w:val="1"/>
          <w:i w:val="1"/>
          <w:iCs w:val="1"/>
          <w:color w:val="auto"/>
        </w:rPr>
        <w:t xml:space="preserve"> Intelligent Mobile Hotspot </w:t>
      </w:r>
      <w:r>
        <w:rPr>
          <w:rFonts w:ascii="Arial" w:cs="Arial" w:eastAsia="Arial" w:hAnsi="Arial"/>
          <w:sz w:val="16"/>
          <w:szCs w:val="16"/>
          <w:color w:val="auto"/>
        </w:rPr>
        <w:t>is our flagship product. Introduced in 2009, it has quickly become a leading brand in mobile communications. MiFi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hotspots are gaining acceptance as a standard connectivity option for Wi-Fi-enabled devices such as the iPad, Kindle, tablets, PCs, MP3 players, and gaming devices. MiFi hotspots function by connecting to a cellular-wireless network and creating a secure Wi-Fi signal that can connect to as many as 10 devices simultaneously. MiFi hotspots accounted for 72%, 63%, and 49% of revenue in 2012, 2011, and 2010,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strategy for the MiFi platform is to continue to innovate with a focus on ease of use and value adding features that take the device beyond just basic connectivity. With our introduction of MiFi 2 in September 2012, Novatel Wireless not only introduced the world’s first mobile hotspot with a touch-screen, we also created a new set of features and services which redefines how users interact with and use their mobile hotspots. For example, with one touch, a user can get an account summary of their data plan, including their current data usage and international roaming usage. MiFi 2 also has a new DLNA-certified Media Center which allows users to enjoy and share their movies, music, presentations and photos stored on microSD cards on connected devices. A user can simply upload photos from their camera to MiFi 2 using a microSD card and start showing them on any DLNA-enabled television or compatible devices. For business users, MiFi 2 has a simple process to upload and download stored files from any connected device. MiFi 2 also allows a user to manage connected devices to the user’s needs and desires, allowing connection and blocking of remote devices. In November 2012, MiFi</w:t>
      </w:r>
      <w:r>
        <w:rPr>
          <w:rFonts w:ascii="Arial" w:cs="Arial" w:eastAsia="Arial" w:hAnsi="Arial"/>
          <w:sz w:val="10"/>
          <w:szCs w:val="10"/>
          <w:color w:val="auto"/>
        </w:rPr>
        <w:t>®</w:t>
      </w:r>
      <w:r>
        <w:rPr>
          <w:rFonts w:ascii="Arial" w:cs="Arial" w:eastAsia="Arial" w:hAnsi="Arial"/>
          <w:sz w:val="16"/>
          <w:szCs w:val="16"/>
          <w:color w:val="auto"/>
        </w:rPr>
        <w:t xml:space="preserve"> Liberate was introduced by AT&amp;T – marking the commercial launch of the first MiFi 2 next generation device from Novatel Wireless.</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Modems </w:t>
      </w:r>
      <w:r>
        <w:rPr>
          <w:rFonts w:ascii="Arial" w:cs="Arial" w:eastAsia="Arial" w:hAnsi="Arial"/>
          <w:sz w:val="18"/>
          <w:szCs w:val="18"/>
          <w:color w:val="auto"/>
        </w:rPr>
        <w:t>continue to be used to access wireless broadband networks. We originally introduced USB and PC-Card modems in North America, and continue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the most advanced wireless access in the industry. USB and PC-Card Modems accounted for 11%, 20%, and 46% of revenue in 2012, 2011, and 2010 respectively.</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Embedded Modules </w:t>
      </w:r>
      <w:r>
        <w:rPr>
          <w:rFonts w:ascii="Arial" w:cs="Arial" w:eastAsia="Arial" w:hAnsi="Arial"/>
          <w:sz w:val="16"/>
          <w:szCs w:val="16"/>
          <w:color w:val="auto"/>
        </w:rPr>
        <w:t>are utilized in a wide range of computing devices, such as laptop PCs, netbooks, tablets, and various other electronic products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wireless broadband access. Embedded modules accounted for 5%, 4%, and 3% of revenue in 2012, 2011, and 2010,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2011, we expected embedded modules to be a source of revenue growth in 2012. While we have repeatedly demonstrated our ability to win key customers in this area, the market for this business has changed significantly, and the associated R&amp;D expenditures are significant as well. Because the volumes have not materialized to match the projections of our customers, this product line incurred significant losses during 2012. Given the challenging economics, we are significantly changing our approach to this business. While we plan to continue to support our legacy embedded modules products, we are now only taking on new projects where our inventory and R&amp;D investments will be adequately supported by our customers.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M2M Products and Solutions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2012, we have expanded our M2M portfolio significantly adding additional technologies and features to our line of embedded modules and integrated devices to improve performance, and strengthen the competitive advantages of our solutions. M2M products and solutions accounted for 9%, 11%, and 2% of revenue in 2012, 2011, and 2010, respectively. M2M product lines consist of the following:</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MT, SA &amp; AT Integrated Solutions </w:t>
      </w:r>
      <w:r>
        <w:rPr>
          <w:rFonts w:ascii="Arial" w:cs="Arial" w:eastAsia="Arial" w:hAnsi="Arial"/>
          <w:sz w:val="16"/>
          <w:szCs w:val="16"/>
          <w:color w:val="auto"/>
        </w:rPr>
        <w:t>bring together essential elements for monitoring and managing mobile and fixed assets, vehicle tracking and telemetric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functions, along with workforce tracking and management. We add value by developing solutions to meet the needs of specific customers with a particular emphasis on select vertical markets including: transportation &amp; logistics, usage-based-insurance, security &amp; asset tracking, industrial automation &amp; smart grid, and remote patient monitoring. These solutions can be scaled from a small fleet customer to company-wide enterprise deployments. Our M2M solutions can be coupled with Novatel Wireless’ robust N4A Communications and Management Software platform and be monitored, managed and reconfigured remotely from almost anywhere in the world. By combining the N4A CMS platform with the intelligence of the integrated M2M devices, customers will gain a solution that offers ease-of-deployment, superior, reliable performance in small and flexible packages.</w:t>
      </w:r>
    </w:p>
    <w:p>
      <w:pPr>
        <w:spacing w:after="0" w:line="118"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b w:val="1"/>
          <w:bCs w:val="1"/>
          <w:i w:val="1"/>
          <w:iCs w:val="1"/>
          <w:color w:val="auto"/>
        </w:rPr>
        <w:t>Enabler</w:t>
      </w:r>
      <w:r>
        <w:rPr>
          <w:rFonts w:ascii="Arial" w:cs="Arial" w:eastAsia="Arial" w:hAnsi="Arial"/>
          <w:sz w:val="10"/>
          <w:szCs w:val="10"/>
          <w:b w:val="1"/>
          <w:bCs w:val="1"/>
          <w:i w:val="1"/>
          <w:iCs w:val="1"/>
          <w:color w:val="auto"/>
        </w:rPr>
        <w:t>®</w:t>
      </w:r>
      <w:r>
        <w:rPr>
          <w:rFonts w:ascii="Arial" w:cs="Arial" w:eastAsia="Arial" w:hAnsi="Arial"/>
          <w:sz w:val="16"/>
          <w:szCs w:val="16"/>
          <w:b w:val="1"/>
          <w:bCs w:val="1"/>
          <w:i w:val="1"/>
          <w:iCs w:val="1"/>
          <w:color w:val="auto"/>
        </w:rPr>
        <w:t xml:space="preserve"> III &amp; HS Embedded Solutions </w:t>
      </w:r>
      <w:r>
        <w:rPr>
          <w:rFonts w:ascii="Arial" w:cs="Arial" w:eastAsia="Arial" w:hAnsi="Arial"/>
          <w:sz w:val="16"/>
          <w:szCs w:val="16"/>
          <w:color w:val="auto"/>
        </w:rPr>
        <w:t>are integrated into various products or equipment so that those assets may communicate with other computers.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“machine-to-machine” applications enable back-end IT systems to receive data from remote assets. A common example is vehicle modules that transmit data about location, engine conditions, and abnormal situations to critical decision support or monitoring systems. During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2012, we announced new modules development covering CDMA2000 1X and HSDPA. The two new modules, Enabler HS 3001 (1X) and HS 3002 (HSDPA), build on the legacy proven design of the Enfora Enabler series. Novatel Wireless’ CDMA2000 1X and GSM/GPRS/EDGE/HSDPA low power platforms deliver small size and industry-leading performance, reliable connectivity, and device intelligence needed for today’s demanding M2M applications. These solutions are ideal for markets including but not limited to security, telemetry, POS, mHealth, AVL and AMI/AMR market segments looking for high reliability and a common design across multiple technologies.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N4A™ Software and Design Services </w:t>
      </w:r>
      <w:r>
        <w:rPr>
          <w:rFonts w:ascii="Arial" w:cs="Arial" w:eastAsia="Arial" w:hAnsi="Arial"/>
          <w:sz w:val="18"/>
          <w:szCs w:val="18"/>
          <w:color w:val="auto"/>
        </w:rPr>
        <w:t>include our N4A Communications &amp; Management Software, or CMS, and design services that we provide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primarily for asset management solutions. Our N4A CMS 3.0 platform is a next-generation service delivery platform that eases the development, deployment, and operation of asset-management applications. N4A CMS provides a standardized, scalable way to connect and manage remote assets and improve business operations. The platform is flexible and supports both on-premise server or cloud-based deployments and is the basis for delivery of a wide range of M2M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Our customer base is comprised of wireless operators, distributors, OEMs, and various companies in vertical markets. Our tier-one wireless-operator customers include AT&amp;T, Sprint, and Verizon Wireless. OEM customers include Dell and Hewlett-Packard. Our M2M customer base is a mix across various verticals including customers such as Alarm.com, Linear Technology, Honeywell, Fleetmatics/Sagequest, Numerex, and Nextraq.</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strategic technology, development and marketing relationships with several of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900" w:right="1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900" w:right="3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OEMs</w:t>
      </w:r>
      <w:r>
        <w:rPr>
          <w:rFonts w:ascii="Arial" w:cs="Arial" w:eastAsia="Arial" w:hAnsi="Arial"/>
          <w:sz w:val="16"/>
          <w:szCs w:val="16"/>
          <w:color w:val="auto"/>
        </w:rPr>
        <w:t>. Our OEM customers integrate our products into devices that they manufacture and sell through their own direct sales forces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channels. Our products are capable of being integrated into a broad range of devices that utilize wireless-data capabilities. We seek to build strong relationships with our OEM partners by working closely with them and providing radio frequency, or RF, design consulting, performance optimization, software integration and customization and application engineering support during the integration of our products.</w:t>
      </w:r>
    </w:p>
    <w:p>
      <w:pPr>
        <w:spacing w:after="0" w:line="31"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M2M customers</w:t>
      </w:r>
      <w:r>
        <w:rPr>
          <w:rFonts w:ascii="Arial" w:cs="Arial" w:eastAsia="Arial" w:hAnsi="Arial"/>
          <w:sz w:val="18"/>
          <w:szCs w:val="18"/>
          <w:color w:val="auto"/>
        </w:rPr>
        <w:t>. We believe the M2M market provides substantial opportunities for growth. Machine-to-machine and smart-systems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are being integrated into a growing number of manufactured devices and machines—whether fixed, movable or fully mobile. We have strong positions in many of the high-growth segments of the M2M market. These include transportation, insurance, industrial automation, energy, security, and healthcare. We expect to work with these customers to develop customized solutions that incorporate our software and other intellectual property, providing significant product differentiation.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continue to develop and maintain strategic relationships with wireless and computer industry leaders like QUALCOMM, Sprint, AT&amp;T, Verizon Wireless, Texas Instruments and major software vendors. Through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strategic relationships, we have been able to increase market penetration by leveraging the resources, knowledge and technology of our channel partners.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We sell our Mobile Computing Products primarily to wireless operators either directly or through strategic relationships, as well as to OEM partners and distributors located worldwide. Most of our Mobile Computing Products are sold directly by our sales force, or to a lesser degree, through distributors.</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lead-generation programs, as well as product marketing. Other marketing initiatives include public relations, seminars and co-branding with partners.</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sell our M2M Products and Solutions primarily to enterprises in the following industries: transportation; energy and industrial automation; security and safety; and medical monitoring. We sell our M2M Products and Solutions through our own direct sales force and through distributors.</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significant portion of our revenue comes from a small number of customers. Our revenues from sales to Verizon Wireless represented approximately 58% of our total revenues for the year ended December 31, 2012.</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substantial majority of our revenue is derived from sales in the U.S. See Note 12 to our consolidated financial statements for a discussion of our revenue and asset concentrations by geographic location.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research and development efforts are focused on developing innovative new wireless products and improving the functionality, design and performance of our existing products. Our research and development expenses for the years ended December 31, 2012, 2011, and 2010 were $60.4 million, $61.4 million, and $48.9 million, respectively.</w:t>
      </w:r>
    </w:p>
    <w:p>
      <w:pPr>
        <w:spacing w:after="0" w:line="14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In both segments, we intend to continue to identify and respond to our customers’ needs by introducing new product designs with an emphasis on supporting cutting edge wireless data technology, ease-of-use, performance, weight, cost and power consumption.</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9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Advanced Radio Frequency and Hardware Design. </w:t>
      </w:r>
      <w:r>
        <w:rPr>
          <w:rFonts w:ascii="Arial" w:cs="Arial" w:eastAsia="Arial" w:hAnsi="Arial"/>
          <w:sz w:val="18"/>
          <w:szCs w:val="18"/>
          <w:color w:val="auto"/>
        </w:rPr>
        <w:t>Advanced RF design is a key technology that determines the performance of wireless devices.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specialized in 700/800/900/1800/1900/2100/2500 MHz and AWS designs for digital cellular, packet data, CDMA, HSPA, WiMAX, and LTE technologies. Our expertise in RF, baseband, and firmware technology contributes to the performance, cost advantages and small size of our products.</w:t>
      </w:r>
    </w:p>
    <w:p>
      <w:pPr>
        <w:spacing w:after="0" w:line="62"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Miniaturization and System Integration</w:t>
      </w:r>
      <w:r>
        <w:rPr>
          <w:rFonts w:ascii="Arial" w:cs="Arial" w:eastAsia="Arial" w:hAnsi="Arial"/>
          <w:sz w:val="16"/>
          <w:szCs w:val="16"/>
          <w:color w:val="auto"/>
        </w:rPr>
        <w:t>. Our expertise includes the integration of RF and baseband chipsets and printed circuit board, or PCB</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We will continue to augment our miniaturization technology, working to further reduce the size and cost of current and future products.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Software Development. </w:t>
      </w:r>
      <w:r>
        <w:rPr>
          <w:rFonts w:ascii="Arial" w:cs="Arial" w:eastAsia="Arial" w:hAnsi="Arial"/>
          <w:sz w:val="18"/>
          <w:szCs w:val="18"/>
          <w:color w:val="auto"/>
        </w:rPr>
        <w:t>We specialize in integrating and customizing 3G and 4G software to meet carrier and regulatory requirements. We supply</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solutions to enable our customers to achieve a time-to-market advantage. This includes firmware that runs on a modem processor, drivers for various host operating systems, software development kits, or SDK, modem-manager software that controls modem operation, and server applications for over-the-air updates.</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Embedded Operating System. </w:t>
      </w:r>
      <w:r>
        <w:rPr>
          <w:rFonts w:ascii="Arial" w:cs="Arial" w:eastAsia="Arial" w:hAnsi="Arial"/>
          <w:sz w:val="18"/>
          <w:szCs w:val="18"/>
          <w:color w:val="auto"/>
        </w:rPr>
        <w:t>We have developed an embedded operating system that runs applications on our mobile hotspot products and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introduce innovative applications.</w:t>
      </w:r>
    </w:p>
    <w:p>
      <w:pPr>
        <w:spacing w:after="0" w:line="50"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M2M Solutions. </w:t>
      </w:r>
      <w:r>
        <w:rPr>
          <w:rFonts w:ascii="Arial" w:cs="Arial" w:eastAsia="Arial" w:hAnsi="Arial"/>
          <w:sz w:val="16"/>
          <w:szCs w:val="16"/>
          <w:color w:val="auto"/>
        </w:rPr>
        <w:t>We have developed customized asset-tracking systems and service-delivery platforms that utilize advanced radio-frequency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specialized software that interfaces with the information technology systems of our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We currently have manufacturing agreements in place with the following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Computing Products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Inventec Appliances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Hon Hai Precision Industry Co., Ltd.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M2M Products and Solutions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Benchmark Electronics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These contract manufacturers are located in China and Thailand, and are able to produce our products using modern state-of-the-art equipment and facilities and relatively low-cost labor.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additional manufacturing efficiencies are realized due to our product architecture and our commitment to process design. Direct materials for our products consist of custom tooled parts such as printed circuit boards, molded plastic components and fabricated metal components, semi-custom parts such as batteries and cables, as well as industry-standard components such as Application Specific Integrated Circuits or ASICs,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operations organization manages our relationships with the contract manufacturers as well as other key suppliers. Our operations team focuses on supply chain management, quality, cost optimization, customer order management and new product introduction.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Computing Products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wireless broadband access solutions rely on and benefit from our portfolio of intellectual property, including patents and trademarks. We currently own 47 United States patents, two of which are also registered in Canada. In addition, we currently have 55 patent applications pending. From time to time, we also seek to have our patents registered in selected foreign jurisdictions. The patents that we currently own expire at various times between 2013 and 2029.</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licensed software and other intellectual property for use in our products from third-parties, such as QUALCOMM. In the case of QUALCOMM, these licenses allow us to manufacture CDMA, UMTS, HSPA, EV-DO, and LTE-based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hold a number of trademarks including Expedite, MiFi, MiFi OS, MiFi Intelligent Mobile Hotspot, MobiLink and Ovation.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M2M Products and Solutions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M2M products and solutions incorporate patents, licensed technology, and trade secrets gained from our deep experience providing customized solutions to our customers.</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currently own 8 United States patents related to M2M products and solutions. In addition, we currently have 17 patent applications pending. From time to time, we also seek to have our patents registered in selected foreign jurisdictions. The patents that we currently own expire at various times between 2020 and 2029.</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licensed software and other intellectual property for use in our products from various third-parties, such as Ericsson, Siemens, NEC and Interdigital Communications Corporation. These licenses allow us to use the licensed intellectual property for the worldwide manufacture and sale of GSM-based wireless devices. We pay royalties in connection with such sales. The licenses do not have a specified term and may be terminated by either party for cause or upon the occurrence of other specified events.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hold a number of trademarks including Enfora, Spider, Enabling Information Anywhere, Enabler, eWide, and N4A.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market for wireless broadband access and M2M solutions is rapidly evolving and highly competitive. It is likely to continue to be significantly affected by the evolution of new wireless technology standards, additional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companies entering the market, new product introductions and the product pricing and other market activities of industry participants.</w:t>
      </w:r>
    </w:p>
    <w:p>
      <w:pPr>
        <w:spacing w:after="0" w:line="171"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 and leverage our strategic relationships and our investment in R&amp;D.</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and Samsung;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Telit Wireless Solutions, Gemalto, CalAmp and Huawei;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chipset providers, such as QUALCOMM, Intel, GCT Semiconductor and ST-Ericsson.</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customized solutions that we offer, the ease-of-use of our products, our ability to adapt our products to specific customer needs and our competitive pricing. As the market for wireless data solutions expands, other entrants may seek to compete with us either directly or indirectly.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As of December 31, 2012, we had 459 employees. By segment, Mobile Computing Products had 378 employees, including corporate functions, and M2M Products and Solutions had 81 employees. By function, we had 261 employees in research and development, 84 in sales and marketing, 60 in operations, and 54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 xml:space="preserve">We maintain an Internet website at </w:t>
      </w:r>
      <w:r>
        <w:rPr>
          <w:rFonts w:ascii="Arial" w:cs="Arial" w:eastAsia="Arial" w:hAnsi="Arial"/>
          <w:sz w:val="15"/>
          <w:szCs w:val="15"/>
          <w:i w:val="1"/>
          <w:iCs w:val="1"/>
          <w:u w:val="single" w:color="auto"/>
          <w:color w:val="auto"/>
        </w:rPr>
        <w:t>www.novatelwireless.com</w:t>
      </w:r>
      <w:r>
        <w:rPr>
          <w:rFonts w:ascii="Arial" w:cs="Arial" w:eastAsia="Arial" w:hAnsi="Arial"/>
          <w:sz w:val="15"/>
          <w:szCs w:val="15"/>
          <w:color w:val="auto"/>
        </w:rPr>
        <w:t>. The information contained on our website or that can be accessed through our website does not constitute a part of this report. We make available, free of charge through our Internet website, our annual reports on Form 10-K, quarterly reports on Form</w:t>
      </w:r>
    </w:p>
    <w:p>
      <w:pPr>
        <w:spacing w:after="0" w:line="255" w:lineRule="auto"/>
        <w:rPr>
          <w:sz w:val="20"/>
          <w:szCs w:val="20"/>
          <w:color w:val="auto"/>
        </w:rPr>
      </w:pPr>
      <w:r>
        <w:rPr>
          <w:rFonts w:ascii="Arial" w:cs="Arial" w:eastAsia="Arial" w:hAnsi="Arial"/>
          <w:sz w:val="18"/>
          <w:szCs w:val="18"/>
          <w:color w:val="auto"/>
        </w:rPr>
        <w:t>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or SEC.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and Samsung;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Telit Wireless Solutions, Gemalto, CalAmp and Huawei;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chipset providers, such as QUALCOMM, Intel, GCT Semiconductor and ST-Ericsson.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develop and timely introduce new products successfully, we may lose key customers or product orders and our business could be harmed.</w:t>
      </w:r>
    </w:p>
    <w:p>
      <w:pPr>
        <w:spacing w:after="0" w:line="12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that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and might impact the timing of the product development and customer approval process. In addition, as we introduce new products or new versions of our existing products,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that we would sell to that customer. Our ability to generate future revenue and operating income under any such contracts would depend upon, among other factors, our ability to timely and profitably develop products that are suitable for manufacturing in a cost effective manner and that meet defined product design, technical and performance specifications.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In November 2010, we completed our acquisition of Enfora. We may acquire additional businesses, assets, or technologies in the future. If we make any acquisitions, we could take any or all of the following actions, any one of which could adversely affect our business, financial condition, results of operations or share price:</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Acquisitions, including the Enfora acquisition, also entail numerous other risks, including: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substantial accounting charges for restructuring and other expenses, amortization of purchased technology and intangible assets and stock-based compensation expense, any of which could materially adversely affect our operating results. We may not be able to realize the anticipated benefits of or successfully integrate with our existing business the businesses, products, technologies or personnel that we acquire, and our failure to do so could harm our business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deterioration in global economic conditions could have a material adverse effect on our results of operations and financial condition.</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weak or deteriorating economic conditions globally, we could experience lower demand for our products, which could adversely impact our results of operations.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Additionally, there could be a number of related effects on our business resulting from weak economic conditions, including the insolvency of one or more of our parts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we continue to monitor market conditions, we cannot predict future market conditions or their impact on demand for our products.</w:t>
      </w:r>
    </w:p>
    <w:p>
      <w:pPr>
        <w:spacing w:after="0" w:line="27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key element of our business strategy is to penetrate new markets by developing new products through strategic relationships with industry participants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our net revenues come from only a few customers. Our revenue could be materially adversely affected if we are unable to retain the level of business of any of our significant customers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a majority of our current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many of whom are already customers,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5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Various risks arise if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increased demand for our products or unanticipated product requirements. Our failure to properly manage the developments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currently outsource our manufacturing to Inventec Appliances Corporation, Hon Hai Precision Industry Co., Ltd., and Benchmark Electronics. These contract manufacturers have operations in China and Thailand and, in 2011, severe flooding in Thailand caused damage to infrastructure and factories and affected our supply of products from our contract manufacturer located in Thailand, which constrained our revenue in 2011. If one of these third-party manufacturers were to experience delays, disruptions, capacity constraints or quality control problems in its manufacturing operations, product shipments to our customers could be delayed or rejected by them or our customers could consequently elect to cancel the underlying product purchase order. These disruptions would negatively 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and that has been accepted.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the availability and price volatility in the marketplace of the components and materials needed to manufacture our products. If a third-party manufacturer were to negatively change the product pricing and other terms under which it agrees to manufacture for us and we are unable to locate a suitable alternative manufacturer, our manufacturing costs could significantly increase.</w:t>
      </w:r>
    </w:p>
    <w:p>
      <w:pPr>
        <w:spacing w:after="0" w:line="12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in respect of which we contractually ordered our manufacturer to procure component parts,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201"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ind w:firstLine="456"/>
        <w:spacing w:after="0" w:line="287"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For example, some of our product components are manufactured in Japan, which experienced a significant earthquake in 2011. Although our suppliers’ facilities were undamaged, some manufacturers experienced temporary suspension of production due to power outages. If there is a shortage or interruption in the availability to us of any such components, and we cannot timely obtain a commercially and technologically suitable substitute or make sufficient and timely design or other product modifications to permit the use of such a substitute component,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the original cost of the component in our costed bill of materials, then our results of operations would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party to litigation that could be costly to defend and distracting to management.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the date of this report, a class action lawsuit has been filed on behalf of persons who allegedly purchased our common stock between February 27, 2007 and November 10, 2008. The lawsuit names us and certain of our current and former officers as defendants. The complaint alleges generally that we issued materially false and misleading statements during the relevant time period regarding the strength of our products and market share, our financial results and internal controls.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194"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Third parties have in the past and may claim in the future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number of putative patent infringement claims have been filed by various plaintiffs in a number of U.S. District Courts against us and/or numerous third parties, some of whom are our customers. These cases generally allege that the defendants’ use, sale and importation of specified products and/or processes constitutes infringement of certain U.S. patents allegedly owned or exclusively licensed by each plaintiff. Under certain circumstances, we may have an obligation to indemnify and/or defend our customers against these lawsuits.</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5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addition to our manufacturing activities in Asia, a significant portion of our research and development staff is located in Canada. We also sell our products outside the U.S. These international business activities expose the Company to additional business risks, including:</w:t>
      </w:r>
    </w:p>
    <w:p>
      <w:pPr>
        <w:spacing w:after="0" w:line="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or damage to products in transit;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court ordered injunctions in a given jurisdiction in connection with alleged intellectual property rights infringement by our products or components contained with our products which might prohibit the importation, sale or offer for sale of our products in the jurisdiction subject to such injunction.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international business activities expose the Company to fluctuations in exchange rates between the United States dollar and foreign currencies which may materially affect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portion of our revenues are generated from sales agreements denominated in foreign currencies, and we expect to enter into additional such agreements as we expand our international customer base. Additionally, a significant portion of our research and development staff is located in Canada and paid in Canadian dollars. As a result, we are exposed to changes in foreign currency exchange rates. At times, we may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90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900" w:right="32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900" w:right="100" w:hanging="325"/>
        <w:spacing w:after="0" w:line="29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Our attempts to minimize the effects of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foreign currencies on cash flows may not be successful.</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and expand our business if we are not able to hire, retain and manage additional qualified personnel.</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The success of our acquisitions, such as Enfora, depends in part on our retention and integration of key personnel from the acquired company or business. Recruiting and retaining skilled personnel in the wireless communications industry, including software and hardware engineers, is highly competitive.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in the future, currently only Peter Leparulo, the Company’s Chairman and CEO, is a party to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 system of control and procedures, however well designed and operated, is based in part on certain assumptions and can provide only reasonable, and not absolute, assurances that the objectives of the controls and procedures are met. Acquired companies or businesses are likely to have different standards, controls, contracts, procedures and policies, making it more difficult to implement and harmonize company-wide financial, accounting, billing, information and other systems. Acquisitions of privately held companies, such as Enfora, and/or non-US companies are particularly challenging because their prior practices in these areas may not meet the requirements of the Sarbanes-Oxley Act and public accounting standards. The failure or circumvention of our controls, policies and procedures could have a material adverse effect on our business, results of operations and financial position.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information technology services provided to customers, and any such disruption could reduce our expected revenue, increase our expenses, damage our reputation and adversely affect our stock price.</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software and applications that we produce or procure from third parties may contain defects in design or manufacture, including “bugs” and other problems that could unexpectedly interfere with the operation of our or our customers’ systems.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manage and store various proprietary information and sensitive or confidential data relating to our business. Breaches of our security measures or the accidental loss, inadvertent disclosure or unapproved dissemination of proprietary information or sensitive or confidential data about us or our clients, including the potential loss or disclosure of such information or data as a result of fraud, trickery or other forms of deception, could expose us or our customers affected to a risk of loss or misuse of this information, result in litigation and potential liability for us, damage our brand and reputation or otherwise harm our business. In addition, the cost and operational consequences of implementing further data protection measures could be significant.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have adversely affected in the past, and in the future could adversely affect, our financial results, stock price and reputation.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the market values of our portfolio investments and in interest rates.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December 31, 2012, we had $55.3 million in cash, cash equivalents and marketable securities. Substantially all of our marketable securities are invested in fixed income securities.</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instruments is judged to be other-than-temporary.</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also suffer losses in principal if we are forced to sell securities that decline in market value due to changes in interest rates or if declines in value are determined to be other-than-temporary.</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principal executive offices are located in San Diego, California where we lease approximately 96,000 square feet under an arrangement that expires in December 2016. In connection with our acquisition of Enfora, Inc., we lease approximately 42,000 square feet in Richardson, Texas under a lease arrangement that expires in December 2014. In Calgary, Canada, we lease approximately 24,000 square feet for certain aspects of our research and development organization under a lease that expires in September 2017. In Basingstoke, United Kingdom, we lease approximately 4,600 square feet for our European staff under a lease agreement that expires in November 2013. In Shanghai, China, we lease approximately 1,200 square meters for our Chinese staff under a lease agreement that expires in April 2015.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our common stock between February 27, 2007 and September 15, 2008. On February 14, 2011, following extensive discovery, we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final pretrial conference date. On December 14, 2012, the court issued an order denying defendants’ motion to exclude the testimony of plaintiffs’ loss causation expert. The court set a pretrial conference for March 8, 2013 and a trial date of June 3, 2013. On February 7, 2013, the court reconsidered its December 14, 2012 order and granted defendants’ motion to exclude plaintiffs’ expert on loss causation. The court, however, gave plaintiffs the opportunity to provide a new report from the expert seeking to cure the deficiencies in the expert’s testimony. The court provided a schedule for the cure process and ordered plaintiffs to bear the burden of defendants’ expenses incurred in this process. The court also reset the pretrial conference for August 22, 2013 and a trial date of November 18, 2013. The Company intends to defend this litigation vigorously.</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On September 24, 2010, NovAtel, Inc., a Canadian company (“NovAtel Canada”) filed a trademark infringement lawsuit entitled </w:t>
      </w:r>
      <w:r>
        <w:rPr>
          <w:rFonts w:ascii="Arial" w:cs="Arial" w:eastAsia="Arial" w:hAnsi="Arial"/>
          <w:sz w:val="18"/>
          <w:szCs w:val="18"/>
          <w:i w:val="1"/>
          <w:iCs w:val="1"/>
          <w:color w:val="auto"/>
        </w:rPr>
        <w:t>NovAtel, Inc. v. Novatel</w:t>
      </w:r>
      <w:r>
        <w:rPr>
          <w:rFonts w:ascii="Arial" w:cs="Arial" w:eastAsia="Arial" w:hAnsi="Arial"/>
          <w:sz w:val="18"/>
          <w:szCs w:val="18"/>
          <w:color w:val="auto"/>
        </w:rPr>
        <w:t xml:space="preserve"> </w:t>
      </w:r>
      <w:r>
        <w:rPr>
          <w:rFonts w:ascii="Arial" w:cs="Arial" w:eastAsia="Arial" w:hAnsi="Arial"/>
          <w:sz w:val="18"/>
          <w:szCs w:val="18"/>
          <w:i w:val="1"/>
          <w:iCs w:val="1"/>
          <w:color w:val="auto"/>
        </w:rPr>
        <w:t>Wireless Technologies, Ltd., et al</w:t>
      </w:r>
      <w:r>
        <w:rPr>
          <w:rFonts w:ascii="Arial" w:cs="Arial" w:eastAsia="Arial" w:hAnsi="Arial"/>
          <w:sz w:val="18"/>
          <w:szCs w:val="18"/>
          <w:color w:val="auto"/>
        </w:rPr>
        <w:t>, Action No. 1001-14265 in the Court of Queens Bench of Alberta Canada, Judicial District of Calgary. The Statement of Claim</w:t>
      </w:r>
      <w:r>
        <w:rPr>
          <w:rFonts w:ascii="Arial" w:cs="Arial" w:eastAsia="Arial" w:hAnsi="Arial"/>
          <w:sz w:val="18"/>
          <w:szCs w:val="18"/>
          <w:i w:val="1"/>
          <w:iCs w:val="1"/>
          <w:color w:val="auto"/>
        </w:rPr>
        <w:t xml:space="preserve"> </w:t>
      </w:r>
      <w:r>
        <w:rPr>
          <w:rFonts w:ascii="Arial" w:cs="Arial" w:eastAsia="Arial" w:hAnsi="Arial"/>
          <w:sz w:val="18"/>
          <w:szCs w:val="18"/>
          <w:color w:val="auto"/>
        </w:rPr>
        <w:t>alleges that Novatel Wireless Technologies, Ltd., Novatel Wireless Solutions, Inc. and Novatel Wireless, Inc., or collectively, the Company, are infringing NovAtel Canada’s purported rights in the “Novatel” trademark in breach of a settlement agreement between NovAtel Canada and the Company. The Company intends to defend this litigation vigorously.</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8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Data</w:t>
      </w:r>
    </w:p>
    <w:p>
      <w:pPr>
        <w:spacing w:after="0" w:line="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Shares of our common stock are quoted and traded on The Nasdaq Global Select Market under the symbol “NVTL.” The following table sets forth, for the periods indicated, the high and low sales prices of our common stock as reported by The Nasdaq Global Select Market.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High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 xml:space="preserve">Low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First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3.69</w:t>
            </w: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Third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2.68</w:t>
            </w: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r>
        <w:trPr>
          <w:trHeight w:val="349"/>
        </w:trPr>
        <w:tc>
          <w:tcPr>
            <w:tcW w:w="886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6.29</w:t>
            </w:r>
          </w:p>
        </w:tc>
        <w:tc>
          <w:tcPr>
            <w:tcW w:w="4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Fourth quarter</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4.42</w:t>
            </w: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outstanding capital stock consists of a single class of common stock. As of February 25, 2013, there were approximately 47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2007 and December 31, 2012 with the cumulative total return of (i) the Nasdaq Stock Market (U.S.) Index or the Nasdaq Composite Index, and (ii) the Nasdaq Telecommunications Index, or the Nasdaq Telecom Index, over the same period. This graph assumes the investment of $100.00 on December 31, 2007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497205</wp:posOffset>
            </wp:positionV>
            <wp:extent cx="4768215" cy="3644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821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Cumulative Total Return</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12/07</w:t>
            </w:r>
          </w:p>
        </w:tc>
        <w:tc>
          <w:tcPr>
            <w:tcW w:w="20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12/08</w:t>
            </w:r>
          </w:p>
        </w:tc>
        <w:tc>
          <w:tcPr>
            <w:tcW w:w="20" w:type="dxa"/>
            <w:vAlign w:val="bottom"/>
          </w:tcPr>
          <w:p>
            <w:pPr>
              <w:spacing w:after="0"/>
              <w:rPr>
                <w:sz w:val="12"/>
                <w:szCs w:val="12"/>
                <w:color w:val="auto"/>
              </w:rPr>
            </w:pPr>
          </w:p>
        </w:tc>
        <w:tc>
          <w:tcPr>
            <w:tcW w:w="6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12/09</w:t>
            </w:r>
          </w:p>
        </w:tc>
        <w:tc>
          <w:tcPr>
            <w:tcW w:w="20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12/10</w:t>
            </w:r>
          </w:p>
        </w:tc>
        <w:tc>
          <w:tcPr>
            <w:tcW w:w="20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12/11</w:t>
            </w:r>
          </w:p>
        </w:tc>
        <w:tc>
          <w:tcPr>
            <w:tcW w:w="20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12/12</w:t>
            </w:r>
          </w:p>
        </w:tc>
        <w:tc>
          <w:tcPr>
            <w:tcW w:w="100" w:type="dxa"/>
            <w:vAlign w:val="bottom"/>
          </w:tcPr>
          <w:p>
            <w:pPr>
              <w:spacing w:after="0"/>
              <w:rPr>
                <w:sz w:val="12"/>
                <w:szCs w:val="12"/>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Novatel Wireless, Inc.</w:t>
            </w:r>
          </w:p>
        </w:tc>
        <w:tc>
          <w:tcPr>
            <w:tcW w:w="3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100.00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28.64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49.20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58.95</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19.32</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3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w:t>
            </w:r>
          </w:p>
        </w:tc>
        <w:tc>
          <w:tcPr>
            <w:tcW w:w="2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59.03</w:t>
            </w:r>
          </w:p>
        </w:tc>
        <w:tc>
          <w:tcPr>
            <w:tcW w:w="840" w:type="dxa"/>
            <w:vAlign w:val="bottom"/>
            <w:gridSpan w:val="3"/>
          </w:tcPr>
          <w:p>
            <w:pPr>
              <w:ind w:left="240"/>
              <w:spacing w:after="0"/>
              <w:rPr>
                <w:sz w:val="20"/>
                <w:szCs w:val="20"/>
                <w:color w:val="auto"/>
              </w:rPr>
            </w:pPr>
            <w:r>
              <w:rPr>
                <w:rFonts w:ascii="Arial" w:cs="Arial" w:eastAsia="Arial" w:hAnsi="Arial"/>
                <w:sz w:val="18"/>
                <w:szCs w:val="18"/>
                <w:b w:val="1"/>
                <w:bCs w:val="1"/>
                <w:color w:val="auto"/>
              </w:rPr>
              <w:t>82.25</w:t>
            </w: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84"/>
              </w:rPr>
              <w:t>97.32</w:t>
            </w:r>
          </w:p>
        </w:tc>
        <w:tc>
          <w:tcPr>
            <w:tcW w:w="2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84"/>
              </w:rPr>
              <w:t>98.63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110.78</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Telecommunications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88"/>
              </w:rPr>
              <w:t>57.58</w:t>
            </w: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72.97</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86.05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90.30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89.62</w:t>
            </w:r>
          </w:p>
        </w:tc>
        <w:tc>
          <w:tcPr>
            <w:tcW w:w="100" w:type="dxa"/>
            <w:vAlign w:val="bottom"/>
            <w:shd w:val="clear" w:color="auto" w:fill="CCEEFF"/>
          </w:tcPr>
          <w:p>
            <w:pPr>
              <w:spacing w:after="0"/>
              <w:rPr>
                <w:sz w:val="18"/>
                <w:szCs w:val="18"/>
                <w:color w:val="auto"/>
              </w:rPr>
            </w:pPr>
          </w:p>
        </w:tc>
      </w:tr>
      <w:tr>
        <w:trPr>
          <w:trHeight w:val="363"/>
        </w:trPr>
        <w:tc>
          <w:tcPr>
            <w:tcW w:w="3980" w:type="dxa"/>
            <w:vAlign w:val="bottom"/>
          </w:tcPr>
          <w:p>
            <w:pPr>
              <w:spacing w:after="0"/>
              <w:rPr>
                <w:sz w:val="24"/>
                <w:szCs w:val="24"/>
                <w:color w:val="auto"/>
              </w:rPr>
            </w:pPr>
          </w:p>
        </w:tc>
        <w:tc>
          <w:tcPr>
            <w:tcW w:w="3420" w:type="dxa"/>
            <w:vAlign w:val="bottom"/>
          </w:tcPr>
          <w:p>
            <w:pPr>
              <w:jc w:val="right"/>
              <w:ind w:right="1512"/>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2012, 2011, and 2010, and the consolidated balance sheet data at December 31, 2012 and 2011 are derived from our consolidated financial statements included elsewhere in this report. The selected consolidated statements of operations data for the years ended December 31, 2009 and 2008 and consolidated balance sheet data at December 31, 2010, 2009, and 2008 are derived from the audited consolidated financial statements not included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9"/>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revenues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344,288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402,862</w:t>
            </w:r>
          </w:p>
        </w:tc>
        <w:tc>
          <w:tcPr>
            <w:tcW w:w="1340" w:type="dxa"/>
            <w:vAlign w:val="bottom"/>
            <w:gridSpan w:val="4"/>
          </w:tcPr>
          <w:p>
            <w:pPr>
              <w:jc w:val="right"/>
              <w:ind w:right="420"/>
              <w:spacing w:after="0"/>
              <w:rPr>
                <w:sz w:val="20"/>
                <w:szCs w:val="20"/>
                <w:color w:val="auto"/>
              </w:rPr>
            </w:pPr>
            <w:r>
              <w:rPr>
                <w:rFonts w:ascii="Arial" w:cs="Arial" w:eastAsia="Arial" w:hAnsi="Arial"/>
                <w:sz w:val="18"/>
                <w:szCs w:val="18"/>
                <w:color w:val="auto"/>
              </w:rPr>
              <w:t>$338,942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337,422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271,845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6"/>
              </w:rPr>
              <w:t>318,270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272,648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249,764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252,231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60"/>
              <w:spacing w:after="0"/>
              <w:rPr>
                <w:sz w:val="20"/>
                <w:szCs w:val="20"/>
                <w:color w:val="auto"/>
              </w:rPr>
            </w:pPr>
            <w:r>
              <w:rPr>
                <w:rFonts w:ascii="Arial" w:cs="Arial" w:eastAsia="Arial" w:hAnsi="Arial"/>
                <w:sz w:val="18"/>
                <w:szCs w:val="18"/>
                <w:color w:val="auto"/>
              </w:rPr>
              <w:t>Gross profit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84,592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66,294</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87,658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60,422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61,392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48,906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44,892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29,830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21,600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21,233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20,159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3,277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2,220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161,186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6"/>
              </w:rPr>
              <w:t>118,319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91,296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74,485</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(88,743)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(33,727)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(25,002)</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(88,655)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(34,395)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(25,557)</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4,439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(9,503)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(89,266)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(24,892)</w:t>
            </w:r>
          </w:p>
        </w:tc>
        <w:tc>
          <w:tcPr>
            <w:tcW w:w="1340" w:type="dxa"/>
            <w:vAlign w:val="bottom"/>
            <w:gridSpan w:val="4"/>
          </w:tcPr>
          <w:p>
            <w:pPr>
              <w:jc w:val="right"/>
              <w:ind w:right="380"/>
              <w:spacing w:after="0"/>
              <w:rPr>
                <w:sz w:val="20"/>
                <w:szCs w:val="20"/>
                <w:color w:val="auto"/>
              </w:rPr>
            </w:pPr>
            <w:r>
              <w:rPr>
                <w:rFonts w:ascii="Arial" w:cs="Arial" w:eastAsia="Arial" w:hAnsi="Arial"/>
                <w:sz w:val="18"/>
                <w:szCs w:val="18"/>
                <w:color w:val="auto"/>
              </w:rPr>
              <w:t>$ (33,450)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3,912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Basic</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(0.78)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32,043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32,043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31,494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31,224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55,309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88,831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97,826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176,044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81,113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87,174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149,468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161,531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w w:val="86"/>
              </w:rPr>
              <w:t>249,179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302,108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277,394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6"/>
              </w:rPr>
              <w:t>166,025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185,403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211,155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197,962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8"/>
                <w:szCs w:val="18"/>
                <w:color w:val="auto"/>
              </w:rPr>
              <w:t>4,080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12,886</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15,543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15,663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60" w:type="dxa"/>
            <w:vAlign w:val="bottom"/>
          </w:tcPr>
          <w:p>
            <w:pPr>
              <w:jc w:val="right"/>
              <w:ind w:right="3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by law.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PCI and wireless PC-card modems, and communications and applications software. In addition, our Enfora division provides asset-management solutions utilizing intelligent platforms, customized service-delivery software, and machine-to-machine, or M2M, communications devices.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Texas Instruments,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prices of our products. This pressure has the potential to materially adversely affect our results of operations and financial condition in future periods and we cannot predict the magnitude or timing of future reductions in the average selling prices of our products.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General and administrative expenses include primarily corporate functions such as accounting, human resources, professional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have been relatively stable and are not directly related to revenue levels, certain expenses such as litigation settlements and provisions for bad debts may impact future general and administrative expenses.</w:t>
      </w:r>
    </w:p>
    <w:p>
      <w:pPr>
        <w:spacing w:after="0" w:line="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Merger &amp; Acquisition Activities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Acquisition of Enfora</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November 30, 2010, the Company completed its acquisition of Enfora, a provider of intelligent asset-management solutions utilizing wireless technology and M2M communications. The acquisition of Enfora diversifies the Company’s customer base and product lines into adjacent markets and advances the Company’s strategy of providing intelligent devices to more end markets—enterprise, consumer and vertical applications. Enfora’s results of operations and estimated fair value of assets acquired and liabilities assumed are included in the Company’s consolidated financial statements from the date of acquisition.</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or contingent consideration, of up to $6.0 million based on the operating results of Enfora for the 15 month period from October 1, 2010 to December 31, 2011. At December 31, 2010, the estimated fair value of this contingent consideration at the acquisition date was $0.9 million, resulting in total estimated cash to be paid of $78.4 million. During the quarter ended March 31, 2011, the Company revised its estimate of contingent consideration to $0 and accordingly reflected this change as a benefit to general and administrative expenses for the quarter ended March 31, 2011. At December 31, 2011, the operating results necessary to receive payment of the contingent consideration were not achieved.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Cinterion</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June 2010, the Company submitted a bid to purchase certain assets of Cinterion Wireless Modules, a company in the cellular machine-to-machine communications industry. The Company was not the successful bidder at the conclusion of the process on June 28, 2010.</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June 2010, the Company borrowed $30.0 million, net of $2.2 million in lender fees, under a bridge loan facility in connection with its bid. In accordance with bidding procedures, during June 2010, the Company deposited into escrow an amount in Euros equal to its bid price using cash and cash equivalents, proceeds from the sale of marketable securities, and borrowings under the $30.0 million bridge loan facility. The escrowed funds are reflected as a deposit of restricted funds in the accompanying consolidated statement of cash flows for the year ended December 31, 2010. The escrowed funds were returned to the Company in July 2010.</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While the Company’s Euro funds were held in escrow, the Company engaged in hedging transactions to address foreign currency risk at a cost of $1.2 million, which amount was recorded in other income (expense), net, in the consolidated statement of operations during the year ended December 31, 2010.</w:t>
      </w:r>
    </w:p>
    <w:p>
      <w:pPr>
        <w:spacing w:after="0" w:line="6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second quarter ended June 30, 2010, the Company recorded a foreign currency gain of $2.9 million, which was recorded in other income (expense), net, in connection with the conversion of its Euro-denominated escrowed funds into U.S. dollars following completion of the auction on June 28, 2010.</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authoritative accounting guidance, the $2.2 million in lender fees on the $30.0 million bridge loan facility were recorded as a discount to amounts outstanding under the facility and amortized over the stated term of the facility which was scheduled to mature on September 8, 2010. During June 2010, the Company also incurred $660,000 in professional fees attributable to the bridge facility, which were capitalized and amortized over the stated term of the facility. During the second quarter ended June 30, 2010, the Company recognized $687,000 in interest expense related to this facility, which primarily consisted of the amortization of lender and professional fees.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its bid, the Company estimated that during the second quarter of 2010, it had incurred $2.0 million in legal, advisory and professional fees unrelated to the bridge loan facility, which were recorded as accrued expenses and classified as general and administrative expenses in the consolidated statement of operations. During the third quarter of 2010, the Company reduced its estimate of professional fees by approximately $700,000 based upon information we received during the third quarter of 2010 that indicated the reduction to the original estimated liability was appropriate.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2010, the Company repaid all amounts outstanding under the bridge loan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5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left="436"/>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(as a percent of net revenues)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Cost of net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79.0</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7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7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(25.8)</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Interest income (expense), net</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7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60" w:type="dxa"/>
            <w:vAlign w:val="bottom"/>
            <w:gridSpan w:val="2"/>
            <w:vMerge w:val="continue"/>
          </w:tcPr>
          <w:p>
            <w:pPr>
              <w:spacing w:after="0"/>
              <w:rPr>
                <w:sz w:val="19"/>
                <w:szCs w:val="19"/>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(25.8)</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(8.6)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(6.2)%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$344.3 million during 2012, a decrease of approximately $58.6 million or 14.5% compared to 2011.</w:t>
      </w:r>
    </w:p>
    <w:p>
      <w:pPr>
        <w:spacing w:after="0" w:line="19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2012 and 2011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reportable segment:</w:t>
            </w:r>
          </w:p>
        </w:tc>
        <w:tc>
          <w:tcPr>
            <w:tcW w:w="4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Mobile Computing Products</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$312,508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$358,106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344,288</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product categories:</w:t>
            </w:r>
          </w:p>
        </w:tc>
        <w:tc>
          <w:tcPr>
            <w:tcW w:w="4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Mobile Broadband Devices</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$287,572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$336,730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Asset Management Solutions &amp; Services</w:t>
            </w:r>
          </w:p>
        </w:tc>
        <w:tc>
          <w:tcPr>
            <w:tcW w:w="4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26,756</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344,288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20" w:type="dxa"/>
            <w:vAlign w:val="bottom"/>
            <w:vMerge w:val="restart"/>
          </w:tcPr>
          <w:p>
            <w:pPr>
              <w:jc w:val="right"/>
              <w:ind w:right="3012"/>
              <w:spacing w:after="0"/>
              <w:rPr>
                <w:sz w:val="20"/>
                <w:szCs w:val="20"/>
                <w:color w:val="auto"/>
              </w:rPr>
            </w:pPr>
            <w:r>
              <w:rPr>
                <w:rFonts w:ascii="Arial" w:cs="Arial" w:eastAsia="Arial" w:hAnsi="Arial"/>
                <w:sz w:val="18"/>
                <w:szCs w:val="18"/>
                <w:color w:val="auto"/>
              </w:rPr>
              <w:t>28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year ended December 31, 2012 were $312.5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$45.6 million or 12.7% compared to the same period in 2011. The decrease is primarily attributable to lower sales of Mobile Broadband devices caused by increased market competition at our largest customer.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year ended December 31, 2012 were $31.8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$13.0 million compared with $44.8 million in net revenues for the previous year. The decrease is primarily due to the reduced sales volume and pricing of our 2G GPRS M2M modules in the North American market as it transitions away from 2G GSM networks, and the loss of one of our larger customers for the M2M segment. We continue to develop CDMA and 3G GSM modules and integrated solutions to address this market. We launched a CDMA module in the fourth quarter of 2012 and expect to launch other products in 2013.</w:t>
      </w:r>
    </w:p>
    <w:p>
      <w:pPr>
        <w:spacing w:after="0" w:line="11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or CMS, that transmit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Net revenues from our Mobile Broadband Devices category for the year ended December 31, 2012 were $287.6 million, a decrease of $49.2 million or 14.6% compared to the same period in 2011. The decrease is primarily attributable to increased market competition at our largest customer.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Embedded Solutions category accounted for $30.0 million, or 8.7% of total net revenues for the year ended December 31, 2012, a decrease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$9.8 million compared to the same period in 2011. This included $13.7 million in sales of M2M modules and $16.3 million of embedded modules for OEM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computing devices.</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Net revenues from Asset Management Solutions &amp; Services were $26.8 million and accounted for approximately 7.8% of total net revenues for the year ended December 31, 2012, an increase of $ 417,000 compared to the same period in 2011. These sales were predominantly comprised of integrated product hardware sales. Sales of CMS software were not significant for the years ended December 31, 2012 and 2011.</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year ended December 31, 2012 was approximately $271.8 million, or 79.0% of net revenues,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approximately $318.3 million, or 79.0% of net revenues in 2011. The cost of net revenues as a percentage of net revenues remained flat compared to the same period in 2011. The reduction of average sales prices of 4G products in our Mobile Computing Products segment compared to the same period in 2011 was offset by lower amortization costs associated with purchased intangible assets. Cost of net revenues as a percentage of net revenues is expected to fluctuate in future quarters depending on revenue levels, the mix of products sold, competitive pricing, new product introduction costs and other factors.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2012 was approximately $72.4 million, or 21.0% of net revenues, as compared to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$84.6 million, or 21.0% of net revenues in 2011. The gross profit percentage remained flat as compared to the same period in 2011. We expect that our gross profit percentage will continue to fluctuate from quarter to quarter depending on product mix, competitive selling prices, our ability to reduce product costs and changes in unit volume.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year ended December 31, 2012 were approximately $60.4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17.5% of net revenues, compared to approximately $61.4 million, or 15.2% of net revenues in 2011. Research and development expenses for the year ended December 31, 2012 were lower as compared to the same period in 2011 due to reduced labor cost attributed to headcount reductions, lower software amortization costs, and lower engineering build materials and outside testing services. This decrease was partially offset by an increase in share based compensation expenses primarily related to the termination of our 2000 Employee Stock Purchase Plan in the fourth quarter of 2012.</w:t>
      </w:r>
    </w:p>
    <w:p>
      <w:pPr>
        <w:spacing w:after="0" w:line="1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2012 were approximately $27.5 million, or 8.0%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approximately $29.8 million or 7.4% of net revenues in 2011. The dollar decrease was due primarily to lower labor cost as a result of reductions in headcount and decreased cooperative advertising and joint marketing expenses compared to the same period in 2011.</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2012 were approximately $22.7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6.6% of net revenues, compared to approximately $21.6 million, or 5.4% of net revenues in 2011. The increase was due primarily to legal expenses related to IP defense and litigation settlements, and an increase in bad debt reserve compared to the same period in 2011.</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During the first and third quarters of 2012, based on actual operating results, and reductions in management’s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of forecasted operating results of the M2M Products and Solutions reporting unit principally due to an updated view of competitive pressures impacting average selling prices and forecasted sales volumes, customer product and technology selections, and the loss of certain customers, the Company determined there were sufficient indicators of impairment present to require an interim impairment analysis. Based on the fair value tests performed during the first quarter of 2012, the Company recorded a pre-tax goodwill impairment charge of $6.5 million and a purchased intangible asset charge of $22.8 million. Based on the fair value tests performed during the third quarter of 2012, the Company recorded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preliminary pre-tax goodwill impairment charge of $13.2 million and a preliminary purchased intangible asset charge of $7.3 million. During the fourth quarter of 2012, the Company completed the third quarter impairment analysis and reduced the purchased intangible asset impairment by $300,000. During the third quarter of 2011, we performed an interim assessment of impairment for goodwill and recorded an impairment charge of $3.5 million. During the fourth quarter of 2011, we completed the impairment analysis and reduced the impairment by $237,000.</w:t>
      </w:r>
    </w:p>
    <w:p>
      <w:pPr>
        <w:spacing w:after="0" w:line="137"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 ended December 31, 2012 was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 million, compared to approximately $2.2 million in 2011. The decrease in amortization expense was due to the lower net asset value of the intangible assets resulting from impairment charges in the first and third quarters of 2012.</w:t>
      </w:r>
    </w:p>
    <w:p>
      <w:pPr>
        <w:spacing w:after="0" w:line="13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year ended December 31, 2012 was $291,000 as compared to $384,000 for the same period in 2011.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interest income during 2012 and 2011 was primarily related to interest earned on our marketable securities.</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Other expense, net. </w:t>
      </w:r>
      <w:r>
        <w:rPr>
          <w:rFonts w:ascii="Arial" w:cs="Arial" w:eastAsia="Arial" w:hAnsi="Arial"/>
          <w:sz w:val="15"/>
          <w:szCs w:val="15"/>
          <w:color w:val="auto"/>
        </w:rPr>
        <w:t>Other expense, net for the year ended December 31, 2012 was $203,000 as compared to $1.1 million for the same period in 2011.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net other expenses for 2011 were primarily related to foreign currency losses on South Korean Won denominated trade payables, foreign exchange currency losses on our foreign denominated bank accounts and trade receivables, and other-than-temporary loss recognized on our marketable equity securities.</w:t>
      </w:r>
    </w:p>
    <w:p>
      <w:pPr>
        <w:spacing w:after="0" w:line="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approximately $611,000 for fiscal 2012, compared to a benefit of $9.5 million in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between the federal and state statutory combined benefit rate of 35% and our effective tax rate for 2012 is primarily due to a full valuation allowance on the U.S.-based deferred tax assets generated in 2012, and a $0.4 million expense related to an increase in the Company’s valuation allowance on the Canadian-based deferred tax assets. The income tax benefit for 2011 was primarily due to an $11.8 million income tax benefit related to the recognition of uncertain tax positions. U.S.-based deferred tax assets generated in 2011 resulting from the Company’s operating losses did not result in a net tax benefit due to an offsetting full valuation allowance on the deferred tax assets.</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year ended December 31, 2012, we reported a net loss of approximately $89.3 million, as compared to net loss of approximately $24.9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2011. Net income was significantly impacted due to the impairment charges recognized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$402.9 million during 2011, an increase of approximately $63.9 million or 18.9% compared to 2010.</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2011 and 2010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80" w:type="dxa"/>
            <w:vAlign w:val="bottom"/>
            <w:tcBorders>
              <w:top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reportable segment:</w:t>
            </w:r>
          </w:p>
        </w:tc>
        <w:tc>
          <w:tcPr>
            <w:tcW w:w="4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Mobile Computing Products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$358,106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$332,464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4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5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560" w:type="dxa"/>
            <w:vAlign w:val="bottom"/>
            <w:vMerge w:val="restart"/>
          </w:tcPr>
          <w:p>
            <w:pPr>
              <w:jc w:val="right"/>
              <w:ind w:right="3012"/>
              <w:spacing w:after="0"/>
              <w:rPr>
                <w:sz w:val="20"/>
                <w:szCs w:val="20"/>
                <w:color w:val="auto"/>
              </w:rPr>
            </w:pPr>
            <w:r>
              <w:rPr>
                <w:rFonts w:ascii="Arial" w:cs="Arial" w:eastAsia="Arial" w:hAnsi="Arial"/>
                <w:sz w:val="18"/>
                <w:szCs w:val="18"/>
                <w:color w:val="auto"/>
              </w:rPr>
              <w:t>31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product categories:</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Mobile Broadband Devices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$336,730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$324,740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Asset Management Solutions &amp; Services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26,339</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402,862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338,942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year ended December 31, 2011 were $358.1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$25.6 million or 7.7% compared to the same period in 2010. The increase was primarily attributable to new product rollouts of our next generation 4G MiFi Intelligent Mobile Hotspot.</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year ended December 31, 2011 were $44.8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$38.3 million compared with $6.5 million in revenues for the previous year. Our acquisition of Enfora occurred during the fourth quarter of 2010 and we recognized revenues from the date of acquisition.</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revenues from M2M Products and Solutions during 2011 were also constrained by supply disruptions that affected a component manufacturer in Japan and our contract manufacturer in Thailand due to natural disasters in those countries in 2011.</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Net revenues from our Mobile Broadband Devices category for the year ended December 31, 2011 were $336.7 million, an increase of $12.0 million or 3.7% compared to the same period in 2010. The increase in net revenues was primarily driven by higher sales of our next generation 4G MiFi products.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Embedded Solutions category accounted for $39.8 million, or 9.9% of total net revenues for the year ended December 31, 2011, an increase of $32.1 million compared to the same period in 2010. This included $22.2 million in sales of M2M modules and $17.6 million of embedded modules for OEM computing devices.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Net revenues from Asset Management Solutions &amp; Services were $26.3 million and accounted for approximately 6.5% of total net revenues for the year ended December 31, 2011, an increase of $19.9 million compared to the same period in 2010. These sales were predominantly comprised of integrated product hardware sales. Sales of CMS software were not significant for the year ended December 31, 2011. The increase in net revenues in Embedded Solutions and Asset Management Solutions and Services compared to the same period in 2010 were related to the Enfora acquisition and increased sales to OEM customers in the Mobile Computing Products segment.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2011 was approximately $318.3 million, or 79.0%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$272.6 million, or 80.4% of net revenues in 2010. The primary driver of the dollar increase in cost of net revenues was the increase in units sold compared to the same period in 2010. Cost of net revenues as a percentage of net revenues decreased compared to the same period last year due to higher margins on sales of 4G MiFi devices.</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Cost of net revenues also included approximately $39.9 million in 2011 from our M2M Products and Solutions segment, including amortization costs of $4.1 million related to purchased intangibles and a fair value inventory valuation increase of $1.8 million in connection with our Enfora acquisition.</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2011 was approximately $84.6 million, or 21.0% of net revenues, as compared to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$66.3 million, or 19.6% of net revenues in 2010. The increase was primarily attributable to the increase in net revenues as discussed above.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2011 were approximately $61.4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15.2% of net revenues, compared to approximately $48.9 million, or 14.4% of net revenues in 2010. This increase was primarily due to an increase in salaries and related expenses due to the acquisition of Enfora, and an increase in product testing and certification costs in the current year to support expanded research and development activities.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Research and development expenses included approximately $8.5 million in 2011 from our M2M Products and Solutions segment, compared to $837,000 in 2010.</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2011 were approximately $29.8 million, or 7.4%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approximately $21.0 million or 6.2% of net revenues in 2010. The increase was due primarily to an increase in salaries and related expenses due to the acquisition of Enfora, an increase in travel and related expenses, and an increase in consulting and marketing expenses to support marketing efforts for our various product launches in 2011.</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Sales and marketing expenses also included approximately $8.2 million in 2011 from our M2M Products and Solutions segment related to our Enfora acquisition, compared to $825,000 in 2010.</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2011 were approximately $21.6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5.4% of net revenues, compared to approximately $21.2 million, or 6.3% of net revenues in 2010. Although general and administrative expenses remained relatively flat in dollar spending for the year ended December 31, 2011 compared to the same period in 2010, general and administrative expenses decreased as a percentage of net revenues due to the increase in net revenues in 2011 as compared to 2010.</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General and administrative expenses also included approximately $2.7 million in 2011 from our M2M Products and Solutions segment, compared to $350,000 in 2010.</w:t>
      </w:r>
    </w:p>
    <w:p>
      <w:pPr>
        <w:spacing w:after="0" w:line="126"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amortization expense for the year ended December 31, 2011 was due to the full year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from the Enfora acquisition completed during the fourth quarter of 2010.</w:t>
      </w:r>
    </w:p>
    <w:p>
      <w:pPr>
        <w:spacing w:after="0" w:line="74"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b w:val="1"/>
          <w:bCs w:val="1"/>
          <w:i w:val="1"/>
          <w:iCs w:val="1"/>
          <w:color w:val="auto"/>
        </w:rPr>
        <w:t>Goodwill impairment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third quarter of 2011, we performed an interim assessment of impairment for goodwill and recorded an impairment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 of $3.5 million. During the fourth quarter of 2011, we completed the impairment analysis and reduced the impairment by $237,000. As a result of this assessment, we recorded a goodwill impairment of $3.3 million related to the M2M reporting unit for the year ended December 31, 2011.</w:t>
      </w:r>
    </w:p>
    <w:p>
      <w:pPr>
        <w:spacing w:after="0" w:line="10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income (expense), net, for the year ended December 31, 2011 was approximately $384,000 of income, net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interest expense of approximately $2.5 million in 2010. Our net interest income during 2011 is primarily related to interest earned on our marketable securities. Our net interest expense during 2010 is primarily related to interest charges, and debt issuance costs associated with our bridge loan facility in connection with our bid acquisition to acquire Cinterion.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for the year ended December 31, 2011 decreased by approximately $3.0 million,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$1.1 million of net expense, compared to approximately $2.0 million of other income, net in 2010. The net other expenses for 2011 were related to foreign currency losses on South Korean Won denominated trade payables, foreign exchange currency losses on our foreign denominated bank accounts and trade receivables, and other-than-temporary loss recognized on our marketable equity securities. The other income, net for 2010 was primarily driven by a $2.9 million foreign exchange gain realized upon conversion of the Euro-denominated bid funds into U.S. dollars in July 2010 at the conclusion of the bidding process for Cinterion. The gain was offset by $1.2 million in premiums paid for protective put options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we utilized to hedge our Euro exposure during the bidding process for Cinterion in the second quarter of 2010. These puts expired unexercised on June 25, 2010.</w:t>
      </w:r>
    </w:p>
    <w:p>
      <w:pPr>
        <w:spacing w:after="0" w:line="20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benefit was approximately $9.5 million for fiscal 2011, compared to an expense of $7.9 million in 2010.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annual effective tax benefit rate in 2011 was 28%. The difference between the federal and state statutory combined benefit rate of 36% and our effective tax benefit rate for 2011 is primarily due to a full valuation allowance on the U.S.-based deferred tax assets generated in 2011, a $1.4 million expense related to an increase in the Company’s valuation allowance on the Canadian-based deferred tax assets and an $11.8 million income tax benefit related to uncertain tax positions. During 2010, the Company had income tax expense of $7.9 million, predominantly relating to the full valuation allowance incurred against the Company’s U.S. based deferred tax assets created in years prior to 2010.</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year ended December 31, 2011, we reported a net loss of approximately $24.9 million, as compared to net loss of approximately $33.4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2010. As discussed above, the increase in gross profit was exceeded by an increase in operating expenses, a full year of amortization from acquired intangibles and the impairment of goodwill. However, the Company recorded a $9.5 million benefit in income taxes during 2011 as compared to a $7.9 income tax expense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and cash equivalents and marketable securities on deposit at the bank. During the three months ended September 30, 2011, the Company borrowed approximately $12.0 million and repaid the entire amount during the same period. During the three months ended September 30, 2012, the Company borrowed $5.0 million and repaid the entire amount during the same period. During three months ended December 31, 2012, the Company borrowed $9.0 million against the facility and repaid the entire amount during the same period. The Company had no outstanding borrowings under this facility at December 31, 2012, and the Company’s borrowing limit at December 31, 2012 under the credit facility was $6.8 million.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2009, we filed a shelf registration statement with the Securities and Exchange Commission, or the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6"/>
          </w:tcPr>
          <w:p>
            <w:pPr>
              <w:jc w:val="center"/>
              <w:ind w:right="618"/>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Increase /</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2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67,199</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81,113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(13,914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(1)</w:t>
            </w:r>
          </w:p>
        </w:tc>
        <w:tc>
          <w:tcPr>
            <w:tcW w:w="2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3"/>
            <w:vMerge w:val="continue"/>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$16,044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$47,069</w:t>
            </w: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(31,025)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1,201</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55,309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88,831</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Our decrease in working capital as of December 31, 2012 compared to the prior year was primarily due to losses incurred and capital expenditures in 2012.</w:t>
      </w:r>
    </w:p>
    <w:p>
      <w:pPr>
        <w:spacing w:after="0" w:line="20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As of December 31, 2012, our cash, cash equivalents and marketable securities decreased $33.5 million as compared to December 31, 2011, primarily due to $29.9 million of cash used in operating activities and capital expenditures of $4.6 million. See the discussion of market risk in Item 7A.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Qualitative Disclosures About Market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(29,879)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31,659</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(31,025)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29,694</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17,375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16,044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47,069</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Net cash used in operating activities was $29.9 million for 2012 compared to $1.5 million of net cash used in 2011. Net cash used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activities for the year ended December 31, 2012 was primarily attributable to the loss incurred in 2012 and the unfavorable working capital impacts of a $10.4 million reduction in accounts payable and a $6.2 million increase in accounts receivable. The unfavorable working capital impacts during the year ended December 31, 2012 were partially offset by non-cash charges including depreciation and amortization, goodwill and intangible assets impairment and share-based compensation. During 2011, the difference between our net loss of $24.9 million and our net cash used in operating activities of $1.5 million was primarily due to the favorable impact of non-cash charges, including depreciation, amortization and share-based compensation, partially offset by our non-cash tax benefit.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for 2012 was approximately $2.2 million compared to $31.7 million provided by investing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in 2011. The net cash used in 2012 was primarily related to purchases of property and equipment of $4.6 million, partially offset by the net sales and maturities of our marketable securities of $2.5 million. The net cash provided by investing activities in 2011 was primarily related to the net sales and maturities of our marketable securities of $37.9 million, partially offset by purchases of property and equipment of $6.0 million.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for 2012 was $1.1 million, compared to net cash used in financing activities of $305,000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Net cash provided by financing activities in 2012 was primarily related to proceeds from stock option exercises and stock purchases through our employee stock purchase plan. Net financing activities for 2012 also included cash borrowings and repayment of $5.0 million and $9.0 million from our credit facility during the third and fourth quarters of 2012, respectively. Net cash used in financing activities in 2011 was primarily due to net taxes paid on vested restricted stock units, and payments of capital lease obligations. Net financing activities for 2011 also included cash borrowings and repayment of $12.0 million from our credit facility during the third quarter of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2012,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0"/>
              </w:rPr>
              <w:t>Payments Due by Fiscal Year</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7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$ 3,664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$ 356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Committed purchase orders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103,273</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103,273</w:t>
            </w:r>
          </w:p>
        </w:tc>
        <w:tc>
          <w:tcPr>
            <w:tcW w:w="120" w:type="dxa"/>
            <w:vAlign w:val="bottom"/>
          </w:tcPr>
          <w:p>
            <w:pPr>
              <w:spacing w:after="0"/>
              <w:rPr>
                <w:sz w:val="19"/>
                <w:szCs w:val="19"/>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106,886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$ 3,664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$ 2,899</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116,735</w:t>
            </w:r>
          </w:p>
        </w:tc>
        <w:tc>
          <w:tcPr>
            <w:tcW w:w="12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liability for uncertain tax benefits, including interest, as of December 31, 2012 was approximately $367,000, compared to approximately $413,000 as of December 31, 2011. The decrease was primarily due to the expiration of the applicable statutes of limitations for certain tax years. Our tax liability for uncertain tax benefits is not included in our table of contractual obligations and commercial commitments. We do not believe that we will pay such amount within one year from December 31, 2012; however, we cannot reasonably estimate the timing of future payments with respect to this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11 to our consolidated financial statements included in this report. These costs cannot be estimated at this time.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year ending December 31, 2013, we plan to incur approximately $5.4 million for discretionary capital expenditures, including the acquisition of additional software licenses.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 that are material to our results of operations, financial conditions or liquidity.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 obsolete inventory, valuation of intangible and long-lived assets including acquired intangibles and goodwill resulting from the acquisition of Enfora, valuation of contingent consideration, provision for warranty costs, litigation, income taxes, foreign exchange forward contracts, and share-based compensation expense.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Company’s revenue is principally generated from the sale of wireless modems to wireless operators, OEM customers and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added resellers and distributors. In addition, the Company generates revenue from the sale of asset-management solutions utilizing wireless technology and M2M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2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Predominantly all of the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obligations. The Company considers the four basic revenue recognition criteria discussed under Staff Accounting Bulletin #104 when assessing appropriate revenue recognition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Criterion #2 — Delivery has occurred;</w:t>
      </w:r>
    </w:p>
    <w:p>
      <w:pPr>
        <w:spacing w:after="0" w:line="9" w:lineRule="exact"/>
        <w:rPr>
          <w:sz w:val="20"/>
          <w:szCs w:val="20"/>
          <w:color w:val="auto"/>
        </w:rPr>
      </w:pPr>
    </w:p>
    <w:p>
      <w:pPr>
        <w:ind w:left="460" w:right="4840"/>
        <w:spacing w:after="0" w:line="261" w:lineRule="auto"/>
        <w:rPr>
          <w:sz w:val="20"/>
          <w:szCs w:val="20"/>
          <w:color w:val="auto"/>
        </w:rPr>
      </w:pPr>
      <w:r>
        <w:rPr>
          <w:rFonts w:ascii="Arial" w:cs="Arial" w:eastAsia="Arial" w:hAnsi="Arial"/>
          <w:sz w:val="18"/>
          <w:szCs w:val="18"/>
          <w:color w:val="auto"/>
        </w:rPr>
        <w:t>Criterion #3 — The Company’s price to the buyer must be fixed or determinable; and, Criterion #4 — Collectibility is reasonably assured.</w:t>
      </w:r>
    </w:p>
    <w:p>
      <w:pPr>
        <w:spacing w:after="0" w:line="138"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Under ASU 2009-13, in multiple element arrangements, the total consideration received from customers must be allocated to the elements based on a relative selling price. The accounting guidance establishes a hierarchy to determine the selling price to be used for allocating revenue to deliverables as follows:</w:t>
      </w:r>
    </w:p>
    <w:p>
      <w:pPr>
        <w:ind w:right="20" w:firstLine="8"/>
        <w:spacing w:after="0" w:line="254"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vendors specific objective evidence (VSOE), (ii) third party evidence (TPE), and (iii) best estimate of selling price (ESP). Because the Company has neither VSOE nor TPE, revenue has been based on the Company’s ESP. Amounts allocated to the delivered hardware and the related essential software are recognized at the time of the sale provided all other revenue recognition criteria have been met. Amounts allocated to other deliverables based upon ESP are recognized in the period the revenue recognition criteria have been met.</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process for determining its 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2012, 2011, and 2010, we have not recorded any significant revenues from multiple element or software arrangements.</w:t>
      </w:r>
    </w:p>
    <w:p>
      <w:pPr>
        <w:spacing w:after="0" w:line="206"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i w:val="1"/>
          <w:iCs w:val="1"/>
          <w:color w:val="auto"/>
        </w:rPr>
        <w:t xml:space="preserve">Valuation of Acquired Intangible Assets. </w:t>
      </w:r>
      <w:r>
        <w:rPr>
          <w:rFonts w:ascii="Arial" w:cs="Arial" w:eastAsia="Arial" w:hAnsi="Arial"/>
          <w:sz w:val="15"/>
          <w:szCs w:val="15"/>
          <w:color w:val="auto"/>
        </w:rPr>
        <w:t>In determining the Enfora purchase price allocation, the Company considered, among other factors, its intention to</w:t>
      </w:r>
      <w:r>
        <w:rPr>
          <w:rFonts w:ascii="Arial" w:cs="Arial" w:eastAsia="Arial" w:hAnsi="Arial"/>
          <w:sz w:val="15"/>
          <w:szCs w:val="15"/>
          <w:i w:val="1"/>
          <w:iCs w:val="1"/>
          <w:color w:val="auto"/>
        </w:rPr>
        <w:t xml:space="preserve"> </w:t>
      </w:r>
      <w:r>
        <w:rPr>
          <w:rFonts w:ascii="Arial" w:cs="Arial" w:eastAsia="Arial" w:hAnsi="Arial"/>
          <w:sz w:val="15"/>
          <w:szCs w:val="15"/>
          <w:color w:val="auto"/>
        </w:rPr>
        <w:t>use the acquired assets and the historical and estimated future demand for Enfora products and services. The estimated fair value of intangible assets was based upon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108"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The relief-from-royalty method was used to value the trade name acquired from Enfora. The relief-from-royalty method estimates the cost savings that accrue to the owner of an intangible asset that would otherwise be required to pay royalties or license fees on revenues earned through the use of the asset. The royalty rate used was based on an analysis of empirical, market-derived royalty rates for guideline intangible assets. Typically, revenue is projected over the expected remaining useful life of the intangible asset. The royalty rate is then applied to estimate the royalty savings. The key assumptions used in valuing the existing trade name acquired were as follows: royalty rate of 2%, discount rate of 20.5%, tax rate of 40% and an economic life of approximately 10.0 years.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developed technologies, customer relationships and backlog were valued using a form of the income approach known as the multi-period excess earnings method. Inherent in the multi-period excess earnings method is the recognition that, in most cases, all of the assets of the business, both tangible and intangible, contribute to the generation of the cash flow of the business and the net cash flows attributable to the subject asset must recognize the support of the other assets which contribute to the realization of the cash flows. The contributory asset charges are based on the fair value of the contributory assets and either pre-tax or after-tax cash flows are assessed charges representing “returns on” the contributory assets. A contributory asset charge for the use of the technology was assessed on pre-tax cash flows, while contributory asset charges for the use of the working capital, fixed assets, and assembled work force have been deducted from the after-tax cash flow in each year to determine the net future cash flow attributable to the relationships. This future cash flow was then discounted using an estimated required rate of return for the asset to determine the present value of the future cash flows attributable to the asset. The key assumptions used in valuing the developed technologies acquired were as follows: discount rate of 18.5%, tax rate of 40% and estimated average economic life of 5-10 years. The key assumptions used in valuing the customer relationships acquired are as follows: discount rate of 19.5%, tax rate of 40% and estimated average economic life of 10 years. The key assumptions used in valuing the backlog acquired are as follows: discount rate of 14.5%, tax rate of 40% and estimated average economic life of 5 months.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covenant-not-to-compete agreements were valued using the “with or without” method. The “with or without” method measures the value of an asset as the difference between two scenarios. One scenario measures the value of a business “with” the asset. The other scenario measures the value “without” the asset. The method treats the difference between the two scenarios (with certain valuation adjustments) as the value of the asset. The key assumptions used in valuing the covenant not to compete agreements were as follows: discount rate of 20.5% and estimated average economic life of 1-2 years.</w:t>
      </w:r>
    </w:p>
    <w:p>
      <w:pPr>
        <w:spacing w:after="0" w:line="11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four years. As most of these assets are associated with technology or trade conditions that may change rapidly; such changes could have an immediate impact on our impairment analysis.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first and third quarters of 2012,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performed fair value tests with the assistance of third party independent appraisals, for each of the Company’s purchased intangible assets. The existing trade name acquired was valued using royalty rates ranging from 1% to 2% and discount rates ranging from 23.0% to 24.0%. The developed technologies were valued using discount rates ranging from 20.0% to 21.0%. The backlog was valued using discount rates ranging from 17.0% to 18.0%. Customer relationships were valued using discount rates ranging from 21.0% to 22.0%. All key assumptions assumed tax rates of 40%, and the assets were assumed to have economic lives ranging from 6 months to 10 years depending on the asset.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Our goodwill resulted from the acquisition of Enfora (M2M Products and Solutions) in the fourth quarter of 2010.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(FASB)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Topic 350”), we reviewed goodwill for impairment at least annually at the beginning of the fourth quarter of each year, and more frequently when events or changes in circumstances occurred that indicated a potential reduction in the fair value of the reporting unit below its carrying value.</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ASC Topic 350 requires that goodwill and certain intangible assets be assessed for impairment using fair value measurement techniques. The goodwill impairment test compares the implied fair value of the reporting unit’s goodwill with the carrying amount of that goodwill to measure the amount of the impairment loss, if any. The implied fair value of goodwill is determined in the same manner as in a business combination. Determining the fair value of the implied goodwill is judgmental in nature and often involves the use of significant estimates and assumptions. These estimates and assumptions could have a significant impact on whether or not an impairment charge is recognized and also the magnitude of any such charge.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to perform the annual goodwill impairment analysis, we are required to estimate the fair value of our M2M Products reporting unit. The fair value is calculated as though the M2M Products and Solutions reporting unit were to be sold in its entirety in an orderly transaction between market participants, using an estimate of fair value based on a blended sum resulting from the use of two valuation methods. First, we use the guideline public company method utilizing a multiple of the reporting unit’s revenue. Second, we perform a discounted cash flow analysis using forward looking projections of an estimate of our future operating results. These approaches use significant estimates and assumptions, including the size and timing of product deployments by our customers and related projections and timing of future cash flows, discount rates reflecting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the risk inherent in future cash flows, perpetual growth rates, stage of products in development, determination of appropriate market comparables and determination of whether a premium or discount should be applied to comparables. The resultant estimated fair value of our M2M Products and Solutions reporting unit is compared to the net book value of the reporting unit to assess whether any impairment exists.</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 Contingent consideration is recorded at the acquisition date estimated fair value of the contingent payment for all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contingent consideration is remeasured at each reporting period with any adjustments in fair value included in the Company’s consolidated statement of operations.</w:t>
      </w:r>
    </w:p>
    <w:p>
      <w:pPr>
        <w:spacing w:after="0" w:line="14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i w:val="1"/>
          <w:iCs w:val="1"/>
          <w:color w:val="auto"/>
        </w:rPr>
        <w:t xml:space="preserve">Provision for Warranty Costs. </w:t>
      </w:r>
      <w:r>
        <w:rPr>
          <w:rFonts w:ascii="Arial" w:cs="Arial" w:eastAsia="Arial" w:hAnsi="Arial"/>
          <w:sz w:val="16"/>
          <w:szCs w:val="16"/>
          <w:color w:val="auto"/>
        </w:rPr>
        <w:t>We accrue warranty costs based on estimates of future warranty related replacement, repairs or rework of products. Our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policy generally provides one to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13"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recognize federal, state and foreign current tax liabilities or assets based on our estimate of taxes payable to or refundable by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in the current fiscal year. We also recognize federal, state and foreign deferred tax liabilities or assets based on our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 Deferred tax assets are reduced by valuation allowances if, based on the consideration of all available evidence, it is more-likely-than-not that some portion of the deferred tax asset will not be realized. We evaluate deferred income taxes on a quarterly basis to determine if valuation allowances are required by considering available evidence. If we are unable to generate sufficient future taxable income in certain tax jurisdictions, or if there is a material change in the actual effective tax rates or time period within which the underlying temporary differences become taxable or deductible, we could be required to increase our valuation allowance against our deferred tax assets which could result in a decrease in our effective tax rate and an adverse impact on operating results. We will continue to evaluate the level of valuation allowance required based on the remaining deferred tax assets.</w:t>
      </w:r>
    </w:p>
    <w:p>
      <w:pPr>
        <w:spacing w:after="0" w:line="12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American Taxpayer Relief Act of 2012, which reinstated the United States federal research and development tax credit retroactively from January 1, 2012 through December 31, 2013, was not enacted into law until the first quarter of 2013. Therefore, the expected tax benefit resulting from such reinstatement for 2012 will not be reflected in the Company’s estimated annual effective tax rate until 2013.</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recognizes the impact of uncertain income tax positions on the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 Company is currently involved in certain legal proceedings. The Company will record a loss when the Company determines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have stock incentive plans under which incentive stock options and restricted stock units have been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members of our Board of Directors. We also had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11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the grant.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debt securities is subject to change as a result of changes in market interest rates and investment risk related to the issuers’ credit worthiness. At December 31, 2012, we had $55.3 million in cash, cash equivalents and marketable securities, all of which are stated at fair value. Changes in market interest rates would not be expected to have a material impact on the fair value of our $16.0 million in cash equivalents at December 31, 2012, as these consisted of money market funds with the value of all of our cash equivalents determined based on “Level 1” inputs, which consist of quoted prices in active markets for identical assets.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December 31, 2012, substantially all of our marketable securities are invested in fixed income products. As such, our investments in fixed-rate instruments carry a degree of interest rate risk. The market value of fixed-rate securities may be adversely impacted due to an increase in interest rates, while floating rate securities may produce less income than expected if interest rates decline. Due in part to these factors, our future investment market values and income may fall short of expectations due to changes in interest rates or if the decline in fair value of our publicly traded debt investments is judged to be other-than-temporary. Using a model that estimates the aggregate yield to maturity of our investment portfolio, we estimate that 100 basis point increase or decrease in interest rates would, however, decrease or increase, respectively, our $39.3 million in marketable securities by approximately $393,000.</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However, because any debt securities we hold are classified as available-for-sale (within the meaning of ASC Topic 320), no gains or losses are realized in the income statement due to changes in interest rates unless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such securities are sold prior to maturity or unless declines in value are determined to be other-than-temporary. These securities are reported at fair value with the related unrealized gains and losses included in accumulated other comprehensive income (loss), a component of shareholders’ equity, net of tax.</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utilize derivative instruments or other financial contracts to manage our exposure to changes in interest rates in our investment portfolio.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our cash and cash equivalents and our marketable debt securities, which include various security holdings, types and maturities, with a number of financial institutions.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place our cash investments in instruments that meet credit quality standards specified in our investment policy guidelines at the time the investments are made. At December 31, 2012, we have cash and cash equivalents of $16.0 million. Of this $16.0 million, $12.5 million is held in cash demand deposits and $3.5 million in cash equivalents was held in money market investments and U.S. Treasury securities. Money market funds attempt to maintain a net asset value, or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2012, we had $39.3 million invested in our portfolio of marketable securities. Our investment policy guidelines limit the amount of credit exposure to any one issue, issuer or type of instrument. The fair value of our marketable debt securities at December 31, 2012 was determined based on “Level 2” inputs, which were derived based on quoted prices for identical or similar assets, which had few transactions near the measurement period (see Note 3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Euro-denominated accounts receivable from sales to customers that are members of the European Union. During the year ended December 31, 2012, Euro-denominated revenue was approximately $1.0 million which represents less than 1% of our total net revenues compared to less than 1% in the same period last year. Although we are exposed to market risk arising from changes in foreign currency exchange rates, principally the change in the value of the Euro versus the U.S. Dollar, as Euro-denominated revenue is not considered significant, we did not enter into any foreign exchange contracts during the year ended December 31, 2012. If our net revenues increase in the foreseeable future, we may enter into foreign exchange contracts to mitigate this risk. These forward currency foreign exchange contracts would cover a portion, generally 50% to 80%, but may cover up to 100%, of our Euro-based financial assets.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2012, we had no outstanding forward contracts. During the year ended December 31, 2012, we recorded approximately $5,000 in unrealized foreign currency gains related to our outstanding Euro-denominated accounts receivable balances. Both the unrealized gain on the outstanding forward contracts and the unrealized gains on outstanding Euro-denominated receivables were recorded in other income (expense), net in our consolidated statement of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year ended December 31, 2012 at an average Euro-to-U.S. Dollar exchange rate of $1.29 and a uniform ten percent strengthening or weakening of this exchange rate, we estimate that income before income taxes for the year ended December 31, 2012 would increase or decrease, respectively, by approximately $100,000. This analysis does not give effect to any forward currency foreign exchange contracts that may be used to hedge foreign currency risk.</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us to reduce per unit selling prices.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2012, the end of the period covered by this report. Based on the foregoing, our principal executive officer and principal financial and accounting officer concluded that our disclosure controls and procedures were effective as of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31, 2012.</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included in this Annual Report on Form 10-K, has also audited our internal control over financial reporting as of December 31, 2012, as stated in their report which is included herein.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Novatel Wireless Inc.’s internal control over financial reporting as of December 31, 2012, based on criteria established in Internal Control —Integrated Framework issued by the Committee of Sponsoring Organizations of the Treadway Commission (the COSO criteria). Novatel Wireless,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2012, based on the COSO criteria.</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Novatel Wireless, Inc. as of December 31, 2012 and 2011, and the related consolidated statements of operations, comprehensive income (loss), stockholders’ equity, and cash flows for each of the three years in the period ended December 31, 2012 of Novatel Wireless, Inc. and our report dated March 1, 2013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64"/>
        <w:spacing w:after="0" w:line="268" w:lineRule="auto"/>
        <w:tabs>
          <w:tab w:leader="none" w:pos="70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2013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is incorporated herein by reference.</w:t>
      </w:r>
    </w:p>
    <w:p>
      <w:pPr>
        <w:spacing w:after="0" w:line="131" w:lineRule="exact"/>
        <w:rPr>
          <w:rFonts w:ascii="Arial" w:cs="Arial" w:eastAsia="Arial" w:hAnsi="Arial"/>
          <w:sz w:val="18"/>
          <w:szCs w:val="18"/>
          <w:b w:val="1"/>
          <w:bCs w:val="1"/>
          <w:color w:val="auto"/>
        </w:rPr>
      </w:pPr>
    </w:p>
    <w:p>
      <w:pPr>
        <w:ind w:right="140" w:firstLine="464"/>
        <w:spacing w:after="0" w:line="268" w:lineRule="auto"/>
        <w:tabs>
          <w:tab w:leader="none" w:pos="71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“Executive Officers” appearing in the Proxy Statement to be filed for the 2013</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131" w:lineRule="exact"/>
        <w:rPr>
          <w:rFonts w:ascii="Arial" w:cs="Arial" w:eastAsia="Arial" w:hAnsi="Arial"/>
          <w:sz w:val="18"/>
          <w:szCs w:val="18"/>
          <w:b w:val="1"/>
          <w:bCs w:val="1"/>
          <w:color w:val="auto"/>
        </w:rPr>
      </w:pPr>
    </w:p>
    <w:p>
      <w:pPr>
        <w:ind w:right="180" w:firstLine="464"/>
        <w:spacing w:after="0" w:line="332" w:lineRule="auto"/>
        <w:tabs>
          <w:tab w:leader="none" w:pos="695"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“Section 16(a) Beneficial Ownership Reporting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2013 Annual Meeting of Stockholders is incorporated herein by reference.</w:t>
      </w:r>
    </w:p>
    <w:p>
      <w:pPr>
        <w:spacing w:after="0" w:line="85" w:lineRule="exact"/>
        <w:rPr>
          <w:rFonts w:ascii="Arial" w:cs="Arial" w:eastAsia="Arial" w:hAnsi="Arial"/>
          <w:sz w:val="16"/>
          <w:szCs w:val="16"/>
          <w:b w:val="1"/>
          <w:bCs w:val="1"/>
          <w:color w:val="auto"/>
        </w:rPr>
      </w:pPr>
    </w:p>
    <w:p>
      <w:pPr>
        <w:ind w:right="20" w:firstLine="464"/>
        <w:spacing w:after="0" w:line="290" w:lineRule="auto"/>
        <w:tabs>
          <w:tab w:leader="none" w:pos="715"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We have adopted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Code of Business Conduct and Ethics</w:t>
      </w:r>
      <w:r>
        <w:rPr>
          <w:rFonts w:ascii="Arial" w:cs="Arial" w:eastAsia="Arial" w:hAnsi="Arial"/>
          <w:sz w:val="16"/>
          <w:szCs w:val="16"/>
          <w:i w:val="1"/>
          <w:iCs w:val="1"/>
          <w:color w:val="auto"/>
        </w:rPr>
        <w:t xml:space="preserve"> </w:t>
      </w:r>
      <w:r>
        <w:rPr>
          <w:rFonts w:ascii="Arial" w:cs="Arial" w:eastAsia="Arial" w:hAnsi="Arial"/>
          <w:sz w:val="16"/>
          <w:szCs w:val="16"/>
          <w:color w:val="auto"/>
        </w:rPr>
        <w:t>which, together with the policies referred to therein, is applicable to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officers and employees. The Code of Business Conduct and Ethics is intended to cover all areas of professional conduct, including conflicts of interest, disclosure obligations, insider trading and confidential information, as well as compliance with all laws, rules and regulations applicable to our business. We encourage all employees, officers and directors to promptly report any violations of any of our policies. The Code of Business Conduct and Ethics is posted on our website at </w:t>
      </w:r>
      <w:r>
        <w:rPr>
          <w:rFonts w:ascii="Arial" w:cs="Arial" w:eastAsia="Arial" w:hAnsi="Arial"/>
          <w:sz w:val="16"/>
          <w:szCs w:val="16"/>
          <w:i w:val="1"/>
          <w:iCs w:val="1"/>
          <w:color w:val="auto"/>
        </w:rPr>
        <w:t>www.novatelwireless.com</w:t>
      </w:r>
      <w:r>
        <w:rPr>
          <w:rFonts w:ascii="Arial" w:cs="Arial" w:eastAsia="Arial" w:hAnsi="Arial"/>
          <w:sz w:val="16"/>
          <w:szCs w:val="16"/>
          <w:color w:val="auto"/>
        </w:rPr>
        <w:t xml:space="preserve"> in the Investor tab under “Corporate Governance.” In the event that a substantive amendment to, or a waiver from, a provision of the Code of Business Conduct and Ethics that applies to our principal executive officer or principal financial and accounting officer is necessary, we intend to post such information on our website.</w:t>
      </w:r>
    </w:p>
    <w:p>
      <w:pPr>
        <w:spacing w:after="0" w:line="118" w:lineRule="exact"/>
        <w:rPr>
          <w:rFonts w:ascii="Arial" w:cs="Arial" w:eastAsia="Arial" w:hAnsi="Arial"/>
          <w:sz w:val="16"/>
          <w:szCs w:val="16"/>
          <w:b w:val="1"/>
          <w:bCs w:val="1"/>
          <w:color w:val="auto"/>
        </w:rPr>
      </w:pPr>
    </w:p>
    <w:p>
      <w:pPr>
        <w:ind w:right="280" w:firstLine="464"/>
        <w:spacing w:after="0" w:line="268" w:lineRule="auto"/>
        <w:tabs>
          <w:tab w:leader="none" w:pos="69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“The Board, Its Committees and Its Compensation—Audit Committee”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2013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under the headings “Executive Compensation,” “The Board, Its Committees and Its Compensation—Director Compensation,” “Compensation Discussion and Analysis” and “Compensation Committee Report” appearing in the Proxy Statement to be filed for the 2013 Annual Meeting of Stockholders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under the headings “Security Ownership of Management and Certain Beneficial Owners” and “Equity Compensation Plan Information” appearing in the Proxy Statement to be filed for the 2013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under the headings “Review and Approval of Transactions with Related Parties” and “The Board, Its Committees and Its Compensation— Director Independence” appearing in the Proxy Statement to be filed for the 2013 Annual Meeting of Stockholders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under the heading “Independent Public Accountants” appearing in the Proxy Statement to be filed for the 2013 Annual Meeting of Stockholders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2012, 2011, and 2010 should be read in conjunction with the consolidated financial statements, and related notes thereto.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Schedule</w:t>
            </w:r>
          </w:p>
        </w:tc>
        <w:tc>
          <w:tcPr>
            <w:tcW w:w="9480" w:type="dxa"/>
            <w:vAlign w:val="bottom"/>
          </w:tcPr>
          <w:p>
            <w:pPr>
              <w:spacing w:after="0"/>
              <w:rPr>
                <w:sz w:val="15"/>
                <w:szCs w:val="15"/>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r>
      <w:tr>
        <w:trPr>
          <w:trHeight w:val="203"/>
        </w:trPr>
        <w:tc>
          <w:tcPr>
            <w:tcW w:w="10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Schedule II—Valuation and Qualifying Accounts</w:t>
            </w:r>
          </w:p>
        </w:tc>
        <w:tc>
          <w:tcPr>
            <w:tcW w:w="3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0"/>
              </w:rPr>
              <w:t>F-35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5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8"/>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87"/>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amended).</w:t>
            </w:r>
          </w:p>
        </w:tc>
      </w:tr>
      <w:tr>
        <w:trPr>
          <w:trHeight w:val="365"/>
        </w:trPr>
        <w:tc>
          <w:tcPr>
            <w:tcW w:w="520" w:type="dxa"/>
            <w:vAlign w:val="bottom"/>
          </w:tcPr>
          <w:p>
            <w:pPr>
              <w:spacing w:after="0"/>
              <w:rPr>
                <w:sz w:val="24"/>
                <w:szCs w:val="24"/>
                <w:color w:val="auto"/>
              </w:rPr>
            </w:pPr>
          </w:p>
        </w:tc>
        <w:tc>
          <w:tcPr>
            <w:tcW w:w="5540" w:type="dxa"/>
            <w:vAlign w:val="bottom"/>
          </w:tcPr>
          <w:p>
            <w:pPr>
              <w:ind w:left="5100"/>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4.2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March 12, 2003, entered into in connection with the Company’s 2003 Series B Convertible Preferred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4.4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Warrant Financing Transaction (incorporated by reference to Exhibit 10.21 to the Company’s Annual Report on Form 10-K for the year ended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Appendix A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Proxy Statement on Schedule 14A 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Pr>
          <w:p>
            <w:pPr>
              <w:ind w:left="5000"/>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1"/>
              </w:rPr>
              <w:t>2009 Omnibus Incentive Compensation Plan (incorporated by reference to Appendix B to the Company’s Proxy Statement on Schedule 14A,</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4"/>
              </w:rPr>
              <w:t>2010 Senior Management Incentive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September 13,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 reference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to Exhibit 10.1 to the Company’s Current Report on Form 8-K, filed August 2,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91"/>
              </w:rPr>
              <w:t>2011 Senior Management Incentive Plan (incorporated by reference to Exhibit 10.1 to the Company’s Quarterly Report on Form 10-Q for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period ended June 30, 2011, filed on August 9,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2012 Senior Management Incentive Plan (incorporated by reference to Exhibit 10.1 to the Company’s Current Report on Form 8-K, filed July 6,</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8"/>
              </w:rPr>
              <w:t>Certification of Principal Executive Officer pursuant to 18 U.S.C. Section 1350, as adopted pursuant to Section 906 of the Sarbanes-Oxley Act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pacing w:after="0" w:line="61" w:lineRule="exact"/>
        <w:rPr>
          <w:sz w:val="20"/>
          <w:szCs w:val="20"/>
          <w:color w:val="auto"/>
        </w:rPr>
      </w:pPr>
    </w:p>
    <w:p>
      <w:pPr>
        <w:ind w:left="1160" w:right="60" w:hanging="1152"/>
        <w:spacing w:after="0" w:line="298"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Annual Report on Form 10-K for the year ended December 31, 2012 formatted in eXtensible Business Reporting Language (XBRL): (i) Consolidated Balance Sheets; (ii) Consolidated Statements of Operations; (iii) Consolidated Statements of Comprehensive Income (Loss); (iv) Consolidated Statements of Stockholders’ Equity; (v) Consolidated Statements of Cash Flows;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right="6860" w:firstLine="8"/>
        <w:spacing w:after="0" w:line="268"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 2013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INC.</w:t>
      </w:r>
    </w:p>
    <w:p>
      <w:pPr>
        <w:spacing w:after="0" w:line="200" w:lineRule="exact"/>
        <w:rPr>
          <w:sz w:val="20"/>
          <w:szCs w:val="20"/>
          <w:color w:val="auto"/>
        </w:rPr>
      </w:pPr>
    </w:p>
    <w:p>
      <w:pPr>
        <w:sectPr>
          <w:pgSz w:w="11900" w:h="16838" w:orient="portrait"/>
          <w:cols w:equalWidth="0" w:num="2">
            <w:col w:w="5240" w:space="720"/>
            <w:col w:w="5420"/>
          </w:cols>
          <w:pgMar w:left="240" w:top="459" w:right="279" w:bottom="1440" w:gutter="0" w:footer="0" w:header="0"/>
          <w:type w:val="continuous"/>
        </w:sectPr>
      </w:pPr>
    </w:p>
    <w:p>
      <w:pPr>
        <w:spacing w:after="0" w:line="4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25400</wp:posOffset>
            </wp:positionV>
            <wp:extent cx="32499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3">
            <w:col w:w="7220" w:space="720"/>
            <w:col w:w="160" w:space="220"/>
            <w:col w:w="3060"/>
          </w:cols>
          <w:pgMar w:left="240" w:top="459" w:right="279" w:bottom="1440" w:gutter="0" w:footer="0" w:header="0"/>
          <w:type w:val="continuous"/>
        </w:sectPr>
      </w:pPr>
    </w:p>
    <w:p>
      <w:pPr>
        <w:jc w:val="center"/>
        <w:ind w:left="6400"/>
        <w:spacing w:after="0"/>
        <w:rPr>
          <w:sz w:val="20"/>
          <w:szCs w:val="20"/>
          <w:color w:val="auto"/>
        </w:rPr>
      </w:pPr>
      <w:r>
        <w:rPr>
          <w:rFonts w:ascii="Arial" w:cs="Arial" w:eastAsia="Arial" w:hAnsi="Arial"/>
          <w:sz w:val="14"/>
          <w:szCs w:val="14"/>
          <w:b w:val="1"/>
          <w:bCs w:val="1"/>
          <w:color w:val="auto"/>
        </w:rPr>
        <w:t>Peter Leparulo</w:t>
      </w:r>
    </w:p>
    <w:p>
      <w:pPr>
        <w:jc w:val="center"/>
        <w:ind w:left="6400"/>
        <w:spacing w:after="0" w:line="223" w:lineRule="auto"/>
        <w:rPr>
          <w:sz w:val="20"/>
          <w:szCs w:val="20"/>
          <w:color w:val="auto"/>
        </w:rPr>
      </w:pPr>
      <w:r>
        <w:rPr>
          <w:rFonts w:ascii="Arial" w:cs="Arial" w:eastAsia="Arial" w:hAnsi="Arial"/>
          <w:sz w:val="14"/>
          <w:szCs w:val="14"/>
          <w:b w:val="1"/>
          <w:bCs w:val="1"/>
          <w:color w:val="auto"/>
        </w:rPr>
        <w:t>Chairman and Chief Executive Officer</w:t>
      </w:r>
    </w:p>
    <w:p>
      <w:pPr>
        <w:jc w:val="center"/>
        <w:ind w:left="640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Peter Leparulo and Kenneth Leddon,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180" w:type="dxa"/>
            <w:vAlign w:val="bottom"/>
            <w:gridSpan w:val="3"/>
          </w:tcPr>
          <w:p>
            <w:pPr>
              <w:ind w:left="194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spacing w:after="0"/>
              <w:rPr>
                <w:sz w:val="14"/>
                <w:szCs w:val="14"/>
                <w:color w:val="auto"/>
              </w:rPr>
            </w:pPr>
          </w:p>
        </w:tc>
        <w:tc>
          <w:tcPr>
            <w:tcW w:w="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6"/>
        </w:trPr>
        <w:tc>
          <w:tcPr>
            <w:tcW w:w="18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ETER</w:t>
            </w:r>
            <w:r>
              <w:rPr>
                <w:rFonts w:ascii="Arial" w:cs="Arial" w:eastAsia="Arial" w:hAnsi="Arial"/>
                <w:sz w:val="18"/>
                <w:szCs w:val="18"/>
                <w:color w:val="auto"/>
                <w:w w:val="97"/>
              </w:rPr>
              <w:t xml:space="preserve"> L</w:t>
            </w:r>
            <w:r>
              <w:rPr>
                <w:rFonts w:ascii="Arial" w:cs="Arial" w:eastAsia="Arial" w:hAnsi="Arial"/>
                <w:sz w:val="14"/>
                <w:szCs w:val="14"/>
                <w:color w:val="auto"/>
                <w:w w:val="97"/>
              </w:rPr>
              <w:t>EPARULO</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Chairman and Chief Executive Officer (Principal</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202"/>
        </w:trPr>
        <w:tc>
          <w:tcPr>
            <w:tcW w:w="1860" w:type="dxa"/>
            <w:vAlign w:val="bottom"/>
          </w:tcPr>
          <w:p>
            <w:pPr>
              <w:spacing w:after="0"/>
              <w:rPr>
                <w:sz w:val="17"/>
                <w:szCs w:val="17"/>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9"/>
              </w:rPr>
              <w:t>Peter Leparulo</w:t>
            </w:r>
          </w:p>
        </w:tc>
        <w:tc>
          <w:tcPr>
            <w:tcW w:w="41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Executive Officer)</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18"/>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202"/>
        </w:trPr>
        <w:tc>
          <w:tcPr>
            <w:tcW w:w="1860" w:type="dxa"/>
            <w:vAlign w:val="bottom"/>
          </w:tcPr>
          <w:p>
            <w:pPr>
              <w:spacing w:after="0"/>
              <w:rPr>
                <w:sz w:val="17"/>
                <w:szCs w:val="17"/>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6"/>
              </w:rPr>
              <w:t>Kenneth Leddon</w:t>
            </w:r>
          </w:p>
        </w:tc>
        <w:tc>
          <w:tcPr>
            <w:tcW w:w="41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32"/>
        </w:trPr>
        <w:tc>
          <w:tcPr>
            <w:tcW w:w="186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USSELL</w:t>
            </w:r>
            <w:r>
              <w:rPr>
                <w:rFonts w:ascii="Arial" w:cs="Arial" w:eastAsia="Arial" w:hAnsi="Arial"/>
                <w:sz w:val="18"/>
                <w:szCs w:val="18"/>
                <w:color w:val="auto"/>
                <w:w w:val="94"/>
              </w:rPr>
              <w:t xml:space="preserve"> C. G</w:t>
            </w:r>
            <w:r>
              <w:rPr>
                <w:rFonts w:ascii="Arial" w:cs="Arial" w:eastAsia="Arial" w:hAnsi="Arial"/>
                <w:sz w:val="14"/>
                <w:szCs w:val="14"/>
                <w:color w:val="auto"/>
                <w:w w:val="94"/>
              </w:rPr>
              <w:t>ERNS</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5"/>
              </w:rPr>
              <w:t>Russell C. Gerns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L</w:t>
            </w:r>
            <w:r>
              <w:rPr>
                <w:rFonts w:ascii="Arial" w:cs="Arial" w:eastAsia="Arial" w:hAnsi="Arial"/>
                <w:sz w:val="14"/>
                <w:szCs w:val="14"/>
                <w:color w:val="auto"/>
              </w:rPr>
              <w:t>EDWITH</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7"/>
              </w:rPr>
              <w:t>James Ledwith</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D. W</w:t>
            </w:r>
            <w:r>
              <w:rPr>
                <w:rFonts w:ascii="Arial" w:cs="Arial" w:eastAsia="Arial" w:hAnsi="Arial"/>
                <w:sz w:val="14"/>
                <w:szCs w:val="14"/>
                <w:color w:val="auto"/>
              </w:rPr>
              <w:t>AKELIN</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8"/>
              </w:rPr>
              <w:t>John D. Wakelin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2"/>
              </w:rPr>
              <w:t>David A. Werner</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8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73"/>
              </w:rPr>
              <w:t>/s/</w:t>
            </w:r>
          </w:p>
        </w:tc>
        <w:tc>
          <w:tcPr>
            <w:tcW w:w="322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UE</w:t>
            </w:r>
            <w:r>
              <w:rPr>
                <w:rFonts w:ascii="Arial" w:cs="Arial" w:eastAsia="Arial" w:hAnsi="Arial"/>
                <w:sz w:val="18"/>
                <w:szCs w:val="18"/>
                <w:color w:val="auto"/>
                <w:w w:val="95"/>
              </w:rPr>
              <w:t xml:space="preserve"> S</w:t>
            </w:r>
            <w:r>
              <w:rPr>
                <w:rFonts w:ascii="Arial" w:cs="Arial" w:eastAsia="Arial" w:hAnsi="Arial"/>
                <w:sz w:val="14"/>
                <w:szCs w:val="14"/>
                <w:color w:val="auto"/>
                <w:w w:val="95"/>
              </w:rPr>
              <w:t>WENSON</w:t>
            </w: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March 1, 2013</w:t>
            </w:r>
          </w:p>
        </w:tc>
      </w:tr>
      <w:tr>
        <w:trPr>
          <w:trHeight w:val="169"/>
        </w:trPr>
        <w:tc>
          <w:tcPr>
            <w:tcW w:w="1860" w:type="dxa"/>
            <w:vAlign w:val="bottom"/>
          </w:tcPr>
          <w:p>
            <w:pPr>
              <w:spacing w:after="0"/>
              <w:rPr>
                <w:sz w:val="14"/>
                <w:szCs w:val="14"/>
                <w:color w:val="auto"/>
              </w:rPr>
            </w:pPr>
          </w:p>
        </w:tc>
        <w:tc>
          <w:tcPr>
            <w:tcW w:w="32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3"/>
              </w:rPr>
              <w:t>Sue Swenson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4"/>
          </w:tcPr>
          <w:p>
            <w:pPr>
              <w:jc w:val="center"/>
              <w:ind w:right="105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1940" w:type="dxa"/>
            <w:vAlign w:val="bottom"/>
            <w:shd w:val="clear" w:color="auto" w:fill="CCEEFF"/>
          </w:tcPr>
          <w:p>
            <w:pPr>
              <w:ind w:left="146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w:t>
              </w:r>
            </w:hyperlink>
          </w:p>
        </w:tc>
        <w:tc>
          <w:tcPr>
            <w:tcW w:w="5360" w:type="dxa"/>
            <w:vAlign w:val="bottom"/>
            <w:tcBorders>
              <w:top w:val="single" w:sz="8" w:color="CCEEFF"/>
            </w:tcBorders>
            <w:gridSpan w:val="2"/>
          </w:tcPr>
          <w:p>
            <w:pPr>
              <w:spacing w:after="0"/>
              <w:rPr>
                <w:sz w:val="15"/>
                <w:szCs w:val="15"/>
                <w:color w:val="auto"/>
              </w:rPr>
            </w:pPr>
          </w:p>
        </w:tc>
        <w:tc>
          <w:tcPr>
            <w:tcW w:w="1940" w:type="dxa"/>
            <w:vAlign w:val="bottom"/>
            <w:tcBorders>
              <w:top w:val="single" w:sz="8" w:color="CCEEFF"/>
            </w:tcBorders>
          </w:tcPr>
          <w:p>
            <w:pPr>
              <w:ind w:left="146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6"/>
              </w:rPr>
            </w:pPr>
            <w:hyperlink w:anchor="page59">
              <w:r>
                <w:rPr>
                  <w:rFonts w:ascii="Arial" w:cs="Arial" w:eastAsia="Arial" w:hAnsi="Arial"/>
                  <w:sz w:val="18"/>
                  <w:szCs w:val="18"/>
                  <w:color w:val="0000EE"/>
                  <w:w w:val="86"/>
                </w:rPr>
                <w:t>Consolidated Statements of Operations</w:t>
              </w:r>
            </w:hyperlink>
          </w:p>
        </w:tc>
        <w:tc>
          <w:tcPr>
            <w:tcW w:w="6720" w:type="dxa"/>
            <w:vAlign w:val="bottom"/>
            <w:tcBorders>
              <w:bottom w:val="single" w:sz="8" w:color="CCEEFF"/>
            </w:tcBorders>
            <w:gridSpan w:val="6"/>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ind w:left="146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9"/>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Income (Loss)</w:t>
              </w:r>
            </w:hyperlink>
          </w:p>
        </w:tc>
        <w:tc>
          <w:tcPr>
            <w:tcW w:w="1940" w:type="dxa"/>
            <w:vAlign w:val="bottom"/>
          </w:tcPr>
          <w:p>
            <w:pPr>
              <w:ind w:left="146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Statements of Stockholders’ Equity</w:t>
              </w:r>
            </w:hyperlink>
          </w:p>
        </w:tc>
        <w:tc>
          <w:tcPr>
            <w:tcW w:w="6000" w:type="dxa"/>
            <w:vAlign w:val="bottom"/>
            <w:tcBorders>
              <w:bottom w:val="single" w:sz="8" w:color="CCEEFF"/>
            </w:tcBorders>
            <w:gridSpan w:val="3"/>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ind w:left="146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9"/>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1940" w:type="dxa"/>
            <w:vAlign w:val="bottom"/>
          </w:tcPr>
          <w:p>
            <w:pPr>
              <w:ind w:left="146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9"/>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1940" w:type="dxa"/>
            <w:vAlign w:val="bottom"/>
            <w:shd w:val="clear" w:color="auto" w:fill="CCEEFF"/>
          </w:tcPr>
          <w:p>
            <w:pPr>
              <w:ind w:left="1460"/>
              <w:spacing w:after="0" w:line="17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Financial Statement Schedule II</w:t>
              </w:r>
            </w:hyperlink>
          </w:p>
        </w:tc>
        <w:tc>
          <w:tcPr>
            <w:tcW w:w="6400" w:type="dxa"/>
            <w:vAlign w:val="bottom"/>
            <w:tcBorders>
              <w:top w:val="single" w:sz="8" w:color="CCEEFF"/>
            </w:tcBorders>
            <w:gridSpan w:val="4"/>
          </w:tcPr>
          <w:p>
            <w:pPr>
              <w:spacing w:after="0"/>
              <w:rPr>
                <w:sz w:val="15"/>
                <w:szCs w:val="15"/>
                <w:color w:val="auto"/>
              </w:rPr>
            </w:pPr>
          </w:p>
        </w:tc>
        <w:tc>
          <w:tcPr>
            <w:tcW w:w="1940" w:type="dxa"/>
            <w:vAlign w:val="bottom"/>
            <w:tcBorders>
              <w:top w:val="single" w:sz="8" w:color="CCEEFF"/>
            </w:tcBorders>
          </w:tcPr>
          <w:p>
            <w:pPr>
              <w:ind w:left="1460"/>
              <w:spacing w:after="0" w:line="17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Pr>
          <w:p>
            <w:pPr>
              <w:jc w:val="center"/>
              <w:ind w:right="2092"/>
              <w:spacing w:after="0"/>
              <w:rPr>
                <w:sz w:val="20"/>
                <w:szCs w:val="20"/>
                <w:color w:val="auto"/>
              </w:rPr>
            </w:pPr>
            <w:r>
              <w:rPr>
                <w:rFonts w:ascii="Arial" w:cs="Arial" w:eastAsia="Arial" w:hAnsi="Arial"/>
                <w:sz w:val="18"/>
                <w:szCs w:val="18"/>
                <w:color w:val="auto"/>
                <w:w w:val="88"/>
              </w:rPr>
              <w:t>F-1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84"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We have audited the accompanying consolidated balance sheets of Novatel Wireless, Inc. as of December 31, 2012 and 2011, and the related consolidated statements of operations, comprehensive income (loss), stockholders’ equity and cash flows for each of the three years in the period ended December 31, 2012. Our audits also included the financial statement schedule for each of the three years in the period ended December 31, 2012 listed in the index at Item 15(a).</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These financial statements and schedule are the responsibility of the Company’s management. Our responsibility is to express an opinion on these financial statements and schedule based on our audits.</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Novatel Wireless,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for each of the three years in the period ended December 31, 2012, when considered in relation to the basic financial statements taken as a whole, presents fairly in all material respects the information set forth therein.</w:t>
      </w:r>
    </w:p>
    <w:p>
      <w:pPr>
        <w:spacing w:after="0" w:line="143"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Novatel Wireless, Inc.’s internal control over financial reporting as of December 31, 2012, based on the criteria established in Internal Control-Integrated Framework issued by the Committee of Sponsoring Organizations of the Treadway Commission and our report dated March 1, 2013 expressed an unqualified opinion thereon.</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320" w:type="dxa"/>
            <w:vAlign w:val="bottom"/>
            <w:shd w:val="clear" w:color="auto" w:fill="CCEEFF"/>
          </w:tcPr>
          <w:p>
            <w:pPr>
              <w:ind w:left="41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47,069</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28,267</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$627 in 2012 and $245 in 2011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36,849</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42,279</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140,731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160,187</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$59,702 in 2012 and $59,217 in 2011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18,496</w:t>
            </w: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$11,951 in 2012 and $10,899 in 2011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35,702</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tcPr>
          <w:p>
            <w:pPr>
              <w:ind w:left="130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161,531</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249,179</w:t>
            </w: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320" w:type="dxa"/>
            <w:vAlign w:val="bottom"/>
            <w:shd w:val="clear" w:color="auto" w:fill="CCEEFF"/>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54,030</w:t>
            </w:r>
          </w:p>
        </w:tc>
      </w:tr>
      <w:tr>
        <w:trPr>
          <w:trHeight w:val="223"/>
        </w:trPr>
        <w:tc>
          <w:tcPr>
            <w:tcW w:w="932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79,074</w:t>
            </w: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83,154</w:t>
            </w: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9320" w:type="dxa"/>
            <w:vAlign w:val="bottom"/>
          </w:tcPr>
          <w:p>
            <w:pPr>
              <w:ind w:left="440"/>
              <w:spacing w:after="0"/>
              <w:rPr>
                <w:sz w:val="20"/>
                <w:szCs w:val="20"/>
                <w:color w:val="auto"/>
              </w:rPr>
            </w:pPr>
            <w:r>
              <w:rPr>
                <w:rFonts w:ascii="Arial" w:cs="Arial" w:eastAsia="Arial" w:hAnsi="Arial"/>
                <w:sz w:val="18"/>
                <w:szCs w:val="18"/>
                <w:color w:val="auto"/>
                <w:w w:val="97"/>
              </w:rPr>
              <w:t>Common stock, par value $0.001; 50,000 shares authorized, 33,655 and 32,262 shares issued and outstanding at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320" w:type="dxa"/>
            <w:vAlign w:val="bottom"/>
          </w:tcPr>
          <w:p>
            <w:pPr>
              <w:ind w:left="660"/>
              <w:spacing w:after="0"/>
              <w:rPr>
                <w:sz w:val="20"/>
                <w:szCs w:val="20"/>
                <w:color w:val="auto"/>
              </w:rPr>
            </w:pPr>
            <w:r>
              <w:rPr>
                <w:rFonts w:ascii="Arial" w:cs="Arial" w:eastAsia="Arial" w:hAnsi="Arial"/>
                <w:sz w:val="18"/>
                <w:szCs w:val="18"/>
                <w:color w:val="auto"/>
              </w:rPr>
              <w:t>December 31, 2012 and 2011, 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7"/>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438,477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429,813</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(328,078)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(238,812)</w:t>
            </w:r>
          </w:p>
        </w:tc>
      </w:tr>
      <w:tr>
        <w:trPr>
          <w:trHeight w:val="222"/>
        </w:trPr>
        <w:tc>
          <w:tcPr>
            <w:tcW w:w="9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110,447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191,025</w:t>
            </w:r>
          </w:p>
        </w:tc>
        <w:tc>
          <w:tcPr>
            <w:tcW w:w="100" w:type="dxa"/>
            <w:vAlign w:val="bottom"/>
          </w:tcPr>
          <w:p>
            <w:pPr>
              <w:spacing w:after="0"/>
              <w:rPr>
                <w:sz w:val="19"/>
                <w:szCs w:val="19"/>
                <w:color w:val="auto"/>
              </w:rPr>
            </w:pPr>
          </w:p>
        </w:tc>
      </w:tr>
      <w:tr>
        <w:trPr>
          <w:trHeight w:val="217"/>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2,436 common shares at December 31, 2012 and 2011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r>
      <w:tr>
        <w:trPr>
          <w:trHeight w:val="230"/>
        </w:trPr>
        <w:tc>
          <w:tcPr>
            <w:tcW w:w="9320" w:type="dxa"/>
            <w:vAlign w:val="bottom"/>
          </w:tcPr>
          <w:p>
            <w:pPr>
              <w:ind w:left="13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85,447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166,025</w:t>
            </w:r>
          </w:p>
        </w:tc>
        <w:tc>
          <w:tcPr>
            <w:tcW w:w="100" w:type="dxa"/>
            <w:vAlign w:val="bottom"/>
          </w:tcPr>
          <w:p>
            <w:pPr>
              <w:spacing w:after="0"/>
              <w:rPr>
                <w:sz w:val="20"/>
                <w:szCs w:val="20"/>
                <w:color w:val="auto"/>
              </w:rPr>
            </w:pPr>
          </w:p>
        </w:tc>
      </w:tr>
      <w:tr>
        <w:trPr>
          <w:trHeight w:val="216"/>
        </w:trPr>
        <w:tc>
          <w:tcPr>
            <w:tcW w:w="93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161,531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249,179</w:t>
            </w: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344,288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402,862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271,845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318,270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84,592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66,294</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61,392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29,830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161,186</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118,319</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(88,743)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(33,727)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(88,655)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(34,395)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(9,503)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(89,266)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(24,892)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(33,450)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32"/>
              <w:spacing w:after="0"/>
              <w:rPr>
                <w:sz w:val="20"/>
                <w:szCs w:val="20"/>
                <w:color w:val="auto"/>
              </w:rPr>
            </w:pPr>
            <w:r>
              <w:rPr>
                <w:rFonts w:ascii="Arial" w:cs="Arial" w:eastAsia="Arial" w:hAnsi="Arial"/>
                <w:sz w:val="18"/>
                <w:szCs w:val="18"/>
                <w:color w:val="auto"/>
              </w:rPr>
              <w:t>(2.72)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(89,266)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(24,892)</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(33,450)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1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54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(89,244)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(24,921)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(33,444)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w w:val="85"/>
              </w:rPr>
              <w:t>Common Stock</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Paid-in</w:t>
            </w:r>
          </w:p>
        </w:tc>
        <w:tc>
          <w:tcPr>
            <w:tcW w:w="82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00" w:type="dxa"/>
            <w:vAlign w:val="bottom"/>
          </w:tcPr>
          <w:p>
            <w:pPr>
              <w:spacing w:after="0"/>
              <w:rPr>
                <w:sz w:val="11"/>
                <w:szCs w:val="11"/>
                <w:color w:val="auto"/>
              </w:rPr>
            </w:pPr>
          </w:p>
        </w:tc>
        <w:tc>
          <w:tcPr>
            <w:tcW w:w="120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31,092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$416,579</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(25,000)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(180,470)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6"/>
              </w:rPr>
              <w:t>Exercise of stock options, vesting of restricted stock units and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1,490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tax effect from stock options exercised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6,471</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(33,450)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31,852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424,270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(213,920)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185,403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6"/>
              </w:rPr>
              <w:t>Exercise of stock options, vesting of restricted stock units and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7"/>
              </w:rPr>
              <w:t>Taxes withheld on net settled vesting of restricted stock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(700)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tax effect from stock options exercised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5,983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(238,812)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166,025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6"/>
              </w:rPr>
              <w:t>Exercise of stock options, vesting of restricted stock units and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7"/>
              </w:rPr>
              <w:t>Taxes withheld on net settled vesting of restricted stock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(433)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(89,266)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Balance, December 31, 2012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33,655</w:t>
            </w:r>
          </w:p>
        </w:tc>
        <w:tc>
          <w:tcPr>
            <w:tcW w:w="2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438,477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(25,000)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(328,078)</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4"/>
              </w:rPr>
              <w:t>(89,266)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(24,892)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(33,450)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debt issuance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Loan fees recognized on extinguishment of debt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12,337</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17,868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Loss on goodwill and purchased intangible assets impairment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49,521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Impairment loss on equipment and software license intangible assets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Provision for bad debts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Net impairment loss on marketable securities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Inventory provision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Share-based compensation expense</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equity based compensation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Non-cash income tax expense (benefit)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assets and liabilities: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128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(6,242)</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26,437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(19,963)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(1,237)</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(10,433)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(24,293)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1280"/>
              <w:spacing w:after="0" w:line="149" w:lineRule="exact"/>
              <w:rPr>
                <w:sz w:val="20"/>
                <w:szCs w:val="20"/>
                <w:color w:val="auto"/>
              </w:rPr>
            </w:pPr>
            <w:r>
              <w:rPr>
                <w:rFonts w:ascii="Arial" w:cs="Arial" w:eastAsia="Arial" w:hAnsi="Arial"/>
                <w:sz w:val="14"/>
                <w:szCs w:val="14"/>
                <w:color w:val="auto"/>
              </w:rPr>
              <w:t>Accrued expenses, income taxes, and other</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3,638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(29,879)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6,211</w:t>
            </w:r>
          </w:p>
        </w:tc>
        <w:tc>
          <w:tcPr>
            <w:tcW w:w="0" w:type="dxa"/>
            <w:vAlign w:val="bottom"/>
          </w:tcPr>
          <w:p>
            <w:pPr>
              <w:spacing w:after="0"/>
              <w:rPr>
                <w:sz w:val="1"/>
                <w:szCs w:val="1"/>
                <w:color w:val="auto"/>
              </w:rPr>
            </w:pPr>
          </w:p>
        </w:tc>
      </w:tr>
      <w:tr>
        <w:trPr>
          <w:trHeight w:val="156"/>
        </w:trPr>
        <w:tc>
          <w:tcPr>
            <w:tcW w:w="89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(4,579)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(5,987)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(10,785)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(72,247)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intangible assets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Purchases of marketable securities</w:t>
            </w: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4"/>
              </w:rPr>
              <w:t>(44,216)</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8"/>
              </w:rPr>
              <w:t>(36,992)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(178,712)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Marketable securities maturities / sales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46,696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74,922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174,286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1720"/>
              <w:spacing w:after="0"/>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(2,203)</w:t>
            </w:r>
          </w:p>
        </w:tc>
        <w:tc>
          <w:tcPr>
            <w:tcW w:w="60" w:type="dxa"/>
            <w:vAlign w:val="bottom"/>
          </w:tcPr>
          <w:p>
            <w:pPr>
              <w:spacing w:after="0"/>
              <w:rPr>
                <w:sz w:val="14"/>
                <w:szCs w:val="14"/>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3"/>
              </w:rPr>
              <w:t>31,659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(87,568)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issuance of short-term debt, net of issuance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14,000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12,000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repayments of short-term debt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(14,000)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(12,000)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under capital lease obligations</w:t>
            </w: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(46)</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stock option exercises and ESPP net of taxes paid on vested restricted stock units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from stock options exercised</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Deposit of restricted funds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(188,890)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420"/>
              <w:spacing w:after="0" w:line="149" w:lineRule="exact"/>
              <w:rPr>
                <w:sz w:val="20"/>
                <w:szCs w:val="20"/>
                <w:color w:val="auto"/>
              </w:rPr>
            </w:pPr>
            <w:r>
              <w:rPr>
                <w:rFonts w:ascii="Arial" w:cs="Arial" w:eastAsia="Arial" w:hAnsi="Arial"/>
                <w:sz w:val="14"/>
                <w:szCs w:val="14"/>
                <w:color w:val="auto"/>
              </w:rPr>
              <w:t>Remittance from restricted funds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188,890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(63)</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4"/>
              </w:rPr>
              <w:t>(31,025)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29,694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(82,650)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47,069</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3"/>
              </w:rPr>
              <w:t>17,375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100,025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16,044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47,069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17,375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during the year for:</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ind w:left="860"/>
              <w:spacing w:after="0" w:line="149" w:lineRule="exact"/>
              <w:rPr>
                <w:sz w:val="20"/>
                <w:szCs w:val="20"/>
                <w:color w:val="auto"/>
              </w:rPr>
            </w:pPr>
            <w:r>
              <w:rPr>
                <w:rFonts w:ascii="Arial" w:cs="Arial" w:eastAsia="Arial" w:hAnsi="Arial"/>
                <w:sz w:val="14"/>
                <w:szCs w:val="14"/>
                <w:color w:val="auto"/>
              </w:rPr>
              <w:t>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Supplemental disclosures of non-cash investing activities: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Building rent incentives to fund leasehold improvements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Supplemental disclosures of non-cash financing activities: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Marketable equity securities received in settlement of note receivable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60" w:type="dxa"/>
            <w:vAlign w:val="bottom"/>
          </w:tcPr>
          <w:p>
            <w:pPr>
              <w:ind w:left="860"/>
              <w:spacing w:after="0"/>
              <w:rPr>
                <w:sz w:val="20"/>
                <w:szCs w:val="20"/>
                <w:color w:val="auto"/>
              </w:rPr>
            </w:pPr>
            <w:r>
              <w:rPr>
                <w:rFonts w:ascii="Arial" w:cs="Arial" w:eastAsia="Arial" w:hAnsi="Arial"/>
                <w:sz w:val="14"/>
                <w:szCs w:val="14"/>
                <w:color w:val="auto"/>
              </w:rPr>
              <w:t>Accrued debt issuance costs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Novatel Wireless, Inc. (the “Company,” “our” or “we”) is a provider of wireless broadband access solutions for the worldwide mobile communications market. Our broad range of products principally includes intelligent mobile hotspots, USB modems, embedded PCI and wireless PC-card modems, and communications and applications software. In addition, through our acquisition of Enfora, Inc. (“Enfora”) on November 30, 2010, we provide asset-management solutions utilizing wireless technology and machine-to-machine (“M2M”) communications devices.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including goodwill valuation, contingent consideration, litigation, provision for warranty costs, income taxes and share-based compensation expense.</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actual results could differ significantly from these estimates, particularly those related to the condition of the economy.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at the time of acquisition. Cash and cash equivalents consist of demand deposits, US Treasury securities, and money market funds. Cash and cash equivalents are recorded at market value, which approximates cost. Gains and losses associated with the Company’s foreign currency denominated demand deposits are recorded as a component of other income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Marketable securities predominantly consist of highly liquid debt investments with a maturity of greater than three months when purchased. The Company holds an insignificant amount of marketable equity securities. All of the Company’s marketable debt securities are treated as “available-for-sale.” While it is the Company’s intent to hold its debt securities until maturity, the Company may sell certain securities for cash flow purposes. Thus, the Company’s marketable debt securities are classified as available-for-sale and are carried on the balance sheet at fair value with the related unrealized gains and losses included in accumulated other comprehensive income (loss), a component of stockholders’ equity. Realized gains and losses on the sale of marketable securities are determined using the specific-identification method. The Company determines the fair value of its financial assets and liabilities by reference to the hierarchy of inputs which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12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All securities whose maturity or sale is expected within one year are classified as “current” on the consolidated balance sheet. All other securities are classified as “long-term” on the consolidated balance sheet.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Property and equipment are initially stated at cost and depreciated using the straight-line method. Test equipment, computer equipment, purchased software, furniture, and fixtures and product tooling are depreciated over lives ranging from eighteen months to five years and leasehold improvements are depreciated over the shorter of the related remaining lease period or useful life. Amortization of assets held under capital leases is included in depreciation expense.</w:t>
      </w:r>
    </w:p>
    <w:p>
      <w:pPr>
        <w:spacing w:after="0" w:line="14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Intangible assets include purchased intangible assets acquired from Enfora and the costs of non-exclusive and perpetual worldwide software technology licenses. These costs are amortized on an accelerated basis or on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straight-line basis over the estimated useful lives of the assets, depending on the anticipated utilization of the asset. The majority of intangible assets relate to the developed technologies and trade name resulting from the acquisition of Enfora. Developed technologies are amortized on a straight-line basis over two years. Trade name is amortized on a straight-line basis over four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Goodwill represents the excess of the purchase price of an acquired enterprise over the fair value assigned to assets acquired and liabilities assumed in a business combination. Goodwill is allocated as of the date of the business combination to the reporting units that are expected to benefit from the synergies of the business combination. Goodwill is considered to be impaired if the Company determines that the carrying value of the reporting unit to which the goodwill has been assigned exceeds its estimated fair value. The Company performs its annual goodwill impairment test each year at the beginning of the fourth quarter, or more frequently if events or circumstances indicate that the carrying value of goodwill exceeds its fair value. The Company recorded $19.8 million, $3.3 million, and $0 of goodwill impairment losses during the years ended December 31, 2012, 2011, and 2010,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Contingent consideration is recorded at the acquisition date estimated fair value for all acquisitions. The fair value of the contingent consideration is remeasured at each reporting period with any adjustments in fair value included in the Company’s consolidated statement of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revenue is principally generated from the sale of wireless modems to wireless operators, OEM customers and value added resellers and distributors. In addition, the Company generates revenue from the sale of asset-management solutions utilizing wireless technology and M2M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Predominantly all of our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 obligations. The Company considers the four basic revenue recognition criteria discussed under Staff Accounting Bulletin #104 when assessing appropriate revenue recognition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Criterion #1—Persuasive evidence of an arrangement must exist;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Criterion #2—Delivery has occurred;</w:t>
      </w:r>
    </w:p>
    <w:p>
      <w:pPr>
        <w:spacing w:after="0" w:line="9" w:lineRule="exact"/>
        <w:rPr>
          <w:sz w:val="20"/>
          <w:szCs w:val="20"/>
          <w:color w:val="auto"/>
        </w:rPr>
      </w:pPr>
    </w:p>
    <w:p>
      <w:pPr>
        <w:ind w:left="920" w:right="4520"/>
        <w:spacing w:after="0" w:line="261" w:lineRule="auto"/>
        <w:rPr>
          <w:sz w:val="20"/>
          <w:szCs w:val="20"/>
          <w:color w:val="auto"/>
        </w:rPr>
      </w:pPr>
      <w:r>
        <w:rPr>
          <w:rFonts w:ascii="Arial" w:cs="Arial" w:eastAsia="Arial" w:hAnsi="Arial"/>
          <w:sz w:val="18"/>
          <w:szCs w:val="18"/>
          <w:color w:val="auto"/>
        </w:rPr>
        <w:t>Criterion #3—The Company’s price to the buyer must be fixed or determinable; and, Criterion #4—Collectibility is reasonably assured.</w:t>
      </w:r>
    </w:p>
    <w:p>
      <w:pPr>
        <w:spacing w:after="0" w:line="13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multiple element arrangements, total consideration received from customers is allocated to the elements. This may include hardware and non essential software elements,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(ESP). Because the Company has neither VSOE nor TPE, revenue has been based on the Company’s ESP. Amounts allocated to the delivered hardware and the related essential software are recognized at the time of the sale provided all other revenue recognition criteria have been met. Amounts allocated to other deliverables based upon ESP are recognized in the period the revenue recognition criteria have been met.</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process for determining its 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ESPs for products we may consider other factors as appropriate including the pricing of competitive alternatives if they exist, and product-specific business objectives.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account for nonessential software licenses and related post contract support (PCS) under multiple element arrangements by recognizing revenue for such arrangements ratably over the term of the PCS as we have not established VSOE for the PCS element.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2012, 2011, and 2010, we have not recorded any significant revenues from multiple element or software arrangements.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rework expenses; and potential risks associated with our different products. The risk levels, warranty cost information, and failure rates used within this model are reviewed throughout the year and updated, if and when, these inputs change.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our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Deferred tax assets and liabilities are measured using enacted tax rates expected to apply to taxable income in the years in which those temporary differences are expected to be recovered or settled.</w:t>
      </w:r>
    </w:p>
    <w:p>
      <w:pPr>
        <w:spacing w:after="0" w:line="11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times, the Company will enter into derivative financial instruments, consisting solely of foreign currency forward exchange contracts. The purpose of these derivative instruments is to hedge the Company’s economic exposure associated with accounts receivable and cash balances denominated in Euros. The Company’s forward contracts do not qualify as accounting hedges. As a result, the Company marks-to-market the forward contracts and includes unrealized gains and losses in the current period as a component of other income (expense) in the consolidated statements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is currently involved in certain legal proceedings.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has granted stock options to employees and restricted stock units. The Company also has an employee stock purchase plan (“ESPP”) for eligible employees. The Company measures the compensation cost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associated with all share-based payments based on grant date fair values. The fair value of each employee stock option and employee stock purchase right is estimated on the date of grant using an option pricing model that meets certain requirements. The Company currently uses the Black-Scholes option pricing model to estimate the fair value of our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our stock price and a number of assumptions, including expected volatility, expected term, risk-free interest rate and expected dividends.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under our ESPP, the Company utilizes historical volatility in order to estimate the expected volatility assumption of the Black-Scholes model.</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expected term of stock options granted is estimated using the average of the vesting date, the contractual term and historical experience. The risk-free interest rate assumption is based on observed interest rates appropriate for the expected terms of our stock options and employee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 based compensation awards based historical forfeiture rates related to each category of award.</w:t>
      </w:r>
    </w:p>
    <w:p>
      <w:pPr>
        <w:spacing w:after="0" w:line="11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recognizes share-based compensation expense using the straight-line method for awards that contain only service conditions. For awards that contain performance conditions, the Company recognizes the share-based compensation expense on a straight-line basis for each vesting tranche.</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 To the extent that the Company grants additional equity securities to employees or it assumes unvested securities in connection with any acquisitions, its share-based compensation expense will be increased by the additional unearned compensation resulting from those additional grants or acquisitions.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(Loss) Per Share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income (loss) per share excludes dilution and is computed by dividing the net income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financial instruments consist principally of cash and cash equivalents, short-term and long-term marketable securities, and short-term and long-term debt. The Company’s cash and cash equivalents consist of its investment in money market securities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net earnings and unrealized gains and losses on available-for-sale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September 2011, the Financial Accounting Standards Board (FASB) issued Accounting Standards Update (ASU) No. 2011-08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 Testing Goodwill for Impairment.” </w:t>
      </w:r>
      <w:r>
        <w:rPr>
          <w:rFonts w:ascii="Arial" w:cs="Arial" w:eastAsia="Arial" w:hAnsi="Arial"/>
          <w:sz w:val="16"/>
          <w:szCs w:val="16"/>
          <w:color w:val="auto"/>
        </w:rPr>
        <w:t>ASU 2011-08 amends the previous guidance under Topic 350 which required an entity to test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for impairment, on at least an annual basis, by performing the two-step goodwill impairment test described in Topic 350. The amendments in ASU 2011-08 permit an entity to first assess qualitative factors to determine whether it is more likely than not that the fair value of a reporting unit is less than its carrying amount as a basis for determining whether it is necessary to perform the two-step goodwill impairment test. The more likely than not threshold is defined as having likelihood of more than 50 percent. ASU 2011-08 is effective for annual and interim goodwill impairment tests performed for fiscal years beginning after December 15, 2011. The Company has adopted ASU 2011-08 for our financial statement results beginning January 1, 2012 and there was no material impact on the consolidated financial statements upon adoption.</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 Presentation of Comprehensive Income.”</w:t>
      </w:r>
      <w:r>
        <w:rPr>
          <w:rFonts w:ascii="Arial" w:cs="Arial" w:eastAsia="Arial" w:hAnsi="Arial"/>
          <w:sz w:val="16"/>
          <w:szCs w:val="16"/>
          <w:color w:val="auto"/>
        </w:rPr>
        <w:t xml:space="preserve"> ASU 2011-05 requires that all non-owner changes in stockholders’ equity be presented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is effective retrospectively for fiscal years, and interim periods within those years, beginning after December 15, 2011. The Company has adopted ASU 2011-05 and has presented comprehensive income (loss) separately in the consolidated statements of comprehensive income (loss) for the years ended 2012, 2011, and 2010.</w:t>
      </w:r>
    </w:p>
    <w:p>
      <w:pPr>
        <w:spacing w:after="0" w:line="236" w:lineRule="exact"/>
        <w:rPr>
          <w:sz w:val="20"/>
          <w:szCs w:val="20"/>
          <w:color w:val="auto"/>
        </w:rPr>
      </w:pPr>
    </w:p>
    <w:p>
      <w:pPr>
        <w:ind w:right="7320" w:firstLine="8"/>
        <w:spacing w:after="0" w:line="347" w:lineRule="auto"/>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Merger and Acquisition Activities in Prior Years Enfora</w:t>
      </w:r>
    </w:p>
    <w:p>
      <w:pPr>
        <w:spacing w:after="0" w:line="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30, 2010, the Company completed the acquisition of Enfora. The acquisition of Enfora diversifies the Company’s customer base and product lines into adjacent markets and advances the Company’s strategy of providing intelligent devices to all end markets—enterprise, consumer and vertical applications.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Enfora’s results of operations and estimated fair value of assets acquired and liabilities assumed were included in the Company’s consolidated financial statements beginning November 30, 2010. The revenue and operating results contributed by Enfora for the years ended December 31, 2012, 2011 and 2010 are disclosed in our Segment Information and Concentrations of Risk footnote (see Note 12). Acquisition costs related to the merger of Enfora of $1.9 million were recorded and classified as general and administrative expenses in the consolidated statement of operations during the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consideration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(“contingent consideration”) of up to $6.0 million based on the operating results of Enfora for the 15 month period from October 1, 2010 to December 31, 2011. The estimated fair value of this contingent consideration at the acquisition date was $0.9 million, resulting in total estimated cash to be paid of $78.4 million. During the quarter ended March 31, 2011, the Company revised its estimate of contingent consideration to $0 and reflected this change as a benefit to general and administrative expenses for the quarter ended March 31, 2011. There were no changes in the fair value of the contingent consideration recorded in the nine months ended December 31, 2011 as the operating results necessary to receive payment of the contingent consideration were not achieved.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Assets Acquired and Liabilities Assumed</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accounted for the transaction using the acquisition method and, accordingly, estimated the fair value of the tangible and intangible assets acquired and liabilities assumed. During the third quarter of 2011, the Company made a $0.3 million adjustment to increase Enfora net deferred tax assets, with a corresponding dollar amount decrease to goodwill, based on completed studies of available tax benefits existing as of the date of acquisition. The total purchase price is summarized below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receivables</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payable, accrued expenses and deferred taxes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(12,220)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42,520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23,661</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78,379</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Cinterion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June 2010, the Company submitted a bid to purchase certain assets of Cinterion, a company in the cellular M2M communications industry, in connection with an insolvency proceeding. The Company was not the successful bidder at the conclusion of the process on June 28, 2010. In connection with the bid, the Company borrowed $30.0 million under a bridge loan facility in June 2010 which was subsequently repaid in July 2010. The Company recognized $3.1 million of debt issuance costs related to the bridge loan facility. This amount was recorded as interest expense in the consolidated statement of operations for the year ended December 31, 2010. The Company also realized $1.7 million of foreign currency gain, net of hedging transaction costs, to address foreign currency risk also related to the bid. This amount was recorded in other income in the consolidated statement of operations during the year ended December 31, 2010. The Company also incurred $1.3 million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legal, advisory and professional fees related to the acquisition bid, which were recorded and classified as general and administrative expenses in the consolidated statement of operations during the year ended December 31, 2010.</w:t>
      </w:r>
    </w:p>
    <w:p>
      <w:pPr>
        <w:spacing w:after="0" w:line="24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of Assets and Liabilities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classify our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62"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4"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At December 31, 2012, the Company did not have any securities in the Level 3 category. The Company reviews the fair value hierarchy classification on a quarterly basis. We validate the quoted market prices provided by our primary pricing service by comparing their assessment of the fair values of our investments by using a third party investment manager. The third party investment manager uses similar techniques to our primary pricing service to derive the pricing describe above. Changes in the observability of valuation inputs may result in a reclassification of levels for certain securities within the fair value hierarchy.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2012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6"/>
              </w:rPr>
              <w:t>Balance as of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20" w:type="dxa"/>
            <w:vAlign w:val="bottom"/>
            <w:gridSpan w:val="3"/>
            <w:vMerge w:val="continue"/>
          </w:tcPr>
          <w:p>
            <w:pPr>
              <w:spacing w:after="0"/>
              <w:rPr>
                <w:sz w:val="14"/>
                <w:szCs w:val="14"/>
                <w:color w:val="auto"/>
              </w:rPr>
            </w:pPr>
          </w:p>
        </w:tc>
        <w:tc>
          <w:tcPr>
            <w:tcW w:w="18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December 31, 2012</w:t>
            </w:r>
          </w:p>
        </w:tc>
        <w:tc>
          <w:tcPr>
            <w:tcW w:w="4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Level 1</w:t>
            </w:r>
          </w:p>
        </w:tc>
        <w:tc>
          <w:tcPr>
            <w:tcW w:w="700" w:type="dxa"/>
            <w:vAlign w:val="bottom"/>
          </w:tcPr>
          <w:p>
            <w:pPr>
              <w:spacing w:after="0"/>
              <w:rPr>
                <w:sz w:val="14"/>
                <w:szCs w:val="14"/>
                <w:color w:val="auto"/>
              </w:rPr>
            </w:pPr>
          </w:p>
        </w:tc>
        <w:tc>
          <w:tcPr>
            <w:tcW w:w="6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640"/>
              <w:spacing w:after="0"/>
              <w:rPr>
                <w:sz w:val="20"/>
                <w:szCs w:val="20"/>
                <w:color w:val="auto"/>
              </w:rPr>
            </w:pPr>
            <w:r>
              <w:rPr>
                <w:rFonts w:ascii="Arial" w:cs="Arial" w:eastAsia="Arial" w:hAnsi="Arial"/>
                <w:sz w:val="18"/>
                <w:szCs w:val="18"/>
                <w:color w:val="auto"/>
              </w:rPr>
              <w:t>Government agency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6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Corporate debentures / bonds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38,064</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2011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86"/>
              </w:rPr>
              <w:t>Balance as of</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gridSpan w:val="3"/>
            <w:vMerge w:val="continue"/>
          </w:tcPr>
          <w:p>
            <w:pPr>
              <w:spacing w:after="0"/>
              <w:rPr>
                <w:sz w:val="14"/>
                <w:szCs w:val="14"/>
                <w:color w:val="auto"/>
              </w:rPr>
            </w:pPr>
          </w:p>
        </w:tc>
        <w:tc>
          <w:tcPr>
            <w:tcW w:w="3480" w:type="dxa"/>
            <w:vAlign w:val="bottom"/>
          </w:tcPr>
          <w:p>
            <w:pPr>
              <w:spacing w:after="0"/>
              <w:rPr>
                <w:sz w:val="14"/>
                <w:szCs w:val="14"/>
                <w:color w:val="auto"/>
              </w:rPr>
            </w:pPr>
          </w:p>
        </w:tc>
        <w:tc>
          <w:tcPr>
            <w:tcW w:w="11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700" w:type="dxa"/>
            <w:vAlign w:val="bottom"/>
          </w:tcPr>
          <w:p>
            <w:pPr>
              <w:spacing w:after="0"/>
              <w:rPr>
                <w:sz w:val="14"/>
                <w:szCs w:val="14"/>
                <w:color w:val="auto"/>
              </w:rPr>
            </w:pPr>
          </w:p>
        </w:tc>
        <w:tc>
          <w:tcPr>
            <w:tcW w:w="9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6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4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60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$25,137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420"/>
              <w:spacing w:after="0"/>
              <w:rPr>
                <w:sz w:val="20"/>
                <w:szCs w:val="20"/>
                <w:color w:val="auto"/>
              </w:rPr>
            </w:pPr>
            <w:r>
              <w:rPr>
                <w:rFonts w:ascii="Arial" w:cs="Arial" w:eastAsia="Arial" w:hAnsi="Arial"/>
                <w:sz w:val="18"/>
                <w:szCs w:val="18"/>
                <w:color w:val="auto"/>
              </w:rPr>
              <w:t>US Treasury securities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5,784</w:t>
            </w:r>
          </w:p>
        </w:tc>
        <w:tc>
          <w:tcPr>
            <w:tcW w:w="7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3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Government agency securities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6,912</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Municipal bonds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Certificates of deposit</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4,321</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Corporate debentures / bonds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Marketable equity securities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3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Government agency securities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3,738</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Municipal bonds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640"/>
              <w:spacing w:after="0"/>
              <w:rPr>
                <w:sz w:val="20"/>
                <w:szCs w:val="20"/>
                <w:color w:val="auto"/>
              </w:rPr>
            </w:pPr>
            <w:r>
              <w:rPr>
                <w:rFonts w:ascii="Arial" w:cs="Arial" w:eastAsia="Arial" w:hAnsi="Arial"/>
                <w:sz w:val="18"/>
                <w:szCs w:val="18"/>
                <w:color w:val="auto"/>
              </w:rPr>
              <w:t>Certificates of deposit</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3,788</w:t>
            </w:r>
          </w:p>
        </w:tc>
        <w:tc>
          <w:tcPr>
            <w:tcW w:w="7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Total financial assets</w:t>
            </w:r>
          </w:p>
        </w:tc>
        <w:tc>
          <w:tcPr>
            <w:tcW w:w="3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gridSpan w:val="3"/>
            <w:vMerge w:val="continue"/>
          </w:tcPr>
          <w:p>
            <w:pPr>
              <w:spacing w:after="0"/>
              <w:rPr>
                <w:sz w:val="19"/>
                <w:szCs w:val="19"/>
                <w:color w:val="auto"/>
              </w:rPr>
            </w:pPr>
          </w:p>
        </w:tc>
        <w:tc>
          <w:tcPr>
            <w:tcW w:w="3600" w:type="dxa"/>
            <w:vAlign w:val="bottom"/>
            <w:gridSpan w:val="2"/>
          </w:tcPr>
          <w:p>
            <w:pPr>
              <w:ind w:left="34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72,683</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25,175</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0" w:type="dxa"/>
            <w:vAlign w:val="bottom"/>
            <w:gridSpan w:val="2"/>
          </w:tcPr>
          <w:p>
            <w:pPr>
              <w:ind w:left="1380"/>
              <w:spacing w:after="0"/>
              <w:rPr>
                <w:sz w:val="20"/>
                <w:szCs w:val="20"/>
                <w:color w:val="auto"/>
              </w:rPr>
            </w:pPr>
            <w:r>
              <w:rPr>
                <w:rFonts w:ascii="Arial" w:cs="Arial" w:eastAsia="Arial" w:hAnsi="Arial"/>
                <w:sz w:val="18"/>
                <w:szCs w:val="18"/>
                <w:color w:val="auto"/>
              </w:rPr>
              <w:t>F-17</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years ended December 31, 2012 and 2011. All of our long-term marketable debt securities had maturities of between one and two years in duration at December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Level 3 activity for our contingent consideration liability for the twelve months ended December 31, 2011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Contingent consideration liability</w:t>
            </w:r>
          </w:p>
        </w:tc>
        <w:tc>
          <w:tcPr>
            <w:tcW w:w="3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January 1, 2011</w:t>
            </w:r>
          </w:p>
        </w:tc>
        <w:tc>
          <w:tcPr>
            <w:tcW w:w="3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3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at December 31, 2011</w:t>
            </w:r>
          </w:p>
        </w:tc>
        <w:tc>
          <w:tcPr>
            <w:tcW w:w="3280" w:type="dxa"/>
            <w:vAlign w:val="bottom"/>
            <w:gridSpan w:val="2"/>
            <w:shd w:val="clear" w:color="auto" w:fill="CCEEFF"/>
          </w:tcPr>
          <w:p>
            <w:pPr>
              <w:ind w:left="320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
        </w:trPr>
        <w:tc>
          <w:tcPr>
            <w:tcW w:w="20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the Company had no outstanding foreign currency exchange forward contracts.</w:t>
      </w:r>
    </w:p>
    <w:p>
      <w:pPr>
        <w:spacing w:after="0" w:line="171"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For the years ended December 31, 2012, 2011 and 2010, the Company recorded gains of $0, $8,000, $38,000, respectively, on its Euro-denominated foreign exchange forward contracts. During the years ended December 31, 2012, 2011 and 2010, the Company recorded foreign currency gains and losses on foreign currency denominated transactions of approximately $51,000 loss, $836,000 loss, $1.7 million gain, respectively. The loss during the year ended December 31, 2012 primarily related to foreign currency losses on foreign currency denominated bank accounts. The loss during the year ended December 31, 2011 primarily related to foreign currency losses on South Korean won denominated trade payables. The gains during the year ended December 31, 2010 primarily relate to a $2.9 million foreign currency gain realized on the liquidation of the Company’s cash holdings in Euros at the conclusion of the insolvency proceeding for the sale of Cinterion net of $1.2 million in expense to enter into several Euro-denominated put options to hedge the foreign currency risk associated with its cash holdings in Euros related to the Cinterion bid process. These put options expired unexercised on June 25, 2010.</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All recorded gains and losses on foreign exchange transactions are recorded in other income (expense), net, within the consolidated statements of operations.</w:t>
      </w:r>
    </w:p>
    <w:p>
      <w:pPr>
        <w:spacing w:after="0" w:line="248" w:lineRule="exact"/>
        <w:rPr>
          <w:sz w:val="20"/>
          <w:szCs w:val="20"/>
          <w:color w:val="auto"/>
        </w:rPr>
      </w:pPr>
    </w:p>
    <w:p>
      <w:pPr>
        <w:ind w:right="8900" w:firstLine="8"/>
        <w:spacing w:after="0" w:line="347" w:lineRule="auto"/>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Details </w:t>
      </w:r>
      <w:r>
        <w:rPr>
          <w:rFonts w:ascii="Arial" w:cs="Arial" w:eastAsia="Arial" w:hAnsi="Arial"/>
          <w:sz w:val="18"/>
          <w:szCs w:val="18"/>
          <w:i w:val="1"/>
          <w:iCs w:val="1"/>
          <w:color w:val="auto"/>
        </w:rPr>
        <w:t>Marketable Securities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Gross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150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58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32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2"/>
                <w:szCs w:val="12"/>
                <w:color w:val="auto"/>
              </w:rPr>
            </w:pPr>
          </w:p>
        </w:tc>
        <w:tc>
          <w:tcPr>
            <w:tcW w:w="50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w w:val="96"/>
              </w:rPr>
              <w:t>Cost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92"/>
              </w:rPr>
              <w:t>Gains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1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17,330</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Total short-term marketable securities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38,041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39,241</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60" w:type="dxa"/>
            <w:vAlign w:val="bottom"/>
            <w:gridSpan w:val="3"/>
            <w:vMerge w:val="restart"/>
          </w:tcPr>
          <w:p>
            <w:pPr>
              <w:jc w:val="right"/>
              <w:ind w:right="1200"/>
              <w:spacing w:after="0"/>
              <w:rPr>
                <w:sz w:val="20"/>
                <w:szCs w:val="20"/>
                <w:color w:val="auto"/>
              </w:rPr>
            </w:pPr>
            <w:r>
              <w:rPr>
                <w:rFonts w:ascii="Arial" w:cs="Arial" w:eastAsia="Arial" w:hAnsi="Arial"/>
                <w:sz w:val="18"/>
                <w:szCs w:val="18"/>
                <w:color w:val="auto"/>
              </w:rPr>
              <w:t>F-18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5"/>
              <w:spacing w:after="0"/>
              <w:rPr>
                <w:sz w:val="20"/>
                <w:szCs w:val="20"/>
                <w:color w:val="auto"/>
              </w:rPr>
            </w:pPr>
            <w:r>
              <w:rPr>
                <w:rFonts w:ascii="Arial" w:cs="Arial" w:eastAsia="Arial" w:hAnsi="Arial"/>
                <w:sz w:val="14"/>
                <w:szCs w:val="14"/>
                <w:b w:val="1"/>
                <w:bCs w:val="1"/>
                <w:color w:val="auto"/>
                <w:w w:val="88"/>
              </w:rPr>
              <w:t>Gross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2011</w:t>
            </w:r>
          </w:p>
        </w:tc>
        <w:tc>
          <w:tcPr>
            <w:tcW w:w="4660" w:type="dxa"/>
            <w:vAlign w:val="bottom"/>
            <w:vMerge w:val="restart"/>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5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w:t>
            </w:r>
          </w:p>
        </w:tc>
        <w:tc>
          <w:tcPr>
            <w:tcW w:w="5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126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50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w w:val="96"/>
              </w:rPr>
              <w:t>Cost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w w:val="92"/>
              </w:rPr>
              <w:t>Gains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74"/>
              </w:rPr>
              <w:t>Losses</w:t>
            </w:r>
          </w:p>
        </w:tc>
        <w:tc>
          <w:tcPr>
            <w:tcW w:w="260" w:type="dxa"/>
            <w:vAlign w:val="bottom"/>
          </w:tcPr>
          <w:p>
            <w:pPr>
              <w:spacing w:after="0"/>
              <w:rPr>
                <w:sz w:val="14"/>
                <w:szCs w:val="14"/>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5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Marketable equity securities</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1 or less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28,275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13,498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41,773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consolidated balance sheet at fair market value with the related unrealized gains and losses included in accumulated other comprehensive (loss) income on the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December 31, 2012 and 2011, the Company recorded net unrealized gains of $14,000, net of taxes, and net unrealized loss of $8,000, respectively. The Company’s net unrealized gains (loss) is the result of market conditions affecting its fixed-income debt securities, which are included in accumulated other comprehensive (loss) income on the consolidated balance sheet for the periods then ended.</w:t>
      </w:r>
    </w:p>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As of December 31, 2011, the Company’s investment portfolio included $385,000 of marketable equity securities at original cost, with a fair value of $38,000. During the years ended December 31, 2012 and 2011, the Company recorded an other-than-temporary loss of $38,000 and $347,000, respectively, within other income (expense), net in the consolidated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Borders>
              <w:bottom w:val="single" w:sz="8" w:color="CCEEFF"/>
            </w:tcBorders>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5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$26,776</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$35,211</w:t>
            </w:r>
          </w:p>
        </w:tc>
        <w:tc>
          <w:tcPr>
            <w:tcW w:w="100" w:type="dxa"/>
            <w:vAlign w:val="bottom"/>
            <w:shd w:val="clear" w:color="auto" w:fill="CCEEFF"/>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12,240</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spacing w:after="0"/>
              <w:rPr>
                <w:sz w:val="18"/>
                <w:szCs w:val="18"/>
                <w:color w:val="auto"/>
              </w:rPr>
            </w:pPr>
          </w:p>
        </w:tc>
        <w:tc>
          <w:tcPr>
            <w:tcW w:w="6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42,279</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F-19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Test equipment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$ 53,368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52,311</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12,310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13,766</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2,219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0" w:type="dxa"/>
            <w:vAlign w:val="bottom"/>
            <w:shd w:val="clear" w:color="auto" w:fill="CCEEFF"/>
          </w:tcPr>
          <w:p>
            <w:pPr>
              <w:spacing w:after="0"/>
              <w:rPr>
                <w:sz w:val="18"/>
                <w:szCs w:val="18"/>
                <w:color w:val="auto"/>
              </w:rPr>
            </w:pPr>
          </w:p>
        </w:tc>
      </w:tr>
      <w:tr>
        <w:trPr>
          <w:trHeight w:val="221"/>
        </w:trPr>
        <w:tc>
          <w:tcPr>
            <w:tcW w:w="84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74,931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77,713</w:t>
            </w: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(59,702)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(59,217)</w:t>
            </w:r>
          </w:p>
        </w:tc>
      </w:tr>
      <w:tr>
        <w:trPr>
          <w:trHeight w:val="222"/>
        </w:trPr>
        <w:tc>
          <w:tcPr>
            <w:tcW w:w="8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$ 15,229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18,496</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years ended December 31, 2012, 2011 and 2010, the Company recorded $100,000, $70,000 and $167,000, respectively, in its cost of net revenues as a result of its impairment analysis of property and equipment.</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Depreciation and amortization expense relating to property and equipment was $9.4 million, $11.1 million and $10.0 million for the years ended December 31, 2012, 2011 and 2010,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3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$ 5,861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Payroll and related expenses</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7,788</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2,329</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Market development funds and price protection</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2,147</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4,630</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27,800</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00" w:type="dxa"/>
            <w:vAlign w:val="bottom"/>
            <w:gridSpan w:val="3"/>
            <w:vMerge w:val="continue"/>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gridSpan w:val="3"/>
          </w:tcPr>
          <w:p>
            <w:pPr>
              <w:ind w:left="220"/>
              <w:spacing w:after="0"/>
              <w:rPr>
                <w:sz w:val="20"/>
                <w:szCs w:val="20"/>
                <w:color w:val="auto"/>
              </w:rPr>
            </w:pPr>
            <w:r>
              <w:rPr>
                <w:rFonts w:ascii="Arial" w:cs="Arial" w:eastAsia="Arial" w:hAnsi="Arial"/>
                <w:sz w:val="18"/>
                <w:szCs w:val="18"/>
                <w:color w:val="auto"/>
                <w:w w:val="91"/>
              </w:rPr>
              <w:t>Accrued warranty obligations consist of the following (in thousands):</w:t>
            </w: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3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$ 2,279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2,642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3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3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3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$ 2,329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96"/>
              </w:rPr>
              <w:t>$ 1,525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840" w:type="dxa"/>
            <w:vAlign w:val="bottom"/>
            <w:gridSpan w:val="4"/>
          </w:tcPr>
          <w:p>
            <w:pPr>
              <w:jc w:val="right"/>
              <w:ind w:right="3323"/>
              <w:spacing w:after="0"/>
              <w:rPr>
                <w:sz w:val="20"/>
                <w:szCs w:val="20"/>
                <w:color w:val="auto"/>
              </w:rPr>
            </w:pPr>
            <w:r>
              <w:rPr>
                <w:rFonts w:ascii="Arial" w:cs="Arial" w:eastAsia="Arial" w:hAnsi="Arial"/>
                <w:sz w:val="18"/>
                <w:szCs w:val="18"/>
                <w:color w:val="auto"/>
              </w:rPr>
              <w:t>F-20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Gross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Impairment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3"/>
              </w:rPr>
              <w:t>(5,786)</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(19,547)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7"/>
              </w:rPr>
              <w:t>(4,163)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12,800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(2,147)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(8,582)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2,071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(1,387)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(9,856)</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(29,749)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2,915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(7,159)</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of Enfora included in the cost of net revenues and operating costs and expenses categories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90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1,623</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1,074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r>
      <w:tr>
        <w:trPr>
          <w:trHeight w:val="27"/>
        </w:trPr>
        <w:tc>
          <w:tcPr>
            <w:tcW w:w="4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2,697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amortizable purchased intangible assets of Enfora that is currently estimated to be expensed in the future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9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9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2016</w:t>
            </w:r>
          </w:p>
        </w:tc>
        <w:tc>
          <w:tcPr>
            <w:tcW w:w="9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2,915</w:t>
            </w:r>
          </w:p>
        </w:tc>
        <w:tc>
          <w:tcPr>
            <w:tcW w:w="100" w:type="dxa"/>
            <w:vAlign w:val="bottom"/>
            <w:shd w:val="clear" w:color="auto" w:fill="CCEEFF"/>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Additionally, at December 31, 2012 and 2011, the Company had net acquired software licenses of $248,000 and $341,000, respectively, net of accumulated amortization of $2.1 million and $3.7 million, respectively. The acquired software licenses represent rights to use certain software necessary for the development and commercial sale of the Company’s products.</w:t>
      </w:r>
    </w:p>
    <w:p>
      <w:pPr>
        <w:spacing w:after="0" w:line="14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 monitors its intangible and long-lived asset balances and conducts formal tests when impairment indicators are present (see Note 6 for a discussion of the impairment indicators). During the quarter ended March 31, 2012, the Company recorded an impairment loss of $22.8 million related to a decrease in the estimated fair values of the purchased intangible assets fair values. At September 30, 2012, the Company recorded a further preliminary impairment loss of $7.3 million related to the continued decrease in the estimated fair values of the purchased intangible assets. During the fourth quarter of 2012, the Company completed the impairment analysis and reduced the third quarter impairment by $300,000. The Company recorded $133,000 of impairment loss related to acquired software licenses during the year ended December 31, 2011. There was no impairment loss recorded for the year ended December 31, 2010.</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Amortization expense relating to acquired software licenses was $196,000, $422,000 and $744,000 for the years ended December 31, 2012, 2011 and 2010, respectively. Amortization expense related to licenses obtained for research purposes is recorded within research and development expense in the consolidated statements of operations. Amortization expense related to licenses obtained for commercial products is recorded in cost of net revenues in the consolidated statements of operations.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2012, the weighted average remaining useful life of the Company’s long-lived intangible assets including acquired software licenses is 3.0 years.</w:t>
      </w:r>
    </w:p>
    <w:p>
      <w:pPr>
        <w:spacing w:after="0" w:line="24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years ended December 31, 2012 and 2011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M2M Products and Solutions</w:t>
            </w:r>
          </w:p>
        </w:tc>
      </w:tr>
      <w:tr>
        <w:trPr>
          <w:trHeight w:val="142"/>
        </w:trPr>
        <w:tc>
          <w:tcPr>
            <w:tcW w:w="8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Goodwill acquisition price adjustments, net of tax</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during the period</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(19,772)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(3,277)</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19,772</w:t>
            </w:r>
          </w:p>
        </w:tc>
        <w:tc>
          <w:tcPr>
            <w:tcW w:w="10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the third quarter of 2012, the first quarter of 2012 and the third quarter of 2011,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Based upon fair value tests performed with the assistance of third party independent appraisals, during the third quarter of 2012, the first quarter of 2012 and the third quarter of 2011, the Company recorded pre-tax goodwill impairment charges of $13.2 million, $6.5 million and $3.3 million,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used the third party independent appraisal report from the third quarter of 2012 to assist it with its annual impairment analysis.</w:t>
      </w:r>
    </w:p>
    <w:p>
      <w:pPr>
        <w:spacing w:after="0" w:line="31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years ended December 31, 2012, 2011 and 2010, basic and diluted weighted-average common shares outstanding were 32,852,000, 32,043,000 and 31,494,000, respectively.</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Weighted average options, restricted stock units and ESPP shares to acquire a total of 5,793,000 shares, 4,657,000 shares and 3,675,000 shares of common stock for the years ended December 31, 2012, 2011 and 2010, respectively, were outstanding but not included in the computation of diluted earnings per share as their effect was anti-dilutive.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reserved shares of common stock for possible future issuance as of December 31, 2012 and 2011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w:t>
            </w:r>
          </w:p>
        </w:tc>
      </w:tr>
      <w:tr>
        <w:trPr>
          <w:trHeight w:val="223"/>
        </w:trPr>
        <w:tc>
          <w:tcPr>
            <w:tcW w:w="9240" w:type="dxa"/>
            <w:vAlign w:val="bottom"/>
          </w:tcPr>
          <w:p>
            <w:pPr>
              <w:spacing w:after="0"/>
              <w:rPr>
                <w:sz w:val="19"/>
                <w:szCs w:val="19"/>
                <w:color w:val="auto"/>
              </w:rPr>
            </w:pPr>
          </w:p>
        </w:tc>
        <w:tc>
          <w:tcPr>
            <w:tcW w:w="6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400" w:type="dxa"/>
            <w:vAlign w:val="bottom"/>
            <w:tcBorders>
              <w:top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r>
      <w:tr>
        <w:trPr>
          <w:trHeight w:val="210"/>
        </w:trPr>
        <w:tc>
          <w:tcPr>
            <w:tcW w:w="9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outstanding under the 2009 Omnibus Incentive Compensation Plan and previous plans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680" w:type="dxa"/>
            <w:vAlign w:val="bottom"/>
          </w:tcPr>
          <w:p>
            <w:pPr>
              <w:jc w:val="right"/>
              <w:spacing w:after="0"/>
              <w:rPr>
                <w:sz w:val="20"/>
                <w:szCs w:val="20"/>
                <w:color w:val="auto"/>
              </w:rPr>
            </w:pPr>
            <w:r>
              <w:rPr>
                <w:rFonts w:ascii="Arial" w:cs="Arial" w:eastAsia="Arial" w:hAnsi="Arial"/>
                <w:sz w:val="18"/>
                <w:szCs w:val="18"/>
                <w:color w:val="auto"/>
              </w:rPr>
              <w:t>1,662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Future grants of awards under the 2009 Omnibus Incentive Compensation Plan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 of common stock reserved for issuance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CEEFF"/>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and Employee Stock Purchase Plans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year ended December 31, 2012, the Company granted awards under the 2009 Omnibus Incentive Compensation Plan (the “2009 Plan”). The Compensation Committee of the Board of Directors administers the plan.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Under the 2009 Plan, a maximum of 2.5 million shares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years ended December 31, 2012, 2011 and 2010, the following table presents total share-based compensation expense in each functional line item on our consolidated statements of operations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2,088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1,164</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2,308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2,062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2,294</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6,471</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per share fair values of stock options granted under the 2009 Plan and rights granted under the ESPP have been estimated with the following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Employee Stock Options</w:t>
            </w:r>
          </w:p>
        </w:tc>
        <w:tc>
          <w:tcPr>
            <w:tcW w:w="4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84"/>
              </w:rPr>
              <w:t>Employee Stock Purchase Rights</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6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6.0</w:t>
            </w:r>
          </w:p>
        </w:tc>
        <w:tc>
          <w:tcPr>
            <w:tcW w:w="1500" w:type="dxa"/>
            <w:vAlign w:val="bottom"/>
            <w:gridSpan w:val="3"/>
          </w:tcPr>
          <w:p>
            <w:pPr>
              <w:jc w:val="right"/>
              <w:ind w:right="660"/>
              <w:spacing w:after="0"/>
              <w:rPr>
                <w:sz w:val="20"/>
                <w:szCs w:val="20"/>
                <w:color w:val="auto"/>
              </w:rPr>
            </w:pPr>
            <w:r>
              <w:rPr>
                <w:rFonts w:ascii="Arial" w:cs="Arial" w:eastAsia="Arial" w:hAnsi="Arial"/>
                <w:sz w:val="18"/>
                <w:szCs w:val="18"/>
                <w:color w:val="auto"/>
              </w:rPr>
              <w:t>6.0</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r>
      <w:tr>
        <w:trPr>
          <w:trHeight w:val="356"/>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1120"/>
              <w:spacing w:after="0"/>
              <w:rPr>
                <w:sz w:val="20"/>
                <w:szCs w:val="20"/>
                <w:color w:val="auto"/>
              </w:rPr>
            </w:pPr>
            <w:r>
              <w:rPr>
                <w:rFonts w:ascii="Arial" w:cs="Arial" w:eastAsia="Arial" w:hAnsi="Arial"/>
                <w:sz w:val="18"/>
                <w:szCs w:val="18"/>
                <w:color w:val="auto"/>
                <w:w w:val="97"/>
              </w:rPr>
              <w:t>F-23</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options granted. Options granted under the 2009 Plan and previous plans generally have a term of ten years, and in the case of new hires, generally vest and become exercisable at the rate of 25% after one year and ratably on a monthly basis over a period of 36 months thereafter. Subsequent option grants to existing employees generally vest and become exercisable over a period of 36 months measured from the date of grant.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 summary of stock option activity for the year ended December 31, 2012 is presented below (dollars and shares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Weighted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2"/>
                <w:szCs w:val="12"/>
                <w:color w:val="auto"/>
              </w:rPr>
            </w:pPr>
          </w:p>
        </w:tc>
        <w:tc>
          <w:tcPr>
            <w:tcW w:w="12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12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Price Per</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Term</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4"/>
                <w:szCs w:val="14"/>
                <w:color w:val="auto"/>
              </w:rPr>
            </w:pPr>
          </w:p>
        </w:tc>
        <w:tc>
          <w:tcPr>
            <w:tcW w:w="12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December 31, 2011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10.58</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3.44</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10.99</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2012</w:t>
            </w: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10.80</w:t>
            </w:r>
          </w:p>
        </w:tc>
        <w:tc>
          <w:tcPr>
            <w:tcW w:w="6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6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3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total intrinsic value of options exercised to purchase common stock during the years ended December 31, 2012, 2011 and 2010 was approximately $0, $28,000 and $364,000, respectively. As of December 31, 2012, total unrecognized share-based compensation cost related to unvested stock options was $1.4 million, which is expected to be recognized over a weighted average period of approximately 1.6 years. The total fair value of option awards recognized as expense during the years ended December 31, 2012, 2011 and 2010 was approximately $1.7 million, $2.7 million and $3.5 million, respectively. The weighted average fair value of option awards granted during years ended December 31, 2012, 2011 and 2010 was $1.97, $3.40 and $3.62,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may issue restricted stock units (“RSUs”) that, upon satisfaction of vesting conditions, allow for employees and non-employee directors to receive common stock. Issuances of such awards reduce common stock available under the 2009 Plan for stock incentive awards. The Company measures compensation cost associated with grants of RSUs at fair value, which is generally the closing price of the Company’s stock on the date of grant.</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2012, the Compensation Committee of the Board of Directors, pursuant to the 2009 Plan, awarded employees a total of 1,015,638 RSUs at fair values ranging from $1.28 per share to $3.58 per share. Generally, one-third of the shares underlying each grant become issuable on the anniversary of each grant date, assuming continued employment or to the Company through such date. Based on the fair value of the Company’s common stock price at the grant dates, the Company estimated the aggregate fair value of these awards at approximately $3.4 million. The estimated fair value of these awards is being amortized to compensation expense for each grant on a straight-line basis over the estimated service period.</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2011, the Compensation Committee of the Board of Directors, pursuant to the 2009 Plan, awarded employees a total of 903,214 RSUs at fair values ranging from $3.06 per share to $9.71 per share. Generally, one-third of the shares underlying each grant become issuable on the anniversary of each grant date, assuming continued employment or to the Company through such date. Based on the fair value of the Company’s common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stock price at the grant dates, the Company estimated the aggregate fair value of these awards at approximately $4.9 million. The estimated fair value of these awards is being amortized to compensation expense for each grant on a straight-line basis over the estimated service period.</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2010, the Compensation Committee of the Board of Directors, pursuant to the 2009 Plan, awarded employees a total of 620,236 RSUs, including 235,900 RSUs to Enfora employees in connection with the acquisition (the “Enfora RSUs”), at fair values ranging from $6.95 per share to $9.76 per share. Generally, one-third of the shares underlying each grant become issuable on the anniversary of each grant date, assuming continued employment or to the Company through such date. However, one-fourth of the shares underlying each grant of the Enfora RSUs become issuable on the anniversary of each grant date, assuming continued employment or to the Company through such date. Based on the fair value of the Company’s common stock price at the grant dates, the Company estimated the aggregate fair value of these awards at approximately $5.0 million. The estimated fair value of these awards is being amortized to compensation expense for each grant on a straight-line basis over the estimated service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unit activity for the year ended December 31, 2012 is presented below (shares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9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2011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Granted</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Forfeited</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1,662</w:t>
            </w:r>
          </w:p>
        </w:tc>
        <w:tc>
          <w:tcPr>
            <w:tcW w:w="10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2012, there was $6.2 million of unrecognized compensation expense related to non-vested RSUs. That expense is expected to be recognized over a weighted average period of 1.6 years. The total fair value of RSUs recognized as expense during the years ended December 31, 2012, 2011 and 2010 was $3.4 million, $2.6 million and $1.7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Employee Stock Purchase Plan</w:t>
      </w:r>
    </w:p>
    <w:p>
      <w:pPr>
        <w:spacing w:after="0" w:line="96" w:lineRule="exact"/>
        <w:rPr>
          <w:sz w:val="20"/>
          <w:szCs w:val="20"/>
          <w:color w:val="auto"/>
        </w:rPr>
      </w:pPr>
    </w:p>
    <w:p>
      <w:pPr>
        <w:jc w:val="both"/>
        <w:ind w:right="600" w:firstLine="456"/>
        <w:spacing w:after="0" w:line="306" w:lineRule="auto"/>
        <w:rPr>
          <w:sz w:val="20"/>
          <w:szCs w:val="20"/>
          <w:color w:val="auto"/>
        </w:rPr>
      </w:pPr>
      <w:r>
        <w:rPr>
          <w:rFonts w:ascii="Arial" w:cs="Arial" w:eastAsia="Arial" w:hAnsi="Arial"/>
          <w:sz w:val="16"/>
          <w:szCs w:val="16"/>
          <w:color w:val="auto"/>
        </w:rPr>
        <w:t>The Company’s 2000 Employee Stock Purchase Plan (the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years ended December 31, 2012, 2011 and 2010, the Company issued 1,086,837 shares, 163,142 shares and 514,540 shares, respectively, under the ESPP. During the years ended December 31, 2012, 2011 and 2010, the Company received $1.6 million, $470,000 and $1.7 million, respectively, in cash through employee withholdings.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4, 2010, the Company announced the termination of the ESPP as of November 15, 2010 due to a lack of available shares. The cancellation of the awards was accounted for as a repurchase for no consideration. The previously unrecognized compensation cost as of November 15, 2010 of $316,000 was fully expensed in the fourth quarter of 2010. The Company reinstated the ESPP program effective as of September 8, 2011. The reinstated ESPP authorized the Company to issue 1,250,111 shares of common stock for purchase by eligible employees.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22, 2012, the Company announced the termination of the ESPP as of November 15, 2012 due to a lack of available shares. The cancellation of the awards was accounted for as a repurchase for no consideration. The previously unrecognized compensation cost as of November 15, 2012 of $1.0 million was fully expensed in the fourth quarter of 2012.</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fair value of ESPP awards recognized as expense during the years ended December 31, 2012, 2011 and 2010 was $1.4 million, $707,000 and $994,000, respectively.</w:t>
      </w:r>
    </w:p>
    <w:p>
      <w:pPr>
        <w:spacing w:after="0" w:line="24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2012, 2011 and 2010 were allocated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1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 income</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$ 611</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$(9,503)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To stockholders’ equity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621</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taxes for the years ended December 31, 2012, 2011 and 2010 is comprised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1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7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(88,945)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(36,091)</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(27,091)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1,696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(88,655)</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(34,395)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(25,557)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(benefit) for income taxes for the years ended December 31, 2012, 2011 and 2010 is comprised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Federal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(10,786)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(3,602)</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Foreign</w:t>
            </w:r>
          </w:p>
        </w:tc>
        <w:tc>
          <w:tcPr>
            <w:tcW w:w="3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(3,548)</w:t>
            </w: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w:t>
            </w: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State</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3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(benefit) for income taxes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611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(9,503)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7,893</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540" w:type="dxa"/>
            <w:vAlign w:val="bottom"/>
            <w:gridSpan w:val="2"/>
          </w:tcPr>
          <w:p>
            <w:pPr>
              <w:jc w:val="right"/>
              <w:ind w:right="2292"/>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240" w:top="459" w:right="6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6,271</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obsolescence provision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4,626</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42,994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32,569</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w:t>
            </w: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Unrecognized tax benefits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65,511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50,293</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(12,777)</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64,495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37,516</w:t>
            </w:r>
          </w:p>
        </w:tc>
        <w:tc>
          <w:tcPr>
            <w:tcW w:w="100" w:type="dxa"/>
            <w:vAlign w:val="bottom"/>
          </w:tcPr>
          <w:p>
            <w:pPr>
              <w:spacing w:after="0"/>
              <w:rPr>
                <w:sz w:val="19"/>
                <w:szCs w:val="19"/>
                <w:color w:val="auto"/>
              </w:rPr>
            </w:pP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(63,881)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(36,395)</w:t>
            </w: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After a review of the four sources of taxable income described above and after being in a three year cumulative loss position at the end of 2010, the Company recognized a full valuation allowance of $14.8 million related to its U.S.-based deferred taxes created prior to 2010, and recognized a full valuation allowance of $3.1 million related to its U.S.-based deferred tax assets created in 2010.</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During 2011 and 2012, the Company recognized full valuation allowances of $14.6 million and $27.5 million, related to its U.S.-based and Canadian deferred tax assets created in those respective years. As a result, no net income tax benefits resulted in the Company’s statements for operations from the operating losses created during those years.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At December 31, 2012, the deferred tax asset valuation allowance consisted of $58.9 million relating to the Company’s domestic deferred tax assets and $5.0 million related to the Company’s Canadian deferred tax assets. At December 31, 2011, the valuation allowance consisted of $32.1 million relating to the Company’s domestic deferred tax assets and $4.3 million related to the Company’s Canadian deferred tax assets.</w:t>
      </w:r>
    </w:p>
    <w:p>
      <w:pPr>
        <w:spacing w:after="0" w:line="10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net unreserved portion of the Company’s remaining deferred tax assets of $614,000 at December 31, 2012 primarily related to research and development tax credits associated with the Company’s Canadian subsidiary.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2012, 2011 and 2010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benefit,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(30,142)</w:t>
            </w:r>
          </w:p>
        </w:tc>
        <w:tc>
          <w:tcPr>
            <w:tcW w:w="1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(11,694)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(8,690)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State benefit, net of federal benefit</w:t>
            </w: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allowance—current year</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27,486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valuation allowance—prior year deferreds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14,840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expense/(benefit) from business combination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(4,838)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Merger fees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(11,809)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0"/>
        </w:trPr>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(9,503)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7,893</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At December 31, 2012, the Company has U.S. federal net operating loss carryforwards of approximately $91.2 million. Federal net operating loss carryforwards expire at various dates from 2026 through 2032. The Company has California net operating loss carryforwards of approximately $26.4 million, which expire at various dates from 2014 through 2033. The Company has California research and development tax credit carryforwards of approximately $6.1 million. The California tax credits have no expiration date. The Company also has federal research and development tax credit carryforwards of approximately $3.0 million. The federal tax credits expire at various dates from 2027 through 2031.</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During the years ended December 31, 2012 and 2011, the Company recognized approximately $50,000 and $9.5 million, respectively, of income tax benefit plus $5,000 and $2.3 million, respectively, of associated interest due to expiration of the applicable statutes of limitations applicable to certain tax years. As of December 31, 2012 and 2011, the total liability for unrecognized tax benefits was $0.4 million and $0.4 million, respectively, and is included in other long-term liabilities.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amounts of unrecognized tax benefits is as follows (in thousands):</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2010</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Increases related to current and prior year tax positions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Settlements and lapses in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Unrecognized tax benefits balance at December 31,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Amount</w:t>
      </w:r>
    </w:p>
    <w:p>
      <w:pPr>
        <w:spacing w:after="0" w:line="13" w:lineRule="exact"/>
        <w:rPr>
          <w:sz w:val="20"/>
          <w:szCs w:val="20"/>
          <w:color w:val="auto"/>
        </w:rPr>
      </w:pPr>
    </w:p>
    <w:p>
      <w:pPr>
        <w:jc w:val="right"/>
        <w:ind w:left="300" w:right="540" w:hanging="317"/>
        <w:spacing w:after="0" w:line="290" w:lineRule="auto"/>
        <w:rPr>
          <w:sz w:val="20"/>
          <w:szCs w:val="20"/>
          <w:color w:val="auto"/>
        </w:rPr>
      </w:pPr>
      <w:r>
        <w:rPr>
          <w:rFonts w:ascii="Arial" w:cs="Arial" w:eastAsia="Arial" w:hAnsi="Arial"/>
          <w:sz w:val="16"/>
          <w:szCs w:val="16"/>
          <w:color w:val="auto"/>
        </w:rPr>
        <w:t>$41,135 251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689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jc w:val="right"/>
        <w:ind w:right="540"/>
        <w:spacing w:after="0"/>
        <w:rPr>
          <w:sz w:val="20"/>
          <w:szCs w:val="20"/>
          <w:color w:val="auto"/>
        </w:rPr>
      </w:pPr>
      <w:r>
        <w:rPr>
          <w:rFonts w:ascii="Arial" w:cs="Arial" w:eastAsia="Arial" w:hAnsi="Arial"/>
          <w:sz w:val="18"/>
          <w:szCs w:val="18"/>
          <w:color w:val="auto"/>
        </w:rPr>
        <w:t>41,386</w:t>
      </w:r>
    </w:p>
    <w:p>
      <w:pPr>
        <w:spacing w:after="0" w:line="15"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899</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(9,490)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32,795</w:t>
      </w:r>
    </w:p>
    <w:p>
      <w:pPr>
        <w:spacing w:after="0" w:line="15"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475</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$33,220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120"/>
          </w:cols>
          <w:pgMar w:left="240" w:top="459" w:right="259" w:bottom="1440" w:gutter="0" w:footer="0" w:header="0"/>
        </w:sectPr>
      </w:pPr>
    </w:p>
    <w:p>
      <w:pPr>
        <w:spacing w:after="0" w:line="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Included in the balances of unrecognized tax benefits at December 31, 2012 are $0.1 million of tax benefits that, if recognized, would affect the effective tax rate.</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December 31, 2012 and 2011, the Company recorded approximately $0.2 million and $0.2 million, respectively, of accrued interest related to uncertain tax positions.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fourth quarter of 2013, the Company expects to release $71,000 of its liability for unrecognized tax benefits due to the expiration of the statute of limitations applicable to the 2008 taxable year.</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2003 through 2011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ind w:left="240" w:right="8460" w:hanging="232"/>
        <w:spacing w:after="0" w:line="347" w:lineRule="auto"/>
        <w:tabs>
          <w:tab w:leader="none" w:pos="45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Capital Leases</w:t>
      </w:r>
    </w:p>
    <w:p>
      <w:pPr>
        <w:spacing w:after="0" w:line="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did not purchase equipment under capital leases during the year ended December 31, 2012 or 2011. At December 31, 2012 and 2011, assets held under capital leases had a net book value of $0 and $52,000, respectively, net of accumulated amortization of $510,000 and $458,000, respectively. The present value of the net minimum lease payments as of December 31, 2012 is $0.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2017.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2012, 2011 and 2010 was $4.5 million, $4.7 million and $3.5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future lease payments under non-cancelable operating leases as of December 31, 2012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For the Period Ending December 31,</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7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2014</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2016</w:t>
            </w:r>
          </w:p>
        </w:tc>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gridSpan w:val="2"/>
          </w:tcPr>
          <w:p>
            <w:pPr>
              <w:ind w:left="44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13,462</w:t>
            </w:r>
          </w:p>
        </w:tc>
        <w:tc>
          <w:tcPr>
            <w:tcW w:w="10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Committed Purchase Orders</w:t>
      </w:r>
    </w:p>
    <w:p>
      <w:pPr>
        <w:spacing w:after="0" w:line="9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Company has entered into purchase commitments totaling approximately $103.3 million with certain contract manufacturers under which the Company has committed to buy a minimum amount of designated products between January 2013 and December 2013. In certain of these agreements, the Company may be required to acquire and pay for such products up to the prescribed minimum or forecasted purchases.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During 2004 and 2005, the Company entered into management retention agreements with certain of the Company’s executive officers.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 tax equalization payment to eliminate the effects of any applicable excise tax and financial planning and outplacement services.</w:t>
      </w:r>
    </w:p>
    <w:p>
      <w:pPr>
        <w:spacing w:after="0" w:line="10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November 2007, the Company entered into an employment agreement with the Company’s Chief Executive Officer, with an initial term of three years. Under the agreement, Mr. Leparulo will continue to serve as Chairman of the Board and as the Company’s most senior officer. The agreement entitles</w:t>
      </w:r>
    </w:p>
    <w:p>
      <w:pPr>
        <w:spacing w:after="0" w:line="288" w:lineRule="auto"/>
        <w:rPr>
          <w:sz w:val="20"/>
          <w:szCs w:val="20"/>
          <w:color w:val="auto"/>
        </w:rPr>
      </w:pPr>
      <w:r>
        <w:rPr>
          <w:rFonts w:ascii="Arial" w:cs="Arial" w:eastAsia="Arial" w:hAnsi="Arial"/>
          <w:sz w:val="16"/>
          <w:szCs w:val="16"/>
          <w:color w:val="auto"/>
        </w:rPr>
        <w:t>Mr. Leparulo to enumerated severance benefits under various circumstances if Mr. Leparulo’s employment with the Company is terminated. These enumerated severance benefits vary according to whether (a) Mr. Leparulo’s employment with the Company is terminated within the one year period immediately following a change in control (as defined in the agreement) or at the direction of an acquirer in anticipation of such an event; (b) the Company terminates his employment other than for cause or he terminates his employment for good reason; or (c) the Company terminates his employment for cause or he terminates his employment for other than good reason. Depending on the cause of the employment termination, the enumerated severance benefits include a lump sum payment ranging from one to three years annual base salary then in effect, an additional lump sum bonus payment representing certain multiples of his targeted bonus, and varying periods of ongoing employee benefits including health care and outplacement services.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2010, the Company entered into management retention agreements with certain of the Company’s executive officers. The agreements entitle those employees to enumerated severance benefits if, within the two year period immediately following a change of control (as defined in the agreement),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accelerated vesting of the employee’s stock incentive awards and financial planning and outplacement services. The agreements do not provide for any additional payments by the Company for excise or other taxes.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 and Indemnification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pretrial conference date. On December 14, 2012, the court issued an order denying defendants’ motion to exclude the testimony of plaintiffs’ loss causation expert. The court set a pretrial conference for March 8, 2013 and a trial date of June 3, 2013. On February 7, 2013, the court reconsidered its December 14, 2012 order and granted defendants’ motion to exclude plaintiffs’ expert on loss causation. The court, however, gave plaintiffs the opportunity to provide a new report from the expert seeking to cure the deficiencies in the expert’s testimony. The court provided a schedule for the cure process and ordered plaintiffs to bear the burden of defendants’ expenses incurred in this process. The court also reset the pretrial conference for August 22, 2013 and a trial date of November 18, 2013.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accrued $645,000 as of December 31, 2012 related to our best estimate of potential settlements on legal and indemnification matters for which we have deemed the outcome to be probable.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 credit facility with a bank to allow margin borrowings based on the Company’s investments in cash equivalents and marketable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with the bank. This facility is collateralized by the Company’s cash equivalents and marketable securities held with the bank.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facility incur an interest rate at the bank’s base rate plus 1%. This margin account facility provides the Company with the flexibility to access cash for short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periods of time and avoids the need to sell marketable securities for these short-term requirements. At December 31, 2012, the Company had approximately $20.1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in cash equivalents and marketable securities held at this bank, and the Company’s borrowing limit at December 31, 2012 under the credit facility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$6.8 million. Any monies borrowed and interest incurred are payable on demand, and there is no express expiration date to the credit facility. During three months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2011, the Company borrowed $12.0 million and repaid the entire amount during the same period.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the Company borrowed $5.0 million and repaid the entire amount during the same period. During three months ended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borrowed $9.0 million against the facility and repaid the entire amount during the same period. As of December 31, 2012, the Company had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under the credit facility.</w:t>
      </w:r>
    </w:p>
    <w:p>
      <w:pPr>
        <w:spacing w:after="0" w:line="280" w:lineRule="exact"/>
        <w:rPr>
          <w:sz w:val="20"/>
          <w:szCs w:val="20"/>
          <w:color w:val="auto"/>
        </w:rPr>
      </w:pPr>
    </w:p>
    <w:p>
      <w:pPr>
        <w:ind w:left="240" w:right="7260" w:hanging="232"/>
        <w:spacing w:after="0" w:line="347" w:lineRule="auto"/>
        <w:tabs>
          <w:tab w:leader="none" w:pos="45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20" w:right="900"/>
        <w:spacing w:after="0" w:line="332" w:lineRule="auto"/>
        <w:rPr>
          <w:sz w:val="20"/>
          <w:szCs w:val="20"/>
          <w:color w:val="auto"/>
        </w:rPr>
      </w:pPr>
      <w:r>
        <w:rPr>
          <w:rFonts w:ascii="Arial" w:cs="Arial" w:eastAsia="Arial" w:hAnsi="Arial"/>
          <w:sz w:val="16"/>
          <w:szCs w:val="16"/>
          <w:color w:val="auto"/>
        </w:rPr>
        <w:t>Mobile Computing Products segment—includes our MiFi products, USB and PC-card modems and Embedded Modules that enable data transmission and services via cellular wireless networks. All products within the segment represent a single product family.</w:t>
      </w:r>
    </w:p>
    <w:p>
      <w:pPr>
        <w:spacing w:after="0" w:line="4"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Segment net revenues and segment operating income (loss) represent the primary financial measures used by senior management to assess performance and include the net revenues, cost of net revenues, sales and other operating expenses for which management is held accountable. Segment operating expenses include sales and marketing, research and development, general and administration, and amortization expenses that are directly related to individual segments. Segment earnings (loss) also includes acquisition-related costs, purchase price amortization, impairment charges, restructuring and integration costs.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presents net revenues from external customers, operating income (loss) and identifiable assets for our reportable segments (in thousands):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1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7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3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4180" w:type="dxa"/>
            <w:vAlign w:val="bottom"/>
            <w:gridSpan w:val="2"/>
          </w:tcPr>
          <w:p>
            <w:pPr>
              <w:ind w:left="3520"/>
              <w:spacing w:after="0"/>
              <w:rPr>
                <w:sz w:val="20"/>
                <w:szCs w:val="20"/>
                <w:color w:val="auto"/>
              </w:rPr>
            </w:pPr>
            <w:r>
              <w:rPr>
                <w:rFonts w:ascii="Arial" w:cs="Arial" w:eastAsia="Arial" w:hAnsi="Arial"/>
                <w:sz w:val="18"/>
                <w:szCs w:val="18"/>
                <w:color w:val="auto"/>
                <w:w w:val="85"/>
              </w:rPr>
              <w:t>$312,508</w:t>
            </w:r>
          </w:p>
        </w:tc>
        <w:tc>
          <w:tcPr>
            <w:tcW w:w="10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$358,106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$332,464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3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31,780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4180" w:type="dxa"/>
            <w:vAlign w:val="bottom"/>
            <w:gridSpan w:val="2"/>
          </w:tcPr>
          <w:p>
            <w:pPr>
              <w:ind w:left="35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344,288</w:t>
            </w:r>
          </w:p>
        </w:tc>
        <w:tc>
          <w:tcPr>
            <w:tcW w:w="10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338,942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w:t>
            </w:r>
          </w:p>
        </w:tc>
        <w:tc>
          <w:tcPr>
            <w:tcW w:w="3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4280" w:type="dxa"/>
            <w:vAlign w:val="bottom"/>
            <w:gridSpan w:val="3"/>
          </w:tcPr>
          <w:p>
            <w:pPr>
              <w:ind w:left="3520"/>
              <w:spacing w:after="0"/>
              <w:rPr>
                <w:sz w:val="20"/>
                <w:szCs w:val="20"/>
                <w:color w:val="auto"/>
              </w:rPr>
            </w:pPr>
            <w:r>
              <w:rPr>
                <w:rFonts w:ascii="Arial" w:cs="Arial" w:eastAsia="Arial" w:hAnsi="Arial"/>
                <w:sz w:val="18"/>
                <w:szCs w:val="18"/>
                <w:color w:val="auto"/>
                <w:w w:val="90"/>
              </w:rPr>
              <w:t>$ (22,924)</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 (13,764)</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 (23,027)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3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(65,819)</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(19,963)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vMerge w:val="continue"/>
          </w:tcPr>
          <w:p>
            <w:pPr>
              <w:spacing w:after="0"/>
              <w:rPr>
                <w:sz w:val="19"/>
                <w:szCs w:val="19"/>
                <w:color w:val="auto"/>
              </w:rPr>
            </w:pPr>
          </w:p>
        </w:tc>
        <w:tc>
          <w:tcPr>
            <w:tcW w:w="4280" w:type="dxa"/>
            <w:vAlign w:val="bottom"/>
            <w:gridSpan w:val="3"/>
          </w:tcPr>
          <w:p>
            <w:pPr>
              <w:ind w:left="3520"/>
              <w:spacing w:after="0"/>
              <w:rPr>
                <w:sz w:val="20"/>
                <w:szCs w:val="20"/>
                <w:color w:val="auto"/>
              </w:rPr>
            </w:pPr>
            <w:r>
              <w:rPr>
                <w:rFonts w:ascii="Arial" w:cs="Arial" w:eastAsia="Arial" w:hAnsi="Arial"/>
                <w:sz w:val="18"/>
                <w:szCs w:val="18"/>
                <w:color w:val="auto"/>
                <w:w w:val="90"/>
              </w:rPr>
              <w:t>$ (88,743)</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 (33,727)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 (25,002)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4280" w:type="dxa"/>
            <w:vAlign w:val="bottom"/>
            <w:gridSpan w:val="3"/>
          </w:tcPr>
          <w:p>
            <w:pPr>
              <w:ind w:left="1280"/>
              <w:spacing w:after="0"/>
              <w:rPr>
                <w:sz w:val="20"/>
                <w:szCs w:val="20"/>
                <w:color w:val="auto"/>
              </w:rPr>
            </w:pPr>
            <w:r>
              <w:rPr>
                <w:rFonts w:ascii="Arial" w:cs="Arial" w:eastAsia="Arial" w:hAnsi="Arial"/>
                <w:sz w:val="18"/>
                <w:szCs w:val="18"/>
                <w:color w:val="auto"/>
              </w:rPr>
              <w:t>F-32</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4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Identifiable assets:</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Mobile Computing Products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$141,045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$181,180</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M2M Products and Solutions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67,999</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161,531</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249,179</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4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8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$157,661</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$243,030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Canada</w:t>
            </w:r>
          </w:p>
        </w:tc>
        <w:tc>
          <w:tcPr>
            <w:tcW w:w="680" w:type="dxa"/>
            <w:vAlign w:val="bottom"/>
          </w:tcPr>
          <w:p>
            <w:pPr>
              <w:jc w:val="right"/>
              <w:spacing w:after="0"/>
              <w:rPr>
                <w:sz w:val="20"/>
                <w:szCs w:val="20"/>
                <w:color w:val="auto"/>
              </w:rPr>
            </w:pPr>
            <w:r>
              <w:rPr>
                <w:rFonts w:ascii="Arial" w:cs="Arial" w:eastAsia="Arial" w:hAnsi="Arial"/>
                <w:sz w:val="18"/>
                <w:szCs w:val="18"/>
                <w:color w:val="auto"/>
              </w:rPr>
              <w:t>2,836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161,531</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249,179</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93.1%</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Latin America</w:t>
            </w:r>
          </w:p>
        </w:tc>
        <w:tc>
          <w:tcPr>
            <w:tcW w:w="1120" w:type="dxa"/>
            <w:vAlign w:val="bottom"/>
            <w:gridSpan w:val="2"/>
          </w:tcPr>
          <w:p>
            <w:pPr>
              <w:jc w:val="right"/>
              <w:ind w:right="592"/>
              <w:spacing w:after="0"/>
              <w:rPr>
                <w:sz w:val="20"/>
                <w:szCs w:val="20"/>
                <w:color w:val="auto"/>
              </w:rPr>
            </w:pPr>
            <w:r>
              <w:rPr>
                <w:rFonts w:ascii="Arial" w:cs="Arial" w:eastAsia="Arial" w:hAnsi="Arial"/>
                <w:sz w:val="18"/>
                <w:szCs w:val="18"/>
                <w:color w:val="auto"/>
              </w:rPr>
              <w:t>2.4</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11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Asia and Australia</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4"/>
              </w:rPr>
              <w:t>100.0%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7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 significant portion of the Company’s net revenues come from a small number of customers. One customer accounted for 57.5% of 2012 net revenues. Two customers accounted for 50.8% and 13.1% of 2011 net revenues. Two customers accounted for 55.7% and 21.8% of 2010 net revenues. All significant customers are included in the Company’s Mobile Computing Products segment.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significant portion of the Company’s accounts receivables comes from a small number of customers. At December 31, 2012, the Company had three customers who accounted for 20.7%, 18.5% and 11.5% of total accounts receivable. At December 31, 2011, the Company had two customers who accounted for 46.5% and 19.8% of total accounts receivable.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outsources its manufacturing to several third-party manufacturers. If they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net revenues and results of operations.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 limitations. Employer matching contributions under the plan amounted to approximately $1.2 million, $1.1 million and $1.0 million for the years ended December 31, 2012, 2011 and 2010, respectively. Employer matching contributions vest over a two-year period. 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to the Canadian plan amounted to approximately $232,000, $280,000 and $236,000 for the years ended December 31, 2012, 2011 and 2010, respectively.</w:t>
      </w:r>
    </w:p>
    <w:p>
      <w:pPr>
        <w:spacing w:after="0" w:line="23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First</w:t>
            </w:r>
          </w:p>
        </w:tc>
        <w:tc>
          <w:tcPr>
            <w:tcW w:w="126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Fourth</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revenues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w w:val="86"/>
              </w:rPr>
              <w:t>100,150</w:t>
            </w:r>
          </w:p>
        </w:tc>
        <w:tc>
          <w:tcPr>
            <w:tcW w:w="1260" w:type="dxa"/>
            <w:vAlign w:val="bottom"/>
          </w:tcPr>
          <w:p>
            <w:pPr>
              <w:jc w:val="right"/>
              <w:ind w:right="158"/>
              <w:spacing w:after="0"/>
              <w:rPr>
                <w:sz w:val="20"/>
                <w:szCs w:val="20"/>
                <w:color w:val="auto"/>
              </w:rPr>
            </w:pPr>
            <w:r>
              <w:rPr>
                <w:rFonts w:ascii="Arial" w:cs="Arial" w:eastAsia="Arial" w:hAnsi="Arial"/>
                <w:sz w:val="18"/>
                <w:szCs w:val="18"/>
                <w:color w:val="auto"/>
              </w:rPr>
              <w:t>$102,446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4"/>
              <w:spacing w:after="0"/>
              <w:rPr>
                <w:sz w:val="20"/>
                <w:szCs w:val="20"/>
                <w:color w:val="auto"/>
              </w:rPr>
            </w:pPr>
            <w:r>
              <w:rPr>
                <w:rFonts w:ascii="Arial" w:cs="Arial" w:eastAsia="Arial" w:hAnsi="Arial"/>
                <w:sz w:val="18"/>
                <w:szCs w:val="18"/>
                <w:color w:val="auto"/>
                <w:w w:val="98"/>
              </w:rPr>
              <w:t>71,017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70,675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20,988</w:t>
            </w:r>
          </w:p>
        </w:tc>
        <w:tc>
          <w:tcPr>
            <w:tcW w:w="12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23,251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8"/>
              </w:rPr>
              <w:t>14,646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(37,921)</w:t>
            </w:r>
          </w:p>
        </w:tc>
        <w:tc>
          <w:tcPr>
            <w:tcW w:w="1260" w:type="dxa"/>
            <w:vAlign w:val="bottom"/>
          </w:tcPr>
          <w:p>
            <w:pPr>
              <w:jc w:val="right"/>
              <w:ind w:right="118"/>
              <w:spacing w:after="0"/>
              <w:rPr>
                <w:sz w:val="20"/>
                <w:szCs w:val="20"/>
                <w:color w:val="auto"/>
              </w:rPr>
            </w:pPr>
            <w:r>
              <w:rPr>
                <w:rFonts w:ascii="Arial" w:cs="Arial" w:eastAsia="Arial" w:hAnsi="Arial"/>
                <w:sz w:val="18"/>
                <w:szCs w:val="18"/>
                <w:color w:val="auto"/>
              </w:rPr>
              <w:t>(4,500)</w:t>
            </w:r>
          </w:p>
        </w:tc>
        <w:tc>
          <w:tcPr>
            <w:tcW w:w="28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w w:val="89"/>
              </w:rPr>
              <w:t>(31,933)</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(14,912)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(0.14)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r>
      <w:tr>
        <w:trPr>
          <w:trHeight w:val="322"/>
        </w:trPr>
        <w:tc>
          <w:tcPr>
            <w:tcW w:w="43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61,784</w:t>
            </w:r>
          </w:p>
        </w:tc>
        <w:tc>
          <w:tcPr>
            <w:tcW w:w="12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$ 118,021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2"/>
              </w:rPr>
              <w:t>113,263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109,794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5,994</w:t>
            </w:r>
          </w:p>
        </w:tc>
        <w:tc>
          <w:tcPr>
            <w:tcW w:w="1260" w:type="dxa"/>
            <w:vAlign w:val="bottom"/>
          </w:tcPr>
          <w:p>
            <w:pPr>
              <w:jc w:val="right"/>
              <w:ind w:right="158"/>
              <w:spacing w:after="0"/>
              <w:rPr>
                <w:sz w:val="20"/>
                <w:szCs w:val="20"/>
                <w:color w:val="auto"/>
              </w:rPr>
            </w:pPr>
            <w:r>
              <w:rPr>
                <w:rFonts w:ascii="Arial" w:cs="Arial" w:eastAsia="Arial" w:hAnsi="Arial"/>
                <w:sz w:val="18"/>
                <w:szCs w:val="18"/>
                <w:color w:val="auto"/>
              </w:rPr>
              <w:t>26,182</w:t>
            </w:r>
          </w:p>
        </w:tc>
        <w:tc>
          <w:tcPr>
            <w:tcW w:w="28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w w:val="98"/>
              </w:rPr>
              <w:t>26,690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25,726</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(22,088)</w:t>
            </w:r>
          </w:p>
        </w:tc>
        <w:tc>
          <w:tcPr>
            <w:tcW w:w="12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(3,898)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4,498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(3,404)</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(0.69)</w:t>
            </w:r>
          </w:p>
        </w:tc>
        <w:tc>
          <w:tcPr>
            <w:tcW w:w="1260" w:type="dxa"/>
            <w:vAlign w:val="bottom"/>
          </w:tcPr>
          <w:p>
            <w:pPr>
              <w:jc w:val="right"/>
              <w:ind w:right="118"/>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356"/>
        </w:trPr>
        <w:tc>
          <w:tcPr>
            <w:tcW w:w="4340" w:type="dxa"/>
            <w:vAlign w:val="bottom"/>
          </w:tcPr>
          <w:p>
            <w:pPr>
              <w:spacing w:after="0"/>
              <w:rPr>
                <w:sz w:val="24"/>
                <w:szCs w:val="24"/>
                <w:color w:val="auto"/>
              </w:rPr>
            </w:pPr>
          </w:p>
        </w:tc>
        <w:tc>
          <w:tcPr>
            <w:tcW w:w="3080" w:type="dxa"/>
            <w:vAlign w:val="bottom"/>
            <w:gridSpan w:val="2"/>
          </w:tcPr>
          <w:p>
            <w:pPr>
              <w:jc w:val="right"/>
              <w:ind w:right="1540"/>
              <w:spacing w:after="0"/>
              <w:rPr>
                <w:sz w:val="20"/>
                <w:szCs w:val="20"/>
                <w:color w:val="auto"/>
              </w:rPr>
            </w:pPr>
            <w:r>
              <w:rPr>
                <w:rFonts w:ascii="Arial" w:cs="Arial" w:eastAsia="Arial" w:hAnsi="Arial"/>
                <w:sz w:val="18"/>
                <w:szCs w:val="18"/>
                <w:color w:val="auto"/>
              </w:rPr>
              <w:t>F-34</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Deductions</w:t>
            </w:r>
          </w:p>
        </w:tc>
        <w:tc>
          <w:tcPr>
            <w:tcW w:w="3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r>
      <w:tr>
        <w:trPr>
          <w:trHeight w:val="149"/>
        </w:trPr>
        <w:tc>
          <w:tcPr>
            <w:tcW w:w="4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From</w:t>
            </w:r>
          </w:p>
        </w:tc>
        <w:tc>
          <w:tcPr>
            <w:tcW w:w="32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At End</w:t>
            </w:r>
          </w:p>
        </w:tc>
      </w:tr>
      <w:tr>
        <w:trPr>
          <w:trHeight w:val="161"/>
        </w:trPr>
        <w:tc>
          <w:tcPr>
            <w:tcW w:w="4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34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Reserves</w:t>
            </w:r>
          </w:p>
        </w:tc>
        <w:tc>
          <w:tcPr>
            <w:tcW w:w="3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 for Doubtful Accounts: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2600" w:type="dxa"/>
            <w:vAlign w:val="bottom"/>
            <w:gridSpan w:val="2"/>
          </w:tcPr>
          <w:p>
            <w:pPr>
              <w:ind w:left="25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627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6,261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5,457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36,395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27,486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63,881</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21,783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14,612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3,897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22,724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4,838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21,783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Returns Allowance: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2012</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2010</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r>
      <w:tr>
        <w:trPr>
          <w:trHeight w:val="356"/>
        </w:trPr>
        <w:tc>
          <w:tcPr>
            <w:tcW w:w="4320" w:type="dxa"/>
            <w:vAlign w:val="bottom"/>
          </w:tcPr>
          <w:p>
            <w:pPr>
              <w:spacing w:after="0"/>
              <w:rPr>
                <w:sz w:val="24"/>
                <w:szCs w:val="24"/>
                <w:color w:val="auto"/>
              </w:rPr>
            </w:pPr>
          </w:p>
        </w:tc>
        <w:tc>
          <w:tcPr>
            <w:tcW w:w="2600" w:type="dxa"/>
            <w:vAlign w:val="bottom"/>
            <w:gridSpan w:val="2"/>
          </w:tcPr>
          <w:p>
            <w:pPr>
              <w:ind w:left="1220"/>
              <w:spacing w:after="0"/>
              <w:rPr>
                <w:sz w:val="20"/>
                <w:szCs w:val="20"/>
                <w:color w:val="auto"/>
              </w:rPr>
            </w:pPr>
            <w:r>
              <w:rPr>
                <w:rFonts w:ascii="Arial" w:cs="Arial" w:eastAsia="Arial" w:hAnsi="Arial"/>
                <w:sz w:val="18"/>
                <w:szCs w:val="18"/>
                <w:color w:val="auto"/>
              </w:rPr>
              <w:t>F-35</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4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40" w:type="dxa"/>
            <w:vAlign w:val="bottom"/>
          </w:tcPr>
          <w:p>
            <w:pPr>
              <w:spacing w:after="0"/>
              <w:rPr>
                <w:sz w:val="14"/>
                <w:szCs w:val="14"/>
                <w:color w:val="auto"/>
              </w:rPr>
            </w:pPr>
          </w:p>
        </w:tc>
      </w:tr>
      <w:tr>
        <w:trPr>
          <w:trHeight w:val="275"/>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Agreement and Plan of Merger, dated as of November 5, 2010, by and between Novatel Wireless, Inc., England Acquisition Corp. and Enfora,</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Certificate of Incorporation (incorporated by reference to Exhibit 3.1 to the Company’s Annual Report on Form 10-K for</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 year ended December 31, 2000, filed 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to Form 10-K on Form 10-K/A for the year ended December 31, 2003, filed March 31,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March 27, 2001).</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Registration Rights Agreement, dated as of June 15, 1999, by and among the Company and certain of its stockholders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(incorporated by reference to Exhibit 10.4 to the Company’s Registration Statement on Form S-1 (No. 333-42570), filed July 28, 2000, as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March 12, 2003, entered into in connection with the Company’s 2003 Series B Convertible Preferred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Stock Financing (incorporated by reference to Exhibit 4.8 to the Company’s Current Report on Form 8-K, filed March 28, 2003).</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Registration Rights Agreement, dated as of January 13, 2004, entered into in connection with the Company’s January 2004 Common Stock and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Warrant Financing Transaction (incorporated by reference to Exhibit 10.21 to the Company’s Annual Report on Form 10-K for the year ended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December 31, 2003, filed March 15, 2004).</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10.1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1"/>
              </w:rPr>
              <w:t>Form of Executive Officer Stock Option Agreement under the 2000 Plan (incorporated by reference to Exhibit 10.3 to the Company’s Annual</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Report on Form 10-K for the year ended December 31, 2005, filed March 16, 2006).</w:t>
            </w: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275"/>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and grants made pursuant thereto in 2004 and subsequently (incorporated by reference to Exhibit 10.4 to the Company’s Quarterly Report on</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Appendix A to the Company’s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Proxy Statement on Schedule 14A 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9"/>
              </w:rPr>
              <w:t>Form of Indemnification Agreement by and between the Company and each of its executive officers and directors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8"/>
              </w:rPr>
              <w:t>Exhibit 10.1 to the Company’s Quarterly Report on Form 10-Q for the period ended September 30, 2009, filed November 2, 2009).</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2009 Omnibus Incentive Compensation Plan (incorporated by reference to Appendix B to the Company’s Proxy Statement on Schedule 14A,</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filed May 2,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4"/>
              </w:rPr>
              <w:t>2010 Senior Management Incentive Plan (incorporated by reference to Exhibit 10.1 to the Company’s Current Report on Form 8-K, filed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September 13,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88"/>
              </w:rPr>
              <w:t>Form of Severance Agreement between Novatel Wireless, Inc. and each of Kenneth G. Leddon and Robert M. Hadley (incorporated by reference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to Exhibit 10.1 to the Company’s Current Report on Form 8-K, filed August 2, 2010.</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1"/>
              </w:rPr>
              <w:t>2011 Senior Management Incentive Plan (incorporated by reference to Exhibit 10.1 to the Company’s Quarterly Report on Form 10-Q for the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period ended June 30, 2011, filed on August 9, 2011).</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w w:val="90"/>
              </w:rPr>
              <w:t>2012 Senior Management Incentive Plan (incorporated by reference to Exhibit 10.1 to the Company’s Current Report on Form 8-K, filed July 6,</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2012).</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Subsidiaries of Novatel Wireless, Inc.</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780" w:type="dxa"/>
            <w:vAlign w:val="bottom"/>
            <w:gridSpan w:val="3"/>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282"/>
        </w:trPr>
        <w:tc>
          <w:tcPr>
            <w:tcW w:w="620" w:type="dxa"/>
            <w:vAlign w:val="bottom"/>
            <w:gridSpan w:val="2"/>
          </w:tcPr>
          <w:p>
            <w:pPr>
              <w:spacing w:after="0"/>
              <w:rPr>
                <w:sz w:val="20"/>
                <w:szCs w:val="20"/>
                <w:color w:val="auto"/>
              </w:rPr>
            </w:pPr>
            <w:r>
              <w:rPr>
                <w:rFonts w:ascii="Arial" w:cs="Arial" w:eastAsia="Arial" w:hAnsi="Arial"/>
                <w:sz w:val="18"/>
                <w:szCs w:val="18"/>
                <w:color w:val="auto"/>
              </w:rPr>
              <w:t>24</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284"/>
        </w:trPr>
        <w:tc>
          <w:tcPr>
            <w:tcW w:w="620" w:type="dxa"/>
            <w:vAlign w:val="bottom"/>
            <w:gridSpan w:val="2"/>
          </w:tcPr>
          <w:p>
            <w:pPr>
              <w:spacing w:after="0"/>
              <w:rPr>
                <w:sz w:val="20"/>
                <w:szCs w:val="20"/>
                <w:color w:val="auto"/>
              </w:rPr>
            </w:pPr>
            <w:r>
              <w:rPr>
                <w:rFonts w:ascii="Arial" w:cs="Arial" w:eastAsia="Arial" w:hAnsi="Arial"/>
                <w:sz w:val="18"/>
                <w:szCs w:val="18"/>
                <w:color w:val="auto"/>
              </w:rPr>
              <w:t>31.2**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32.1**</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8"/>
              </w:rPr>
              <w:t>Certification of Principal Executive Officer pursuant to 18 U.S.C. Section 1350, as adopted pursuant to Section 906 of the Sarbanes-Oxley Act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32.2**</w:t>
            </w:r>
          </w:p>
        </w:tc>
        <w:tc>
          <w:tcPr>
            <w:tcW w:w="10760" w:type="dxa"/>
            <w:vAlign w:val="bottom"/>
            <w:gridSpan w:val="3"/>
          </w:tcPr>
          <w:p>
            <w:pPr>
              <w:ind w:left="540"/>
              <w:spacing w:after="0"/>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320" w:type="dxa"/>
            <w:vAlign w:val="bottom"/>
          </w:tcPr>
          <w:p>
            <w:pPr>
              <w:ind w:left="540"/>
              <w:spacing w:after="0"/>
              <w:rPr>
                <w:sz w:val="20"/>
                <w:szCs w:val="20"/>
                <w:color w:val="auto"/>
              </w:rPr>
            </w:pPr>
            <w:r>
              <w:rPr>
                <w:rFonts w:ascii="Arial" w:cs="Arial" w:eastAsia="Arial" w:hAnsi="Arial"/>
                <w:sz w:val="18"/>
                <w:szCs w:val="18"/>
                <w:color w:val="auto"/>
              </w:rPr>
              <w:t>2002.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pacing w:after="0" w:line="61" w:lineRule="exact"/>
        <w:rPr>
          <w:sz w:val="20"/>
          <w:szCs w:val="20"/>
          <w:color w:val="auto"/>
        </w:rPr>
      </w:pPr>
    </w:p>
    <w:p>
      <w:pPr>
        <w:ind w:left="1160" w:right="60" w:hanging="1152"/>
        <w:spacing w:after="0" w:line="284"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Annual Report on Form 10-K for the year ended December 31, 2012 formatted in eXtensible Business Reporting Language (XBRL): (i) Consolidated Balance Sheets; (ii) Consolidated Statements of Operations; (iii) Consolidated Statements of Comprehensive Income (Loss); (iv) Consolidated Statements of Stockholders’ Equity;</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(v) Consolidated Statements of Cash Flows;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right="6820" w:firstLine="8"/>
        <w:spacing w:after="0" w:line="268"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 ** Filed herewith</w:t>
      </w:r>
    </w:p>
    <w:p>
      <w:pPr>
        <w:sectPr>
          <w:pgSz w:w="11900" w:h="16838" w:orient="portrait"/>
          <w:cols w:equalWidth="0" w:num="1">
            <w:col w:w="11380"/>
          </w:cols>
          <w:pgMar w:left="240" w:top="459" w:right="2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920" w:type="dxa"/>
            <w:vAlign w:val="bottom"/>
          </w:tcPr>
          <w:p>
            <w:pPr>
              <w:ind w:left="3140"/>
              <w:spacing w:after="0"/>
              <w:rPr>
                <w:sz w:val="20"/>
                <w:szCs w:val="20"/>
                <w:color w:val="auto"/>
              </w:rPr>
            </w:pPr>
            <w:r>
              <w:rPr>
                <w:rFonts w:ascii="Arial" w:cs="Arial" w:eastAsia="Arial" w:hAnsi="Arial"/>
                <w:sz w:val="18"/>
                <w:szCs w:val="18"/>
                <w:b w:val="1"/>
                <w:bCs w:val="1"/>
                <w:color w:val="auto"/>
                <w:w w:val="89"/>
              </w:rPr>
              <w:t>Exhibit 21</w:t>
            </w:r>
          </w:p>
        </w:tc>
      </w:tr>
      <w:tr>
        <w:trPr>
          <w:trHeight w:val="378"/>
        </w:trPr>
        <w:tc>
          <w:tcPr>
            <w:tcW w:w="3900" w:type="dxa"/>
            <w:vAlign w:val="bottom"/>
          </w:tcPr>
          <w:p>
            <w:pPr>
              <w:spacing w:after="0"/>
              <w:rPr>
                <w:sz w:val="20"/>
                <w:szCs w:val="20"/>
                <w:color w:val="auto"/>
              </w:rPr>
            </w:pPr>
            <w:r>
              <w:rPr>
                <w:rFonts w:ascii="Arial" w:cs="Arial" w:eastAsia="Arial" w:hAnsi="Arial"/>
                <w:sz w:val="18"/>
                <w:szCs w:val="18"/>
                <w:b w:val="1"/>
                <w:bCs w:val="1"/>
                <w:color w:val="auto"/>
              </w:rPr>
              <w:t>List of Subsidiaries</w:t>
            </w:r>
          </w:p>
        </w:tc>
        <w:tc>
          <w:tcPr>
            <w:tcW w:w="36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0"/>
        </w:trPr>
        <w:tc>
          <w:tcPr>
            <w:tcW w:w="3900" w:type="dxa"/>
            <w:vAlign w:val="bottom"/>
          </w:tcPr>
          <w:p>
            <w:pPr>
              <w:jc w:val="center"/>
              <w:ind w:right="419"/>
              <w:spacing w:after="0"/>
              <w:rPr>
                <w:sz w:val="20"/>
                <w:szCs w:val="20"/>
                <w:color w:val="auto"/>
              </w:rPr>
            </w:pPr>
            <w:r>
              <w:rPr>
                <w:rFonts w:ascii="Arial" w:cs="Arial" w:eastAsia="Arial" w:hAnsi="Arial"/>
                <w:sz w:val="14"/>
                <w:szCs w:val="14"/>
                <w:b w:val="1"/>
                <w:bCs w:val="1"/>
                <w:color w:val="auto"/>
                <w:w w:val="83"/>
              </w:rPr>
              <w:t>Subsidiaries of</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6"/>
              </w:rPr>
              <w:t>State or Other Jurisdiction of</w:t>
            </w:r>
          </w:p>
        </w:tc>
        <w:tc>
          <w:tcPr>
            <w:tcW w:w="3920" w:type="dxa"/>
            <w:vAlign w:val="bottom"/>
          </w:tcPr>
          <w:p>
            <w:pPr>
              <w:jc w:val="center"/>
              <w:ind w:left="419"/>
              <w:spacing w:after="0"/>
              <w:rPr>
                <w:sz w:val="20"/>
                <w:szCs w:val="20"/>
                <w:color w:val="auto"/>
              </w:rPr>
            </w:pPr>
            <w:r>
              <w:rPr>
                <w:rFonts w:ascii="Arial" w:cs="Arial" w:eastAsia="Arial" w:hAnsi="Arial"/>
                <w:sz w:val="14"/>
                <w:szCs w:val="14"/>
                <w:b w:val="1"/>
                <w:bCs w:val="1"/>
                <w:color w:val="auto"/>
                <w:w w:val="88"/>
              </w:rPr>
              <w:t>Name Under Which</w:t>
            </w:r>
          </w:p>
        </w:tc>
      </w:tr>
      <w:tr>
        <w:trPr>
          <w:trHeight w:val="174"/>
        </w:trPr>
        <w:tc>
          <w:tcPr>
            <w:tcW w:w="3900" w:type="dxa"/>
            <w:vAlign w:val="bottom"/>
          </w:tcPr>
          <w:p>
            <w:pPr>
              <w:jc w:val="center"/>
              <w:ind w:right="419"/>
              <w:spacing w:after="0"/>
              <w:rPr>
                <w:sz w:val="20"/>
                <w:szCs w:val="20"/>
                <w:color w:val="auto"/>
              </w:rPr>
            </w:pPr>
            <w:r>
              <w:rPr>
                <w:rFonts w:ascii="Arial" w:cs="Arial" w:eastAsia="Arial" w:hAnsi="Arial"/>
                <w:sz w:val="14"/>
                <w:szCs w:val="14"/>
                <w:b w:val="1"/>
                <w:bCs w:val="1"/>
                <w:color w:val="auto"/>
                <w:w w:val="86"/>
              </w:rPr>
              <w:t>Novatel Wireless, Inc.</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3920" w:type="dxa"/>
            <w:vAlign w:val="bottom"/>
          </w:tcPr>
          <w:p>
            <w:pPr>
              <w:jc w:val="center"/>
              <w:ind w:left="419"/>
              <w:spacing w:after="0"/>
              <w:rPr>
                <w:sz w:val="20"/>
                <w:szCs w:val="20"/>
                <w:color w:val="auto"/>
              </w:rPr>
            </w:pPr>
            <w:r>
              <w:rPr>
                <w:rFonts w:ascii="Arial" w:cs="Arial" w:eastAsia="Arial" w:hAnsi="Arial"/>
                <w:sz w:val="14"/>
                <w:szCs w:val="14"/>
                <w:b w:val="1"/>
                <w:bCs w:val="1"/>
                <w:color w:val="auto"/>
                <w:w w:val="83"/>
              </w:rPr>
              <w:t>Subsidiary Does Business</w:t>
            </w:r>
          </w:p>
        </w:tc>
      </w:tr>
      <w:tr>
        <w:trPr>
          <w:trHeight w:val="217"/>
        </w:trPr>
        <w:tc>
          <w:tcPr>
            <w:tcW w:w="3900" w:type="dxa"/>
            <w:vAlign w:val="bottom"/>
            <w:shd w:val="clear" w:color="auto" w:fill="CCEEFF"/>
          </w:tcPr>
          <w:p>
            <w:pPr>
              <w:jc w:val="center"/>
              <w:ind w:right="419"/>
              <w:spacing w:after="0"/>
              <w:rPr>
                <w:sz w:val="20"/>
                <w:szCs w:val="20"/>
                <w:color w:val="auto"/>
              </w:rPr>
            </w:pPr>
            <w:r>
              <w:rPr>
                <w:rFonts w:ascii="Arial" w:cs="Arial" w:eastAsia="Arial" w:hAnsi="Arial"/>
                <w:sz w:val="18"/>
                <w:szCs w:val="18"/>
                <w:color w:val="auto"/>
                <w:w w:val="89"/>
              </w:rPr>
              <w:t>Novatel Wireless Technologies, Ltd.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Alberta, Canada</w:t>
            </w:r>
          </w:p>
        </w:tc>
        <w:tc>
          <w:tcPr>
            <w:tcW w:w="392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88"/>
              </w:rPr>
              <w:t>Novatel Wireless Technologies, Ltd.</w:t>
            </w:r>
          </w:p>
        </w:tc>
      </w:tr>
      <w:tr>
        <w:trPr>
          <w:trHeight w:val="216"/>
        </w:trPr>
        <w:tc>
          <w:tcPr>
            <w:tcW w:w="3900" w:type="dxa"/>
            <w:vAlign w:val="bottom"/>
          </w:tcPr>
          <w:p>
            <w:pPr>
              <w:jc w:val="center"/>
              <w:ind w:right="419"/>
              <w:spacing w:after="0"/>
              <w:rPr>
                <w:sz w:val="20"/>
                <w:szCs w:val="20"/>
                <w:color w:val="auto"/>
              </w:rPr>
            </w:pPr>
            <w:r>
              <w:rPr>
                <w:rFonts w:ascii="Arial" w:cs="Arial" w:eastAsia="Arial" w:hAnsi="Arial"/>
                <w:sz w:val="18"/>
                <w:szCs w:val="18"/>
                <w:color w:val="auto"/>
                <w:w w:val="91"/>
              </w:rPr>
              <w:t>Enfora, Inc.</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920" w:type="dxa"/>
            <w:vAlign w:val="bottom"/>
          </w:tcPr>
          <w:p>
            <w:pPr>
              <w:jc w:val="center"/>
              <w:ind w:left="419"/>
              <w:spacing w:after="0"/>
              <w:rPr>
                <w:sz w:val="20"/>
                <w:szCs w:val="20"/>
                <w:color w:val="auto"/>
              </w:rPr>
            </w:pPr>
            <w:r>
              <w:rPr>
                <w:rFonts w:ascii="Arial" w:cs="Arial" w:eastAsia="Arial" w:hAnsi="Arial"/>
                <w:sz w:val="18"/>
                <w:szCs w:val="18"/>
                <w:color w:val="auto"/>
                <w:w w:val="89"/>
              </w:rPr>
              <w:t>Enfora, Inc.</w:t>
            </w:r>
          </w:p>
        </w:tc>
      </w:tr>
      <w:tr>
        <w:trPr>
          <w:trHeight w:val="216"/>
        </w:trPr>
        <w:tc>
          <w:tcPr>
            <w:tcW w:w="3900" w:type="dxa"/>
            <w:vAlign w:val="bottom"/>
            <w:shd w:val="clear" w:color="auto" w:fill="CCEEFF"/>
          </w:tcPr>
          <w:p>
            <w:pPr>
              <w:jc w:val="center"/>
              <w:ind w:right="419"/>
              <w:spacing w:after="0"/>
              <w:rPr>
                <w:sz w:val="20"/>
                <w:szCs w:val="20"/>
                <w:color w:val="auto"/>
              </w:rPr>
            </w:pPr>
            <w:r>
              <w:rPr>
                <w:rFonts w:ascii="Arial" w:cs="Arial" w:eastAsia="Arial" w:hAnsi="Arial"/>
                <w:sz w:val="18"/>
                <w:szCs w:val="18"/>
                <w:color w:val="auto"/>
                <w:w w:val="90"/>
              </w:rPr>
              <w:t>Novatel Wireless Solutions,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392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89"/>
              </w:rPr>
              <w:t>Novatel Wireless Solutions, Inc.</w:t>
            </w: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1480" w:hanging="567"/>
        <w:spacing w:after="0"/>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Registration Statement (Form S-8 No. 333-176490) pertaining to the Amended and Restated 2000 Employee Stock Purchase Plan;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333-163032) pertaining to 2000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Registration Statement (Form S-8 No. 333-145482) pertaining to 2000 Stock Incentive Plan and 2000 Employee Stock Purchase Plan;</w:t>
      </w:r>
    </w:p>
    <w:p>
      <w:pPr>
        <w:spacing w:after="0" w:line="113" w:lineRule="exact"/>
        <w:rPr>
          <w:rFonts w:ascii="Arial" w:cs="Arial" w:eastAsia="Arial" w:hAnsi="Arial"/>
          <w:sz w:val="16"/>
          <w:szCs w:val="16"/>
          <w:color w:val="auto"/>
        </w:rPr>
      </w:pPr>
    </w:p>
    <w:p>
      <w:pPr>
        <w:ind w:left="1480" w:right="200" w:hanging="567"/>
        <w:spacing w:after="0" w:line="268"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333-53692) pertaining to 2000 Stock Incentive Plan, 2000 Employee Stock Purchase Plan and 1997 Stock Incentive Plan;</w:t>
      </w:r>
    </w:p>
    <w:p>
      <w:pPr>
        <w:spacing w:after="0" w:line="50" w:lineRule="exact"/>
        <w:rPr>
          <w:rFonts w:ascii="Arial" w:cs="Arial" w:eastAsia="Arial" w:hAnsi="Arial"/>
          <w:sz w:val="18"/>
          <w:szCs w:val="18"/>
          <w:color w:val="auto"/>
        </w:rPr>
      </w:pPr>
    </w:p>
    <w:p>
      <w:pPr>
        <w:ind w:left="1480" w:right="180" w:hanging="567"/>
        <w:spacing w:after="0" w:line="332"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Registration Statement (Form S-3 No. 333-162020) and related prospectus pertaining to the registration of $125,000,000 of debt securities, common stock, preferred stock, subscription rights, depositary shares, warrants, purchase contracts and units;</w:t>
      </w:r>
    </w:p>
    <w:p>
      <w:pPr>
        <w:spacing w:after="0" w:line="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of our reports dated March 1, 2013, with respect to the consolidated financial statements and schedule of Novatel Wireless, Inc., and the effectiveness of internal control over financial reporting of Novatel Wireless, Inc. included in this Annual Report (Form 10-K) for the year ended December 31, 2012.</w:t>
      </w:r>
    </w:p>
    <w:p>
      <w:pPr>
        <w:spacing w:after="0" w:line="8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90"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90"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2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In connection of this Annual report on Form 10-K of Novatel Wireless, Inc. (the “Company”) for the year ended December 31, 2012, as filed with the Securities and Exchange Commission on the date hereof (the “Report”), Peter Leparulo, Chairman and Chief Executive Officer of the Company, hereby certifies pursuant to the requirement set forth in Rule 13a-14(b) of the Securities Exchange Act of 1934, as amended (the “Exchange Act”), and Section 1350 of Chapter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63 of Title 18 of the United States Code (18 U.S.C. Section 1350) that, to the best of his knowledge:</w:t>
      </w:r>
    </w:p>
    <w:p>
      <w:pPr>
        <w:spacing w:after="0" w:line="165"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connection of this Annual report on Form 10-K of Novatel Wireless, Inc. (the “Company”) for the year ended December 31, 2012, as filed with the Securities and Exchange Commission on the date hereof (the “Report”), Kenneth Leddon, Senior Vice President and Chief Financial Officer of the Company,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13"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Kenneth Leddon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lowerRoman"/>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decimal"/>
      <w:start w:val="10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6"/>
    </w:lvl>
  </w:abstractNum>
  <w:abstractNum w:abstractNumId="30">
    <w:nsid w:val="2463B9EA"/>
    <w:multiLevelType w:val="hybridMultilevel"/>
    <w:lvl w:ilvl="0">
      <w:lvlJc w:val="left"/>
      <w:lvlText w:val="%1."/>
      <w:numFmt w:val="decimal"/>
      <w:start w:val="7"/>
    </w:lvl>
  </w:abstractNum>
  <w:abstractNum w:abstractNumId="31">
    <w:nsid w:val="5E884ADC"/>
    <w:multiLevelType w:val="hybridMultilevel"/>
    <w:lvl w:ilvl="0">
      <w:lvlJc w:val="left"/>
      <w:lvlText w:val="%1."/>
      <w:numFmt w:val="decimal"/>
      <w:start w:val="8"/>
    </w:lvl>
  </w:abstractNum>
  <w:abstractNum w:abstractNumId="32">
    <w:nsid w:val="51EAD36B"/>
    <w:multiLevelType w:val="hybridMultilevel"/>
    <w:lvl w:ilvl="0">
      <w:lvlJc w:val="left"/>
      <w:lvlText w:val="%1."/>
      <w:numFmt w:val="decimal"/>
      <w:start w:val="9"/>
    </w:lvl>
  </w:abstractNum>
  <w:abstractNum w:abstractNumId="33">
    <w:nsid w:val="2D517796"/>
    <w:multiLevelType w:val="hybridMultilevel"/>
    <w:lvl w:ilvl="0">
      <w:lvlJc w:val="left"/>
      <w:lvlText w:val="%1."/>
      <w:numFmt w:val="decimal"/>
      <w:start w:val="10"/>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decimal"/>
      <w:start w:val="12"/>
    </w:lvl>
  </w:abstractNum>
  <w:abstractNum w:abstractNumId="37">
    <w:nsid w:val="70A64E2A"/>
    <w:multiLevelType w:val="hybridMultilevel"/>
    <w:lvl w:ilvl="0">
      <w:lvlJc w:val="left"/>
      <w:lvlText w:val="%1."/>
      <w:numFmt w:val="decimal"/>
      <w:start w:val="13"/>
    </w:lvl>
  </w:abstractNum>
  <w:abstractNum w:abstractNumId="38">
    <w:nsid w:val="6A2342EC"/>
    <w:multiLevelType w:val="hybridMultilevel"/>
    <w:lvl w:ilvl="0">
      <w:lvlJc w:val="left"/>
      <w:lvlText w:val="%1."/>
      <w:numFmt w:val="decimal"/>
      <w:start w:val="14"/>
    </w:lvl>
  </w:abstractNum>
  <w:abstractNum w:abstractNumId="39">
    <w:nsid w:val="2A487CB0"/>
    <w:multiLevelType w:val="hybridMultilevel"/>
    <w:lvl w:ilvl="0">
      <w:lvlJc w:val="left"/>
      <w:lvlText w:val="%1"/>
      <w:numFmt w:val="decimal"/>
      <w:start w:val="10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2019-12-06T16:42:33Z</dcterms:created>
  <dcterms:modified xsi:type="dcterms:W3CDTF">2019-12-06T16:42:33Z</dcterms:modified>
</cp:coreProperties>
</file>