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40" w:val="left"/>
          <w:tab w:leader="none" w:pos="74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000-31659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40" w:type="dxa"/>
        <w:tblCellMar>
          <w:top w:w="0" w:type="dxa"/>
          <w:left w:w="0" w:type="dxa"/>
          <w:bottom w:w="0" w:type="dxa"/>
          <w:right w:w="0" w:type="dxa"/>
        </w:tblCellMar>
      </w:tblPr>
      <w:tr>
        <w:trPr>
          <w:trHeight w:val="218"/>
        </w:trPr>
        <w:tc>
          <w:tcPr>
            <w:tcW w:w="4640" w:type="dxa"/>
            <w:vAlign w:val="bottom"/>
          </w:tcPr>
          <w:p>
            <w:pPr>
              <w:jc w:val="center"/>
              <w:ind w:right="1864"/>
              <w:spacing w:after="0"/>
              <w:rPr>
                <w:sz w:val="20"/>
                <w:szCs w:val="20"/>
                <w:color w:val="auto"/>
              </w:rPr>
            </w:pPr>
            <w:r>
              <w:rPr>
                <w:rFonts w:ascii="Arial" w:cs="Arial" w:eastAsia="Arial" w:hAnsi="Arial"/>
                <w:sz w:val="18"/>
                <w:szCs w:val="18"/>
                <w:b w:val="1"/>
                <w:bCs w:val="1"/>
                <w:color w:val="auto"/>
                <w:w w:val="88"/>
              </w:rPr>
              <w:t>Delaware</w:t>
            </w:r>
          </w:p>
        </w:tc>
        <w:tc>
          <w:tcPr>
            <w:tcW w:w="3000" w:type="dxa"/>
            <w:vAlign w:val="bottom"/>
          </w:tcPr>
          <w:p>
            <w:pPr>
              <w:jc w:val="right"/>
              <w:ind w:right="2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40" w:type="dxa"/>
            <w:vAlign w:val="bottom"/>
          </w:tcPr>
          <w:p>
            <w:pPr>
              <w:jc w:val="center"/>
              <w:ind w:right="18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00" w:type="dxa"/>
            <w:vAlign w:val="bottom"/>
          </w:tcPr>
          <w:p>
            <w:pPr>
              <w:jc w:val="center"/>
              <w:ind w:left="18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40" w:type="dxa"/>
            <w:vAlign w:val="bottom"/>
          </w:tcPr>
          <w:p>
            <w:pPr>
              <w:jc w:val="center"/>
              <w:ind w:right="1864"/>
              <w:spacing w:after="0"/>
              <w:rPr>
                <w:sz w:val="20"/>
                <w:szCs w:val="20"/>
                <w:color w:val="auto"/>
              </w:rPr>
            </w:pPr>
            <w:r>
              <w:rPr>
                <w:rFonts w:ascii="Arial" w:cs="Arial" w:eastAsia="Arial" w:hAnsi="Arial"/>
                <w:sz w:val="14"/>
                <w:szCs w:val="14"/>
                <w:b w:val="1"/>
                <w:bCs w:val="1"/>
                <w:color w:val="auto"/>
                <w:w w:val="89"/>
              </w:rPr>
              <w:t>Incorporation or Organization)</w:t>
            </w:r>
          </w:p>
        </w:tc>
        <w:tc>
          <w:tcPr>
            <w:tcW w:w="3000" w:type="dxa"/>
            <w:vAlign w:val="bottom"/>
          </w:tcPr>
          <w:p>
            <w:pPr>
              <w:jc w:val="center"/>
              <w:ind w:left="186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640" w:type="dxa"/>
            <w:vAlign w:val="bottom"/>
          </w:tcPr>
          <w:p>
            <w:pPr>
              <w:jc w:val="center"/>
              <w:ind w:right="1864"/>
              <w:spacing w:after="0"/>
              <w:rPr>
                <w:sz w:val="20"/>
                <w:szCs w:val="20"/>
                <w:color w:val="auto"/>
              </w:rPr>
            </w:pPr>
            <w:r>
              <w:rPr>
                <w:rFonts w:ascii="Arial" w:cs="Arial" w:eastAsia="Arial" w:hAnsi="Arial"/>
                <w:sz w:val="18"/>
                <w:szCs w:val="18"/>
                <w:b w:val="1"/>
                <w:bCs w:val="1"/>
                <w:color w:val="auto"/>
                <w:w w:val="87"/>
              </w:rPr>
              <w:t>9645 Scranton Road, San Diego, CA</w:t>
            </w:r>
          </w:p>
        </w:tc>
        <w:tc>
          <w:tcPr>
            <w:tcW w:w="300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92121</w:t>
            </w:r>
          </w:p>
        </w:tc>
      </w:tr>
      <w:tr>
        <w:trPr>
          <w:trHeight w:val="174"/>
        </w:trPr>
        <w:tc>
          <w:tcPr>
            <w:tcW w:w="4640" w:type="dxa"/>
            <w:vAlign w:val="bottom"/>
          </w:tcPr>
          <w:p>
            <w:pPr>
              <w:jc w:val="center"/>
              <w:ind w:right="186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00" w:type="dxa"/>
            <w:vAlign w:val="bottom"/>
          </w:tcPr>
          <w:p>
            <w:pPr>
              <w:jc w:val="center"/>
              <w:ind w:left="186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70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702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40" w:type="dxa"/>
            <w:vAlign w:val="bottom"/>
          </w:tcPr>
          <w:p>
            <w:pPr>
              <w:ind w:left="8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80" w:type="dxa"/>
            <w:vAlign w:val="bottom"/>
            <w:gridSpan w:val="2"/>
          </w:tcPr>
          <w:p>
            <w:pPr>
              <w:ind w:left="460"/>
              <w:spacing w:after="0"/>
              <w:rPr>
                <w:sz w:val="20"/>
                <w:szCs w:val="20"/>
                <w:color w:val="auto"/>
              </w:rPr>
            </w:pPr>
            <w:r>
              <w:rPr>
                <w:rFonts w:ascii="Arial" w:cs="Arial" w:eastAsia="Arial" w:hAnsi="Arial"/>
                <w:sz w:val="18"/>
                <w:szCs w:val="18"/>
                <w:color w:val="auto"/>
                <w:w w:val="88"/>
              </w:rPr>
              <w:t>Indicate by check mark whether the registrant is a shell company (as defined in Rule 12b-2 of the Exchange Act). Yes</w:t>
            </w:r>
          </w:p>
        </w:tc>
        <w:tc>
          <w:tcPr>
            <w:tcW w:w="224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80" w:type="dxa"/>
            <w:vAlign w:val="bottom"/>
            <w:gridSpan w:val="2"/>
          </w:tcPr>
          <w:p>
            <w:pPr>
              <w:ind w:left="460"/>
              <w:spacing w:after="0"/>
              <w:rPr>
                <w:sz w:val="20"/>
                <w:szCs w:val="20"/>
                <w:color w:val="auto"/>
              </w:rPr>
            </w:pPr>
            <w:r>
              <w:rPr>
                <w:rFonts w:ascii="Arial" w:cs="Arial" w:eastAsia="Arial" w:hAnsi="Arial"/>
                <w:sz w:val="18"/>
                <w:szCs w:val="18"/>
                <w:color w:val="auto"/>
                <w:w w:val="95"/>
              </w:rPr>
              <w:t>The number of shares of the registrant’s common stock outstanding as of November 6, 2012 was 33,081,806.</w:t>
            </w: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702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70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 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9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the operations of Enfora, Inc., or Enfora, and any other business, products, technologies or personnel that we may acquire or retain in the future;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including 3G and 4G standards, and government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marketability of our products given their dependence on wireless telecommunication operators continuing to deliver acceptable wireless services;</w:t>
      </w:r>
    </w:p>
    <w:p>
      <w:pPr>
        <w:spacing w:after="0" w:line="113" w:lineRule="exact"/>
        <w:rPr>
          <w:rFonts w:ascii="Arial" w:cs="Arial" w:eastAsia="Arial" w:hAnsi="Arial"/>
          <w:sz w:val="16"/>
          <w:szCs w:val="16"/>
          <w:color w:val="auto"/>
        </w:rPr>
      </w:pPr>
    </w:p>
    <w:p>
      <w:pPr>
        <w:ind w:left="660" w:right="2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development of our business to avoid significant strains on our management and operations and disruptions to our business;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our current class action securities litigation and intellectual property litigation;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third-party technology necessary for the development and sale of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introducing new products that could contain errors or defects;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and other reports we file with or furnish to the Securities and Exchange Commission, including the information in “Item 1A. Risk Factors” in Part I of our Annual Report on Form 10-K for the year ended December 31, 2011. If one or more events related to these or other risks or uncertainties materialize, or if our underlying assumptions prove to be incorrect, actual results may differ materially from what we anticipate.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“Novatel Wireless”, the Novatel Wireless logo, “MiFi”, “MiFi Intelligent Mobile Hotspot”, “MiFi OS”, “MiFi Home”, “MobiLink”, “Ovation,” “Expedite”, “MiFi.Freedom. My Way”, “Conversa”, “NovaSpeed”, “NovaCore” and “NovaDrive” are trademarks of Novatel Wireless, Inc. “Enfora”, the Enfora logo, “Spider”, “Enabling Information Anywhere”, “Enabler”, “eWide” and “N4A” are trademarks of Enfora, Inc. Other trademarks, trade names or service marks used in this report are the property of their respective owners.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8240" w:type="dxa"/>
            <w:vAlign w:val="bottom"/>
          </w:tcPr>
          <w:p>
            <w:pPr>
              <w:jc w:val="center"/>
              <w:ind w:left="1872"/>
              <w:spacing w:after="0"/>
              <w:rPr>
                <w:sz w:val="20"/>
                <w:szCs w:val="20"/>
                <w:color w:val="auto"/>
              </w:rPr>
            </w:pPr>
            <w:r>
              <w:rPr>
                <w:rFonts w:ascii="Arial" w:cs="Arial" w:eastAsia="Arial" w:hAnsi="Arial"/>
                <w:sz w:val="18"/>
                <w:szCs w:val="18"/>
                <w:b w:val="1"/>
                <w:bCs w:val="1"/>
                <w:color w:val="auto"/>
              </w:rPr>
              <w:t>PART I—FINANCIAL INFORMATION</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240" w:type="dxa"/>
            <w:vAlign w:val="bottom"/>
          </w:tcPr>
          <w:p>
            <w:pPr>
              <w:ind w:left="30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620" w:type="dxa"/>
            <w:vAlign w:val="bottom"/>
          </w:tcPr>
          <w:p>
            <w:pPr>
              <w:spacing w:after="0"/>
              <w:rPr>
                <w:sz w:val="24"/>
                <w:szCs w:val="24"/>
                <w:color w:val="auto"/>
              </w:rPr>
            </w:pPr>
          </w:p>
        </w:tc>
        <w:tc>
          <w:tcPr>
            <w:tcW w:w="8240" w:type="dxa"/>
            <w:vAlign w:val="bottom"/>
          </w:tcPr>
          <w:p>
            <w:pPr>
              <w:jc w:val="center"/>
              <w:ind w:left="1872"/>
              <w:spacing w:after="0"/>
              <w:rPr>
                <w:sz w:val="20"/>
                <w:szCs w:val="20"/>
                <w:color w:val="auto"/>
              </w:rPr>
            </w:pPr>
            <w:r>
              <w:rPr>
                <w:rFonts w:ascii="Arial" w:cs="Arial" w:eastAsia="Arial" w:hAnsi="Arial"/>
                <w:sz w:val="18"/>
                <w:szCs w:val="18"/>
                <w:b w:val="1"/>
                <w:bCs w:val="1"/>
                <w:color w:val="auto"/>
                <w:w w:val="96"/>
              </w:rPr>
              <w:t>NOVATEL WIRELESS, INC.</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8240" w:type="dxa"/>
            <w:vAlign w:val="bottom"/>
          </w:tcPr>
          <w:p>
            <w:pPr>
              <w:jc w:val="center"/>
              <w:ind w:left="185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620" w:type="dxa"/>
            <w:vAlign w:val="bottom"/>
          </w:tcPr>
          <w:p>
            <w:pPr>
              <w:spacing w:after="0"/>
              <w:rPr>
                <w:sz w:val="19"/>
                <w:szCs w:val="19"/>
                <w:color w:val="auto"/>
              </w:rPr>
            </w:pPr>
          </w:p>
        </w:tc>
        <w:tc>
          <w:tcPr>
            <w:tcW w:w="8240" w:type="dxa"/>
            <w:vAlign w:val="bottom"/>
          </w:tcPr>
          <w:p>
            <w:pPr>
              <w:jc w:val="center"/>
              <w:ind w:left="1872"/>
              <w:spacing w:after="0"/>
              <w:rPr>
                <w:sz w:val="20"/>
                <w:szCs w:val="20"/>
                <w:color w:val="auto"/>
              </w:rPr>
            </w:pPr>
            <w:r>
              <w:rPr>
                <w:rFonts w:ascii="Arial" w:cs="Arial" w:eastAsia="Arial" w:hAnsi="Arial"/>
                <w:sz w:val="18"/>
                <w:szCs w:val="18"/>
                <w:b w:val="1"/>
                <w:bCs w:val="1"/>
                <w:color w:val="auto"/>
                <w:w w:val="86"/>
              </w:rPr>
              <w:t>(in thousands, except per share data)</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6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6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7"/>
              </w:rPr>
              <w:t>Unaudited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0" w:type="dxa"/>
            <w:vAlign w:val="bottom"/>
            <w:shd w:val="clear" w:color="auto" w:fill="CCEEFF"/>
          </w:tcPr>
          <w:p>
            <w:pPr>
              <w:spacing w:after="0"/>
              <w:rPr>
                <w:sz w:val="18"/>
                <w:szCs w:val="18"/>
                <w:color w:val="auto"/>
              </w:rPr>
            </w:pPr>
          </w:p>
        </w:tc>
        <w:tc>
          <w:tcPr>
            <w:tcW w:w="824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47,069</w:t>
            </w:r>
          </w:p>
        </w:tc>
      </w:tr>
      <w:tr>
        <w:trPr>
          <w:trHeight w:val="216"/>
        </w:trPr>
        <w:tc>
          <w:tcPr>
            <w:tcW w:w="8860" w:type="dxa"/>
            <w:vAlign w:val="bottom"/>
            <w:gridSpan w:val="2"/>
          </w:tcPr>
          <w:p>
            <w:pPr>
              <w:ind w:left="44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39,958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28,267</w:t>
            </w:r>
          </w:p>
        </w:tc>
      </w:tr>
      <w:tr>
        <w:trPr>
          <w:trHeight w:val="208"/>
        </w:trPr>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receivable, net of allowance for doubtful accounts of $250 at September 30, 2012 and $245 at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20" w:type="dxa"/>
            <w:vAlign w:val="bottom"/>
            <w:shd w:val="clear" w:color="auto" w:fill="CCEEFF"/>
          </w:tcPr>
          <w:p>
            <w:pPr>
              <w:spacing w:after="0"/>
              <w:rPr>
                <w:sz w:val="19"/>
                <w:szCs w:val="19"/>
                <w:color w:val="auto"/>
              </w:rPr>
            </w:pPr>
          </w:p>
        </w:tc>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2011</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40,270</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36,849</w:t>
            </w:r>
          </w:p>
        </w:tc>
      </w:tr>
      <w:tr>
        <w:trPr>
          <w:trHeight w:val="216"/>
        </w:trPr>
        <w:tc>
          <w:tcPr>
            <w:tcW w:w="8860" w:type="dxa"/>
            <w:vAlign w:val="bottom"/>
            <w:gridSpan w:val="2"/>
          </w:tcPr>
          <w:p>
            <w:pPr>
              <w:ind w:left="44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36,527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42,279</w:t>
            </w:r>
          </w:p>
        </w:tc>
      </w:tr>
      <w:tr>
        <w:trPr>
          <w:trHeight w:val="216"/>
        </w:trPr>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assets,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r>
      <w:tr>
        <w:trPr>
          <w:trHeight w:val="223"/>
        </w:trPr>
        <w:tc>
          <w:tcPr>
            <w:tcW w:w="8860" w:type="dxa"/>
            <w:vAlign w:val="bottom"/>
            <w:gridSpan w:val="2"/>
          </w:tcPr>
          <w:p>
            <w:pPr>
              <w:ind w:left="44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4,782</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Pr>
          <w:p>
            <w:pPr>
              <w:spacing w:after="0"/>
              <w:rPr>
                <w:sz w:val="19"/>
                <w:szCs w:val="19"/>
                <w:color w:val="auto"/>
              </w:rPr>
            </w:pPr>
          </w:p>
        </w:tc>
      </w:tr>
      <w:tr>
        <w:trPr>
          <w:trHeight w:val="216"/>
        </w:trPr>
        <w:tc>
          <w:tcPr>
            <w:tcW w:w="620" w:type="dxa"/>
            <w:vAlign w:val="bottom"/>
            <w:shd w:val="clear" w:color="auto" w:fill="CCEEFF"/>
          </w:tcPr>
          <w:p>
            <w:pPr>
              <w:spacing w:after="0"/>
              <w:rPr>
                <w:sz w:val="18"/>
                <w:szCs w:val="18"/>
                <w:color w:val="auto"/>
              </w:rPr>
            </w:pPr>
          </w:p>
        </w:tc>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139,883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160,187</w:t>
            </w:r>
          </w:p>
        </w:tc>
      </w:tr>
      <w:tr>
        <w:trPr>
          <w:trHeight w:val="208"/>
        </w:trPr>
        <w:tc>
          <w:tcPr>
            <w:tcW w:w="8860" w:type="dxa"/>
            <w:vAlign w:val="bottom"/>
            <w:gridSpan w:val="2"/>
          </w:tcPr>
          <w:p>
            <w:pPr>
              <w:spacing w:after="0"/>
              <w:rPr>
                <w:sz w:val="20"/>
                <w:szCs w:val="20"/>
                <w:color w:val="auto"/>
              </w:rPr>
            </w:pPr>
            <w:r>
              <w:rPr>
                <w:rFonts w:ascii="Arial" w:cs="Arial" w:eastAsia="Arial" w:hAnsi="Arial"/>
                <w:sz w:val="18"/>
                <w:szCs w:val="18"/>
                <w:color w:val="auto"/>
                <w:w w:val="90"/>
              </w:rPr>
              <w:t>Property and equipment, net of accumulated depreciation of $62,925 at September 30, 2012 and $59,217 at December 31,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20" w:type="dxa"/>
            <w:vAlign w:val="bottom"/>
          </w:tcPr>
          <w:p>
            <w:pPr>
              <w:ind w:left="220"/>
              <w:spacing w:after="0"/>
              <w:rPr>
                <w:sz w:val="20"/>
                <w:szCs w:val="20"/>
                <w:color w:val="auto"/>
              </w:rPr>
            </w:pPr>
            <w:r>
              <w:rPr>
                <w:rFonts w:ascii="Arial" w:cs="Arial" w:eastAsia="Arial" w:hAnsi="Arial"/>
                <w:sz w:val="18"/>
                <w:szCs w:val="18"/>
                <w:color w:val="auto"/>
                <w:w w:val="94"/>
              </w:rPr>
              <w:t>2011</w:t>
            </w:r>
          </w:p>
        </w:tc>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14,939</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18,496</w:t>
            </w:r>
          </w:p>
        </w:tc>
      </w:tr>
      <w:tr>
        <w:trPr>
          <w:trHeight w:val="218"/>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13,495</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w w:val="91"/>
              </w:rPr>
              <w:t>Intangible assets, net of accumulated amortization of $11,636 at September 30, 2012 and $10,899 at December 31, 2011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35,702</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19,772</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r>
      <w:tr>
        <w:trPr>
          <w:trHeight w:val="222"/>
        </w:trPr>
        <w:tc>
          <w:tcPr>
            <w:tcW w:w="620" w:type="dxa"/>
            <w:vAlign w:val="bottom"/>
          </w:tcPr>
          <w:p>
            <w:pPr>
              <w:spacing w:after="0"/>
              <w:rPr>
                <w:sz w:val="19"/>
                <w:szCs w:val="19"/>
                <w:color w:val="auto"/>
              </w:rPr>
            </w:pPr>
          </w:p>
        </w:tc>
        <w:tc>
          <w:tcPr>
            <w:tcW w:w="824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165,602</w:t>
            </w: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249,179</w:t>
            </w:r>
          </w:p>
        </w:tc>
      </w:tr>
      <w:tr>
        <w:trPr>
          <w:trHeight w:val="20"/>
        </w:trPr>
        <w:tc>
          <w:tcPr>
            <w:tcW w:w="6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20" w:type="dxa"/>
            <w:vAlign w:val="bottom"/>
            <w:shd w:val="clear" w:color="auto" w:fill="CCEEFF"/>
          </w:tcPr>
          <w:p>
            <w:pPr>
              <w:spacing w:after="0"/>
              <w:rPr>
                <w:sz w:val="18"/>
                <w:szCs w:val="18"/>
                <w:color w:val="auto"/>
              </w:rPr>
            </w:pPr>
          </w:p>
        </w:tc>
        <w:tc>
          <w:tcPr>
            <w:tcW w:w="8240" w:type="dxa"/>
            <w:vAlign w:val="bottom"/>
            <w:shd w:val="clear" w:color="auto" w:fill="CCEEFF"/>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54,030</w:t>
            </w:r>
          </w:p>
        </w:tc>
      </w:tr>
      <w:tr>
        <w:trPr>
          <w:trHeight w:val="223"/>
        </w:trPr>
        <w:tc>
          <w:tcPr>
            <w:tcW w:w="8860" w:type="dxa"/>
            <w:vAlign w:val="bottom"/>
            <w:gridSpan w:val="2"/>
          </w:tcPr>
          <w:p>
            <w:pPr>
              <w:ind w:left="4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25,188</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25,044</w:t>
            </w:r>
          </w:p>
        </w:tc>
        <w:tc>
          <w:tcPr>
            <w:tcW w:w="100" w:type="dxa"/>
            <w:vAlign w:val="bottom"/>
          </w:tcPr>
          <w:p>
            <w:pPr>
              <w:spacing w:after="0"/>
              <w:rPr>
                <w:sz w:val="19"/>
                <w:szCs w:val="19"/>
                <w:color w:val="auto"/>
              </w:rPr>
            </w:pPr>
          </w:p>
        </w:tc>
      </w:tr>
      <w:tr>
        <w:trPr>
          <w:trHeight w:val="216"/>
        </w:trPr>
        <w:tc>
          <w:tcPr>
            <w:tcW w:w="620" w:type="dxa"/>
            <w:vAlign w:val="bottom"/>
            <w:shd w:val="clear" w:color="auto" w:fill="CCEEFF"/>
          </w:tcPr>
          <w:p>
            <w:pPr>
              <w:spacing w:after="0"/>
              <w:rPr>
                <w:sz w:val="18"/>
                <w:szCs w:val="18"/>
                <w:color w:val="auto"/>
              </w:rPr>
            </w:pPr>
          </w:p>
        </w:tc>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79,074</w:t>
            </w: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19"/>
                <w:szCs w:val="19"/>
                <w:color w:val="auto"/>
              </w:rPr>
            </w:pPr>
          </w:p>
        </w:tc>
      </w:tr>
      <w:tr>
        <w:trPr>
          <w:trHeight w:val="216"/>
        </w:trPr>
        <w:tc>
          <w:tcPr>
            <w:tcW w:w="620" w:type="dxa"/>
            <w:vAlign w:val="bottom"/>
            <w:shd w:val="clear" w:color="auto" w:fill="CCEEFF"/>
          </w:tcPr>
          <w:p>
            <w:pPr>
              <w:spacing w:after="0"/>
              <w:rPr>
                <w:sz w:val="18"/>
                <w:szCs w:val="18"/>
                <w:color w:val="auto"/>
              </w:rPr>
            </w:pPr>
          </w:p>
        </w:tc>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83,154</w:t>
            </w: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Preferred stock, par value $0.001; 2,000 shares authorized and none outstanding</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8860" w:type="dxa"/>
            <w:vAlign w:val="bottom"/>
            <w:gridSpan w:val="2"/>
          </w:tcPr>
          <w:p>
            <w:pPr>
              <w:ind w:left="440"/>
              <w:spacing w:after="0"/>
              <w:rPr>
                <w:sz w:val="20"/>
                <w:szCs w:val="20"/>
                <w:color w:val="auto"/>
              </w:rPr>
            </w:pPr>
            <w:r>
              <w:rPr>
                <w:rFonts w:ascii="Arial" w:cs="Arial" w:eastAsia="Arial" w:hAnsi="Arial"/>
                <w:sz w:val="18"/>
                <w:szCs w:val="18"/>
                <w:color w:val="auto"/>
                <w:w w:val="92"/>
              </w:rPr>
              <w:t>Common stock, par value $0.001; 50,000 shares authorized, 33,082 and 32,262 shares issued and outstanding at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20" w:type="dxa"/>
            <w:vAlign w:val="bottom"/>
          </w:tcPr>
          <w:p>
            <w:pPr>
              <w:spacing w:after="0"/>
              <w:rPr>
                <w:sz w:val="19"/>
                <w:szCs w:val="19"/>
                <w:color w:val="auto"/>
              </w:rPr>
            </w:pPr>
          </w:p>
        </w:tc>
        <w:tc>
          <w:tcPr>
            <w:tcW w:w="8240" w:type="dxa"/>
            <w:vAlign w:val="bottom"/>
          </w:tcPr>
          <w:p>
            <w:pPr>
              <w:ind w:left="40"/>
              <w:spacing w:after="0"/>
              <w:rPr>
                <w:sz w:val="20"/>
                <w:szCs w:val="20"/>
                <w:color w:val="auto"/>
              </w:rPr>
            </w:pPr>
            <w:r>
              <w:rPr>
                <w:rFonts w:ascii="Arial" w:cs="Arial" w:eastAsia="Arial" w:hAnsi="Arial"/>
                <w:sz w:val="18"/>
                <w:szCs w:val="18"/>
                <w:color w:val="auto"/>
              </w:rPr>
              <w:t>September 30, 2012 and December 31, 2011, respectively</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7"/>
        </w:trPr>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435,804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429,813</w:t>
            </w:r>
          </w:p>
        </w:tc>
      </w:tr>
      <w:tr>
        <w:trPr>
          <w:trHeight w:val="216"/>
        </w:trPr>
        <w:tc>
          <w:tcPr>
            <w:tcW w:w="886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(313,166)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(238,812)</w:t>
            </w:r>
          </w:p>
        </w:tc>
      </w:tr>
      <w:tr>
        <w:trPr>
          <w:trHeight w:val="222"/>
        </w:trPr>
        <w:tc>
          <w:tcPr>
            <w:tcW w:w="6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122,707</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191,025</w:t>
            </w:r>
          </w:p>
        </w:tc>
        <w:tc>
          <w:tcPr>
            <w:tcW w:w="100" w:type="dxa"/>
            <w:vAlign w:val="bottom"/>
          </w:tcPr>
          <w:p>
            <w:pPr>
              <w:spacing w:after="0"/>
              <w:rPr>
                <w:sz w:val="19"/>
                <w:szCs w:val="19"/>
                <w:color w:val="auto"/>
              </w:rPr>
            </w:pPr>
          </w:p>
        </w:tc>
      </w:tr>
      <w:tr>
        <w:trPr>
          <w:trHeight w:val="217"/>
        </w:trPr>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Treasury stock at cost; 2,436 common shares at September 30, 2012 and December 31, 2011, respectively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r>
      <w:tr>
        <w:trPr>
          <w:trHeight w:val="230"/>
        </w:trPr>
        <w:tc>
          <w:tcPr>
            <w:tcW w:w="620" w:type="dxa"/>
            <w:vAlign w:val="bottom"/>
          </w:tcPr>
          <w:p>
            <w:pPr>
              <w:spacing w:after="0"/>
              <w:rPr>
                <w:sz w:val="20"/>
                <w:szCs w:val="20"/>
                <w:color w:val="auto"/>
              </w:rPr>
            </w:pPr>
          </w:p>
        </w:tc>
        <w:tc>
          <w:tcPr>
            <w:tcW w:w="8240" w:type="dxa"/>
            <w:vAlign w:val="bottom"/>
          </w:tcPr>
          <w:p>
            <w:pPr>
              <w:ind w:left="68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97,707</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166,025</w:t>
            </w:r>
          </w:p>
        </w:tc>
        <w:tc>
          <w:tcPr>
            <w:tcW w:w="100" w:type="dxa"/>
            <w:vAlign w:val="bottom"/>
          </w:tcPr>
          <w:p>
            <w:pPr>
              <w:spacing w:after="0"/>
              <w:rPr>
                <w:sz w:val="20"/>
                <w:szCs w:val="20"/>
                <w:color w:val="auto"/>
              </w:rPr>
            </w:pPr>
          </w:p>
        </w:tc>
      </w:tr>
      <w:tr>
        <w:trPr>
          <w:trHeight w:val="216"/>
        </w:trPr>
        <w:tc>
          <w:tcPr>
            <w:tcW w:w="620" w:type="dxa"/>
            <w:vAlign w:val="bottom"/>
            <w:shd w:val="clear" w:color="auto" w:fill="CCEEFF"/>
          </w:tcPr>
          <w:p>
            <w:pPr>
              <w:spacing w:after="0"/>
              <w:rPr>
                <w:sz w:val="18"/>
                <w:szCs w:val="18"/>
                <w:color w:val="auto"/>
              </w:rPr>
            </w:pPr>
          </w:p>
        </w:tc>
        <w:tc>
          <w:tcPr>
            <w:tcW w:w="8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165,602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249,179</w:t>
            </w:r>
          </w:p>
        </w:tc>
      </w:tr>
      <w:tr>
        <w:trPr>
          <w:trHeight w:val="20"/>
        </w:trPr>
        <w:tc>
          <w:tcPr>
            <w:tcW w:w="6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71,017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113,263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273,613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293,068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Cost of net revenues</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56,371</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214,728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234,202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14,646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58,885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58,866</w:t>
            </w:r>
          </w:p>
        </w:tc>
        <w:tc>
          <w:tcPr>
            <w:tcW w:w="0" w:type="dxa"/>
            <w:vAlign w:val="bottom"/>
          </w:tcPr>
          <w:p>
            <w:pPr>
              <w:spacing w:after="0"/>
              <w:rPr>
                <w:sz w:val="1"/>
                <w:szCs w:val="1"/>
                <w:color w:val="auto"/>
              </w:rPr>
            </w:pPr>
          </w:p>
        </w:tc>
      </w:tr>
      <w:tr>
        <w:trPr>
          <w:trHeight w:val="222"/>
        </w:trPr>
        <w:tc>
          <w:tcPr>
            <w:tcW w:w="68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14,696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44,982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6,267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7,211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21,255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Goodwill and intangible assets impairment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20,484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3,514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49,821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 assets</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46,499</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133,010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(31,853)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(74,125)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 income (expense):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net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Other expense, net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(31,826)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(74,078)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(11,165)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(10,592)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(31,933)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(74,354)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(21,488)</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Basic</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w w:val="99"/>
              </w:rPr>
              <w:t>Weighted average shares used in computation of basic and diluted net loss per share:</w:t>
            </w: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33,074</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33,074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32,370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32,683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(31,906)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(74,310)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640" w:type="dxa"/>
            <w:vAlign w:val="bottom"/>
            <w:gridSpan w:val="5"/>
          </w:tcPr>
          <w:p>
            <w:pPr>
              <w:jc w:val="center"/>
              <w:ind w:left="2672"/>
              <w:spacing w:after="0"/>
              <w:rPr>
                <w:sz w:val="20"/>
                <w:szCs w:val="20"/>
                <w:color w:val="auto"/>
              </w:rPr>
            </w:pPr>
            <w:r>
              <w:rPr>
                <w:rFonts w:ascii="Arial" w:cs="Arial" w:eastAsia="Arial" w:hAnsi="Arial"/>
                <w:sz w:val="18"/>
                <w:szCs w:val="18"/>
                <w:color w:val="auto"/>
                <w:w w:val="87"/>
              </w:rPr>
              <w:t>See accompanying notes to unaudited consolidated financial statements.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820" w:type="dxa"/>
            <w:vAlign w:val="bottom"/>
            <w:gridSpan w:val="2"/>
          </w:tcPr>
          <w:p>
            <w:pPr>
              <w:jc w:val="right"/>
              <w:ind w:right="972"/>
              <w:spacing w:after="0"/>
              <w:rPr>
                <w:sz w:val="20"/>
                <w:szCs w:val="20"/>
                <w:color w:val="auto"/>
              </w:rPr>
            </w:pPr>
            <w:r>
              <w:rPr>
                <w:rFonts w:ascii="Arial" w:cs="Arial" w:eastAsia="Arial" w:hAnsi="Arial"/>
                <w:sz w:val="18"/>
                <w:szCs w:val="18"/>
                <w:color w:val="auto"/>
              </w:rPr>
              <w:t>4</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(74,354)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(21,488)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Loss on sale/disposal of fixed asset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Loss on goodwill and purchased intangible assets impairment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49,821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loss on software license intangible assets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Provision for bad debts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impairment loss on marketable securities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Inventory provision</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Non-cash income tax expense (benefit)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assets and liabilities: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(3,460)</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80"/>
              <w:spacing w:after="0"/>
              <w:rPr>
                <w:sz w:val="20"/>
                <w:szCs w:val="20"/>
                <w:color w:val="auto"/>
              </w:rPr>
            </w:pPr>
            <w:r>
              <w:rPr>
                <w:rFonts w:ascii="Arial" w:cs="Arial" w:eastAsia="Arial" w:hAnsi="Arial"/>
                <w:sz w:val="18"/>
                <w:szCs w:val="18"/>
                <w:color w:val="auto"/>
              </w:rPr>
              <w:t>Prepaid expenses and other assets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(15,108)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1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(22,836)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(26,702)</w:t>
            </w:r>
          </w:p>
        </w:tc>
        <w:tc>
          <w:tcPr>
            <w:tcW w:w="0" w:type="dxa"/>
            <w:vAlign w:val="bottom"/>
          </w:tcPr>
          <w:p>
            <w:pPr>
              <w:spacing w:after="0"/>
              <w:rPr>
                <w:sz w:val="1"/>
                <w:szCs w:val="1"/>
                <w:color w:val="auto"/>
              </w:rPr>
            </w:pPr>
          </w:p>
        </w:tc>
      </w:tr>
      <w:tr>
        <w:trPr>
          <w:trHeight w:val="222"/>
        </w:trPr>
        <w:tc>
          <w:tcPr>
            <w:tcW w:w="83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Purchases of intangible assets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marketable securities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(31,871)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(21,366)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Marketable securities maturities / sales</w:t>
            </w:r>
          </w:p>
        </w:tc>
        <w:tc>
          <w:tcPr>
            <w:tcW w:w="1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27,506</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(8,386)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32,026</w:t>
            </w:r>
          </w:p>
        </w:tc>
        <w:tc>
          <w:tcPr>
            <w:tcW w:w="0" w:type="dxa"/>
            <w:vAlign w:val="bottom"/>
          </w:tcPr>
          <w:p>
            <w:pPr>
              <w:spacing w:after="0"/>
              <w:rPr>
                <w:sz w:val="1"/>
                <w:szCs w:val="1"/>
                <w:color w:val="auto"/>
              </w:rPr>
            </w:pPr>
          </w:p>
        </w:tc>
      </w:tr>
      <w:tr>
        <w:trPr>
          <w:trHeight w:val="222"/>
        </w:trPr>
        <w:tc>
          <w:tcPr>
            <w:tcW w:w="83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issuance of short-term debt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Principal repayments of short-term debt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Proceeds from stock option exercises and ESPP net of taxes paid on vested restricted stock units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(30,728)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47,069</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21,927</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8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Interest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Supplemental disclosures of non-cash investing activities: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Building rent incentives to fund leasehold improvements</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Supplemental disclosures of non-cash financing activities: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Marketable equity securities received in settlement of note receivable</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September 30, 2012 and the results of the Company’s operations for the three and nine months ended September 30, 2012 and 2011 are unaudited. The condensed consolidated financial statements reflect all adjustments, consisting of only normal recurring accruals, which are, in the opinion of management, necessary for a fair statement of the results of the interim periods presented. These condensed consolidated financial statements and notes hereto should be read in conjunction with the audited financial statements from which they were derived and notes thereto included in the Company’s Annual Report on Form 10-K for the year ended December 31, 2011. The accounting policies used in preparing these condensed consolidated financial statements are the same as those described in the Company’s Form 10-K with the exception of new accounting pronouncements adopted in 2012. The results of operations for the interim periods presented are not necessarily indicative of results to be expected for any other interim period or for the year as a whole.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valuation of intangible and long-lived assets, valuation of goodwill, litigation, provision for warranty costs, income taxes and share-based compensation expense.</w:t>
      </w:r>
    </w:p>
    <w:p>
      <w:pPr>
        <w:spacing w:after="0" w:line="1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Difficult global economic conditions, tight credit markets, volatile equity, foreign currency and energy markets and declines in consumer spending have combined to increase the uncertainty inherent in these estimates and assumptions. As future events and their effects cannot be determined with precision, particularly those related to the condition of the economy, actual results could differ significantly from these estimates.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September 2011, the Financial Accounting Standards Board (FASB) issued Accounting Standards Update (ASU) No. 2011-08 </w:t>
      </w:r>
      <w:r>
        <w:rPr>
          <w:rFonts w:ascii="Arial" w:cs="Arial" w:eastAsia="Arial" w:hAnsi="Arial"/>
          <w:sz w:val="16"/>
          <w:szCs w:val="16"/>
          <w:i w:val="1"/>
          <w:iCs w:val="1"/>
          <w:color w:val="auto"/>
        </w:rPr>
        <w:t>“Intangibles-Goodwill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(Topic 350) — Testing Goodwill for Impairment.” </w:t>
      </w:r>
      <w:r>
        <w:rPr>
          <w:rFonts w:ascii="Arial" w:cs="Arial" w:eastAsia="Arial" w:hAnsi="Arial"/>
          <w:sz w:val="16"/>
          <w:szCs w:val="16"/>
          <w:color w:val="auto"/>
        </w:rPr>
        <w:t>ASU 2011-08 amends the previous guidance under Topic 350 which required an entity to test</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for impairment, on at least an annual basis, by performing the two-step goodwill impairment test described in Topic 350. The amendments in ASU 2011-08 permit an entity to first assess qualitative factors to determine whether it is more likely than not that the fair value of a reporting unit is less than its carrying amount as a basis for determining whether it is necessary to perform the two-step goodwill impairment test. The more likely than not threshold is defined as having likelihood of more than 50 percent. ASU 2011-08 is effective for annual and interim goodwill impairment tests performed for fiscal years beginning after December 15, 2011. The Company has adopted ASU 2011-08 for our financial statement results beginning January 1, 2012 and there was no material impact on the consolidated financial statements upon adoption.</w:t>
      </w:r>
    </w:p>
    <w:p>
      <w:pPr>
        <w:spacing w:after="0" w:line="159"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In June 2011, the FASB issued ASU No. 2011-05 </w:t>
      </w:r>
      <w:r>
        <w:rPr>
          <w:rFonts w:ascii="Arial" w:cs="Arial" w:eastAsia="Arial" w:hAnsi="Arial"/>
          <w:sz w:val="18"/>
          <w:szCs w:val="18"/>
          <w:i w:val="1"/>
          <w:iCs w:val="1"/>
          <w:color w:val="auto"/>
        </w:rPr>
        <w:t>“Comprehensive Income (Topic 220) — Presentation of Comprehensive Income.”</w:t>
      </w:r>
      <w:r>
        <w:rPr>
          <w:rFonts w:ascii="Arial" w:cs="Arial" w:eastAsia="Arial" w:hAnsi="Arial"/>
          <w:sz w:val="18"/>
          <w:szCs w:val="18"/>
          <w:color w:val="auto"/>
        </w:rPr>
        <w:t xml:space="preserve"> ASU 2011-05 requires that all non-owner changes in stockholders’ equity be presented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ASU 2011-05 is effective retrospectively for fiscal years, and interim periods within those years, beginning after December 15, 2011. The Company has adopted ASU 2011-05 and for the 2012 interim periods we elected to present comprehensive income (loss) along with our condensed consolidated statements of operations in a single continuous statement.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left="460" w:right="9400" w:hanging="452"/>
        <w:spacing w:after="0" w:line="391" w:lineRule="auto"/>
        <w:tabs>
          <w:tab w:leader="none" w:pos="17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Balance Sheet Details </w:t>
      </w:r>
      <w:r>
        <w:rPr>
          <w:rFonts w:ascii="Arial" w:cs="Arial" w:eastAsia="Arial" w:hAnsi="Arial"/>
          <w:sz w:val="16"/>
          <w:szCs w:val="16"/>
          <w:i w:val="1"/>
          <w:iCs w:val="1"/>
          <w:color w:val="auto"/>
        </w:rPr>
        <w:t>Marketable Securities</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75"/>
              <w:spacing w:after="0"/>
              <w:rPr>
                <w:sz w:val="20"/>
                <w:szCs w:val="20"/>
                <w:color w:val="auto"/>
              </w:rPr>
            </w:pPr>
            <w:r>
              <w:rPr>
                <w:rFonts w:ascii="Arial" w:cs="Arial" w:eastAsia="Arial" w:hAnsi="Arial"/>
                <w:sz w:val="14"/>
                <w:szCs w:val="14"/>
                <w:b w:val="1"/>
                <w:bCs w:val="1"/>
                <w:color w:val="auto"/>
                <w:w w:val="83"/>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2012</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Maturity in</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3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6580" w:type="dxa"/>
            <w:vAlign w:val="bottom"/>
            <w:gridSpan w:val="3"/>
            <w:vMerge w:val="continue"/>
          </w:tcPr>
          <w:p>
            <w:pPr>
              <w:spacing w:after="0"/>
              <w:rPr>
                <w:sz w:val="12"/>
                <w:szCs w:val="12"/>
                <w:color w:val="auto"/>
              </w:rPr>
            </w:pPr>
          </w:p>
        </w:tc>
        <w:tc>
          <w:tcPr>
            <w:tcW w:w="108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2"/>
                <w:szCs w:val="12"/>
                <w:color w:val="auto"/>
              </w:rPr>
            </w:pPr>
          </w:p>
        </w:tc>
        <w:tc>
          <w:tcPr>
            <w:tcW w:w="520" w:type="dxa"/>
            <w:vAlign w:val="bottom"/>
          </w:tcPr>
          <w:p>
            <w:pPr>
              <w:jc w:val="right"/>
              <w:ind w:right="94"/>
              <w:spacing w:after="0" w:line="148" w:lineRule="exact"/>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55"/>
              <w:spacing w:after="0" w:line="148" w:lineRule="exact"/>
              <w:rPr>
                <w:sz w:val="20"/>
                <w:szCs w:val="20"/>
                <w:color w:val="auto"/>
              </w:rPr>
            </w:pPr>
            <w:r>
              <w:rPr>
                <w:rFonts w:ascii="Arial" w:cs="Arial" w:eastAsia="Arial" w:hAnsi="Arial"/>
                <w:sz w:val="14"/>
                <w:szCs w:val="14"/>
                <w:b w:val="1"/>
                <w:bCs w:val="1"/>
                <w:color w:val="auto"/>
                <w:w w:val="92"/>
              </w:rPr>
              <w:t>Gains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2"/>
                <w:szCs w:val="12"/>
                <w:color w:val="auto"/>
              </w:rPr>
            </w:pPr>
          </w:p>
        </w:tc>
        <w:tc>
          <w:tcPr>
            <w:tcW w:w="7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5420" w:type="dxa"/>
            <w:vAlign w:val="bottom"/>
            <w:tcBorders>
              <w:left w:val="single" w:sz="8" w:color="auto"/>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5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420"/>
              <w:spacing w:after="0"/>
              <w:rPr>
                <w:sz w:val="20"/>
                <w:szCs w:val="20"/>
                <w:color w:val="auto"/>
              </w:rPr>
            </w:pPr>
            <w:r>
              <w:rPr>
                <w:rFonts w:ascii="Arial" w:cs="Arial" w:eastAsia="Arial" w:hAnsi="Arial"/>
                <w:sz w:val="18"/>
                <w:szCs w:val="18"/>
                <w:color w:val="auto"/>
              </w:rPr>
              <w:t>Government agency securities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1 or less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3,681</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Municipal bonds</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1 or less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14,678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420"/>
              <w:spacing w:after="0"/>
              <w:rPr>
                <w:sz w:val="20"/>
                <w:szCs w:val="20"/>
                <w:color w:val="auto"/>
              </w:rPr>
            </w:pPr>
            <w:r>
              <w:rPr>
                <w:rFonts w:ascii="Arial" w:cs="Arial" w:eastAsia="Arial" w:hAnsi="Arial"/>
                <w:sz w:val="18"/>
                <w:szCs w:val="18"/>
                <w:color w:val="auto"/>
              </w:rPr>
              <w:t>Certificates of deposit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1 or less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4,079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debentures / bonds</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1 or less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17,496</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gridSpan w:val="2"/>
          </w:tcPr>
          <w:p>
            <w:pPr>
              <w:ind w:left="860"/>
              <w:spacing w:after="0"/>
              <w:rPr>
                <w:sz w:val="20"/>
                <w:szCs w:val="20"/>
                <w:color w:val="auto"/>
              </w:rPr>
            </w:pPr>
            <w:r>
              <w:rPr>
                <w:rFonts w:ascii="Arial" w:cs="Arial" w:eastAsia="Arial" w:hAnsi="Arial"/>
                <w:sz w:val="18"/>
                <w:szCs w:val="18"/>
                <w:color w:val="auto"/>
              </w:rPr>
              <w:t>Total short-term marketable securities</w:t>
            </w: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39,934</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39,958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420"/>
              <w:spacing w:after="0"/>
              <w:rPr>
                <w:sz w:val="20"/>
                <w:szCs w:val="20"/>
                <w:color w:val="auto"/>
              </w:rPr>
            </w:pPr>
            <w:r>
              <w:rPr>
                <w:rFonts w:ascii="Arial" w:cs="Arial" w:eastAsia="Arial" w:hAnsi="Arial"/>
                <w:sz w:val="18"/>
                <w:szCs w:val="18"/>
                <w:color w:val="auto"/>
              </w:rPr>
              <w:t>Government agency securities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 to 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Municipal bonds</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 to 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tcPr>
          <w:p>
            <w:pPr>
              <w:ind w:left="420"/>
              <w:spacing w:after="0"/>
              <w:rPr>
                <w:sz w:val="20"/>
                <w:szCs w:val="20"/>
                <w:color w:val="auto"/>
              </w:rPr>
            </w:pPr>
            <w:r>
              <w:rPr>
                <w:rFonts w:ascii="Arial" w:cs="Arial" w:eastAsia="Arial" w:hAnsi="Arial"/>
                <w:sz w:val="18"/>
                <w:szCs w:val="18"/>
                <w:color w:val="auto"/>
              </w:rPr>
              <w:t>Certificates of deposit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 to 2</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long-term marketable securities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$ 46,096</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$ 46,132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75"/>
              <w:spacing w:after="0"/>
              <w:rPr>
                <w:sz w:val="20"/>
                <w:szCs w:val="20"/>
                <w:color w:val="auto"/>
              </w:rPr>
            </w:pPr>
            <w:r>
              <w:rPr>
                <w:rFonts w:ascii="Arial" w:cs="Arial" w:eastAsia="Arial" w:hAnsi="Arial"/>
                <w:sz w:val="14"/>
                <w:szCs w:val="14"/>
                <w:b w:val="1"/>
                <w:bCs w:val="1"/>
                <w:color w:val="auto"/>
                <w:w w:val="83"/>
              </w:rPr>
              <w:t>Gross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2011</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Maturity in</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3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6580" w:type="dxa"/>
            <w:vAlign w:val="bottom"/>
            <w:gridSpan w:val="3"/>
            <w:vMerge w:val="continue"/>
          </w:tcPr>
          <w:p>
            <w:pPr>
              <w:spacing w:after="0"/>
              <w:rPr>
                <w:sz w:val="12"/>
                <w:szCs w:val="12"/>
                <w:color w:val="auto"/>
              </w:rPr>
            </w:pPr>
          </w:p>
        </w:tc>
        <w:tc>
          <w:tcPr>
            <w:tcW w:w="108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2"/>
                <w:szCs w:val="12"/>
                <w:color w:val="auto"/>
              </w:rPr>
            </w:pPr>
          </w:p>
        </w:tc>
        <w:tc>
          <w:tcPr>
            <w:tcW w:w="520" w:type="dxa"/>
            <w:vAlign w:val="bottom"/>
          </w:tcPr>
          <w:p>
            <w:pPr>
              <w:jc w:val="right"/>
              <w:ind w:right="94"/>
              <w:spacing w:after="0" w:line="148" w:lineRule="exact"/>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55"/>
              <w:spacing w:after="0" w:line="148" w:lineRule="exact"/>
              <w:rPr>
                <w:sz w:val="20"/>
                <w:szCs w:val="20"/>
                <w:color w:val="auto"/>
              </w:rPr>
            </w:pPr>
            <w:r>
              <w:rPr>
                <w:rFonts w:ascii="Arial" w:cs="Arial" w:eastAsia="Arial" w:hAnsi="Arial"/>
                <w:sz w:val="14"/>
                <w:szCs w:val="14"/>
                <w:b w:val="1"/>
                <w:bCs w:val="1"/>
                <w:color w:val="auto"/>
                <w:w w:val="92"/>
              </w:rPr>
              <w:t>Gains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2"/>
                <w:szCs w:val="12"/>
                <w:color w:val="auto"/>
              </w:rPr>
            </w:pPr>
          </w:p>
        </w:tc>
        <w:tc>
          <w:tcPr>
            <w:tcW w:w="7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5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420"/>
              <w:spacing w:after="0"/>
              <w:rPr>
                <w:sz w:val="20"/>
                <w:szCs w:val="20"/>
                <w:color w:val="auto"/>
              </w:rPr>
            </w:pPr>
            <w:r>
              <w:rPr>
                <w:rFonts w:ascii="Arial" w:cs="Arial" w:eastAsia="Arial" w:hAnsi="Arial"/>
                <w:sz w:val="18"/>
                <w:szCs w:val="18"/>
                <w:color w:val="auto"/>
              </w:rPr>
              <w:t>Government agency securities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1 or less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6,913</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Municipal bonds</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1 or less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420"/>
              <w:spacing w:after="0"/>
              <w:rPr>
                <w:sz w:val="20"/>
                <w:szCs w:val="20"/>
                <w:color w:val="auto"/>
              </w:rPr>
            </w:pPr>
            <w:r>
              <w:rPr>
                <w:rFonts w:ascii="Arial" w:cs="Arial" w:eastAsia="Arial" w:hAnsi="Arial"/>
                <w:sz w:val="18"/>
                <w:szCs w:val="18"/>
                <w:color w:val="auto"/>
              </w:rPr>
              <w:t>Certificates of deposit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1 or less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debentures / bonds</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1 or less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tcPr>
          <w:p>
            <w:pPr>
              <w:ind w:left="420"/>
              <w:spacing w:after="0"/>
              <w:rPr>
                <w:sz w:val="20"/>
                <w:szCs w:val="20"/>
                <w:color w:val="auto"/>
              </w:rPr>
            </w:pPr>
            <w:r>
              <w:rPr>
                <w:rFonts w:ascii="Arial" w:cs="Arial" w:eastAsia="Arial" w:hAnsi="Arial"/>
                <w:sz w:val="18"/>
                <w:szCs w:val="18"/>
                <w:color w:val="auto"/>
              </w:rPr>
              <w:t>Marketable equity securities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1 or less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short-term marketable securities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28,275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gridSpan w:val="3"/>
          </w:tcPr>
          <w:p>
            <w:pPr>
              <w:spacing w:after="0"/>
              <w:rPr>
                <w:sz w:val="20"/>
                <w:szCs w:val="20"/>
                <w:color w:val="auto"/>
              </w:rPr>
            </w:pPr>
            <w:r>
              <w:rPr>
                <w:rFonts w:ascii="Arial" w:cs="Arial" w:eastAsia="Arial" w:hAnsi="Arial"/>
                <w:sz w:val="18"/>
                <w:szCs w:val="18"/>
                <w:color w:val="auto"/>
              </w:rPr>
              <w:t>Available-for-sale:</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Government agency securities</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 to 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420"/>
              <w:spacing w:after="0"/>
              <w:rPr>
                <w:sz w:val="20"/>
                <w:szCs w:val="20"/>
                <w:color w:val="auto"/>
              </w:rPr>
            </w:pPr>
            <w:r>
              <w:rPr>
                <w:rFonts w:ascii="Arial" w:cs="Arial" w:eastAsia="Arial" w:hAnsi="Arial"/>
                <w:sz w:val="18"/>
                <w:szCs w:val="18"/>
                <w:color w:val="auto"/>
              </w:rPr>
              <w:t>Municipal bonds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 to 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5,967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 to 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long-term marketable securities</w:t>
            </w: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13,498</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$ 41,773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$ 41,762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Company’s available-for-sale securities are carried on the condensed consolidated balance sheet at fair market value with the related unrealized gains and losses included in accumulated other comprehensive income (loss) on the condensed consolidated balance sheet, which is a separate component of stockholders’ equity. Realized gains and losses on the sale of available-for-sale marketable securities are determined using the specific-identification method.</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September 30, 2012, the Company recorded a net unrealized gain of $36,000. The Company’s net unrealized gain is the result of market conditions affecting its fixed-income, debt and equity securities, which are included in accumulated other comprehensive income (loss) in the condensed consolidated balance sheet for the period then ended.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8,120</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36,527</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1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6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Royalties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7,628</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Market development funds and price protection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1,448</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25,188</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Accrued Warranty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warranty obligations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2"/>
                <w:szCs w:val="12"/>
                <w:color w:val="auto"/>
              </w:rPr>
            </w:pPr>
          </w:p>
        </w:tc>
        <w:tc>
          <w:tcPr>
            <w:tcW w:w="168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2"/>
                <w:szCs w:val="12"/>
                <w:color w:val="auto"/>
              </w:rPr>
            </w:pPr>
          </w:p>
        </w:tc>
        <w:tc>
          <w:tcPr>
            <w:tcW w:w="13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37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Warranty liability at beginning of period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Additions charged to operations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849</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1,035</w:t>
            </w:r>
          </w:p>
        </w:tc>
        <w:tc>
          <w:tcPr>
            <w:tcW w:w="1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3,579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Deductions from liability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(1,042)</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(1,015)</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Warranty liability at end of period</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8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2,481</w:t>
            </w:r>
          </w:p>
        </w:tc>
        <w:tc>
          <w:tcPr>
            <w:tcW w:w="6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1,729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2,481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accrues warranty costs based on estimates of future warranty-related replacement, repairs or rework of products. The Company generally provides one to three years of coverage for products following the date of purchase and the Company accrues the estimated cost of warranty coverage as a component of cost of net revenues in the condensed consolidated statements of operations and comprehensive income (loss) at the time revenue is recognized. In estimating our future warranty obligations, we consider various relevant factors, including the historical frequency and volume of claims, and the cost to replace or repair products under warranty.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8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amortizable purchased intangible assets resulting from its acquisition of Enfora are composed of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85"/>
              </w:rPr>
              <w:t>September 30, 2012</w:t>
            </w:r>
          </w:p>
        </w:tc>
        <w:tc>
          <w:tcPr>
            <w:tcW w:w="1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December 31, 2011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0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March 31, 2012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September 30, 2012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ind w:right="62"/>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Impairment</w:t>
            </w:r>
          </w:p>
        </w:tc>
        <w:tc>
          <w:tcPr>
            <w:tcW w:w="10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Preliminary Impairment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96"/>
              <w:spacing w:after="0"/>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720" w:type="dxa"/>
            <w:vAlign w:val="bottom"/>
            <w:gridSpan w:val="2"/>
          </w:tcPr>
          <w:p>
            <w:pPr>
              <w:ind w:left="220"/>
              <w:spacing w:after="0"/>
              <w:rPr>
                <w:sz w:val="20"/>
                <w:szCs w:val="20"/>
                <w:color w:val="auto"/>
              </w:rPr>
            </w:pPr>
            <w:r>
              <w:rPr>
                <w:rFonts w:ascii="Arial" w:cs="Arial" w:eastAsia="Arial" w:hAnsi="Arial"/>
                <w:sz w:val="14"/>
                <w:szCs w:val="14"/>
                <w:b w:val="1"/>
                <w:bCs w:val="1"/>
                <w:color w:val="auto"/>
              </w:rPr>
              <w:t>Net</w:t>
            </w:r>
          </w:p>
        </w:tc>
      </w:tr>
      <w:tr>
        <w:trPr>
          <w:trHeight w:val="210"/>
        </w:trPr>
        <w:tc>
          <w:tcPr>
            <w:tcW w:w="3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Developed technologies</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$ 26,000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7"/>
              </w:rPr>
              <w:t>(5,703)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7"/>
              </w:rPr>
              <w:t>(4,070)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$ 26,000</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3"/>
              </w:rPr>
              <w:t>(4,163)</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$ 21,837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Trade name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12,800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(5,693)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820"/>
              <w:spacing w:after="0"/>
              <w:rPr>
                <w:sz w:val="20"/>
                <w:szCs w:val="20"/>
                <w:color w:val="auto"/>
              </w:rPr>
            </w:pPr>
            <w:r>
              <w:rPr>
                <w:rFonts w:ascii="Arial" w:cs="Arial" w:eastAsia="Arial" w:hAnsi="Arial"/>
                <w:sz w:val="18"/>
                <w:szCs w:val="18"/>
                <w:color w:val="auto"/>
              </w:rPr>
              <w:t>(3,189)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1,900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12,800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(1,387)</w:t>
            </w:r>
          </w:p>
        </w:tc>
        <w:tc>
          <w:tcPr>
            <w:tcW w:w="620" w:type="dxa"/>
            <w:vAlign w:val="bottom"/>
          </w:tcPr>
          <w:p>
            <w:pPr>
              <w:jc w:val="right"/>
              <w:spacing w:after="0"/>
              <w:rPr>
                <w:sz w:val="20"/>
                <w:szCs w:val="20"/>
                <w:color w:val="auto"/>
              </w:rPr>
            </w:pPr>
            <w:r>
              <w:rPr>
                <w:rFonts w:ascii="Arial" w:cs="Arial" w:eastAsia="Arial" w:hAnsi="Arial"/>
                <w:sz w:val="18"/>
                <w:szCs w:val="18"/>
                <w:color w:val="auto"/>
              </w:rPr>
              <w:t>11,413</w:t>
            </w: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(1,609)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18"/>
                <w:szCs w:val="18"/>
                <w:color w:val="auto"/>
              </w:rPr>
            </w:pPr>
          </w:p>
        </w:tc>
      </w:tr>
      <w:tr>
        <w:trPr>
          <w:trHeight w:val="215"/>
        </w:trPr>
        <w:tc>
          <w:tcPr>
            <w:tcW w:w="3260" w:type="dxa"/>
            <w:vAlign w:val="bottom"/>
          </w:tcPr>
          <w:p>
            <w:pPr>
              <w:spacing w:after="0"/>
              <w:rPr>
                <w:sz w:val="20"/>
                <w:szCs w:val="20"/>
                <w:color w:val="auto"/>
              </w:rPr>
            </w:pPr>
            <w:r>
              <w:rPr>
                <w:rFonts w:ascii="Arial" w:cs="Arial" w:eastAsia="Arial" w:hAnsi="Arial"/>
                <w:sz w:val="18"/>
                <w:szCs w:val="18"/>
                <w:color w:val="auto"/>
              </w:rPr>
              <w:t>Total amortizable purchased intangible</w:t>
            </w:r>
          </w:p>
        </w:tc>
        <w:tc>
          <w:tcPr>
            <w:tcW w:w="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260" w:type="dxa"/>
            <w:vAlign w:val="bottom"/>
          </w:tcPr>
          <w:p>
            <w:pPr>
              <w:ind w:left="220"/>
              <w:spacing w:after="0"/>
              <w:rPr>
                <w:sz w:val="20"/>
                <w:szCs w:val="20"/>
                <w:color w:val="auto"/>
              </w:rPr>
            </w:pPr>
            <w:r>
              <w:rPr>
                <w:rFonts w:ascii="Arial" w:cs="Arial" w:eastAsia="Arial" w:hAnsi="Arial"/>
                <w:sz w:val="18"/>
                <w:szCs w:val="18"/>
                <w:color w:val="auto"/>
              </w:rPr>
              <w:t>assets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$ 42,520</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(9,589)</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(22,790)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20"/>
              <w:spacing w:after="0"/>
              <w:rPr>
                <w:sz w:val="20"/>
                <w:szCs w:val="20"/>
                <w:color w:val="auto"/>
              </w:rPr>
            </w:pPr>
            <w:r>
              <w:rPr>
                <w:rFonts w:ascii="Arial" w:cs="Arial" w:eastAsia="Arial" w:hAnsi="Arial"/>
                <w:sz w:val="18"/>
                <w:szCs w:val="18"/>
                <w:color w:val="auto"/>
              </w:rPr>
              <w:t>(7,259)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2,882</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$ 42,520</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(7,159)</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$ 35,361</w:t>
            </w:r>
          </w:p>
        </w:tc>
        <w:tc>
          <w:tcPr>
            <w:tcW w:w="100" w:type="dxa"/>
            <w:vAlign w:val="bottom"/>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presents details of the amortization of purchased intangible assets included in the cost of net revenues and general and administrative expense categories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8"/>
              </w:rPr>
              <w:t>Three Months Ended</w:t>
            </w: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5"/>
              </w:rPr>
              <w:t>September 30,</w:t>
            </w:r>
          </w:p>
        </w:tc>
        <w:tc>
          <w:tcPr>
            <w:tcW w:w="148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2011</w:t>
            </w:r>
          </w:p>
        </w:tc>
        <w:tc>
          <w:tcPr>
            <w:tcW w:w="360" w:type="dxa"/>
            <w:vAlign w:val="bottom"/>
          </w:tcPr>
          <w:p>
            <w:pPr>
              <w:spacing w:after="0"/>
              <w:rPr>
                <w:sz w:val="12"/>
                <w:szCs w:val="12"/>
                <w:color w:val="auto"/>
              </w:rPr>
            </w:pPr>
          </w:p>
        </w:tc>
        <w:tc>
          <w:tcPr>
            <w:tcW w:w="50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$1,539</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4,843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quarter ended March 31, 2012, the Company recorded an impairment loss of $22.8 million related to a decrease in the estimated fair values of the purchased intangible assets fair values. At September 30, 2012, the Company performed a preliminary interim impairment assessment of its purchased intangible assets. The resulting preliminary impairment of $7.3 million has been recorded as a loss in the current quarter and the intangible asset values have been recorded at their estimated fair value. See Note 4.</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represents details of the amortization of existing purchased intangible assets that is currently estimated to be expensed in the remainder of 2012 and thereafter (in thousands):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Fiscal year:</w:t>
            </w: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03"/>
        </w:trPr>
        <w:tc>
          <w:tcPr>
            <w:tcW w:w="7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2012 (remaining 3 months)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2013</w:t>
            </w:r>
          </w:p>
        </w:tc>
        <w:tc>
          <w:tcPr>
            <w:tcW w:w="6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2015</w:t>
            </w:r>
          </w:p>
        </w:tc>
        <w:tc>
          <w:tcPr>
            <w:tcW w:w="6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2,882</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Additionally, at September 30, 2012 and December 31, 2011, the Company had $209,000 and $341,000, respectively, of acquired software licenses, net of accumulated amortization of $2.0 million and $3.7 million, respectively. The acquired software licenses represent rights to use certain software necessary for commercial sale of the Company’s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changes in the carrying amount of goodwill for the nine month periods ended September 30, 2012 and 2011 are as follows (in thousands):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7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 at beginning of period</w:t>
            </w:r>
          </w:p>
        </w:tc>
        <w:tc>
          <w:tcPr>
            <w:tcW w:w="2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13,225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$22,258</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19,772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$22,258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Goodwill impairment during the period</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(13,225)</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(19,772)</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 net</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8"/>
                <w:szCs w:val="18"/>
                <w:color w:val="auto"/>
              </w:rPr>
              <w:t>Goodwill at end of period</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19,535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80" w:type="dxa"/>
            <w:vAlign w:val="bottom"/>
            <w:vMerge w:val="restart"/>
          </w:tcPr>
          <w:p>
            <w:pPr>
              <w:jc w:val="right"/>
              <w:ind w:right="1092"/>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ind w:right="1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third quarter of 2012, the first quarter of 2012 and the third quarter of 2011, based on actual operating results, and reductions in management’s then estimates of forecasted operating results of the M2M Products and Solutions reporting unit principally due to updated views of competitive pressures impacting average selling prices, customer product and technology selections, and the loss of certain customers, the Company determined there were sufficient indicators of impairment present to require an interim impairment analysis during the respective impacted quarters.</w:t>
      </w:r>
    </w:p>
    <w:p>
      <w:pPr>
        <w:spacing w:after="0" w:line="11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Based upon fair value tests performed with the assistance of third party independent appraisals, during the first quarter of 2012 and the third quarter of 2011, the Company recorded pre-tax goodwill impairment charges of $6.5 million and $3.5 million, respectively, and a purchased intangible asset impairment charge of $22.8 million during the first quarter of 2012.</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Based upon fair value tests performed with the assistance of a third party independent appraisal, the Company recorded a preliminary pre-tax goodwill impairment charge of approximately $13.2 million and a preliminary purchased intangible asset charge of approximately $7.3 million during the third quarter of 2012. As of November 9, 2012, the Company had not finalized its review of these impairments analyses due to the limited time period from the first indication of the potential impairments to the date of this filing and the complexities involved in estimating the fair value of certain assets and liabilities. Any adjustments to those estimated charges resulting from the completion of the measurement of the impairment losses will be recognized in the fourth quarter of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 of Assets and Liabilities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Company’s fair value measurements relate to its cash equivalents, marketable debt securities, and marketable equity securities, which are classified pursuant to authoritative guidance for fair value measurements. The Company places its cash equivalents and marketable debt securities in instruments that meet credit quality standards, as specified in its investment policy guidelines. These guidelines also limit the amount of credit exposure to any one issue, issuer or type of instrument.</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financial instruments consist principally of cash and cash equivalents, and short-term and long-term marketable debt securities. The Company’s cash and cash equivalents consist of its investment in money market securities and treasury bills. The Company’s marketable debt securities consist primarily of government agency securities, municipal bonds, time deposits and investment-grade corporate bonds.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Assets and liabilities measured at fair value are categorized based on whether or not the inputs are observable in the market and the degree to which the inputs are observable. The categorization of financial instruments within the valuation hierarchy is based upon the lowest level of input that is significant to the fair value measurement. The hierarchy is prioritized into three levels (with Level 3 being the lowest) defined as follows: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Pricing inputs are based on quoted market prices for identical assets or liabilities in active markets (e.g., NYSE). Active markets are those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for the asset or liability occur in sufficient frequency and volume to provide pricing information on an ongoing basis.</w:t>
      </w:r>
    </w:p>
    <w:p>
      <w:pPr>
        <w:spacing w:after="0" w:line="8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Pricing inputs include benchmark yields, trade data, reported trades and broker dealer quotes, two-sided markets and industry &amp; economic events,</w:t>
      </w:r>
      <w:r>
        <w:rPr>
          <w:rFonts w:ascii="Arial" w:cs="Arial" w:eastAsia="Arial" w:hAnsi="Arial"/>
          <w:sz w:val="16"/>
          <w:szCs w:val="16"/>
          <w:i w:val="1"/>
          <w:iCs w:val="1"/>
          <w:color w:val="auto"/>
        </w:rPr>
        <w:t xml:space="preserve"> </w:t>
      </w:r>
      <w:r>
        <w:rPr>
          <w:rFonts w:ascii="Arial" w:cs="Arial" w:eastAsia="Arial" w:hAnsi="Arial"/>
          <w:sz w:val="16"/>
          <w:szCs w:val="16"/>
          <w:color w:val="auto"/>
        </w:rPr>
        <w:t>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19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fair value of the majority of our cash and cash equivalents and marketable equity securities were determined based on Level 1 inputs. The fair value of our marketable debt securities was determined based on Level 2 inputs. We do not have any securities in the Level 3 category. The Company reviews the fair value hierarchy classification on a quarterly basis. Changes in the observability of valuation inputs may result in a reclassification of levels for certain securities within the fair value hierarchy.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 w:name="page11"/>
    <w:bookmarkEnd w:id="1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Company’s financial instruments measured at fair value on a recurring basis in accordance with the authoritative guidance for fair value measurements as of September 30, 2012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280" w:type="dxa"/>
            <w:vAlign w:val="bottom"/>
          </w:tcPr>
          <w:p>
            <w:pPr>
              <w:spacing w:after="0"/>
              <w:rPr>
                <w:sz w:val="15"/>
                <w:szCs w:val="15"/>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2"/>
              </w:rPr>
              <w:t>Level 1</w:t>
            </w:r>
          </w:p>
        </w:tc>
        <w:tc>
          <w:tcPr>
            <w:tcW w:w="640" w:type="dxa"/>
            <w:vAlign w:val="bottom"/>
          </w:tcPr>
          <w:p>
            <w:pPr>
              <w:spacing w:after="0"/>
              <w:rPr>
                <w:sz w:val="15"/>
                <w:szCs w:val="15"/>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Level 2</w:t>
            </w:r>
          </w:p>
        </w:tc>
      </w:tr>
      <w:tr>
        <w:trPr>
          <w:trHeight w:val="190"/>
        </w:trPr>
        <w:tc>
          <w:tcPr>
            <w:tcW w:w="5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18"/>
                <w:szCs w:val="18"/>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5,146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$5,146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700" w:type="dxa"/>
            <w:vAlign w:val="bottom"/>
          </w:tcPr>
          <w:p>
            <w:pPr>
              <w:spacing w:after="0"/>
              <w:rPr>
                <w:sz w:val="19"/>
                <w:szCs w:val="19"/>
                <w:color w:val="auto"/>
              </w:rPr>
            </w:pPr>
          </w:p>
        </w:tc>
        <w:tc>
          <w:tcPr>
            <w:tcW w:w="528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6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6,584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18"/>
                <w:szCs w:val="18"/>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Short-term marketable securities:</w:t>
            </w: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Available-for-sale:</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Arial" w:cs="Arial" w:eastAsia="Arial" w:hAnsi="Arial"/>
                <w:sz w:val="18"/>
                <w:szCs w:val="18"/>
                <w:color w:val="auto"/>
              </w:rPr>
              <w:t>Government agency securities</w:t>
            </w:r>
          </w:p>
        </w:tc>
        <w:tc>
          <w:tcPr>
            <w:tcW w:w="3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3,681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18"/>
                <w:szCs w:val="18"/>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14,689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14,689</w:t>
            </w: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3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4,081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18"/>
                <w:szCs w:val="18"/>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debentures / bonds</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17,507</w:t>
            </w:r>
          </w:p>
        </w:tc>
        <w:tc>
          <w:tcPr>
            <w:tcW w:w="6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17,507</w:t>
            </w:r>
          </w:p>
        </w:tc>
        <w:tc>
          <w:tcPr>
            <w:tcW w:w="100" w:type="dxa"/>
            <w:vAlign w:val="bottom"/>
            <w:shd w:val="clear" w:color="auto" w:fill="CCEEFF"/>
          </w:tcPr>
          <w:p>
            <w:pPr>
              <w:spacing w:after="0"/>
              <w:rPr>
                <w:sz w:val="18"/>
                <w:szCs w:val="18"/>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Total short-term marketable securities</w:t>
            </w:r>
          </w:p>
        </w:tc>
        <w:tc>
          <w:tcPr>
            <w:tcW w:w="360" w:type="dxa"/>
            <w:vAlign w:val="bottom"/>
          </w:tcPr>
          <w:p>
            <w:pPr>
              <w:spacing w:after="0"/>
              <w:rPr>
                <w:sz w:val="20"/>
                <w:szCs w:val="20"/>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39,958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39,958</w:t>
            </w: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440"/>
              <w:spacing w:after="0"/>
              <w:rPr>
                <w:sz w:val="20"/>
                <w:szCs w:val="20"/>
                <w:color w:val="auto"/>
              </w:rPr>
            </w:pPr>
            <w:r>
              <w:rPr>
                <w:rFonts w:ascii="Arial" w:cs="Arial" w:eastAsia="Arial" w:hAnsi="Arial"/>
                <w:sz w:val="18"/>
                <w:szCs w:val="18"/>
                <w:color w:val="auto"/>
              </w:rPr>
              <w:t>Available-for-sale:</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18"/>
                <w:szCs w:val="18"/>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agency securities</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3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805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18"/>
                <w:szCs w:val="18"/>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6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00" w:type="dxa"/>
            <w:vAlign w:val="bottom"/>
            <w:shd w:val="clear" w:color="auto" w:fill="CCEEFF"/>
          </w:tcPr>
          <w:p>
            <w:pPr>
              <w:spacing w:after="0"/>
              <w:rPr>
                <w:sz w:val="18"/>
                <w:szCs w:val="18"/>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Total long-term marketable securities</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w:t>
            </w:r>
          </w:p>
        </w:tc>
        <w:tc>
          <w:tcPr>
            <w:tcW w:w="64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w:t>
            </w: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52,716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5,146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47,570</w:t>
            </w:r>
          </w:p>
        </w:tc>
        <w:tc>
          <w:tcPr>
            <w:tcW w:w="100" w:type="dxa"/>
            <w:vAlign w:val="bottom"/>
            <w:shd w:val="clear" w:color="auto" w:fill="CCEEFF"/>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2011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1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580" w:type="dxa"/>
            <w:vAlign w:val="bottom"/>
          </w:tcPr>
          <w:p>
            <w:pPr>
              <w:spacing w:after="0"/>
              <w:rPr>
                <w:sz w:val="15"/>
                <w:szCs w:val="15"/>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0"/>
        </w:trPr>
        <w:tc>
          <w:tcPr>
            <w:tcW w:w="38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2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5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25,137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$25,137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5,784</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2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25,137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Short-term marketable securities:</w:t>
            </w:r>
          </w:p>
        </w:tc>
        <w:tc>
          <w:tcPr>
            <w:tcW w:w="2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Available-for-sale:</w:t>
            </w:r>
          </w:p>
        </w:tc>
        <w:tc>
          <w:tcPr>
            <w:tcW w:w="2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Government agency securities</w:t>
            </w: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6,912</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2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8,384</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4,321</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debentures / bonds</w:t>
            </w:r>
          </w:p>
        </w:tc>
        <w:tc>
          <w:tcPr>
            <w:tcW w:w="2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8,612</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Marketable equity securities</w:t>
            </w: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2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Available-for-sale:</w:t>
            </w:r>
          </w:p>
        </w:tc>
        <w:tc>
          <w:tcPr>
            <w:tcW w:w="2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Government agency securities</w:t>
            </w: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3,738</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2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5,969</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3,788</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marketable securities</w:t>
            </w:r>
          </w:p>
        </w:tc>
        <w:tc>
          <w:tcPr>
            <w:tcW w:w="2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13,495</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Total financial assets</w:t>
            </w:r>
          </w:p>
        </w:tc>
        <w:tc>
          <w:tcPr>
            <w:tcW w:w="2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60" w:type="dxa"/>
            <w:vAlign w:val="bottom"/>
            <w:gridSpan w:val="2"/>
            <w:vMerge w:val="continue"/>
          </w:tcPr>
          <w:p>
            <w:pPr>
              <w:spacing w:after="0"/>
              <w:rPr>
                <w:sz w:val="19"/>
                <w:szCs w:val="19"/>
                <w:color w:val="auto"/>
              </w:rPr>
            </w:pPr>
          </w:p>
        </w:tc>
        <w:tc>
          <w:tcPr>
            <w:tcW w:w="25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72,683</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25,175</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20" w:type="dxa"/>
            <w:vAlign w:val="bottom"/>
            <w:vMerge w:val="restart"/>
          </w:tcPr>
          <w:p>
            <w:pPr>
              <w:jc w:val="right"/>
              <w:ind w:right="1112"/>
              <w:spacing w:after="0"/>
              <w:rPr>
                <w:sz w:val="20"/>
                <w:szCs w:val="20"/>
                <w:color w:val="auto"/>
              </w:rPr>
            </w:pPr>
            <w:r>
              <w:rPr>
                <w:rFonts w:ascii="Arial" w:cs="Arial" w:eastAsia="Arial" w:hAnsi="Arial"/>
                <w:sz w:val="18"/>
                <w:szCs w:val="18"/>
                <w:color w:val="auto"/>
              </w:rPr>
              <w:t>11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240" w:top="280" w:right="7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 Share-Based Compensation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included the following amounts for share-based compensation awards in the accompanying unaudited condensed consolidated statements of operations and comprehensive income (loss) for the three and nine months ended September 30, 2012 and 2011 (in thousands):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8"/>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1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2,033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1,337</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1,766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1,447</w:t>
            </w:r>
          </w:p>
        </w:tc>
        <w:tc>
          <w:tcPr>
            <w:tcW w:w="100" w:type="dxa"/>
            <w:vAlign w:val="bottom"/>
          </w:tcPr>
          <w:p>
            <w:pPr>
              <w:spacing w:after="0"/>
              <w:rPr>
                <w:sz w:val="18"/>
                <w:szCs w:val="18"/>
                <w:color w:val="auto"/>
              </w:rPr>
            </w:pPr>
          </w:p>
        </w:tc>
      </w:tr>
      <w:tr>
        <w:trPr>
          <w:trHeight w:val="27"/>
        </w:trPr>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1,571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4,057</w:t>
            </w:r>
          </w:p>
        </w:tc>
        <w:tc>
          <w:tcPr>
            <w:tcW w:w="100" w:type="dxa"/>
            <w:vAlign w:val="bottom"/>
            <w:shd w:val="clear" w:color="auto" w:fill="CCEEFF"/>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7480" w:hanging="452"/>
        <w:spacing w:after="0" w:line="347" w:lineRule="auto"/>
        <w:tabs>
          <w:tab w:leader="none" w:pos="17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Company reports segment information based on the “management” approach. The management approach designates the internal reporting used by senior management for making decisions and assessing performance as the source of the Company’s reportable segments.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operates in the wireless broadband technology industry and senior management makes decisions about allocating resources based on the following reportable segments:</w:t>
      </w:r>
    </w:p>
    <w:p>
      <w:pPr>
        <w:spacing w:after="0" w:line="51" w:lineRule="exact"/>
        <w:rPr>
          <w:sz w:val="20"/>
          <w:szCs w:val="20"/>
          <w:color w:val="auto"/>
        </w:rPr>
      </w:pPr>
    </w:p>
    <w:p>
      <w:pPr>
        <w:ind w:left="900" w:right="7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Computing Products segment — includes our MiFi products, USB and PC-card modems and Embedded Modules that enable data transmission and services via cellular wireless networks.</w:t>
      </w:r>
    </w:p>
    <w:p>
      <w:pPr>
        <w:spacing w:after="0" w:line="50" w:lineRule="exact"/>
        <w:rPr>
          <w:rFonts w:ascii="Arial" w:cs="Arial" w:eastAsia="Arial" w:hAnsi="Arial"/>
          <w:sz w:val="18"/>
          <w:szCs w:val="18"/>
          <w:color w:val="auto"/>
        </w:rPr>
      </w:pPr>
    </w:p>
    <w:p>
      <w:pPr>
        <w:ind w:left="900" w:right="4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M2M Products and Solutions segment was established as a result of our acquisition of Enfora in 2010. It includes our intelligent asset-management solutions utilizing cellular wireless technology, and M2M communication devices, and embedded modules that enable M2M data transmission and services via cellular wireless networks.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12" w:name="page13"/>
    <w:bookmarkEnd w:id="12"/>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Segment revenues and segment operating income (loss) represent the primary financial measures used by senior management to assess performance and include the net revenues, cost of net revenues, sales and other operating expenses for which management is held accountable. Segment expenses include sales and marketing, research and development, administration, and amortization expenses that are directly related to individual segments. Segment earnings (loss) also includes acquisition-related costs, purchase price amortization, restructuring, impairment and integration costs. The table below presents net revenues from external customers, operating income (loss) and identifiable assets for our reportable segments (in thousands):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88"/>
              </w:rPr>
              <w:t>Three Months Ended September 30,</w:t>
            </w:r>
          </w:p>
        </w:tc>
        <w:tc>
          <w:tcPr>
            <w:tcW w:w="120" w:type="dxa"/>
            <w:vAlign w:val="bottom"/>
          </w:tcPr>
          <w:p>
            <w:pPr>
              <w:spacing w:after="0"/>
              <w:rPr>
                <w:sz w:val="14"/>
                <w:szCs w:val="14"/>
                <w:color w:val="auto"/>
              </w:rPr>
            </w:pPr>
          </w:p>
        </w:tc>
        <w:tc>
          <w:tcPr>
            <w:tcW w:w="22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2520" w:type="dxa"/>
            <w:vAlign w:val="bottom"/>
            <w:tcBorders>
              <w:bottom w:val="single" w:sz="8" w:color="CCEEFF"/>
            </w:tcBorders>
            <w:gridSpan w:val="2"/>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4"/>
          </w:tcPr>
          <w:p>
            <w:pPr>
              <w:spacing w:after="0"/>
              <w:rPr>
                <w:sz w:val="20"/>
                <w:szCs w:val="20"/>
                <w:color w:val="auto"/>
              </w:rPr>
            </w:pPr>
            <w:r>
              <w:rPr>
                <w:rFonts w:ascii="Arial" w:cs="Arial" w:eastAsia="Arial" w:hAnsi="Arial"/>
                <w:sz w:val="18"/>
                <w:szCs w:val="18"/>
                <w:color w:val="auto"/>
              </w:rPr>
              <w:t>Mobile Computing Products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65,189</w:t>
            </w:r>
          </w:p>
        </w:tc>
        <w:tc>
          <w:tcPr>
            <w:tcW w:w="2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102,691</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248,620</w:t>
            </w:r>
          </w:p>
        </w:tc>
        <w:tc>
          <w:tcPr>
            <w:tcW w:w="4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24,993</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gridSpan w:val="5"/>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71,017</w:t>
            </w:r>
          </w:p>
        </w:tc>
        <w:tc>
          <w:tcPr>
            <w:tcW w:w="26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113,263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273,613</w:t>
            </w:r>
          </w:p>
        </w:tc>
        <w:tc>
          <w:tcPr>
            <w:tcW w:w="46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293,068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8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5"/>
              </w:rPr>
              <w:t>Operating income (loss):</w:t>
            </w:r>
          </w:p>
        </w:tc>
        <w:tc>
          <w:tcPr>
            <w:tcW w:w="3420" w:type="dxa"/>
            <w:vAlign w:val="bottom"/>
            <w:tcBorders>
              <w:bottom w:val="single" w:sz="8" w:color="CCEEFF"/>
            </w:tcBorders>
            <w:gridSpan w:val="3"/>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4"/>
          </w:tcPr>
          <w:p>
            <w:pPr>
              <w:spacing w:after="0"/>
              <w:rPr>
                <w:sz w:val="20"/>
                <w:szCs w:val="20"/>
                <w:color w:val="auto"/>
              </w:rPr>
            </w:pPr>
            <w:r>
              <w:rPr>
                <w:rFonts w:ascii="Arial" w:cs="Arial" w:eastAsia="Arial" w:hAnsi="Arial"/>
                <w:sz w:val="18"/>
                <w:szCs w:val="18"/>
                <w:color w:val="auto"/>
              </w:rPr>
              <w:t>Mobile Computing Products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(7,513)</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1,311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(11,701)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(7,359)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(62,424)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(16,860)</w:t>
            </w:r>
          </w:p>
        </w:tc>
        <w:tc>
          <w:tcPr>
            <w:tcW w:w="0" w:type="dxa"/>
            <w:vAlign w:val="bottom"/>
          </w:tcPr>
          <w:p>
            <w:pPr>
              <w:spacing w:after="0"/>
              <w:rPr>
                <w:sz w:val="1"/>
                <w:szCs w:val="1"/>
                <w:color w:val="auto"/>
              </w:rPr>
            </w:pPr>
          </w:p>
        </w:tc>
      </w:tr>
      <w:tr>
        <w:trPr>
          <w:trHeight w:val="20"/>
        </w:trPr>
        <w:tc>
          <w:tcPr>
            <w:tcW w:w="5280" w:type="dxa"/>
            <w:vAlign w:val="bottom"/>
            <w:gridSpan w:val="5"/>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gridSpan w:val="5"/>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(31,853)</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(6,048)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(74,125)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9"/>
              </w:rPr>
              <w:t>September 30,</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Identifiable assets by reportable segment: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Mobile Computing Products</w:t>
            </w:r>
          </w:p>
        </w:tc>
        <w:tc>
          <w:tcPr>
            <w:tcW w:w="2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148,855</w:t>
            </w: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181,180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16,747</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gridSpan w:val="5"/>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165,602</w:t>
            </w:r>
          </w:p>
        </w:tc>
        <w:tc>
          <w:tcPr>
            <w:tcW w:w="46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249,179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has operations in the United States, Canada, Europe, Latin America and Asia. The following table details the geographic concentration of the Company’s assets in the United States, Canada, Europe, Latin America and Asia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62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85"/>
              </w:rPr>
              <w:t>September 30,</w:t>
            </w:r>
          </w:p>
        </w:tc>
        <w:tc>
          <w:tcPr>
            <w:tcW w:w="960" w:type="dxa"/>
            <w:vAlign w:val="bottom"/>
            <w:gridSpan w:val="5"/>
          </w:tcPr>
          <w:p>
            <w:pPr>
              <w:ind w:left="60"/>
              <w:spacing w:after="0"/>
              <w:rPr>
                <w:sz w:val="20"/>
                <w:szCs w:val="20"/>
                <w:color w:val="auto"/>
              </w:rPr>
            </w:pPr>
            <w:r>
              <w:rPr>
                <w:rFonts w:ascii="Arial" w:cs="Arial" w:eastAsia="Arial" w:hAnsi="Arial"/>
                <w:sz w:val="14"/>
                <w:szCs w:val="14"/>
                <w:b w:val="1"/>
                <w:bCs w:val="1"/>
                <w:color w:val="auto"/>
                <w:w w:val="96"/>
              </w:rPr>
              <w:t>December 31,</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6"/>
              </w:rPr>
              <w:t>2011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160,345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243,030</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Canada</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3,922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Europe, Latin America and Asia</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1,335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4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2"/>
              </w:rPr>
              <w:t>165,602</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249,179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w w:val="89"/>
              </w:rPr>
              <w:t>The following table details the concentration of the Company’s net revenues by geographic region:</w:t>
            </w: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62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2"/>
              </w:rPr>
              <w:t>Three months ended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20" w:type="dxa"/>
            <w:vAlign w:val="bottom"/>
            <w:tcBorders>
              <w:bottom w:val="single" w:sz="8" w:color="CCEEFF"/>
            </w:tcBorders>
          </w:tcPr>
          <w:p>
            <w:pPr>
              <w:spacing w:after="0"/>
              <w:rPr>
                <w:sz w:val="12"/>
                <w:szCs w:val="12"/>
                <w:color w:val="auto"/>
              </w:rPr>
            </w:pPr>
          </w:p>
        </w:tc>
        <w:tc>
          <w:tcPr>
            <w:tcW w:w="61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United States and Canada</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92.7%</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Latin America</w:t>
            </w:r>
          </w:p>
        </w:tc>
        <w:tc>
          <w:tcPr>
            <w:tcW w:w="4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 Middle East and Africa</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Asia and Australia</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100.0%</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100.0%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ind w:left="516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0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Concentrations of Risk</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cellular wireless access products. Any significant decline in market acceptance of the Company’s products or in the financial condition of the Company’s existing customers would have an adverse effect on the Company’s results of operations and financial condition.</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 significant portion of the Company’s net revenues are derived from a small number of customers. For the three months ended September 30, 2012, sales to our two largest customers accounted for 57% and 10% of net revenues. In the same period in 2011, sales to our two largest customers accounted for 49% and 11% of net revenues. For the nine months ended September 30, 2012, sales to our two largest customers accounted for 58% and 10% of net revenues. In the same period in 2011, sales to our three largest customers accounted for 45%, 13%, and 10% of net revenues. The Company outsources its manufacturing to several third-party contract manufacturers. If one or more of these manufacturers were to experience delays, disruptions, capacity constraints or quality control problems in manufacturing operations, product shipments to the Company’s customers could be delayed or its customers could consequently elect to cancel the underlying product purchase order, which would negatively impact the Company’s revenues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options and restricted stock units (“RSUs”) and employee stock purchase plan (“ESPP”) withholdings using the treasury stock method) are excluded from the diluted EPS computation in loss periods and when the applicable exercise price is greater than the market price on the period end date as their effect would be anti-dilutive.</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sets forth the computation of diluted weighted-average common and potential common shares outstanding for the three and nine months ended September 30, 2012 and 2011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66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7360" w:type="dxa"/>
            <w:vAlign w:val="bottom"/>
          </w:tcPr>
          <w:p>
            <w:pPr>
              <w:spacing w:after="0"/>
              <w:rPr>
                <w:sz w:val="14"/>
                <w:szCs w:val="14"/>
                <w:color w:val="auto"/>
              </w:rPr>
            </w:pP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360" w:type="dxa"/>
            <w:vAlign w:val="bottom"/>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Basic weighted-average common shares outstanding</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33,074</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32,057</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32,683</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32,005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Employee Stock Purchase Plan</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258</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Stock Units</w:t>
            </w: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Diluted weighted-average common and potential common shares outstanding</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33,074</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32,370</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32,683</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32,005</w:t>
            </w:r>
          </w:p>
        </w:tc>
        <w:tc>
          <w:tcPr>
            <w:tcW w:w="10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During the three and nine months ended September 30, 2012, weighted-average options, RSUs, and ESPP shares to acquire a total of 6,068,910 and 6,164,954 shares of common stock, respectively, were outstanding but not included in the computation of diluted earnings per share as their effect was anti-dilutive.</w:t>
      </w:r>
    </w:p>
    <w:p>
      <w:pPr>
        <w:spacing w:after="0" w:line="14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During the three and nine months ended September 30, 2011, weighted-average options, RSUs and ESPP shares to acquire a total of 5,718,527 and 4,657,850 shares of common stock, respectively, were outstanding but not included in the computation of diluted earnings per share as their effect was anti-dilutive.</w:t>
      </w:r>
    </w:p>
    <w:p>
      <w:pPr>
        <w:spacing w:after="0" w:line="215" w:lineRule="exact"/>
        <w:rPr>
          <w:sz w:val="20"/>
          <w:szCs w:val="20"/>
          <w:color w:val="auto"/>
        </w:rPr>
      </w:pPr>
    </w:p>
    <w:p>
      <w:pPr>
        <w:ind w:left="460" w:right="8740" w:hanging="452"/>
        <w:spacing w:after="0" w:line="391" w:lineRule="auto"/>
        <w:tabs>
          <w:tab w:leader="none" w:pos="179"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Legal Matters</w:t>
      </w:r>
    </w:p>
    <w:p>
      <w:pPr>
        <w:spacing w:after="0" w:line="1"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For example, the Company is currently named as a defendant or co-defendant in a number of patent infringement lawsuits in the U.S. and is indirectly participating in other U.S. patent infringement actions pursuant to its contractual indemnification obligations to certain customers. Based on evaluation of these matters and discussions with Company’s intellectual property litigation counsel, the Company believes that liabilities arising from or sums paid in settlement of these existing matters would not have a material adverse effect on its consolidated results of operations or financial condition.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xml:space="preserve">, Case No. 08-CV-01689-H (RBB) (Consolidated with Case No. 08-CV-01714-H (RBB)) (U.S.D.C., S.D. Cal.). In May 2010, the district court re-captioned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May 2010, the court entered an order granting the plaintiffs’ motion for class certification and certified a class of purchasers of Company common stock between February 27, 2007 and September 15, 2008. On February 14, 2011, following extensive discovery, the Company filed a motion for summary judgment on all of plaintiffs’ claims. A trial date had been set for May 10, 2011. On March 15, 2011, the case was reassigned to a new district judge, the Honorable Anthony J. Battaglia. Following the reassignment, the court vacated the trial date pending the court’s consideration of dispositive motions. Oral argument on the motion for summary judgment was heard by the court on June 17, 2011. On November 23, 2011, the court issued an order granting in part and denying in part the motion for summary judgment. On July 9, 2012, the court vacated the final pretrial conference date. Dates for the pretrial conference and trial have not yet been scheduled. The Company intends to defend this litigation vigorously. At this time, there can be no assurance as to the ultimate outcome of this litigation. We have not recorded any significant accruals for contingent liabilities associated with this matter based on our belief that a liability, while possible, is not probable. Further, any possible range of loss cannot be estimated at this time.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October 8, 2008, a purported shareholder, Jerry Rosenbaum, filed a derivative action in the Superior Court for the State of California, County of San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Diego, against the Company, as nominal defendant, and certain of our current and former officers and directors, as defendants. Two other purported shareholders,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Mark Campos and Chris Arnsdorf, separately filed substantially similar lawsuits in the same court on October 20, 2008 and November 5, 2008, respectively.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16, 2009, the plaintiffs filed a consolidated complaint. The consolidated complaint, Case No. 37-2008-00093576-CU-NP-CTL, alleges claims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breaches of fiduciary duties, violations of certain provisions of the California Corporations Code, unjust enrichment, and gross mismanagement. In February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the court granted the defendants’ motion to stay the action pending the resolution of the federal securities class action described above. In July 2010,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parties executed a memorandum of understanding setting forth the terms to be included in a contemplated settlement. Any settlement would be subject to court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approval. The memorandum of understanding did not contemplate any restitution from the defendants. Following execution of the memorandum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understanding, plaintiffs conducted certain confirmatory discovery and sought to negotiate an award of legal fees as part of the terms to be included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stipulation of settlement. Plaintiffs have since purported to terminate the memorandum of understanding. On January 28, 2011, the court held an informal status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conference, at which plaintiffs requested that the court lift the stay of action. The court declined plaintiffs’ request. Following certain additional confirmatory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discovery and negotiations, on March 2, 2012, the parties executed a Stipulation of Settlement, which settlement was submitted to the court for approval.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preliminarily approved the settlement pursuant to an order dated March 15, 2012. The settlement requires the Company to maintain and/or implement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corporate governance measures and provides for the payment of fees and expenses to the plaintiffs’ counsel of an amount not to exceed $900,000,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$500,000 of which is to be paid out of insurance proceeds, and $400,000 to be paid by the Company. These fees have been paid in accordance with the March 15</w:t>
      </w:r>
      <w:r>
        <w:rPr>
          <w:rFonts w:ascii="Arial" w:cs="Arial" w:eastAsia="Arial" w:hAnsi="Arial"/>
          <w:sz w:val="10"/>
          <w:szCs w:val="10"/>
          <w:color w:val="auto"/>
        </w:rPr>
        <w:t>th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order and on May 4, 2012, the court granted final approval of the settlement. The Company recorded the $400,000 in fees in its 2011 financial results.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 results of operation or cash flows.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Facility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a credit facility with a bank to allow margin borrowings based on the Company’s investments in cash equivalents and marketable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with the bank. This facility is collateralized by the Company’s cash equivalents and marketable securities held with the bank. Borrowings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facility incur an interest rate at the bank’s base rate plus 1%. This margin account facility provides the Company with the flexibility to access cash for short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periods of time and avoids the need to sell marketable securities for these short-term requirements. At September 30, 2012, the Company had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$25.2 million in cash equivalents and marketable securities held at this bank, and the Company’s borrowing limit at September 30, 2012 under the credit facility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$14.1 million. Any monies borrowed and interest incurred are payable on demand, and there is no express expiration date to the credit facility.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September 30, 2012, the Company borrowed $5.0 million and repaid the entire amount during the same period. During November 2012,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borrowed $9.0 million against the facility, which remained outstanding as of the date of this report.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(loss) consists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8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(31,933)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$4,498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(74,354)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(21,488)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w w:val="96"/>
              </w:rPr>
              <w:t>Unrealized gain (loss) on cash equivalents and marketable securities, net of tax</w:t>
            </w:r>
          </w:p>
        </w:tc>
        <w:tc>
          <w:tcPr>
            <w:tcW w:w="6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44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(54)</w:t>
            </w:r>
          </w:p>
        </w:tc>
      </w:tr>
      <w:tr>
        <w:trPr>
          <w:trHeight w:val="27"/>
        </w:trPr>
        <w:tc>
          <w:tcPr>
            <w:tcW w:w="6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 (loss)</w:t>
            </w: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(31,906)</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4,438</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(74,310)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(21,542)</w:t>
            </w:r>
          </w:p>
        </w:tc>
      </w:tr>
      <w:tr>
        <w:trPr>
          <w:trHeight w:val="20"/>
        </w:trPr>
        <w:tc>
          <w:tcPr>
            <w:tcW w:w="6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Company assesses whether a valuation allowance should be recorded against its deferred tax assets based on the consideration of all available evidence, using a “more-likely-than-not”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assessing whether a valuation allowance is required, significant weight is to be given to evidence that can be objectively verified. A significant factor in the Company’s assessment is that the Company is in a three-year historical cumulative loss position. This fact, combined with uncertain near-term market and economic conditions, reduced the Company’s ability to rely on projections of future taxable income in assessing the realizability of its deferred tax assets.</w:t>
      </w:r>
    </w:p>
    <w:p>
      <w:pPr>
        <w:spacing w:after="0" w:line="10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After a review of the four sources of taxable income as of September 30, 2012 (as described above), the Company recognized increases in the valuation allowance primarily related to its U.S.-based deferred tax amounts, resulting from carryforward net operating losses, and Canadian-based deferred tax amounts, resulting from research and development tax credits, generated during the three and nine months ended September 30, 2012. These deferred tax benefits, combined with a corresponding charge to income tax expense related to the increased valuation allowance of $9.9 million and $24.3 million for the three and nine months ended September 30, 2012, respectively, resulted in an insignificant effective income tax rate for those respective periods. The Company’s valuation allowance was $61.0 million on net deferred tax assets of $61.9 million at September 30, 2012. The net unreserved portion of the Company’s remaining deferred tax assets at September 30, 2012 primarily related to research and development tax credits associated with the Company’s Canadian subsidiary.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and nine months ended September 30, 2012, the Company recorded an income tax expense, including discrete items, of $107,000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$276,000, respectively. These amounts vary from the income tax benefit that would be computed at the U.S. statutory rate resulting from its operating losses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those same periods primarily due to the aforementioned offsetting increase in the Company’s deferred tax assets valuation allowance.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 w:name="page17"/>
    <w:bookmarkEnd w:id="16"/>
    <w:p>
      <w:pPr>
        <w:ind w:right="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As of September 30, 2012 and December 31, 2011, the total liability for unrecognized tax benefits was $420,000 and $413,000, respectively, and is included in other long-term liabilities. For the three and nine months ended September 30, 2012, the Company included $2,000 and $7,000 respectively, of interest expense related to uncertain tax positions in its condensed consolidated statements of operations and comprehensive income (loss).</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During the third quarter of 2012, the Company recorded preliminary estimated impairment changes of $7.3 million against intangible assets and $13.2 million against goodwill on a pre-tax basis against the M2M operating unit. The Company will finalize its estimate of the impairment charge during the fourth quarter of 2012, including the related impact to income taxes.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the fourth quarter of 2012, the Company expects to release $50,000 of its liability for unrecognized tax benefits due to the expiration of the statute of limitations applicable to the 2007 taxable year.</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California Franchise Tax Board is currently conducting an examination of the Company’s California income tax returns for 2006 and 2007. The Company is also subject to various Federal income tax examinations for the 2003 through 2010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following information should be read in conjunction with the condensed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2011 contained in our Annual Report on Form 10-K for the year ended December 31, 2011.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a provider of intelligent wireless solutions for the worldwide mobile communications market. Our broad range of products principally includes intelligent mobile hotspots, USB modems, embedded PCI and wireless PC-card modems, and communications and applications software. In addition, our Enfora division provides asset-management solutions utilizing intelligent platforms, customized service-delivery software, and machine-to-machine, or M2M, communications devices.</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products currently operate on every major cellular wireless technology platform. Our mobile hotspots, embedded modules, and modems provide subscribers with secure and convenient high-speed access to corporate, public and personal information through the Internet and enterprise networks. Our M2M products enable devices to communicate with each other and with server- or cloud-based application infrastructure.</w:t>
      </w:r>
    </w:p>
    <w:p>
      <w:pPr>
        <w:spacing w:after="0" w:line="107"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Our mobile-hotspot and modem customer base is comprised of wireless operators, including AT&amp;T, Sprint Nextel, and Verizon Wireless; laptop PC and other original equipment manufacturers, or OEMs, including Dell and Hewlett-Packard; as well as distributors and various companies in other vertical markets. Our M2M customer base is comprised of transportation companies, industrial companies, manufacturers of medical devices and geographical-location devices and providers of security systems. We have strategic relationships with several of these customers for technology development and marketing.</w:t>
      </w:r>
    </w:p>
    <w:p>
      <w:pPr>
        <w:spacing w:after="0" w:line="11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sell our wireless broadband solutions primarily to wireless operators either directly or through strategic relationships, as well as to OEM partners and distributors located worldwide. Most of our mobile-computing product sales to wireless operators and OEM partners are sold directly by our sales force, or to a lesser degree, through distributors. We sell our M2M solutions primarily to enterprises in the following industries: transportation; energy and industrial automation; security and safety; and medical monitoring. We sell our M2M solutions through our direct sales force and through distributors.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intend to continue to identify and respond to our customers’ needs by introducing new product designs with an emphasis on supporting cutting-edge, wide area network, or WAN, technology; ease-of-use; performance; size; weight; cost; and power consumption. We manage our products through a structured life-cycle process, from identifying initial customer requirements through development and commercial introduction to eventual phase-out. During product development, emphasis is placed on innovation, time-to-market, performance, meeting industry standards and customer product specifications, ease of integration, cost reduction, manufacturability, quality and reliability.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7" w:name="page18"/>
    <w:bookmarkEnd w:id="17"/>
    <w:p>
      <w:pPr>
        <w:ind w:right="1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hardware used in our solutions is produced by contract manufacturers. Their services include component procurement, assembly, testing, quality control, and fulfillment. We have agreements with Inventec Appliances Corporation, or IAC; Hon Hai Precision Industry Co., LTD; and Benchmark Electronics for the outsourced manufacturing of our products. In addition, we have an agreement with Mobiltron for certain distribution, fulfillment and repair services related to our business in Europe, the Middle East and Africa, or EMEA.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growth and breadth of the demand for wireless access to data</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use of next generation networks including demand for 3G and 4G products, 3G and 4G data access services, particularly in North America, Europe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increased competition from other wireless data modem suppliers as well as suppliers of emerging devices that contain a wireless data access feature;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decreased demand for EV-DO and HSPA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anticipate introducing additional products during the next 12 months, including 4G broadband-access products, M2M solutions and software applications and platforms. We continue to develop and maintain strategic relationships with wireless and computing industry leaders like, Dell, QUALCOMM, Sprint Nextel, Verizon Wireless, AT&amp;T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of the extremely competitive market for wireless devices, we have experienced significant downward pressure on the average selling price of our products. This pressure has the potential to materially adversely affect our results of operations and financial condition in future periods and we cannot predict the magnitude or timing of future reductions in the average selling price of our products.</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All costs associated with our contract manufacturers, as well as distribution, fulfillment and repair services are included in our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net revenues. Cost of net revenues also includes warranty costs, amortization of intangible assets, royalties, operations group expenses,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Many of our products target wireless operators and other customers in North America, Europe, and Asia. We will likely</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new products to serve these markets, resulting in increased research and development expenses. We have in the past and expect to continue to incur these expenses in future periods prior to recognizing net revenues from sales of these products.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operating costs consist of four primary categories: research and development costs; sales and marketing expense; general and administrative costs; and amortization of purchased intangibles.</w:t>
      </w:r>
    </w:p>
    <w:p>
      <w:pPr>
        <w:spacing w:after="0" w:line="132"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Research and development is at the core of our ability to produce innovative, leading-edge products. This category consists primarily of engineers and technicians who design and test our highly complex products. As we work to expand our portfolio of products and remain competitive, it may be necessary to increase our research and development costs in the future.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Sales and marketing expense consists primarily of our sales force and product-marketing professionals. 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8" w:name="page19"/>
    <w:bookmarkEnd w:id="18"/>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40" w:firstLine="456"/>
        <w:spacing w:after="0" w:line="256"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Sarbanes-Oxley compliance, Securities and Exchange Commission (“SEC”) filings, stock-exchange fees, and investor-relations expense. General and administrative expenses have been relatively stable and are not directly related to revenue levels.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Amortization of purchased intangibles includes the amortization of customer relationships, covenant-not-to-compete agreements and trade name intangible assets purchased through the acquisition of Enfora.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also subject our intangible assets and goodwill to impairment assessments when required which can result in charges when impairment occurs.</w:t>
      </w:r>
    </w:p>
    <w:p>
      <w:pPr>
        <w:spacing w:after="0" w:line="194"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As part of our business strategy, we review, and intend to continue to review, acquisition opportunities that we believe would be advantageous or complementary to the development of our business. If we make any acquisitions, we may incur substantial expenditures in conjunction with the acquisition process and the subsequent assimilation of any acquired business, products, technologies or personnel.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valuation of goodwill, litigation, provision for warranty costs, income taxes, and share-based compensation expense.</w:t>
      </w:r>
    </w:p>
    <w:p>
      <w:pPr>
        <w:spacing w:after="0" w:line="116"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i w:val="1"/>
          <w:iCs w:val="1"/>
          <w:color w:val="auto"/>
        </w:rPr>
        <w:t>Valuation of Intangible and Long-Lived Assets</w:t>
      </w:r>
      <w:r>
        <w:rPr>
          <w:rFonts w:ascii="Arial" w:cs="Arial" w:eastAsia="Arial" w:hAnsi="Arial"/>
          <w:sz w:val="18"/>
          <w:szCs w:val="18"/>
          <w:color w:val="auto"/>
        </w:rPr>
        <w:t>. 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assessment includes comparing the carrying amounts of intangible and long-lived assets to their associated undiscounted expected future cash flows, which are determined using an expected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two to ten years. As most of these assets are associated with technology or trade conditions that may change rapidly; such changes could have an immediate impact on our impairment analysis.</w:t>
      </w:r>
    </w:p>
    <w:p>
      <w:pPr>
        <w:spacing w:after="0" w:line="11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Our goodwill resulted from the acquisition of Enfora (M2M Products and Solutions) in the fourth quarter of 2010. In accordance with the FASB</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Accounting Standards Codification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(“ASC Topic 350”), we will review goodwill for impairment at least annually at the beginning of the fourth quarter of each year, and more frequently if events or changes in circumstances occur that indicate a potential reduction in the fair value of the reporting unit below its carrying value.</w:t>
      </w:r>
    </w:p>
    <w:p>
      <w:pPr>
        <w:spacing w:after="0" w:line="143"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ASC Topic 350 requires that goodwill and certain intangible assets be assessed for impairment using fair value measurement techniques. The goodwill impairment test compares the implied fair value of the reporting unit’s goodwill with the carrying amount of that goodwill to measure the amount of the impairment loss, if any. The implied fair value of goodwill is determined in the same manner as in a business combination. Determining the fair value of the implied goodwill is judgmental in nature and often involves the use of significant estimates and assumptions. These estimates and assumptions could have a significant impact on whether or not an impairment charge is recognized and also the magnitude of any such charge.</w:t>
      </w:r>
    </w:p>
    <w:p>
      <w:pPr>
        <w:spacing w:after="0" w:line="11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order to perform the annual goodwill impairment analysis, we are required to estimate the fair value of our M2M Products reporting unit. The fair value is calculated as though the M2M Products and Solutions reporting unit were to be sold in its entirety in an orderly transaction between market participants, using an estimate of fair value based on a blended sum resulting from the use of two valuation methods. First, we use the guideline public company method utilizing a multiple of the reporting unit’s revenue. Second, we perform a discounted cash flow analysis using forward looking projections of an estimate of our future operating results. These approaches use significant estimates and assumptions, including the size and timing of product deployments by our customers and related projections and timing of future cash flows, discount rates reflecting the risk inherent in future cash flows, perpetual growth rates, stage of products in development, determination of appropriate market comparables and determination of whether a premium or discount should be applied to comparables. The resultant estimated fair value of our M2M Products and Solutions reporting unit is compared to the net book value of the reporting unit to assess whether any impairment exists.</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significant accounting policies used in preparation of these consolidated financial statements for the three and nine months ended September 30, 2012 are consistent with those discussed in Note 1 to the consolidated financial statements included in our Annual Report on Form 10-K for the year ended December 31, 2011 in all material respects and in Note I to the consolidated financial statements included in this report. The critical accounting policies and the significant judgments and estimates used in the preparation of our condensed consolidated financial statements for the three and nine months ended September 30, 2012 are consistent with those discussed in our Annual Report on Form 10-K for the year ended December 31, 2011 in the section captioned “Management’s Discussion and Analysis of Financial Condition and Results of Operations — Critical Accounting Policies and Estimates.”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2012 Compared to Three Months Ended September 30, 2011</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three months ended September 30, 2012 were $71.0 million, a decrease of $42.2 million or 37.3%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2011.</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summarizes net revenues by reportable segment and net revenues by product categories during the three months ended September 30, 2012 and September 30, 2011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ind w:left="40"/>
              <w:spacing w:after="0"/>
              <w:rPr>
                <w:sz w:val="20"/>
                <w:szCs w:val="20"/>
                <w:color w:val="auto"/>
              </w:rPr>
            </w:pPr>
            <w:r>
              <w:rPr>
                <w:rFonts w:ascii="Arial" w:cs="Arial" w:eastAsia="Arial" w:hAnsi="Arial"/>
                <w:sz w:val="14"/>
                <w:szCs w:val="14"/>
                <w:b w:val="1"/>
                <w:bCs w:val="1"/>
                <w:color w:val="auto"/>
                <w:w w:val="97"/>
              </w:rPr>
              <w:t>Three Months Ended September 30,</w:t>
            </w:r>
          </w:p>
        </w:tc>
      </w:tr>
      <w:tr>
        <w:trPr>
          <w:trHeight w:val="142"/>
        </w:trPr>
        <w:tc>
          <w:tcPr>
            <w:tcW w:w="20" w:type="dxa"/>
            <w:vAlign w:val="bottom"/>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444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Net revenues by reportable segment:</w:t>
            </w: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2"/>
        </w:trPr>
        <w:tc>
          <w:tcPr>
            <w:tcW w:w="20" w:type="dxa"/>
            <w:vAlign w:val="bottom"/>
            <w:tcBorders>
              <w:top w:val="single" w:sz="8" w:color="auto"/>
            </w:tcBorders>
          </w:tcPr>
          <w:p>
            <w:pPr>
              <w:spacing w:after="0"/>
              <w:rPr>
                <w:sz w:val="19"/>
                <w:szCs w:val="19"/>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Mobile Computing Products</w:t>
            </w:r>
          </w:p>
        </w:tc>
        <w:tc>
          <w:tcPr>
            <w:tcW w:w="172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65,189</w:t>
            </w:r>
          </w:p>
        </w:tc>
        <w:tc>
          <w:tcPr>
            <w:tcW w:w="7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102,691</w:t>
            </w:r>
          </w:p>
        </w:tc>
        <w:tc>
          <w:tcPr>
            <w:tcW w:w="100" w:type="dxa"/>
            <w:vAlign w:val="bottom"/>
            <w:tcBorders>
              <w:top w:val="single" w:sz="8" w:color="CCEEFF"/>
            </w:tcBorders>
          </w:tcPr>
          <w:p>
            <w:pPr>
              <w:spacing w:after="0"/>
              <w:rPr>
                <w:sz w:val="19"/>
                <w:szCs w:val="19"/>
                <w:color w:val="auto"/>
              </w:rPr>
            </w:pPr>
          </w:p>
        </w:tc>
      </w:tr>
    </w:tbl>
    <w:p>
      <w:pPr>
        <w:sectPr>
          <w:pgSz w:w="11900" w:h="16917" w:orient="portrait"/>
          <w:cols w:equalWidth="0" w:num="1">
            <w:col w:w="11400"/>
          </w:cols>
          <w:pgMar w:left="240" w:top="280" w:right="259" w:bottom="0" w:gutter="0" w:footer="0" w:header="0"/>
        </w:sectPr>
      </w:pPr>
    </w:p>
    <w:bookmarkStart w:id="19" w:name="page20"/>
    <w:bookmarkEnd w:id="19"/>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2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5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60" w:type="dxa"/>
            <w:vAlign w:val="bottom"/>
            <w:gridSpan w:val="3"/>
          </w:tcPr>
          <w:p>
            <w:pPr>
              <w:spacing w:after="0"/>
              <w:rPr>
                <w:sz w:val="20"/>
                <w:szCs w:val="20"/>
                <w:color w:val="auto"/>
              </w:rPr>
            </w:pPr>
            <w:r>
              <w:rPr>
                <w:rFonts w:ascii="Arial" w:cs="Arial" w:eastAsia="Arial" w:hAnsi="Arial"/>
                <w:sz w:val="18"/>
                <w:szCs w:val="18"/>
                <w:color w:val="auto"/>
              </w:rPr>
              <w:t>Total</w:t>
            </w:r>
          </w:p>
        </w:tc>
        <w:tc>
          <w:tcPr>
            <w:tcW w:w="2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71,017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5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Net revenues by product categories:</w:t>
            </w:r>
          </w:p>
        </w:tc>
        <w:tc>
          <w:tcPr>
            <w:tcW w:w="2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Mobile Broadband Devices</w:t>
            </w:r>
          </w:p>
        </w:tc>
        <w:tc>
          <w:tcPr>
            <w:tcW w:w="88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58,275</w:t>
            </w:r>
          </w:p>
        </w:tc>
        <w:tc>
          <w:tcPr>
            <w:tcW w:w="80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93,250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Solutions</w:t>
            </w: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Asset Management Solutions &amp; Services</w:t>
            </w:r>
          </w:p>
        </w:tc>
        <w:tc>
          <w:tcPr>
            <w:tcW w:w="2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w:t>
            </w:r>
          </w:p>
        </w:tc>
        <w:tc>
          <w:tcPr>
            <w:tcW w:w="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40" w:type="dxa"/>
            <w:vAlign w:val="bottom"/>
            <w:vMerge w:val="restart"/>
          </w:tcPr>
          <w:p>
            <w:pPr>
              <w:jc w:val="right"/>
              <w:ind w:right="1692"/>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0" w:right="1440" w:bottom="1440" w:gutter="0" w:footer="0" w:header="0"/>
        </w:sectPr>
      </w:pPr>
    </w:p>
    <w:bookmarkStart w:id="20" w:name="page21"/>
    <w:bookmarkEnd w:id="20"/>
    <w:p>
      <w:pPr>
        <w:ind w:right="28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Mobile Computing Products. </w:t>
      </w:r>
      <w:r>
        <w:rPr>
          <w:rFonts w:ascii="Arial" w:cs="Arial" w:eastAsia="Arial" w:hAnsi="Arial"/>
          <w:sz w:val="18"/>
          <w:szCs w:val="18"/>
          <w:color w:val="auto"/>
        </w:rPr>
        <w:t>Net revenues from our Mobile Computing Products segment for the three months ended September 30, 2012 were $65.2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 decrease of $37.5 million or 36.5% compared to the same period in 2011. The decrease is primarily attributable to lower sales of Mobile Broadband devices caused by increased market competition at our largest customer.</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M2M Products and Solutions. </w:t>
      </w:r>
      <w:r>
        <w:rPr>
          <w:rFonts w:ascii="Arial" w:cs="Arial" w:eastAsia="Arial" w:hAnsi="Arial"/>
          <w:sz w:val="16"/>
          <w:szCs w:val="16"/>
          <w:color w:val="auto"/>
        </w:rPr>
        <w:t>Net revenues from our M2M Products and Solutions segment for the three months ended September 30, 2012 were $5.8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compared with $10.6 million for the same period last year. The decrease is primarily due to the reduced sales volume and pricing of our 2G GPRS M2M modules in the North American market as it transitions away from 2G GSM networks. We are currently developing CDMA and 3G GSM modules and integrated solutions to address this market. These products are expected to launch in the fourth quarter of 2012 and the first half of 2013.</w:t>
      </w:r>
    </w:p>
    <w:p>
      <w:pPr>
        <w:spacing w:after="0" w:line="113"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i w:val="1"/>
          <w:iCs w:val="1"/>
          <w:color w:val="auto"/>
        </w:rPr>
        <w:t xml:space="preserve">Product Categories. </w:t>
      </w:r>
      <w:r>
        <w:rPr>
          <w:rFonts w:ascii="Arial" w:cs="Arial" w:eastAsia="Arial" w:hAnsi="Arial"/>
          <w:sz w:val="15"/>
          <w:szCs w:val="15"/>
          <w:color w:val="auto"/>
        </w:rPr>
        <w:t>We have categorized the combined product portfolios of the mobile computing and M2M businesses into three categories (1) Mobile</w:t>
      </w:r>
      <w:r>
        <w:rPr>
          <w:rFonts w:ascii="Arial" w:cs="Arial" w:eastAsia="Arial" w:hAnsi="Arial"/>
          <w:sz w:val="15"/>
          <w:szCs w:val="15"/>
          <w:i w:val="1"/>
          <w:iCs w:val="1"/>
          <w:color w:val="auto"/>
        </w:rPr>
        <w:t xml:space="preserve"> </w:t>
      </w:r>
      <w:r>
        <w:rPr>
          <w:rFonts w:ascii="Arial" w:cs="Arial" w:eastAsia="Arial" w:hAnsi="Arial"/>
          <w:sz w:val="15"/>
          <w:szCs w:val="15"/>
          <w:color w:val="auto"/>
        </w:rPr>
        <w:t>Broadband Devices, (2) Embedded Solutions and (3) Asset Management Solutions and Services. These categories were established due to the different markets and sales channels served. We believe this product categorization facilitates the analysis of our operating trends and enhances our segment disclosures.</w:t>
      </w:r>
    </w:p>
    <w:p>
      <w:pPr>
        <w:spacing w:after="0" w:line="8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Mobile Broadband Devices category includes all external data modems including MiFi intelligent hotspots, USB modems and PC cards. These devices are sold primarily through wireless operator enterprise and retail channels, telecom equipment distributors and consumer retail chains.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Embedded Solutions products include wireless-broadband modules and related software and services sold to manufacturers of laptop computers, tablets, and other wireless computer devices. This product category also includes M2M modules sold to manufacturers of various asset tracking and monitoring products. Our products are sold directly to OEMs or through distributor channels.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Asset Management Solutions and Services are mobile intelligent wireless broadband terminal devices and communication management software, or CMS, that transmit information about the assets into which these products are integrated. These hardware and software products can be bundled or sold separately. The CMS software activates the terminal device onto the wireless network and manages its functionality.</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Cost of net revenues. </w:t>
      </w:r>
      <w:r>
        <w:rPr>
          <w:rFonts w:ascii="Arial" w:cs="Arial" w:eastAsia="Arial" w:hAnsi="Arial"/>
          <w:sz w:val="16"/>
          <w:szCs w:val="16"/>
          <w:color w:val="auto"/>
        </w:rPr>
        <w:t>Cost of net revenues for the three months ended September 30, 2012 was $56.4 million, or 79.4% of net revenues, as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$86.6 million, or 76.4% of net revenues, for the same period in 2011. During the third quarter of 2012, the cost of net revenues as a percentage of net revenues increased due to higher inventory obsolescence charges and lower average pricing on 4G MiFi products sold, partially offset by lower quarter over quarter purchased intangible amortization expense decreasing to $289,000 during the quarter ended September 30, 2012 as compared to $705,000 in the comparable quarter of 2011. The cost of net revenues as a percentage of revenues is expected to fluctuate in future quarters depending on revenue levels, the mix of products sold, competitive pricing, new product introduction costs and other factors.</w:t>
      </w:r>
    </w:p>
    <w:p>
      <w:pPr>
        <w:spacing w:after="0" w:line="12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Increased competitive pressures may continue to negatively impact the average sales prices and volume sales of our products. This may require us in future periods to record inventory write downs to reflect lower of cost or market adjustments and revalue certain assets that may become impaired.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three months ended September 30, 2012 was $14.6 million, or a gross margin of 20.6% of net revenues,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$26.7 million, or a gross margin of 23.6% of net revenues for the same period in 2011. The gross margin decrease was primarily attributable to the changes in net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revenues and cost of net revenues as discussed above. We expect that our gross margin percentage will continue to fluctuate from quarter to quarter depending 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revenue levels, product mix, competitive selling prices, our ability to reduce product costs and changes in unit volumes.</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three months ended September 30, 2012 were $14.7 million, or 20.7%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net revenues, compared to $15.1 million, or 13.4% of net revenues, for the same period in 2011. Research and development expenses for the three months ended September 30, 2012 were lower as compared to the same period in 2011, due to reduced labor cost attributed to headcount reductions and lower software amortization costs.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expect to maintain our investment in research and development to continue to provide innovative products and services. Research and development expenses as a percentage of net revenues are expected to fluctuate in future quarters depending on the amount of net revenues recognized, and potential variation in the costs associated with the development of the Company’s products, including the number and complexity of the products under development and the progress of the development activities with respect to those products.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1" w:name="page22"/>
    <w:bookmarkEnd w:id="21"/>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Sales and marketing expenses. </w:t>
      </w:r>
      <w:r>
        <w:rPr>
          <w:rFonts w:ascii="Arial" w:cs="Arial" w:eastAsia="Arial" w:hAnsi="Arial"/>
          <w:sz w:val="16"/>
          <w:szCs w:val="16"/>
          <w:color w:val="auto"/>
        </w:rPr>
        <w:t>Sales and marketing expenses for the three months ended September 30, 2012 were $6.3 million, or 8.8% of net revenues,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$7.2 million, or 6.4% of net revenues, for the same period in 2011. The $900,000 decrease for the three months ended September 30, 2012 compared to the same period in 2011 was primarily due to reductions in outside consulting expenses, and a decrease in salaries and related expenditures.</w:t>
      </w:r>
    </w:p>
    <w:p>
      <w:pPr>
        <w:spacing w:after="0" w:line="10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three months ended September 30, 2012 were $4.8 million, or 6.8%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revenues, compared to $6.2 million, or 5.5% of net revenues, for the same period in 2011. General and administrative expenses for the three months ended September 30, 2012 were lower as compared to the same period in 2011 primarily due to reduced outside consulting and legal expenses, and a decrease in salaries and related expenditures. While we are closely monitoring and working to control general and administrative costs, we expect these costs to be negatively impacted by legal fees to defend the claims described in Note 9 to our consolidated financial statements included in this report. During the third quarter periods in 2012 and 2011, the Company incurred $941,000 and $1.3 million in legal expenses, respectively.</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Goodwill and intangible assets impairments. </w:t>
      </w:r>
      <w:r>
        <w:rPr>
          <w:rFonts w:ascii="Arial" w:cs="Arial" w:eastAsia="Arial" w:hAnsi="Arial"/>
          <w:sz w:val="16"/>
          <w:szCs w:val="16"/>
          <w:color w:val="auto"/>
        </w:rPr>
        <w:t>During the third quarter of 2012, based on actual operating results, and reductions in management’s estimates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forecasted operating results of the M2M Products and Solutions reporting unit principally due to an updated view of competitive pressures impacting average selling prices and forecased sales volumes, customer product and technology selections, and the loss of certain customers, the Company determined there were sufficient indicators of impairment present to require an interim impairment analysis. Based on the fair value tests performed, during the third quarter of 2012 the Company recorded a preliminary pre-tax goodwill impairment charge of $13.2 million and a preliminary purchased intangible asset charge of $7.3 million. Based on the fair value tests performed, during the third quarter of 2011 the Company recorded a pre-tax goodwill impairment charge of $3.5 million. See Note 4 in the condensed consolidated financial statements included in this report.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Amortization of purchased intangible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amortization of purchased intangible assets for the three months ended September 30, 2012 was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$227,000, compared to $644,000 for the same period 2011. The decrease in amortization expense for the three months ended September 30, 2012 was caused by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lower net asset value of the intangible assets resulting from an impairment charge in the first quarter of 2012.</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three months ended September 30, 2012 was $72,000 as compared to $60,000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The weighted-average interest rate earned by the Company on its cash, cash equivalents and marketable securities was 0.46% and 0.37% in the third quarter of 2012 and 2011, respectively.</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three months ended September 30, 2012 was $45,000 as compared to $679,000 for the same period in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other expense in 2011 was related to foreign currency losses on South Korean won denominated trade payables, foreign exchange currency losses on foreign denominated bank accounts and trade receivables, and other-than-temporary loss recognized on our marketable equity securities.</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expense for the three months ended September 30, 2012 was $107,000, as compared to $11.2 million benefit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2011. The income tax benefit in 2011 related to the release of $11.8 million of the Company’s liability related to uncertain tax positions due to the expiration of the applicable statutes of limitations for certain tax years.</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effective tax rate for the three months ended September 30, 2012 is different than the U.S. statutory rate primarily due to a valuation allowance recorded against additional tax assets generated in the third quarter of 2012.</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Net loss. </w:t>
      </w:r>
      <w:r>
        <w:rPr>
          <w:rFonts w:ascii="Arial" w:cs="Arial" w:eastAsia="Arial" w:hAnsi="Arial"/>
          <w:sz w:val="16"/>
          <w:szCs w:val="16"/>
          <w:color w:val="auto"/>
        </w:rPr>
        <w:t>For the three months ended September 30, 2012, we reported a net loss of $31.9 million, as compared to net income of $4.5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2011. Net income was negatively impacted due to the impairment charges recognized in the third quarter of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2012 Compared to Nine Months Ended September 30, 2011</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nine months ended September 30, 2012 were $273.6 million, a decrease of $19.5 million or 6.6%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2" w:name="page23"/>
    <w:bookmarkEnd w:id="22"/>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summarizes net revenues by reportable segment and net revenues by product categories during the nine months ended September 30, 2012 and September 30, 2011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Nine Months EndedSeptember 30,</w:t>
            </w:r>
          </w:p>
        </w:tc>
      </w:tr>
      <w:tr>
        <w:trPr>
          <w:trHeight w:val="142"/>
        </w:trPr>
        <w:tc>
          <w:tcPr>
            <w:tcW w:w="20" w:type="dxa"/>
            <w:vAlign w:val="bottom"/>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46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Net revenues by reportable segment:</w:t>
            </w: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Mobile Computing Products</w:t>
            </w:r>
          </w:p>
        </w:tc>
        <w:tc>
          <w:tcPr>
            <w:tcW w:w="18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248,620</w:t>
            </w:r>
          </w:p>
        </w:tc>
        <w:tc>
          <w:tcPr>
            <w:tcW w:w="6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258,268</w:t>
            </w: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24,993</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34,800</w:t>
            </w:r>
          </w:p>
        </w:tc>
        <w:tc>
          <w:tcPr>
            <w:tcW w:w="100" w:type="dxa"/>
            <w:vAlign w:val="bottom"/>
            <w:shd w:val="clear" w:color="auto" w:fill="CCEEFF"/>
          </w:tcPr>
          <w:p>
            <w:pPr>
              <w:spacing w:after="0"/>
              <w:rPr>
                <w:sz w:val="18"/>
                <w:szCs w:val="18"/>
                <w:color w:val="auto"/>
              </w:rPr>
            </w:pPr>
          </w:p>
        </w:tc>
      </w:tr>
      <w:tr>
        <w:trPr>
          <w:trHeight w:val="222"/>
        </w:trPr>
        <w:tc>
          <w:tcPr>
            <w:tcW w:w="4620" w:type="dxa"/>
            <w:vAlign w:val="bottom"/>
            <w:gridSpan w:val="4"/>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273,613</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293,068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Net revenues by product categories:</w:t>
            </w: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Mobile Broadband Devices</w:t>
            </w:r>
          </w:p>
        </w:tc>
        <w:tc>
          <w:tcPr>
            <w:tcW w:w="1940" w:type="dxa"/>
            <w:vAlign w:val="bottom"/>
            <w:tcBorders>
              <w:top w:val="single" w:sz="8" w:color="CCEEFF"/>
            </w:tcBorders>
            <w:gridSpan w:val="2"/>
          </w:tcPr>
          <w:p>
            <w:pPr>
              <w:spacing w:after="0"/>
              <w:rPr>
                <w:sz w:val="18"/>
                <w:szCs w:val="18"/>
                <w:color w:val="auto"/>
              </w:rPr>
            </w:pPr>
          </w:p>
        </w:tc>
        <w:tc>
          <w:tcPr>
            <w:tcW w:w="18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231,033</w:t>
            </w:r>
          </w:p>
        </w:tc>
        <w:tc>
          <w:tcPr>
            <w:tcW w:w="6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242,797</w:t>
            </w: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Solutions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Asset Management Solutions &amp; Services</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19,962</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273,613</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293,068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i w:val="1"/>
          <w:iCs w:val="1"/>
          <w:color w:val="auto"/>
        </w:rPr>
        <w:t xml:space="preserve">Mobile Computing Products. </w:t>
      </w:r>
      <w:r>
        <w:rPr>
          <w:rFonts w:ascii="Arial" w:cs="Arial" w:eastAsia="Arial" w:hAnsi="Arial"/>
          <w:sz w:val="18"/>
          <w:szCs w:val="18"/>
          <w:color w:val="auto"/>
        </w:rPr>
        <w:t>Net revenues from our Mobile Computing Products segment for the nine months ended September 30, 2012 were $248.6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 decrease of $9.6 million or 3.7% compared to the same period in 2011. The decrease is primarily attributable to lower sales of Mobile Broadband devices caused by increased market competition at our largest customer.</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 xml:space="preserve">M2M Products and Solutions. </w:t>
      </w:r>
      <w:r>
        <w:rPr>
          <w:rFonts w:ascii="Arial" w:cs="Arial" w:eastAsia="Arial" w:hAnsi="Arial"/>
          <w:sz w:val="16"/>
          <w:szCs w:val="16"/>
          <w:color w:val="auto"/>
        </w:rPr>
        <w:t>Net revenues from our M2M Products and Solutions segment for the nine months ended September 30, 2012 were $25.0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compared with $34.8 million net revenues from the same period last year. The decrease is primarily due to the reduced sales volume and pricing of our 2G GPRS M2M modules in the North American market as it transitions away from 2G GSM networks. We are currently developing CDMA and 3G GSM modules and integrated solutions to address this market. These products are expected to launch in the fourth quarter of 2012 and the first half of 2013.</w:t>
      </w:r>
    </w:p>
    <w:p>
      <w:pPr>
        <w:spacing w:after="0" w:line="11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nine months ended September 30, 2012 was $214.7 million, or 78.5% of net revenues,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$234.2 million, or 79.9% of net revenues, for the same period in 2011. The improvement in cost of net revenues as a percentage of net revenues in 2012 resulted from higher sales of 4G products in our Mobile Computing Products segment during the first nine months of 2012. The cost of net revenues as a percentage of revenues also benefitted from lower amortization costs associated with purchased intangible assets. Cost of net revenues as a percentage of net revenues is expected to fluctuate in future quarters depending on revenue levels, the mix of products sold, competitive pricing, new product introduction costs and other factors.</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nine months ended September 30, 2012 was $58.9 million, or a gross margin of 21.5% of net revenues, compared to $58.9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a gross margin of 20.1% of net revenues, for the same period in 2011. The gross margin percentage increase was primarily attributable to the changes in net revenues and cost of net revenues as discussed above. We expect that our gross margin will continue to fluctuate from quarter to quarter depending on revenue levels, product mix, competitive selling prices, our ability to reduce product costs and changes in unit volumes.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nine months ended September 30, 2012 were $45.0 million, or 16.4%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$45.5 million, or 15.5% of net revenues, for the same period in 2011. Research and development expenses for the nine months ended September 30, 2012 were lower as compared to the same period in 2011, due to reduced labor cost attributed to headcount reductions and lower software amortization costs.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nine months ended September 30, 2012 were $21.3 million, or 7.8% of net revenues,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$22.8 million, or 7.8% of net revenues, for the same period in 2011. The decrease for the nine months ended September 30, 2012 compared to the same period in 2011 was due primarily to lower labor cost and decreased cooperative advertising and joint marketing expenses.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nine months ended September 30, 2012 were $16.1 million, or 5.9%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revenues, compared to $16.6 million, or 5.6% of net revenues, for the same period in 2011. General and administrative expenses for the nine months ended September 30, 2012 decreased as compared to the same period in 2011, as there was a focus to contain operational costs. While we are closely monitoring and working to control general and administrative costs, we expect these costs to be negatively impacted by legal fees to defend the claims described in Note 9 to our condensed consolidated financial statements included in this report. During the nine months ended September 30, 2012 and 2011, the Company incurred $3.7 and $3.8 million in legal expenses, respectively.</w:t>
      </w:r>
    </w:p>
    <w:p>
      <w:pPr>
        <w:spacing w:after="0" w:line="120"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Goodwill and intangible assets impairments. </w:t>
      </w:r>
      <w:r>
        <w:rPr>
          <w:rFonts w:ascii="Arial" w:cs="Arial" w:eastAsia="Arial" w:hAnsi="Arial"/>
          <w:sz w:val="16"/>
          <w:szCs w:val="16"/>
          <w:color w:val="auto"/>
        </w:rPr>
        <w:t>During the first and third quarters of 2012, based on actual operating results, and reductions in management’s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estimates of forecasted operating results of the M2M Products and Solutions reporting unit principally due to an updated view of competitive pressures impacting average selling prices and forecasted sales volumes, customer product and technology selections, and the loss of certain customers, the Company determined there were sufficient indicators of impairment present to require an interim impairment analysis. Based on the fair value tests performed, during the first quarter of 2012 the Company recorded a pre-tax goodwill impairment charge of $6.5 million and a purchased intangible asset charge of $22.8 million. Based on the fair value tests performed, during the third quarter of 2012 the Company recorded a preliminary pre-tax goodwill impairment charge of $13.2 million and a preliminary purchased intangible asset charge of $7.3 million. Based on the fair value tests performed, during the third quarter of 2011 the Company recorded a pre-tax goodwill impairment charge of $3.5 million. See Note 4 in the condensed consolidated financial statements included in this report.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3" w:name="page24"/>
    <w:bookmarkEnd w:id="23"/>
    <w:p>
      <w:pPr>
        <w:ind w:right="40" w:firstLine="456"/>
        <w:spacing w:after="0" w:line="310"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Amortization of purchased intangible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Amortization of purchased intangible assets for the nine months ended September 30, 2012 was $891,000,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$1.7 million for the same period in 2011. The decrease in amortization expense for the nine months ended September 30, 2012 was due to reduced amortization of purchased intangible assets from Enfora caused by the impairment charge recognized in the first quarter of 2012.</w:t>
      </w:r>
    </w:p>
    <w:p>
      <w:pPr>
        <w:spacing w:after="0" w:line="10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nine months ended September 30, 2012 was $238,000 as compared to $303,000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The weighted-average interest rate earned by the Company on its cash, cash equivalents and marketable securities was 0.42% and 0.51% in the first nine months of 2012 and 2011, respectively.</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Other expense, net, for the nine months ended September 30, 2012 was $191,000 as compared to $1.2 million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The other expense in 2011 related to foreign currency losses on South Korean won denominated trade payables, and an other-than-temporary loss realized on marketable equity securities.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Income tax expense (benefit). </w:t>
      </w:r>
      <w:r>
        <w:rPr>
          <w:rFonts w:ascii="Arial" w:cs="Arial" w:eastAsia="Arial" w:hAnsi="Arial"/>
          <w:sz w:val="16"/>
          <w:szCs w:val="16"/>
          <w:color w:val="auto"/>
        </w:rPr>
        <w:t>Income tax expense for the nine months ended September 30, 2012 was $276,000, as compared to income tax benefit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$10.6 million for the same period in 2011. The income tax benefit in 2011 related to the release of $11.8 million of the Company’s liability related to uncertain 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positions due to the expiration of the applicable statutes of limitations for certain tax years.</w:t>
      </w:r>
    </w:p>
    <w:p>
      <w:pPr>
        <w:spacing w:after="0" w:line="165" w:lineRule="exact"/>
        <w:rPr>
          <w:sz w:val="20"/>
          <w:szCs w:val="20"/>
          <w:color w:val="auto"/>
        </w:rPr>
      </w:pPr>
    </w:p>
    <w:p>
      <w:pPr>
        <w:ind w:right="640" w:firstLine="456"/>
        <w:spacing w:after="0" w:line="370" w:lineRule="auto"/>
        <w:rPr>
          <w:sz w:val="20"/>
          <w:szCs w:val="20"/>
          <w:color w:val="auto"/>
        </w:rPr>
      </w:pPr>
      <w:r>
        <w:rPr>
          <w:rFonts w:ascii="Arial" w:cs="Arial" w:eastAsia="Arial" w:hAnsi="Arial"/>
          <w:sz w:val="15"/>
          <w:szCs w:val="15"/>
          <w:color w:val="auto"/>
        </w:rPr>
        <w:t>The effective tax rate for the nine months ended September 30, 2012 is different than the U.S. statutory rate primarily due to a valuation allowance recorded against additional U.S.-based deferred tax assets generated in the first nine months of 2012, and expenses attributable to foreign operations.</w:t>
      </w:r>
    </w:p>
    <w:p>
      <w:pPr>
        <w:spacing w:after="0" w:line="62"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b w:val="1"/>
          <w:bCs w:val="1"/>
          <w:i w:val="1"/>
          <w:iCs w:val="1"/>
          <w:color w:val="auto"/>
        </w:rPr>
        <w:t xml:space="preserve">Net loss. </w:t>
      </w:r>
      <w:r>
        <w:rPr>
          <w:rFonts w:ascii="Arial" w:cs="Arial" w:eastAsia="Arial" w:hAnsi="Arial"/>
          <w:sz w:val="15"/>
          <w:szCs w:val="15"/>
          <w:color w:val="auto"/>
        </w:rPr>
        <w:t>For the nine months ended September 30, 2012, we reported a net loss of $74.4 million, as compared to a net loss of $21.5 million for the same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period in 2011. Net income was significantly impacted due to the impairment charges recognized in the first quarter of 2012 and the third quarter of 2012.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liquidity are our existing cash, cash equivalents and marketable securities and cash generated from operations.</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To address short term liquidity requirements resulting from working capital changes the Company entered into a margin credit facility with a bank in 2011. The use of this margin credit facility allows the Company to meet short-term cash requirements and avoid selling cash equivalents and marketable securities. Borrowings under this facility are collateralized by Company cash equivalents and marketable securities on deposit at the bank. During the three months ended September 30, 2012, we borrowed approximately $5.0 million and subsequently repaid all amounts in the same period. During November 2012, the Company borrowed $9.0 million against the facility, which remained outstanding as of the date of this report.</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September 2009, we filed a shelf registration statement with the SEC that will allow us to sell up to $125 million of equity, debt or other securities described in the registration statement in one or more offerings by us from time to time. As set forth in the shelf registration statement, the net proceeds from the sale of our securities may be used for general corporate purposes, including working capital, capital expenditures and acquisitions. As of the date of this report, we have not issued any securities under this registration statement.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Working Capital, Cash and Cash Equivalents and 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920" w:type="dxa"/>
            <w:vAlign w:val="bottom"/>
            <w:gridSpan w:val="3"/>
          </w:tcPr>
          <w:p>
            <w:pPr>
              <w:ind w:left="1100"/>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(unaudited)</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1"/>
                <w:szCs w:val="11"/>
                <w:color w:val="auto"/>
              </w:rPr>
              <w:t>(1)</w:t>
            </w:r>
          </w:p>
        </w:tc>
        <w:tc>
          <w:tcPr>
            <w:tcW w:w="12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75,747</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(2)</w:t>
            </w: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gridSpan w:val="2"/>
            <w:vMerge w:val="continue"/>
          </w:tcPr>
          <w:p>
            <w:pPr>
              <w:spacing w:after="0"/>
              <w:rPr>
                <w:sz w:val="18"/>
                <w:szCs w:val="18"/>
                <w:color w:val="auto"/>
              </w:rPr>
            </w:pPr>
          </w:p>
        </w:tc>
        <w:tc>
          <w:tcPr>
            <w:tcW w:w="12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16,341</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(2)</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12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62,473</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Working capital is defined as the excess of current assets over current liabilities.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in working capital.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4" w:name="page25"/>
    <w:bookmarkEnd w:id="24"/>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working capital decreased $5.4 million from December 31, 2011 to September 30, 2012. The decrease was primarily due to the operating loss in the nine months ended September 30, 2012, net of non-cash related expenses.</w:t>
      </w:r>
    </w:p>
    <w:p>
      <w:pPr>
        <w:spacing w:after="0" w:line="132"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As of September 30, 2012, cash and cash equivalents and marketable securities decreased by $26.4 million from December 31, 2011. The principal component of this net decrease was the cash used by our operating activities of $22.8 million, and cash used to pay for acquisition of property, plant and equipment of $4.0 million.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cash flows for the periods indicated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(22,836)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(26,702)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040" w:type="dxa"/>
            <w:vAlign w:val="bottom"/>
            <w:gridSpan w:val="3"/>
          </w:tcPr>
          <w:p>
            <w:pPr>
              <w:jc w:val="right"/>
              <w:ind w:right="220"/>
              <w:spacing w:after="0"/>
              <w:rPr>
                <w:sz w:val="20"/>
                <w:szCs w:val="20"/>
                <w:color w:val="auto"/>
              </w:rPr>
            </w:pPr>
            <w:r>
              <w:rPr>
                <w:rFonts w:ascii="Arial" w:cs="Arial" w:eastAsia="Arial" w:hAnsi="Arial"/>
                <w:sz w:val="18"/>
                <w:szCs w:val="18"/>
                <w:color w:val="auto"/>
              </w:rPr>
              <w:t>(8,386)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32,026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(698)</w:t>
            </w: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Effect of exchange rates on cash and cash equivalents</w:t>
            </w:r>
          </w:p>
        </w:tc>
        <w:tc>
          <w:tcPr>
            <w:tcW w:w="1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(74)</w:t>
            </w: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Net increase (decrease) in cash and cash equivalents</w:t>
            </w:r>
          </w:p>
        </w:tc>
        <w:tc>
          <w:tcPr>
            <w:tcW w:w="1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(30,728)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1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$ 16,341</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$ 21,927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Operating activities. </w:t>
      </w:r>
      <w:r>
        <w:rPr>
          <w:rFonts w:ascii="Arial" w:cs="Arial" w:eastAsia="Arial" w:hAnsi="Arial"/>
          <w:sz w:val="15"/>
          <w:szCs w:val="15"/>
          <w:color w:val="auto"/>
        </w:rPr>
        <w:t>Net cash used in operating activities was $22.8 million for the nine months ended September 30, 2012 as compared to net cash used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by operating activities of $26.7 million for the same period in 2011. Net cash used for the nine months ended September 30, 2012 was attributable to net losses in the period and a net decrease in cash caused by changes in working capital accounts, offset by non-cash charges for impairments of goodwill and intangibles, depreciation and amortization, and share based compensation expense. The net decrease in cash caused by changes in net working capital accounts primarily included increases in accounts receivable and prepaid expenses and other assets, as well as a decrease in accounts payable. For the nine months ended September 30, 2011, net cash used by operating activities was primarily related to net losses for the period, along with decreases in cash caused by a reduction in accounts payable and an increase in inventory. These were partially offset by an increase in cash caused by a decrease in accounts receivable.</w:t>
      </w:r>
    </w:p>
    <w:p>
      <w:pPr>
        <w:spacing w:after="0" w:line="10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during the nine months ended September 30, 2012 was $8.4 million compared to $32.0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during the same period in 2011. Cash used in investing activities during the nine months ended September 30, 2012 was related to net purchases of marketable securities of $4.4 million, and purchases of property, plant, and equipment for approximately $4.0 million. Cash provided by investing activities during the same period in 2011 was primarily related to net sales of marketable securities of $37.2 million, net of purchases of property, plant, and equipment for approximately $4.9 million.</w:t>
      </w:r>
    </w:p>
    <w:p>
      <w:pPr>
        <w:spacing w:after="0" w:line="143"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b w:val="1"/>
          <w:bCs w:val="1"/>
          <w:i w:val="1"/>
          <w:iCs w:val="1"/>
          <w:color w:val="auto"/>
        </w:rPr>
        <w:t xml:space="preserve">Financing activities. </w:t>
      </w:r>
      <w:r>
        <w:rPr>
          <w:rFonts w:ascii="Arial" w:cs="Arial" w:eastAsia="Arial" w:hAnsi="Arial"/>
          <w:sz w:val="15"/>
          <w:szCs w:val="15"/>
          <w:color w:val="auto"/>
        </w:rPr>
        <w:t>Net cash provided by financing activities during the nine months ended September 30, 2012 was $537,000, compared to cash used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$698,000 during the same period in 2011. Net cash provided by financing activities in 2012 was primarily related to cash received for ESPP purchases. Net cash used in financing activities in 2011 was primarily related to payroll taxes paid on behalf of employees for restricted stock units which vested during the period.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expect to incur ongoing professional fees and expenses to defend litigation filed against us or related to our products, which litigation is discussed in Note 9 to our condensed consolidated financial statements included in this report. These costs cannot be estimated at this time.</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next twelve months, we currently plan to incur approximately $5.1 million for discretionary capital expenditures, including the acquisition of additional software licenses.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80" w:right="299" w:bottom="1440" w:gutter="0" w:footer="0" w:header="0"/>
        </w:sectPr>
      </w:pPr>
    </w:p>
    <w:bookmarkStart w:id="25" w:name="page26"/>
    <w:bookmarkEnd w:id="25"/>
    <w:p>
      <w:pPr>
        <w:ind w:right="4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believe our cash resources from cash and cash equivalents and marketable securities, together with anticipated cash flows from operations, will be sufficient to meet our working capital needs for the next twelve months.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If additional funds are raised by the issuance of equity securities, our shareholders could experience dilution of their ownership interests and securities issued may have rights senior to those of the holders of our common stock. If additional funds are raised by the issuance of debt securities or from other borrowings,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2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December 31, 2011, there have been no material changes in the quantitative or qualitative aspect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our Annual Report on Form 10-K for the year ended December 31, 2011.</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September 30, 2012, the end of the period covered by this report. Based on the evaluation of these disclosure controls and procedures, the Company’s Chief Executive Officer and Chief Financial Officer concluded that the Company’s disclosure controls and procedures were effective.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September 30, 2012, that have materially affected, or are reasonably likely to materially affect, the Company’s internal control over financial reporting.</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Backe v. Novatel Wireless, Inc. et al.</w:t>
      </w:r>
      <w:r>
        <w:rPr>
          <w:rFonts w:ascii="Arial" w:cs="Arial" w:eastAsia="Arial" w:hAnsi="Arial"/>
          <w:sz w:val="18"/>
          <w:szCs w:val="18"/>
          <w:color w:val="auto"/>
        </w:rPr>
        <w:t>, United States District Court for the Southern District of California (San Diego), Case No. 3:08-cv-01689-AJB-RBB (consolidated with Case No. 3:08-cv-01714-H-RBB (U.S.D.C., S.D. Cal.)), the court, on July 9, 2012, vacated the final pretrial conference date. Dates for the pretrial conference and trial have not yet been scheduled.</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Jerry Rosenbaum v. Peter Leparulo, et al.</w:t>
      </w:r>
      <w:r>
        <w:rPr>
          <w:rFonts w:ascii="Arial" w:cs="Arial" w:eastAsia="Arial" w:hAnsi="Arial"/>
          <w:sz w:val="18"/>
          <w:szCs w:val="18"/>
          <w:color w:val="auto"/>
        </w:rPr>
        <w:t>, Superior Court of the State of California, County of San Diego, Case No. 37-2008-00093576-CU-NP-CTL, the parties executed a Stipulation of Settlement on March 2, 2012 which was submitted to the court for approval. The court preliminarily approved the settlement pursuant to an order dated March 15, 2012. The settlement required the Company to maintain and/or implement certain corporate governance measures and provided for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fees and expenses to the plaintiffs’ counsel of an amount not to exceed $900,000, $500,000 of which was to be paid out of insurance proceeds and</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$400,000 to be paid by the Company. These fees have been paid in accordance with the March 15</w:t>
      </w:r>
      <w:r>
        <w:rPr>
          <w:rFonts w:ascii="Arial" w:cs="Arial" w:eastAsia="Arial" w:hAnsi="Arial"/>
          <w:sz w:val="11"/>
          <w:szCs w:val="11"/>
          <w:color w:val="auto"/>
        </w:rPr>
        <w:t>th</w:t>
      </w:r>
      <w:r>
        <w:rPr>
          <w:rFonts w:ascii="Arial" w:cs="Arial" w:eastAsia="Arial" w:hAnsi="Arial"/>
          <w:sz w:val="18"/>
          <w:szCs w:val="18"/>
          <w:color w:val="auto"/>
        </w:rPr>
        <w:t xml:space="preserve"> order and on May 4, 2012, the court granted final approval of the settlement. The Company recorded the $400,000 in fees in its 2011 financial results.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additional information regarding these matters, see Item 3, “Legal Proceedings” in our Annual Report on Form 10-K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have been no material changes in our risk factors from those disclosed in Item 1A of the Company’s Annual Report Form 10-K for the year ended December 31, 2011.</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Item 6.</w:t>
            </w:r>
          </w:p>
        </w:tc>
        <w:tc>
          <w:tcPr>
            <w:tcW w:w="100" w:type="dxa"/>
            <w:vAlign w:val="bottom"/>
          </w:tcPr>
          <w:p>
            <w:pPr>
              <w:spacing w:after="0"/>
              <w:rPr>
                <w:sz w:val="19"/>
                <w:szCs w:val="19"/>
                <w:color w:val="auto"/>
              </w:rPr>
            </w:pPr>
          </w:p>
        </w:tc>
        <w:tc>
          <w:tcPr>
            <w:tcW w:w="10700" w:type="dxa"/>
            <w:vAlign w:val="bottom"/>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10700" w:type="dxa"/>
            <w:vAlign w:val="bottom"/>
          </w:tcPr>
          <w:p>
            <w:pPr>
              <w:spacing w:after="0"/>
              <w:rPr>
                <w:sz w:val="24"/>
                <w:szCs w:val="24"/>
                <w:color w:val="auto"/>
              </w:rPr>
            </w:pPr>
          </w:p>
        </w:tc>
      </w:tr>
      <w:tr>
        <w:trPr>
          <w:trHeight w:val="161"/>
        </w:trPr>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700" w:type="dxa"/>
            <w:vAlign w:val="bottom"/>
          </w:tcPr>
          <w:p>
            <w:pPr>
              <w:ind w:left="50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700" w:type="dxa"/>
            <w:vAlign w:val="bottom"/>
            <w:tcBorders>
              <w:bottom w:val="single" w:sz="8" w:color="auto"/>
            </w:tcBorders>
          </w:tcPr>
          <w:p>
            <w:pPr>
              <w:spacing w:after="0" w:line="20" w:lineRule="exact"/>
              <w:rPr>
                <w:sz w:val="1"/>
                <w:szCs w:val="1"/>
                <w:color w:val="auto"/>
              </w:rPr>
            </w:pPr>
          </w:p>
        </w:tc>
      </w:tr>
      <w:tr>
        <w:trPr>
          <w:trHeight w:val="289"/>
        </w:trPr>
        <w:tc>
          <w:tcPr>
            <w:tcW w:w="5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10800" w:type="dxa"/>
            <w:vAlign w:val="bottom"/>
            <w:gridSpan w:val="2"/>
          </w:tcPr>
          <w:p>
            <w:pPr>
              <w:ind w:left="100"/>
              <w:spacing w:after="0"/>
              <w:rPr>
                <w:sz w:val="20"/>
                <w:szCs w:val="20"/>
                <w:color w:val="auto"/>
              </w:rPr>
            </w:pPr>
            <w:r>
              <w:rPr>
                <w:rFonts w:ascii="Arial" w:cs="Arial" w:eastAsia="Arial" w:hAnsi="Arial"/>
                <w:sz w:val="18"/>
                <w:szCs w:val="18"/>
                <w:color w:val="auto"/>
              </w:rPr>
              <w:t>Certification of our Principal Executive Officer pursuant to Section 302 of the Sarbanes-Oxley Act of 2002.</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24"/>
                <w:szCs w:val="24"/>
                <w:color w:val="auto"/>
              </w:rPr>
            </w:pPr>
          </w:p>
        </w:tc>
        <w:tc>
          <w:tcPr>
            <w:tcW w:w="10800" w:type="dxa"/>
            <w:vAlign w:val="bottom"/>
            <w:gridSpan w:val="2"/>
          </w:tcPr>
          <w:p>
            <w:pPr>
              <w:ind w:left="100"/>
              <w:spacing w:after="0"/>
              <w:rPr>
                <w:sz w:val="20"/>
                <w:szCs w:val="20"/>
                <w:color w:val="auto"/>
              </w:rPr>
            </w:pPr>
            <w:r>
              <w:rPr>
                <w:rFonts w:ascii="Arial" w:cs="Arial" w:eastAsia="Arial" w:hAnsi="Arial"/>
                <w:sz w:val="18"/>
                <w:szCs w:val="18"/>
                <w:color w:val="auto"/>
              </w:rPr>
              <w:t>Certification of our Principal Financial Officer pursuant to Section 302 of the Sarbanes-Oxley Act of 2002.</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20" w:type="dxa"/>
            <w:vAlign w:val="bottom"/>
          </w:tcPr>
          <w:p>
            <w:pPr>
              <w:spacing w:after="0"/>
              <w:rPr>
                <w:sz w:val="24"/>
                <w:szCs w:val="24"/>
                <w:color w:val="auto"/>
              </w:rPr>
            </w:pPr>
          </w:p>
        </w:tc>
        <w:tc>
          <w:tcPr>
            <w:tcW w:w="10800" w:type="dxa"/>
            <w:vAlign w:val="bottom"/>
            <w:gridSpan w:val="2"/>
          </w:tcPr>
          <w:p>
            <w:pPr>
              <w:ind w:left="100"/>
              <w:spacing w:after="0"/>
              <w:rPr>
                <w:sz w:val="20"/>
                <w:szCs w:val="20"/>
                <w:color w:val="auto"/>
              </w:rPr>
            </w:pPr>
            <w:r>
              <w:rPr>
                <w:rFonts w:ascii="Arial" w:cs="Arial" w:eastAsia="Arial" w:hAnsi="Arial"/>
                <w:sz w:val="18"/>
                <w:szCs w:val="18"/>
                <w:color w:val="auto"/>
              </w:rPr>
              <w:t>Certification of our Principal Executive Officer pursuant to Section 906 of the Sarbanes-Oxley Act of 2002.</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120" w:type="dxa"/>
            <w:vAlign w:val="bottom"/>
          </w:tcPr>
          <w:p>
            <w:pPr>
              <w:spacing w:after="0"/>
              <w:rPr>
                <w:sz w:val="24"/>
                <w:szCs w:val="24"/>
                <w:color w:val="auto"/>
              </w:rPr>
            </w:pPr>
          </w:p>
        </w:tc>
        <w:tc>
          <w:tcPr>
            <w:tcW w:w="10800" w:type="dxa"/>
            <w:vAlign w:val="bottom"/>
            <w:gridSpan w:val="2"/>
          </w:tcPr>
          <w:p>
            <w:pPr>
              <w:ind w:left="100"/>
              <w:spacing w:after="0"/>
              <w:rPr>
                <w:sz w:val="20"/>
                <w:szCs w:val="20"/>
                <w:color w:val="auto"/>
              </w:rPr>
            </w:pPr>
            <w:r>
              <w:rPr>
                <w:rFonts w:ascii="Arial" w:cs="Arial" w:eastAsia="Arial" w:hAnsi="Arial"/>
                <w:sz w:val="18"/>
                <w:szCs w:val="18"/>
                <w:color w:val="auto"/>
              </w:rPr>
              <w:t>Certification of our Principal Financial Officer pursuant to Section 906 of the Sarbanes-Oxley Act of 2002.</w:t>
            </w:r>
          </w:p>
        </w:tc>
      </w:tr>
    </w:tbl>
    <w:p>
      <w:pPr>
        <w:spacing w:after="0" w:line="102" w:lineRule="exact"/>
        <w:rPr>
          <w:sz w:val="20"/>
          <w:szCs w:val="20"/>
          <w:color w:val="auto"/>
        </w:rPr>
      </w:pPr>
    </w:p>
    <w:p>
      <w:pPr>
        <w:ind w:left="720" w:right="40" w:hanging="712"/>
        <w:spacing w:after="0" w:line="256"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financial statements and footnotes from the Novatel Wireless, Inc. Quarterly Report on Form 10-Q for the quarter ended September 30, 2012 formatted in Extensible Business Reporting Language (XBRL): (i) Condensed Consolidated Balance Sheets; (ii) Condensed Consolidated Statements of Operations and Comprehensive Income (Loss); (iii) Condensed Consolidated Statements of Cash Flows; and (iv) the Notes to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Date: November 9, 2012</w:t>
            </w:r>
          </w:p>
        </w:tc>
        <w:tc>
          <w:tcPr>
            <w:tcW w:w="7800" w:type="dxa"/>
            <w:vAlign w:val="bottom"/>
            <w:gridSpan w:val="2"/>
          </w:tcPr>
          <w:p>
            <w:pPr>
              <w:ind w:left="1860"/>
              <w:spacing w:after="0"/>
              <w:rPr>
                <w:sz w:val="20"/>
                <w:szCs w:val="20"/>
                <w:color w:val="auto"/>
              </w:rPr>
            </w:pPr>
            <w:r>
              <w:rPr>
                <w:rFonts w:ascii="Arial" w:cs="Arial" w:eastAsia="Arial" w:hAnsi="Arial"/>
                <w:sz w:val="18"/>
                <w:szCs w:val="18"/>
                <w:color w:val="auto"/>
              </w:rPr>
              <w:t>Novatel Wireless, Inc.</w:t>
            </w:r>
          </w:p>
        </w:tc>
      </w:tr>
      <w:tr>
        <w:trPr>
          <w:trHeight w:val="433"/>
        </w:trPr>
        <w:tc>
          <w:tcPr>
            <w:tcW w:w="3620" w:type="dxa"/>
            <w:vAlign w:val="bottom"/>
          </w:tcPr>
          <w:p>
            <w:pPr>
              <w:spacing w:after="0"/>
              <w:rPr>
                <w:sz w:val="24"/>
                <w:szCs w:val="24"/>
                <w:color w:val="auto"/>
              </w:rPr>
            </w:pPr>
          </w:p>
        </w:tc>
        <w:tc>
          <w:tcPr>
            <w:tcW w:w="2440" w:type="dxa"/>
            <w:vAlign w:val="bottom"/>
          </w:tcPr>
          <w:p>
            <w:pPr>
              <w:ind w:left="18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tc>
      </w:tr>
      <w:tr>
        <w:trPr>
          <w:trHeight w:val="216"/>
        </w:trPr>
        <w:tc>
          <w:tcPr>
            <w:tcW w:w="3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Peter Leparulo</w:t>
            </w:r>
          </w:p>
        </w:tc>
      </w:tr>
      <w:tr>
        <w:trPr>
          <w:trHeight w:val="222"/>
        </w:trPr>
        <w:tc>
          <w:tcPr>
            <w:tcW w:w="36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433"/>
        </w:trPr>
        <w:tc>
          <w:tcPr>
            <w:tcW w:w="3620" w:type="dxa"/>
            <w:vAlign w:val="bottom"/>
          </w:tcPr>
          <w:p>
            <w:pPr>
              <w:spacing w:after="0"/>
              <w:rPr>
                <w:sz w:val="24"/>
                <w:szCs w:val="24"/>
                <w:color w:val="auto"/>
              </w:rPr>
            </w:pPr>
          </w:p>
        </w:tc>
        <w:tc>
          <w:tcPr>
            <w:tcW w:w="2440" w:type="dxa"/>
            <w:vAlign w:val="bottom"/>
          </w:tcPr>
          <w:p>
            <w:pPr>
              <w:ind w:left="18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r>
      <w:tr>
        <w:trPr>
          <w:trHeight w:val="216"/>
        </w:trPr>
        <w:tc>
          <w:tcPr>
            <w:tcW w:w="3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Kenneth Leddon</w:t>
            </w:r>
          </w:p>
        </w:tc>
      </w:tr>
      <w:tr>
        <w:trPr>
          <w:trHeight w:val="222"/>
        </w:trPr>
        <w:tc>
          <w:tcPr>
            <w:tcW w:w="36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365"/>
        </w:trPr>
        <w:tc>
          <w:tcPr>
            <w:tcW w:w="3620" w:type="dxa"/>
            <w:vAlign w:val="bottom"/>
          </w:tcPr>
          <w:p>
            <w:pPr>
              <w:spacing w:after="0"/>
              <w:rPr>
                <w:sz w:val="24"/>
                <w:szCs w:val="24"/>
                <w:color w:val="auto"/>
              </w:rPr>
            </w:pPr>
          </w:p>
        </w:tc>
        <w:tc>
          <w:tcPr>
            <w:tcW w:w="2440" w:type="dxa"/>
            <w:vAlign w:val="bottom"/>
          </w:tcPr>
          <w:p>
            <w:pPr>
              <w:jc w:val="right"/>
              <w:ind w:right="172"/>
              <w:spacing w:after="0"/>
              <w:rPr>
                <w:sz w:val="20"/>
                <w:szCs w:val="20"/>
                <w:color w:val="auto"/>
              </w:rPr>
            </w:pPr>
            <w:r>
              <w:rPr>
                <w:rFonts w:ascii="Arial" w:cs="Arial" w:eastAsia="Arial" w:hAnsi="Arial"/>
                <w:sz w:val="18"/>
                <w:szCs w:val="18"/>
                <w:color w:val="auto"/>
              </w:rPr>
              <w:t>27</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171"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November 9, 2012</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P</w:t>
      </w:r>
      <w:r>
        <w:rPr>
          <w:rFonts w:ascii="Arial" w:cs="Arial" w:eastAsia="Arial" w:hAnsi="Arial"/>
          <w:sz w:val="13"/>
          <w:szCs w:val="13"/>
          <w:color w:val="auto"/>
        </w:rPr>
        <w:t>ETER</w:t>
      </w:r>
      <w:r>
        <w:rPr>
          <w:rFonts w:ascii="Arial" w:cs="Arial" w:eastAsia="Arial" w:hAnsi="Arial"/>
          <w:sz w:val="16"/>
          <w:szCs w:val="16"/>
          <w:color w:val="auto"/>
        </w:rPr>
        <w:t xml:space="preserve"> L</w:t>
      </w:r>
      <w:r>
        <w:rPr>
          <w:rFonts w:ascii="Arial" w:cs="Arial" w:eastAsia="Arial" w:hAnsi="Arial"/>
          <w:sz w:val="13"/>
          <w:szCs w:val="13"/>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Peter Leparulo</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171"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November 9, 2012</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Kenneth Leddon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 Peter Leparulo, Chairman and Chief Executive Officer of Novatel Wireless, Inc. (Company), do hereby certify, pursuant to 18 U.S.C. Section 1350, as adopted pursuant to Section 906 of the Sarbanes-Oxley Act of 2002, that to the best of my knowledge:</w:t>
      </w:r>
    </w:p>
    <w:p>
      <w:pPr>
        <w:spacing w:after="0" w:line="51" w:lineRule="exact"/>
        <w:rPr>
          <w:sz w:val="20"/>
          <w:szCs w:val="20"/>
          <w:color w:val="auto"/>
        </w:rPr>
      </w:pPr>
    </w:p>
    <w:p>
      <w:pPr>
        <w:ind w:left="900" w:right="4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2012 (Report)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Leparulo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 Kenneth Leddon, Senior Vice President and Chief Financial Officer of Novatel Wireless, Inc. (Company), do hereby certify, pursuant to 18 U.S.C.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84" w:lineRule="exact"/>
        <w:rPr>
          <w:sz w:val="20"/>
          <w:szCs w:val="20"/>
          <w:color w:val="auto"/>
        </w:rPr>
      </w:pPr>
    </w:p>
    <w:p>
      <w:pPr>
        <w:ind w:left="900" w:right="4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2012 (Report)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Kenneth Leddon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7"/>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9"/>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0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2019-12-09T13:01:55Z</dcterms:created>
  <dcterms:modified xsi:type="dcterms:W3CDTF">2019-12-09T13:01:55Z</dcterms:modified>
</cp:coreProperties>
</file>