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45204_4-inseego.xml.htm"/>
      <w:bookmarkStart w:id="1" w:name="kses260845204_4inseego"/>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EAST PUTNAM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91"/>
        <w:gridCol w:w="610"/>
        <w:gridCol w:w="1272"/>
        <w:gridCol w:w="99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2,710</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33,222</w:t>
            </w:r>
            <w:r>
              <w:rPr>
                <w:rFonts w:ascii="Times;serif" w:hAnsi="Times;serif"/>
                <w:color w:val="008000"/>
                <w:position w:val="7"/>
                <w:sz w:val="16"/>
                <w:sz w:val="20"/>
                <w:shd w:fill="FFFFFF" w:val="clear"/>
              </w:rPr>
              <w:t>(2)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2,143,769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settle for shares of common stock on a 1-for-1 basis, and that are fully vested upon grant. These RSUs represent shares the Reporting Person elected to receive as compensation in lieu of cash pursuant to the Issuer's 2018 Omnibus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stock units ("RSUs") that settle for 19,654 shares of common stock on a 1-for-1 basis. The RSUs are scheduled to vest on September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directly by North Sound Trading, LP, a Delaware partnership ("North Sound Trading"). Mr. Miller is the sole shareholder of North Sound Management, Inc., a Delaware corporation ("North Sound Management"), which in turn is the general partner of North Sound Trading. Mr. Miller and North Sound Management may be deemed to indirectly own the shares directly owned by North Sound Trading. Each of North Sound Trading and North Sound Management may be deemed a director by deputization by virtue of their relationship with Mr. Miller, a director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9976"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3946</Characters>
  <CharactersWithSpaces>4608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