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133350</wp:posOffset>
            </wp:positionV>
            <wp:extent cx="1457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7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41275</wp:posOffset>
            </wp:positionV>
            <wp:extent cx="1457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8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60"/>
              <w:spacing w:after="0"/>
              <w:rPr>
                <w:sz w:val="20"/>
                <w:szCs w:val="20"/>
                <w:color w:val="auto"/>
              </w:rPr>
            </w:pPr>
            <w:r>
              <w:rPr>
                <w:rFonts w:ascii="Arial" w:cs="Arial" w:eastAsia="Arial" w:hAnsi="Arial"/>
                <w:sz w:val="18"/>
                <w:szCs w:val="18"/>
                <w:b w:val="1"/>
                <w:bCs w:val="1"/>
                <w:color w:val="auto"/>
              </w:rPr>
              <w:t>Commission file number: 000-31659</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137160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7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NOVATEL WIRELESS, INC.</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13335</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59"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4560" w:type="dxa"/>
            <w:vAlign w:val="bottom"/>
          </w:tcPr>
          <w:p>
            <w:pPr>
              <w:jc w:val="center"/>
              <w:ind w:right="201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jc w:val="right"/>
              <w:ind w:right="41"/>
              <w:spacing w:after="0"/>
              <w:rPr>
                <w:sz w:val="20"/>
                <w:szCs w:val="20"/>
                <w:color w:val="auto"/>
              </w:rPr>
            </w:pPr>
            <w:r>
              <w:rPr>
                <w:rFonts w:ascii="Arial" w:cs="Arial" w:eastAsia="Arial" w:hAnsi="Arial"/>
                <w:sz w:val="18"/>
                <w:szCs w:val="18"/>
                <w:b w:val="1"/>
                <w:bCs w:val="1"/>
                <w:color w:val="auto"/>
              </w:rPr>
              <w:t>86-0824673</w:t>
            </w:r>
          </w:p>
        </w:tc>
      </w:tr>
      <w:tr>
        <w:trPr>
          <w:trHeight w:val="180"/>
        </w:trPr>
        <w:tc>
          <w:tcPr>
            <w:tcW w:w="4560" w:type="dxa"/>
            <w:vAlign w:val="bottom"/>
          </w:tcPr>
          <w:p>
            <w:pPr>
              <w:jc w:val="center"/>
              <w:ind w:right="2019"/>
              <w:spacing w:after="0"/>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jc w:val="center"/>
              <w:ind w:left="20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560" w:type="dxa"/>
            <w:vAlign w:val="bottom"/>
          </w:tcPr>
          <w:p>
            <w:pPr>
              <w:jc w:val="center"/>
              <w:ind w:right="2019"/>
              <w:spacing w:after="0"/>
              <w:rPr>
                <w:sz w:val="20"/>
                <w:szCs w:val="20"/>
                <w:color w:val="auto"/>
              </w:rPr>
            </w:pPr>
            <w:r>
              <w:rPr>
                <w:rFonts w:ascii="Arial" w:cs="Arial" w:eastAsia="Arial" w:hAnsi="Arial"/>
                <w:sz w:val="14"/>
                <w:szCs w:val="14"/>
                <w:b w:val="1"/>
                <w:bCs w:val="1"/>
                <w:color w:val="auto"/>
                <w:w w:val="95"/>
              </w:rPr>
              <w:t>of Incorporation or Organization)</w:t>
            </w:r>
          </w:p>
        </w:tc>
        <w:tc>
          <w:tcPr>
            <w:tcW w:w="3220" w:type="dxa"/>
            <w:vAlign w:val="bottom"/>
          </w:tcPr>
          <w:p>
            <w:pPr>
              <w:jc w:val="center"/>
              <w:ind w:left="202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4560" w:type="dxa"/>
            <w:vAlign w:val="bottom"/>
          </w:tcPr>
          <w:p>
            <w:pPr>
              <w:jc w:val="center"/>
              <w:ind w:right="1999"/>
              <w:spacing w:after="0"/>
              <w:rPr>
                <w:sz w:val="20"/>
                <w:szCs w:val="20"/>
                <w:color w:val="auto"/>
              </w:rPr>
            </w:pPr>
            <w:r>
              <w:rPr>
                <w:rFonts w:ascii="Arial" w:cs="Arial" w:eastAsia="Arial" w:hAnsi="Arial"/>
                <w:sz w:val="18"/>
                <w:szCs w:val="18"/>
                <w:b w:val="1"/>
                <w:bCs w:val="1"/>
                <w:color w:val="auto"/>
                <w:w w:val="90"/>
              </w:rPr>
              <w:t>9645 Scranton Road</w:t>
            </w:r>
          </w:p>
        </w:tc>
        <w:tc>
          <w:tcPr>
            <w:tcW w:w="3220" w:type="dxa"/>
            <w:vAlign w:val="bottom"/>
          </w:tcPr>
          <w:p>
            <w:pPr>
              <w:spacing w:after="0"/>
              <w:rPr>
                <w:sz w:val="24"/>
                <w:szCs w:val="24"/>
                <w:color w:val="auto"/>
              </w:rPr>
            </w:pPr>
          </w:p>
        </w:tc>
      </w:tr>
      <w:tr>
        <w:trPr>
          <w:trHeight w:val="234"/>
        </w:trPr>
        <w:tc>
          <w:tcPr>
            <w:tcW w:w="4560" w:type="dxa"/>
            <w:vAlign w:val="bottom"/>
          </w:tcPr>
          <w:p>
            <w:pPr>
              <w:jc w:val="center"/>
              <w:ind w:right="2019"/>
              <w:spacing w:after="0"/>
              <w:rPr>
                <w:sz w:val="20"/>
                <w:szCs w:val="20"/>
                <w:color w:val="auto"/>
              </w:rPr>
            </w:pPr>
            <w:r>
              <w:rPr>
                <w:rFonts w:ascii="Arial" w:cs="Arial" w:eastAsia="Arial" w:hAnsi="Arial"/>
                <w:sz w:val="18"/>
                <w:szCs w:val="18"/>
                <w:b w:val="1"/>
                <w:bCs w:val="1"/>
                <w:color w:val="auto"/>
                <w:w w:val="91"/>
              </w:rPr>
              <w:t>San Diego, California</w:t>
            </w:r>
          </w:p>
        </w:tc>
        <w:tc>
          <w:tcPr>
            <w:tcW w:w="322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218"/>
        </w:trPr>
        <w:tc>
          <w:tcPr>
            <w:tcW w:w="4560" w:type="dxa"/>
            <w:vAlign w:val="bottom"/>
          </w:tcPr>
          <w:p>
            <w:pPr>
              <w:jc w:val="center"/>
              <w:ind w:right="20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jc w:val="center"/>
              <w:ind w:left="2021"/>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1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1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00"/>
          </w:cols>
          <w:pgMar w:left="240" w:top="544" w:right="359" w:bottom="1440" w:gutter="0" w:footer="0" w:header="0"/>
        </w:sectPr>
      </w:pPr>
    </w:p>
    <w:p>
      <w:pPr>
        <w:spacing w:after="0" w:line="27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180" w:lineRule="exact"/>
        <w:rPr>
          <w:sz w:val="24"/>
          <w:szCs w:val="24"/>
          <w:color w:val="auto"/>
        </w:rPr>
      </w:pPr>
    </w:p>
    <w:p>
      <w:pPr>
        <w:sectPr>
          <w:pgSz w:w="11900" w:h="16838" w:orient="portrait"/>
          <w:cols w:equalWidth="0" w:num="4">
            <w:col w:w="1660" w:space="540"/>
            <w:col w:w="5560" w:space="720"/>
            <w:col w:w="1900" w:space="720"/>
            <w:col w:w="200"/>
          </w:cols>
          <w:pgMar w:left="240" w:top="544" w:right="359" w:bottom="1440" w:gutter="0" w:footer="0" w:header="0"/>
          <w:type w:val="continuous"/>
        </w:sectPr>
      </w:pPr>
    </w:p>
    <w:p>
      <w:pPr>
        <w:spacing w:after="0" w:line="7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02" w:lineRule="exact"/>
        <w:rPr>
          <w:sz w:val="24"/>
          <w:szCs w:val="24"/>
          <w:color w:val="auto"/>
        </w:rPr>
      </w:pPr>
    </w:p>
    <w:p>
      <w:pPr>
        <w:sectPr>
          <w:pgSz w:w="11900" w:h="16838" w:orient="portrait"/>
          <w:cols w:equalWidth="0" w:num="5">
            <w:col w:w="1560" w:space="640"/>
            <w:col w:w="200" w:space="60"/>
            <w:col w:w="5300" w:space="720"/>
            <w:col w:w="1980" w:space="640"/>
            <w:col w:w="200"/>
          </w:cols>
          <w:pgMar w:left="240" w:top="544" w:right="359" w:bottom="1440" w:gutter="0" w:footer="0" w:header="0"/>
          <w:type w:val="continuous"/>
        </w:sectPr>
      </w:pPr>
    </w:p>
    <w:p>
      <w:pPr>
        <w:ind w:right="26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w:t>
      </w:r>
      <w:r>
        <w:rPr>
          <w:rFonts w:ascii="Arial" w:cs="Arial" w:eastAsia="Arial" w:hAnsi="Arial"/>
          <w:sz w:val="15"/>
          <w:szCs w:val="15"/>
          <w:color w:val="auto"/>
        </w:rPr>
        <w:t>Yes</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5"/>
          <w:szCs w:val="15"/>
          <w:color w:val="auto"/>
        </w:rPr>
        <w:t>No</w:t>
      </w:r>
      <w:r>
        <w:rPr>
          <w:rFonts w:ascii="Arial" w:cs="Arial" w:eastAsia="Arial" w:hAnsi="Arial"/>
          <w:sz w:val="17"/>
          <w:szCs w:val="17"/>
          <w:color w:val="auto"/>
        </w:rPr>
        <w:t xml:space="preserve"> x The number of shares of the registrant’s common stock outstanding as of July 28, 2016 was 53,854,656.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58"/>
        </w:trPr>
        <w:tc>
          <w:tcPr>
            <w:tcW w:w="8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9"/>
        </w:trPr>
        <w:tc>
          <w:tcPr>
            <w:tcW w:w="8800" w:type="dxa"/>
            <w:vAlign w:val="bottom"/>
          </w:tcPr>
          <w:p>
            <w:pPr>
              <w:ind w:left="410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7"/>
        </w:trPr>
        <w:tc>
          <w:tcPr>
            <w:tcW w:w="8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12,570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receivable, net of allowance for doubtful accounts of $724 at June 30, 2016 and $601 at December 31, 2015</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35,515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35,263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34,261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55,837</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6,039</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94,259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110,976</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Property, plant and equipment, net of accumulated depreciation of $64,579 at June 30, 2016 and $62,832 at December 31, 2015</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8,812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assets, net of accumulated depreciation of $1,783 at June 30, 2016 and $1,034 at December 31, 2015</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6,626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6,155</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$20,655 at June 30, 2016 and $17,380 at 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43,089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29,520</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r>
      <w:tr>
        <w:trPr>
          <w:trHeight w:val="284"/>
        </w:trPr>
        <w:tc>
          <w:tcPr>
            <w:tcW w:w="88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182,969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198,753</w:t>
            </w:r>
          </w:p>
        </w:tc>
      </w:tr>
      <w:tr>
        <w:trPr>
          <w:trHeight w:val="237"/>
        </w:trPr>
        <w:tc>
          <w:tcPr>
            <w:tcW w:w="8800" w:type="dxa"/>
            <w:vAlign w:val="bottom"/>
            <w:tcBorders>
              <w:bottom w:val="single" w:sz="8" w:color="CCEEFF"/>
            </w:tcBorders>
            <w:shd w:val="clear" w:color="auto" w:fill="CCEEFF"/>
          </w:tcPr>
          <w:p>
            <w:pPr>
              <w:ind w:left="26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35,286</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35,368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25,613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3,313</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58,814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64,212</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86,684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82,461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3,267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3,475</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18,142</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161,844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168,290</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$0.001; 2,000,000 shares authorized and none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8800" w:type="dxa"/>
            <w:vAlign w:val="bottom"/>
          </w:tcPr>
          <w:p>
            <w:pPr>
              <w:ind w:left="280"/>
              <w:spacing w:after="0"/>
              <w:rPr>
                <w:sz w:val="20"/>
                <w:szCs w:val="20"/>
                <w:color w:val="auto"/>
              </w:rPr>
            </w:pPr>
            <w:r>
              <w:rPr>
                <w:rFonts w:ascii="Arial" w:cs="Arial" w:eastAsia="Arial" w:hAnsi="Arial"/>
                <w:sz w:val="16"/>
                <w:szCs w:val="16"/>
                <w:color w:val="auto"/>
                <w:w w:val="98"/>
              </w:rPr>
              <w:t>Common stock, par value $0.001; 150,000,000 shares authorized at June 30, 2016 and December 31, 2015, respectively,</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8800" w:type="dxa"/>
            <w:vAlign w:val="bottom"/>
          </w:tcPr>
          <w:p>
            <w:pPr>
              <w:ind w:left="600"/>
              <w:spacing w:after="0"/>
              <w:rPr>
                <w:sz w:val="20"/>
                <w:szCs w:val="20"/>
                <w:color w:val="auto"/>
              </w:rPr>
            </w:pPr>
            <w:r>
              <w:rPr>
                <w:rFonts w:ascii="Arial" w:cs="Arial" w:eastAsia="Arial" w:hAnsi="Arial"/>
                <w:sz w:val="16"/>
                <w:szCs w:val="16"/>
                <w:color w:val="auto"/>
              </w:rPr>
              <w:t>53,853,148 and 53,165,024 shares issued and outstanding at June 30, 2016 and December 31, 2015, respectively</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504,990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502,337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(8,507)</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(478,054)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(463,451)</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equity attributable to Novatel Wireless, Inc.</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21,078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30,432</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21,125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30,463</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182,969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198,753</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44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16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103,306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102,283</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13,666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26,449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62,811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129,755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105,161</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76,627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76,598</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3,815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8,707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cost of 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39,573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77,204</w:t>
            </w:r>
          </w:p>
        </w:tc>
        <w:tc>
          <w:tcPr>
            <w:tcW w:w="0" w:type="dxa"/>
            <w:vAlign w:val="bottom"/>
          </w:tcPr>
          <w:p>
            <w:pPr>
              <w:spacing w:after="0"/>
              <w:rPr>
                <w:sz w:val="1"/>
                <w:szCs w:val="1"/>
                <w:color w:val="auto"/>
              </w:rPr>
            </w:pPr>
          </w:p>
        </w:tc>
      </w:tr>
      <w:tr>
        <w:trPr>
          <w:trHeight w:val="217"/>
        </w:trPr>
        <w:tc>
          <w:tcPr>
            <w:tcW w:w="6520" w:type="dxa"/>
            <w:vAlign w:val="bottom"/>
          </w:tcPr>
          <w:p>
            <w:pPr>
              <w:ind w:left="720"/>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23,238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44,421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27,957</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8,281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9,690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16,306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20,448</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8,455</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9,994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8,988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20,193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14,352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43,914</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(10,982)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(15,957)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(14,271)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(16,952)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(17,046)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Net loss attributable to Novatel Wireless, Inc.</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(9,220)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(14,605)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(17,046)</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color w:val="auto"/>
              </w:rPr>
              <w:t>Per share data:</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Basic and 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computation of 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53,622,554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53,403,148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53,436,611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49,852,411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2,595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0"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Amortization of acquisition-related inventory step-up</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Provision for bad debts,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Provision for excess and obsolete inventory</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Gain on divestiture and sale of other assets, net of 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Unrealized foreign currency transaction loss,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 net of effects from acquisitions and divestitures: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(5,832)</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7,904</w:t>
            </w:r>
          </w:p>
        </w:tc>
        <w:tc>
          <w:tcPr>
            <w:tcW w:w="0" w:type="dxa"/>
            <w:vAlign w:val="bottom"/>
          </w:tcPr>
          <w:p>
            <w:pPr>
              <w:spacing w:after="0"/>
              <w:rPr>
                <w:sz w:val="1"/>
                <w:szCs w:val="1"/>
                <w:color w:val="auto"/>
              </w:rPr>
            </w:pPr>
          </w:p>
        </w:tc>
      </w:tr>
      <w:tr>
        <w:trPr>
          <w:trHeight w:val="237"/>
        </w:trPr>
        <w:tc>
          <w:tcPr>
            <w:tcW w:w="8800" w:type="dxa"/>
            <w:vAlign w:val="bottom"/>
            <w:gridSpan w:val="2"/>
          </w:tcPr>
          <w:p>
            <w:pPr>
              <w:ind w:left="7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(14,916)</w:t>
            </w:r>
          </w:p>
        </w:tc>
        <w:tc>
          <w:tcPr>
            <w:tcW w:w="0" w:type="dxa"/>
            <w:vAlign w:val="bottom"/>
          </w:tcPr>
          <w:p>
            <w:pPr>
              <w:spacing w:after="0"/>
              <w:rPr>
                <w:sz w:val="1"/>
                <w:szCs w:val="1"/>
                <w:color w:val="auto"/>
              </w:rPr>
            </w:pPr>
          </w:p>
        </w:tc>
      </w:tr>
      <w:tr>
        <w:trPr>
          <w:trHeight w:val="237"/>
        </w:trPr>
        <w:tc>
          <w:tcPr>
            <w:tcW w:w="8800" w:type="dxa"/>
            <w:vAlign w:val="bottom"/>
            <w:gridSpan w:val="2"/>
          </w:tcPr>
          <w:p>
            <w:pPr>
              <w:ind w:left="720"/>
              <w:spacing w:after="0"/>
              <w:rPr>
                <w:sz w:val="20"/>
                <w:szCs w:val="20"/>
                <w:color w:val="auto"/>
              </w:rPr>
            </w:pPr>
            <w:r>
              <w:rPr>
                <w:rFonts w:ascii="Arial" w:cs="Arial" w:eastAsia="Arial" w:hAnsi="Arial"/>
                <w:sz w:val="16"/>
                <w:szCs w:val="16"/>
                <w:color w:val="auto"/>
              </w:rPr>
              <w:t>Accrued expenses, income taxes, and 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33"/>
        </w:trPr>
        <w:tc>
          <w:tcPr>
            <w:tcW w:w="9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(19,180)</w:t>
            </w:r>
          </w:p>
        </w:tc>
        <w:tc>
          <w:tcPr>
            <w:tcW w:w="0" w:type="dxa"/>
            <w:vAlign w:val="bottom"/>
          </w:tcPr>
          <w:p>
            <w:pPr>
              <w:spacing w:after="0"/>
              <w:rPr>
                <w:sz w:val="1"/>
                <w:szCs w:val="1"/>
                <w:color w:val="auto"/>
              </w:rPr>
            </w:pPr>
          </w:p>
        </w:tc>
      </w:tr>
      <w:tr>
        <w:trPr>
          <w:trHeight w:val="231"/>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Acquisition-related escrow</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(88,274)</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the sale of divested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short-term investments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Purchases of intangible assets and additions to capitalized software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7"/>
        </w:trPr>
        <w:tc>
          <w:tcPr>
            <w:tcW w:w="8800" w:type="dxa"/>
            <w:vAlign w:val="bottom"/>
            <w:gridSpan w:val="2"/>
          </w:tcPr>
          <w:p>
            <w:pPr>
              <w:ind w:left="9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6,919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(98,174)</w:t>
            </w:r>
          </w:p>
        </w:tc>
        <w:tc>
          <w:tcPr>
            <w:tcW w:w="0" w:type="dxa"/>
            <w:vAlign w:val="bottom"/>
          </w:tcPr>
          <w:p>
            <w:pPr>
              <w:spacing w:after="0"/>
              <w:rPr>
                <w:sz w:val="1"/>
                <w:szCs w:val="1"/>
                <w:color w:val="auto"/>
              </w:rPr>
            </w:pPr>
          </w:p>
        </w:tc>
      </w:tr>
      <w:tr>
        <w:trPr>
          <w:trHeight w:val="33"/>
        </w:trPr>
        <w:tc>
          <w:tcPr>
            <w:tcW w:w="9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Gross proceeds from the issuance of convertible senior notes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Payment of issuance costs related to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(3,540)</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Proceeds from the exercise of warrant to purchase common stock</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8,644</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borrowings on DigiCore bank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Net repayments on revolving credit facility</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(5,158)</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Payoff of acquisition-related assumed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Principal payments under capital lease obligations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Principal payments on mortgage bond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w w:val="97"/>
              </w:rPr>
              <w:t>Proceeds from stock option exercises and employee stock purchase plan, net of taxes paid on vested restricted stock units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9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117,628</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9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80" w:type="dxa"/>
            <w:vAlign w:val="bottom"/>
            <w:tcBorders>
              <w:bottom w:val="single" w:sz="8" w:color="CCEEFF"/>
            </w:tcBorders>
            <w:shd w:val="clear" w:color="auto" w:fill="CCEEFF"/>
          </w:tcPr>
          <w:p>
            <w:pPr>
              <w:spacing w:after="0"/>
              <w:rPr>
                <w:sz w:val="20"/>
                <w:szCs w:val="20"/>
                <w:color w:val="auto"/>
              </w:rPr>
            </w:pPr>
          </w:p>
        </w:tc>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12,570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17,853</w:t>
            </w:r>
          </w:p>
        </w:tc>
        <w:tc>
          <w:tcPr>
            <w:tcW w:w="0" w:type="dxa"/>
            <w:vAlign w:val="bottom"/>
          </w:tcPr>
          <w:p>
            <w:pPr>
              <w:spacing w:after="0"/>
              <w:rPr>
                <w:sz w:val="1"/>
                <w:szCs w:val="1"/>
                <w:color w:val="auto"/>
              </w:rPr>
            </w:pPr>
          </w:p>
        </w:tc>
      </w:tr>
      <w:tr>
        <w:trPr>
          <w:trHeight w:val="33"/>
        </w:trPr>
        <w:tc>
          <w:tcPr>
            <w:tcW w:w="9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17,913</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Cash paid during the year for:</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86"/>
                <w:shd w:val="clear" w:color="auto" w:fill="CCEEFF"/>
              </w:rPr>
              <w:t>Interest</w:t>
            </w:r>
          </w:p>
        </w:tc>
        <w:tc>
          <w:tcPr>
            <w:tcW w:w="7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364" w:right="239" w:bottom="246"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246"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contained herein has been prepared by Novatel Wireless, Inc. (the “Company”) in accordance with the rules of the Securities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(the “SEC”). The information at June 30, 2016 and the results of the Company’s operations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2016 and 2015 are unaudited. The condensed consolidated financial statements reflect all adjustments, consisting of only normal recurring accruals,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are, in the opinion of management, necessary for a fair statement of the results of the interim periods presented. These condensed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notes hereto should be read in conjunction with the audited financial statements from which they were derived and notes thereto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the Company’s Annual Report on Form 10-K for the year ended December 31, 2015. Except as set forth below, the accounting policies used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preparing these unaudited condensed consolidated financial statements are the same as those described in the Company’s Annual Report on Form 10-K.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of operations for the interim periods presented are not necessarily indicative of results to be expected for any other interim period or for the year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15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For the three months ended June 30, 2016 and 2015, the Company incurred a net loss of $2.7 million and $9.2 million, respectively. The Company’s ability to transition to attaining profitable operations is dependent upon achieving a level of revenues adequate to support its evolving cost structure. If events or circumstances occur such that the Company does not meet its operating plan as expected, the Company may be required to reduce planned research and development activities, incur additional restructuring charges or reduce other operating expenses which could have an adverse impact on its ability to achieve its intended business objectives. These additional reductions in expenditures, if required, could have an adverse impact on the Company’s ability to achieve certain of its business objectives. The Company’s management believes that its cash and cash equivalents and availability under its senior secured revolving credit facility, together with anticipated cash flows from operations, will be sufficient to meet its working capital needs for the next twelve months and the foreseeable future.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0" w:firstLine="392"/>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(“GAAP”)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and share-based compensation expense.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the Company as of the specified date. Unless otherwise discussed, management believes the impact of recently issued standards, some of which are not yet effective, will not have a material impact on its unaudited condensed consolidated financial statements upon adoption.</w:t>
      </w:r>
    </w:p>
    <w:p>
      <w:pPr>
        <w:spacing w:after="0" w:line="22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 xml:space="preserve">In March 2016, the FASB issued Accounting Standards Update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which affects entities that issue share-based payment awards to their employees. The guidance is designed to identify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6" w:name="page7"/>
    <w:bookmarkEnd w:id="6"/>
    <w:p>
      <w:pPr>
        <w:ind w:right="400"/>
        <w:spacing w:after="0" w:line="277" w:lineRule="auto"/>
        <w:rPr>
          <w:sz w:val="20"/>
          <w:szCs w:val="20"/>
          <w:color w:val="auto"/>
        </w:rPr>
      </w:pPr>
      <w:r>
        <w:rPr>
          <w:rFonts w:ascii="Arial" w:cs="Arial" w:eastAsia="Arial" w:hAnsi="Arial"/>
          <w:sz w:val="18"/>
          <w:szCs w:val="18"/>
          <w:color w:val="auto"/>
        </w:rPr>
        <w:t>cash flows. This guidance is effective prospectively for interim and annual periods beginning after December 15, 2017. Early adoption is permitted. The Company is currently assessing the impact of this guidance.</w:t>
      </w:r>
    </w:p>
    <w:p>
      <w:pPr>
        <w:spacing w:after="0" w:line="224"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establishes the principles to report transparent and economically neutral information about the assets and liabilities that arise from leases. This guidance results in the Company providing a more faithful representation of the rights and obligations arising from operating and capital leases by requiring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prospectively for interim and annual periods beginning after December 15, 2018. Early adoption is permitted. The Company is currently assessing the impact of this guidance.</w:t>
      </w:r>
    </w:p>
    <w:p>
      <w:pPr>
        <w:spacing w:after="0" w:line="23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auto"/>
        </w:rPr>
        <w:t>Business Combinations (Topic 805): Simplifying the Accounting for Measurement-Period</w:t>
      </w:r>
      <w:r>
        <w:rPr>
          <w:rFonts w:ascii="Arial" w:cs="Arial" w:eastAsia="Arial" w:hAnsi="Arial"/>
          <w:sz w:val="17"/>
          <w:szCs w:val="17"/>
          <w:color w:val="auto"/>
        </w:rPr>
        <w:t xml:space="preserve"> </w:t>
      </w:r>
      <w:r>
        <w:rPr>
          <w:rFonts w:ascii="Arial" w:cs="Arial" w:eastAsia="Arial" w:hAnsi="Arial"/>
          <w:sz w:val="17"/>
          <w:szCs w:val="17"/>
          <w:i w:val="1"/>
          <w:iCs w:val="1"/>
          <w:color w:val="auto"/>
        </w:rPr>
        <w:t>Adjustments</w:t>
      </w:r>
      <w:r>
        <w:rPr>
          <w:rFonts w:ascii="Arial" w:cs="Arial" w:eastAsia="Arial" w:hAnsi="Arial"/>
          <w:sz w:val="17"/>
          <w:szCs w:val="17"/>
          <w:color w:val="auto"/>
        </w:rPr>
        <w:t>, which eliminates the requirement for an acquirer to retrospectively adjust provisional amounts recorded in a business combination to reflect new</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the facts and circumstances that existed as of the acquisition date and that, if known, would have affected the measurement or recognition of amounts initially recognized. As an alternative, the update requires that an acquirer recognize adjustments to provisional amounts that are identified during the measurement period in the reporting period in which the adjustment amounts are determined. The update requires that the acquirer record, in the financial statements of the period in which adjustments to provisional amounts are determined, the effect on earnings of changes in depreciation, amortization, or other income effects, if any, as a result of the change to the provisional amounts, calculated as if the accounting had been completed at the acquisition date. The Company implemented this guidance during the first quarter of 2016. This guidance did not have a material impact on the Company’s unaudited condensed consolidated financial statements upon adoption.</w:t>
      </w:r>
    </w:p>
    <w:p>
      <w:pPr>
        <w:spacing w:after="0" w:line="23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Intangibles - Goodwill and Other - 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Fees Paid in a Cloud Computing Arrangement</w:t>
      </w:r>
      <w:r>
        <w:rPr>
          <w:rFonts w:ascii="Arial" w:cs="Arial" w:eastAsia="Arial" w:hAnsi="Arial"/>
          <w:sz w:val="16"/>
          <w:szCs w:val="16"/>
          <w:color w:val="auto"/>
        </w:rPr>
        <w:t>. Under this standard, if a cloud computing arrangement includes a software license, the software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element of the arrangement should be accounted for consistent with the acquisition of other software licenses. If a cloud computing arrangement does not include a software license, the arrangement should be accounted for as a service contract. The Company implemented this guidance during the first quarter of 2016. This guidance did not have a material impact on the Company’s unaudited condensed consolidated financial statements upon adoption.</w:t>
      </w:r>
    </w:p>
    <w:p>
      <w:pPr>
        <w:spacing w:after="0" w:line="212"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provides guidance for revenue recognition. The new standard will require revenue recognized to represent the transfer of promised goods or services to customers in an amount that reflects the consideration the company expects to receive in exchange for those goods or services. The standard also requires new, expanded disclosures regarding revenue recognition. In August 2015, the FASB issued ASU 2015-14, </w:t>
      </w:r>
      <w:r>
        <w:rPr>
          <w:rFonts w:ascii="Arial" w:cs="Arial" w:eastAsia="Arial" w:hAnsi="Arial"/>
          <w:sz w:val="17"/>
          <w:szCs w:val="17"/>
          <w:i w:val="1"/>
          <w:iCs w:val="1"/>
          <w:color w:val="auto"/>
        </w:rPr>
        <w:t>Revenue from Contracts with Customers: Deferral of Effective Date</w:t>
      </w:r>
      <w:r>
        <w:rPr>
          <w:rFonts w:ascii="Arial" w:cs="Arial" w:eastAsia="Arial" w:hAnsi="Arial"/>
          <w:sz w:val="17"/>
          <w:szCs w:val="17"/>
          <w:color w:val="auto"/>
        </w:rPr>
        <w:t>. The standard defers the effective date of adoption of ASU 2014-09 to interim and annual reporting periods beginning after December 15, 2017. Early adoption is permitted but not before the original effective date of December 15, 2016. There are two adoption methods available for implementation of this guidance. Under one method, the guidance is applied retrospectively to contracts for each reporting period presented, subject to allowable practical expedients. Under the other method, the guidance is applied only to the most current period presented, recognizing the cumulative effect of the change as an adjustment to the beginning balance of retained earnings, and also requires additional disclosures comparing the results to the previous guidance. The Company is currently evaluating the adoption methods and assessing the impact of this guidance.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DigiCore Holdings Limited (DBA Ctrack)</w:t>
      </w:r>
    </w:p>
    <w:p>
      <w:pPr>
        <w:spacing w:after="0" w:line="117"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On June 18, 2015, the Company entered into a transaction implementation agreement (the “TIA”) with DigiCore Holdings Limited (“DigiCore” or “Ctrack”). Pursuant to the terms of the TIA, the Company acquired 100% of the issued and outstanding ordinary shares of DigiCore (with the exception of certain excluded shares, including treasury shares) for 4.40 South African Rand per ordinary share outstanding on October 5, 2015. Upon consummation of the acquisition, DigiCore became an indirect wholly-owned subsidiary of the Company.</w:t>
      </w:r>
    </w:p>
    <w:p>
      <w:pPr>
        <w:spacing w:after="0" w:line="225"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Upon the closing of the transaction, holders of unvested in-the-money DigiCore stock options received stock options to purchase shares of the Company’s common stock as replacement awards.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692" w:right="279" w:bottom="1440" w:gutter="0" w:footer="0" w:header="0"/>
        </w:sectPr>
      </w:pPr>
    </w:p>
    <w:bookmarkStart w:id="7" w:name="page8"/>
    <w:bookmarkEnd w:id="7"/>
    <w:p>
      <w:pPr>
        <w:ind w:left="420"/>
        <w:spacing w:after="0"/>
        <w:rPr>
          <w:sz w:val="20"/>
          <w:szCs w:val="20"/>
          <w:color w:val="auto"/>
        </w:rPr>
      </w:pPr>
      <w:r>
        <w:rPr>
          <w:rFonts w:ascii="Arial" w:cs="Arial" w:eastAsia="Arial" w:hAnsi="Arial"/>
          <w:sz w:val="16"/>
          <w:szCs w:val="16"/>
          <w:color w:val="auto"/>
        </w:rPr>
        <w:t>In connection with the acquisition, the Company incurred $1.7 million in total transaction costs and expenses, all of which were recognized in 2015.</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33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total purchase price was approximately $80.0 million and included a cash payment for all of the outstanding ordinary shares of DigiCore and the purchase of in-the-money vested stock options held by Ctrack employees on the closing date of the transaction and the portion of the fair value of replacement equity awards issued to Ctrack employees that related to services performed prior to the date the transaction closed.</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Ctrack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payments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79,365</w:t>
            </w:r>
          </w:p>
        </w:tc>
      </w:tr>
      <w:tr>
        <w:trPr>
          <w:trHeight w:val="237"/>
        </w:trPr>
        <w:tc>
          <w:tcPr>
            <w:tcW w:w="10300" w:type="dxa"/>
            <w:vAlign w:val="bottom"/>
          </w:tcPr>
          <w:p>
            <w:pPr>
              <w:ind w:left="40"/>
              <w:spacing w:after="0"/>
              <w:rPr>
                <w:sz w:val="20"/>
                <w:szCs w:val="20"/>
                <w:color w:val="auto"/>
              </w:rPr>
            </w:pPr>
            <w:r>
              <w:rPr>
                <w:rFonts w:ascii="Arial" w:cs="Arial" w:eastAsia="Arial" w:hAnsi="Arial"/>
                <w:sz w:val="16"/>
                <w:szCs w:val="16"/>
                <w:color w:val="auto"/>
              </w:rPr>
              <w:t>Fair value of replacement equity awards issued to Ctrack employees for preacquisition services</w:t>
            </w: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623</w:t>
            </w:r>
          </w:p>
        </w:tc>
      </w:tr>
      <w:tr>
        <w:trPr>
          <w:trHeight w:val="33"/>
        </w:trPr>
        <w:tc>
          <w:tcPr>
            <w:tcW w:w="10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10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purchase price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79,988</w:t>
            </w:r>
          </w:p>
        </w:tc>
      </w:tr>
      <w:tr>
        <w:trPr>
          <w:trHeight w:val="20"/>
        </w:trPr>
        <w:tc>
          <w:tcPr>
            <w:tcW w:w="10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Fair Value</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Goodwill resulting from this acquisition is largely attributable to the experienced workforce of Ctrack and synergies expected to arise after the integration of Ctrack’s products and operations into those of the Company. Goodwill resulting from this acquisition is not deductible for tax purposes. Identifiable intangible assets acquired as part of the acquisition included definite-lived intangible assets for developed technologies, customer relationships and trade names, which are being amortized using the straight-line method over their estimated useful lives, as well as indefinite-lived intangible assets. Liabilities assumed from Ctrack included a mortgage bond and capital lease obligations.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has been allocated based on the estimated fair values of assets acquired and liabilities assumed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7"/>
              </w:rPr>
              <w:t>October 5, 2015</w:t>
            </w:r>
          </w:p>
        </w:tc>
      </w:tr>
      <w:tr>
        <w:trPr>
          <w:trHeight w:val="236"/>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2,437</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15,052</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11,361</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5,924</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6,603</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28,270</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29,273</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5,695</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Bank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(7,446)</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(15,018)</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9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79,988</w:t>
            </w: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above fair value allocation is considered preliminary and is subject to revision during the measurement period. Management is in the process of completing its evaluation of obligations related to income tax.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components of definite-lived intangible assets acquired in connection with the Ctrack acquisition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9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8"/>
              </w:rPr>
              <w:t>Assigned</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6"/>
        </w:trPr>
        <w:tc>
          <w:tcPr>
            <w:tcW w:w="9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shd w:val="clear" w:color="auto" w:fill="CCEEFF"/>
              </w:rPr>
              <w:t>Developed technologies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10,170</w:t>
            </w:r>
          </w:p>
        </w:tc>
        <w:tc>
          <w:tcPr>
            <w:tcW w:w="12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9040" w:type="dxa"/>
            <w:vAlign w:val="bottom"/>
          </w:tcPr>
          <w:p>
            <w:pPr>
              <w:ind w:left="200"/>
              <w:spacing w:after="0"/>
              <w:rPr>
                <w:sz w:val="20"/>
                <w:szCs w:val="20"/>
                <w:color w:val="auto"/>
              </w:rPr>
            </w:pPr>
            <w:r>
              <w:rPr>
                <w:rFonts w:ascii="Arial" w:cs="Arial" w:eastAsia="Arial" w:hAnsi="Arial"/>
                <w:sz w:val="16"/>
                <w:szCs w:val="16"/>
                <w:color w:val="auto"/>
              </w:rPr>
              <w:t>Trade name</w:t>
            </w:r>
          </w:p>
        </w:tc>
        <w:tc>
          <w:tcPr>
            <w:tcW w:w="20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14,030</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shd w:val="clear" w:color="auto" w:fill="CCEEFF"/>
              </w:rPr>
              <w:t>Customer relationships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4,070</w:t>
            </w:r>
          </w:p>
        </w:tc>
        <w:tc>
          <w:tcPr>
            <w:tcW w:w="12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44"/>
        </w:trPr>
        <w:tc>
          <w:tcPr>
            <w:tcW w:w="9040" w:type="dxa"/>
            <w:vAlign w:val="bottom"/>
          </w:tcPr>
          <w:p>
            <w:pPr>
              <w:ind w:left="360"/>
              <w:spacing w:after="0"/>
              <w:rPr>
                <w:sz w:val="20"/>
                <w:szCs w:val="20"/>
                <w:color w:val="auto"/>
              </w:rPr>
            </w:pPr>
            <w:r>
              <w:rPr>
                <w:rFonts w:ascii="Arial" w:cs="Arial" w:eastAsia="Arial" w:hAnsi="Arial"/>
                <w:sz w:val="16"/>
                <w:szCs w:val="16"/>
                <w:color w:val="auto"/>
              </w:rPr>
              <w:t>Total intangible assets acquired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28,270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R.E.R. Enterprises, Inc. (DBA Feeney Wireless)</w:t>
      </w:r>
    </w:p>
    <w:p>
      <w:pPr>
        <w:spacing w:after="0" w:line="117"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On March 27, 2015, the Company entered into an asset purchase agreement (“APA”) with R.E.R. Enterprises, Inc. (“RER”) to acquire all of the issued and outstanding shares of RER and its wholly-owned subsidiary and principal operating asset, Feeney Wireless, LLC, an Oregon limited liability company (collectively, “FW”), which develops and sells solutions for the Internet of Things that integrate wireless communications into business processes. This strategic acquisition expanded the Company’s product and solutions offerings to include private labeled cellular routers, in-house designed and assembled cellular routers, high-end wireless surveillance systems, modems, computers and software, along with associated hardware, purchased from major industry suppliers. Additionally, FW’s services portfolio includes consulting, systems integration and device management services.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connection with the acquisition, the Company incurred $0.9 million in total costs and expenses, all of which were recognized in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The total consideration was approximately $24.8 million and included a cash payment at closing of approximately $9.3 million, $1.5 million of which was placed into an escrow fund to serve as partial security for the indemnification obligations of RER and its former shareholders, the Company’s assumption of $0.5 million in certain transaction-related expenses incurred by FW, and the future issuance of shares of the Company’s common stock valued at $15.0 million, which would have been payable in March 2016.</w:t>
      </w:r>
    </w:p>
    <w:p>
      <w:pPr>
        <w:spacing w:after="0" w:line="241"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The total consideration of $24.8 million did not include amounts, if any, payable under an earn-out arrangement pursuant to which the Company may have been required to pay up to an additional $25.0 million to the former shareholders of RER contingent upon FW’s achievement of certain financial targets for the years ending December 31, 2015, 2016, and 2017 (the “Earn-Out Arrangement”). Such payments, if any, under the Earn-Out Arrangement would have been payable in either cash or shares of the Company’s common stock at the discretion of the Company, and would have been recorded as compensation expense during the service period earned.</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FW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payments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9,268</w:t>
            </w:r>
          </w:p>
        </w:tc>
      </w:tr>
      <w:tr>
        <w:trPr>
          <w:trHeight w:val="237"/>
        </w:trPr>
        <w:tc>
          <w:tcPr>
            <w:tcW w:w="10300" w:type="dxa"/>
            <w:vAlign w:val="bottom"/>
          </w:tcPr>
          <w:p>
            <w:pPr>
              <w:ind w:left="40"/>
              <w:spacing w:after="0"/>
              <w:rPr>
                <w:sz w:val="20"/>
                <w:szCs w:val="20"/>
                <w:color w:val="auto"/>
              </w:rPr>
            </w:pPr>
            <w:r>
              <w:rPr>
                <w:rFonts w:ascii="Arial" w:cs="Arial" w:eastAsia="Arial" w:hAnsi="Arial"/>
                <w:sz w:val="16"/>
                <w:szCs w:val="16"/>
                <w:color w:val="auto"/>
              </w:rPr>
              <w:t>Future issuance of common stock</w:t>
            </w: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33"/>
        </w:trPr>
        <w:tc>
          <w:tcPr>
            <w:tcW w:w="10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10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assumed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r>
      <w:tr>
        <w:trPr>
          <w:trHeight w:val="244"/>
        </w:trPr>
        <w:tc>
          <w:tcPr>
            <w:tcW w:w="10300" w:type="dxa"/>
            <w:vAlign w:val="bottom"/>
          </w:tcPr>
          <w:p>
            <w:pPr>
              <w:ind w:left="360"/>
              <w:spacing w:after="0"/>
              <w:rPr>
                <w:sz w:val="20"/>
                <w:szCs w:val="20"/>
                <w:color w:val="auto"/>
              </w:rPr>
            </w:pPr>
            <w:r>
              <w:rPr>
                <w:rFonts w:ascii="Arial" w:cs="Arial" w:eastAsia="Arial" w:hAnsi="Arial"/>
                <w:sz w:val="16"/>
                <w:szCs w:val="16"/>
                <w:color w:val="auto"/>
              </w:rPr>
              <w:t>Total purchase price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24,777</w:t>
            </w:r>
          </w:p>
        </w:tc>
      </w:tr>
      <w:tr>
        <w:trPr>
          <w:trHeight w:val="20"/>
        </w:trPr>
        <w:tc>
          <w:tcPr>
            <w:tcW w:w="10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January 5, 2016, the Company and RER amended certain payment terms of the APA. Under the amended agreement, the $1.5 million placed into escrow on the date of acquisition was released to RER and its former shareholders on January 8, 2016, and the $15.0 million that was payable in shares of the Company’s common stock in March 2016 will now be paid in five cash installments over a four-year period, beginning in March 2016. In addition, the Earn-Out Arrangement has been amended as follows: (a) any amount earned under the Earn-Out Arrangement for the achievement of financial targets for the year ended December 31, 2015 will now be paid in five cash installments over a four-year period, beginning in March 2016 and (b) in replacement of the potential earn-out contingent upon FW’s achievement of certain financial targets for the years ended December 31, 2016 and 2017 the Company will issue to the former shareholders of RER approximately 2.9 million shares of the Company’s common stock in three equal installments over a three-year period, beginning in March 2017, contingent upon the retention of certain key personnel.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ind w:right="120" w:firstLine="392"/>
        <w:spacing w:after="0" w:line="302" w:lineRule="auto"/>
        <w:rPr>
          <w:sz w:val="20"/>
          <w:szCs w:val="20"/>
          <w:color w:val="auto"/>
        </w:rPr>
      </w:pPr>
      <w:r>
        <w:rPr>
          <w:rFonts w:ascii="Arial" w:cs="Arial" w:eastAsia="Arial" w:hAnsi="Arial"/>
          <w:sz w:val="16"/>
          <w:szCs w:val="16"/>
          <w:color w:val="auto"/>
        </w:rPr>
        <w:t>The Company recognized approximately $0.8 million in expense during the six months ended June 30, 2016 in connection with the potential payment, in the form of shares of the Company’s common stock to the former shareholders of RER, which is contingent upon FW’s retention of certain key personnel. As of June 30, 2016, the total amount earned pursuant to the Earn-Out Arrangement was $6.9 million, $6.1 million of which remained outstanding and is included in accrued expenses and other current liabilities and other long-term liabilities in the unaudited condensed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Fair Value</w:t>
      </w:r>
    </w:p>
    <w:p>
      <w:pPr>
        <w:spacing w:after="0" w:line="117" w:lineRule="exact"/>
        <w:rPr>
          <w:sz w:val="20"/>
          <w:szCs w:val="20"/>
          <w:color w:val="auto"/>
        </w:rPr>
      </w:pPr>
    </w:p>
    <w:p>
      <w:pPr>
        <w:ind w:right="20" w:firstLine="392"/>
        <w:spacing w:after="0" w:line="271" w:lineRule="auto"/>
        <w:rPr>
          <w:sz w:val="20"/>
          <w:szCs w:val="20"/>
          <w:color w:val="auto"/>
        </w:rPr>
      </w:pPr>
      <w:r>
        <w:rPr>
          <w:rFonts w:ascii="Arial" w:cs="Arial" w:eastAsia="Arial" w:hAnsi="Arial"/>
          <w:sz w:val="17"/>
          <w:szCs w:val="17"/>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as set forth below. Goodwill resulting from this acquisition is largely attributable to the experienced workforce of FW and synergies expected to arise after the integration of FW’s products and operations into those of the Company. Goodwill resulting from this acquisition is deductible for tax purposes. Identifiable intangible assets acquired as part of the acquisition included definite-lived intangible assets for developed technologies, customer relationships, and trademarks, which are being amortized using the straight-line method over their estimated useful lives, as well as indefinite-lived intangible assets, including in-process research and development. Liabilities assumed from FW included a term loan and capital lease obligations. The term loan and certain capital lease obligations were paid in full by the Company immediately following the closing of the acquisition on March 27, 2015.</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has been allocated based on the estimated fair values of assets acquired and liabilities assumed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March 27, 2015</w:t>
            </w:r>
          </w:p>
        </w:tc>
      </w:tr>
      <w:tr>
        <w:trPr>
          <w:trHeight w:val="236"/>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3,331</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10,008</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535</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18,880</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3,949</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(7,494)</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(1,916)</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Deferred revenues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 payable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Capital lease obligations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33"/>
        </w:trPr>
        <w:tc>
          <w:tcPr>
            <w:tcW w:w="9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24,777</w:t>
            </w: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intangible assets acquired in connection with the FW acquisition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9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2"/>
        </w:trPr>
        <w:tc>
          <w:tcPr>
            <w:tcW w:w="9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8"/>
              </w:rPr>
              <w:t>Assigned</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3,660</w:t>
            </w:r>
          </w:p>
        </w:tc>
        <w:tc>
          <w:tcPr>
            <w:tcW w:w="12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9040" w:type="dxa"/>
            <w:vAlign w:val="bottom"/>
          </w:tcPr>
          <w:p>
            <w:pPr>
              <w:ind w:left="200"/>
              <w:spacing w:after="0"/>
              <w:rPr>
                <w:sz w:val="20"/>
                <w:szCs w:val="20"/>
                <w:color w:val="auto"/>
              </w:rPr>
            </w:pPr>
            <w:r>
              <w:rPr>
                <w:rFonts w:ascii="Arial" w:cs="Arial" w:eastAsia="Arial" w:hAnsi="Arial"/>
                <w:sz w:val="16"/>
                <w:szCs w:val="16"/>
                <w:color w:val="auto"/>
              </w:rPr>
              <w:t>Trademarks</w:t>
            </w:r>
          </w:p>
        </w:tc>
        <w:tc>
          <w:tcPr>
            <w:tcW w:w="20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4,700</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8,500</w:t>
            </w:r>
          </w:p>
        </w:tc>
        <w:tc>
          <w:tcPr>
            <w:tcW w:w="12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In-process 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9040" w:type="dxa"/>
            <w:vAlign w:val="bottom"/>
          </w:tcPr>
          <w:p>
            <w:pPr>
              <w:ind w:left="360"/>
              <w:spacing w:after="0"/>
              <w:rPr>
                <w:sz w:val="20"/>
                <w:szCs w:val="20"/>
                <w:color w:val="auto"/>
              </w:rPr>
            </w:pPr>
            <w:r>
              <w:rPr>
                <w:rFonts w:ascii="Arial" w:cs="Arial" w:eastAsia="Arial" w:hAnsi="Arial"/>
                <w:sz w:val="16"/>
                <w:szCs w:val="16"/>
                <w:color w:val="auto"/>
              </w:rPr>
              <w:t>Total intangible assets acquired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18,880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Summary</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unaudited consolidated pro forma results for the three and six months ended June 30, 2016 and 2015 are set forth in the table below (in thousands). These pro forma consolidated results combine the results of operations of the Company, Ctrack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0" w:name="page11"/>
    <w:bookmarkEnd w:id="10"/>
    <w:p>
      <w:pPr>
        <w:ind w:right="40"/>
        <w:spacing w:after="0" w:line="259" w:lineRule="auto"/>
        <w:rPr>
          <w:sz w:val="20"/>
          <w:szCs w:val="20"/>
          <w:color w:val="auto"/>
        </w:rPr>
      </w:pPr>
      <w:r>
        <w:rPr>
          <w:rFonts w:ascii="Arial" w:cs="Arial" w:eastAsia="Arial" w:hAnsi="Arial"/>
          <w:sz w:val="18"/>
          <w:szCs w:val="18"/>
          <w:color w:val="auto"/>
        </w:rPr>
        <w:t>and FW as though Ctrack and FW had been acquired as of January 1, 2015 and include amortization charges for the acquired intangibles for both acquisitions and interest expense related to the Company’s borrowings to finance the Ctrack acquisition. The pro forma financial information is presented for informational purposes only and is not necessarily indicative of the results of operations that would have been achieved if the acquisition had taken place at the beginning of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62,811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67,861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129,755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143,782</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(2,693)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(9,310)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(14,592)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(20,318)</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Divestiture</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April 11, 2016, the Company signed a definitive asset purchase agreement with Telit Technologies (Cyprus) Limited and Telit Wireless Solutions, Inc. (collectively, “Telit”) pursuant to which the Company sold, and Telit acquired, certain hardware modules and related assets for an initial purchase price of $11.0 million in cash, which includes $9.0 million that was paid to the Company on the closing date of the transaction, $1.0 million that will be paid to the Company in equal quarterly installments over a two-year period in connection with the provision by the Company of certain transition services and</w:t>
      </w:r>
    </w:p>
    <w:p>
      <w:pPr>
        <w:spacing w:after="0" w:line="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$1.0 million that will be paid to the Company following the satisfaction of certain conditions by the Company, including the assignment of specified contracts and the delivery of certain certifications and approvals. The Company also has the potential to receive an additional cash payment of approximately</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$3.8 million from Telit related to their purchase of module product inventory from the Company, $1.0 million of which will be paid to the Company in equal quarterly installments over the two-year period following the closing date in connection with the provision by the Company of certain transition services. In addition to the above, the Company may be entitled to receive a subsequent earn-out payment following the closing of the transaction if certain conditions are met.</w:t>
      </w:r>
    </w:p>
    <w:p>
      <w:pPr>
        <w:spacing w:after="0" w:line="2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three months ended June 30, 2016, the Company received approximately $9.3 million in cash and recognized a gain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$6.9 million in connection with the fulfillment of certain obligations pursuant to the agreement, which is included in other income (expense), net,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unaudited condensed consolidated statements of operations. The Company also recorded a liability for the fair value of the obligations that have yet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fulfilled by the Company, which was $3.7 million as of June 30, 2016, and is included in accrued expenses and other current liabilities in the unaudited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 and a receivable for the remainder of the cash to be received from Telit pursuant to the agreement, which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$5.4 million as of June 30, 2016, and is included in other assets and prepaid expenses and other in the unaudited condensed consolidated balance sheets.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00" w:type="dxa"/>
            <w:vAlign w:val="bottom"/>
          </w:tcPr>
          <w:p>
            <w:pPr>
              <w:jc w:val="right"/>
              <w:ind w:right="143"/>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4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5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29,123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47,094</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5,138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8,743</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5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55,837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2916"/>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8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r>
      <w:tr>
        <w:trPr>
          <w:trHeight w:val="23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2,740</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4,406</w:t>
            </w:r>
          </w:p>
        </w:tc>
      </w:tr>
      <w:tr>
        <w:trPr>
          <w:trHeight w:val="33"/>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932</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Market development funds and price protection</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2,805</w:t>
            </w:r>
          </w:p>
        </w:tc>
      </w:tr>
      <w:tr>
        <w:trPr>
          <w:trHeight w:val="33"/>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1,060</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1,836</w:t>
            </w:r>
          </w:p>
        </w:tc>
      </w:tr>
      <w:tr>
        <w:trPr>
          <w:trHeight w:val="33"/>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1,044</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Acquisition-related liabilities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8,689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5,274</w:t>
            </w:r>
          </w:p>
        </w:tc>
      </w:tr>
      <w:tr>
        <w:trPr>
          <w:trHeight w:val="33"/>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Divestiture-related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7,538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5,516</w:t>
            </w:r>
          </w:p>
        </w:tc>
      </w:tr>
      <w:tr>
        <w:trPr>
          <w:trHeight w:val="33"/>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 and other current liabilities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25,613</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warranty obligations activity during the six months ended June 30, 2016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liability at December 31, 2015</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r>
      <w:tr>
        <w:trPr>
          <w:trHeight w:val="224"/>
        </w:trPr>
        <w:tc>
          <w:tcPr>
            <w:tcW w:w="10280" w:type="dxa"/>
            <w:vAlign w:val="bottom"/>
          </w:tcPr>
          <w:p>
            <w:pPr>
              <w:ind w:left="280"/>
              <w:spacing w:after="0"/>
              <w:rPr>
                <w:sz w:val="20"/>
                <w:szCs w:val="20"/>
                <w:color w:val="auto"/>
              </w:rPr>
            </w:pPr>
            <w:r>
              <w:rPr>
                <w:rFonts w:ascii="Arial" w:cs="Arial" w:eastAsia="Arial" w:hAnsi="Arial"/>
                <w:sz w:val="16"/>
                <w:szCs w:val="16"/>
                <w:color w:val="auto"/>
              </w:rPr>
              <w:t>Additions charged to operations</w:t>
            </w:r>
          </w:p>
        </w:tc>
        <w:tc>
          <w:tcPr>
            <w:tcW w:w="42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358</w:t>
            </w:r>
          </w:p>
        </w:tc>
      </w:tr>
      <w:tr>
        <w:trPr>
          <w:trHeight w:val="33"/>
        </w:trPr>
        <w:tc>
          <w:tcPr>
            <w:tcW w:w="10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Deductions from liability</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217"/>
        </w:trPr>
        <w:tc>
          <w:tcPr>
            <w:tcW w:w="10280" w:type="dxa"/>
            <w:vAlign w:val="bottom"/>
          </w:tcPr>
          <w:p>
            <w:pPr>
              <w:ind w:left="40"/>
              <w:spacing w:after="0"/>
              <w:rPr>
                <w:sz w:val="20"/>
                <w:szCs w:val="20"/>
                <w:color w:val="auto"/>
              </w:rPr>
            </w:pPr>
            <w:r>
              <w:rPr>
                <w:rFonts w:ascii="Arial" w:cs="Arial" w:eastAsia="Arial" w:hAnsi="Arial"/>
                <w:sz w:val="16"/>
                <w:szCs w:val="16"/>
                <w:color w:val="auto"/>
              </w:rPr>
              <w:t>Warranty liability at June 30, 2016</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788</w:t>
            </w:r>
          </w:p>
        </w:tc>
      </w:tr>
      <w:tr>
        <w:trPr>
          <w:trHeight w:val="33"/>
        </w:trPr>
        <w:tc>
          <w:tcPr>
            <w:tcW w:w="10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0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jc w:val="both"/>
        <w:ind w:right="680" w:firstLine="405"/>
        <w:spacing w:after="0" w:line="264" w:lineRule="auto"/>
        <w:rPr>
          <w:sz w:val="20"/>
          <w:szCs w:val="20"/>
          <w:color w:val="auto"/>
        </w:rPr>
      </w:pPr>
      <w:r>
        <w:rPr>
          <w:rFonts w:ascii="Arial" w:cs="Arial" w:eastAsia="Arial" w:hAnsi="Arial"/>
          <w:sz w:val="18"/>
          <w:szCs w:val="18"/>
          <w:color w:val="auto"/>
        </w:rPr>
        <w:t xml:space="preserve">The balances in goodwill and intangible assets were primarily a result of the Company’s acquisitions of Ctrack, FW and Enfora, Inc. See Note 4, </w:t>
      </w:r>
      <w:r>
        <w:rPr>
          <w:rFonts w:ascii="Arial" w:cs="Arial" w:eastAsia="Arial" w:hAnsi="Arial"/>
          <w:sz w:val="18"/>
          <w:szCs w:val="18"/>
          <w:i w:val="1"/>
          <w:iCs w:val="1"/>
          <w:color w:val="auto"/>
        </w:rPr>
        <w:t>Intangible Assets</w:t>
      </w:r>
      <w:r>
        <w:rPr>
          <w:rFonts w:ascii="Arial" w:cs="Arial" w:eastAsia="Arial" w:hAnsi="Arial"/>
          <w:sz w:val="18"/>
          <w:szCs w:val="18"/>
          <w:color w:val="auto"/>
        </w:rPr>
        <w:t>, in the Company's 2015 Annual Report on Form 10-K for a discussion of the components of goodwill and additional information regarding intangible assets.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1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2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8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2" w:name="page13"/>
    <w:bookmarkEnd w:id="12"/>
    <w:p>
      <w:pPr>
        <w:ind w:right="54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six months ended June 30, 2016.</w:t>
      </w:r>
    </w:p>
    <w:p>
      <w:pPr>
        <w:spacing w:after="0" w:line="20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June 30, 2016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cash equivalents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2015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2015</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cash equivalents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2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Company’s financial assets and liabilities are carried at fair value or at amounts that, because of their short-term nature, approximate current fair value, with the exception of its $120.0 million in 5.50% convertible senior notes due on June 15, 2020 (the “Convertible Notes”) (see Note 6). The Company carries its Convertible Notes at amortized cost. The debt and equity components of the Convertible Notes were measured using Level 3 inputs and are not measured on a recurring basis. The fair value of the liability component of the Convertible Notes, which approximated its carrying value on the valuation date due to the recent issuance of such Convertible Notes, was $86.7 million as of June 30,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October 31, 2014, the Company entered into a five-year senior secured revolving credit facility in the amount of $25.0 million (the “Revolver”) with Wells Fargo Bank, National Association, as lender. Concurrently with the acquisition of FW, the Company amended the Revolver to include FW as a borrower and Loan Party, as defined by the agreement. On November 17, 2015, the Revolver was amended to increase the maximum borrowing capacity to $48.0 million.</w:t>
      </w:r>
    </w:p>
    <w:p>
      <w:pPr>
        <w:spacing w:after="0" w:line="24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amount of borrowings that may be made under the Revolver is based on a borrowing base comprised of a specified percentage of eligible receivables. If, at any time during the term of the Revolver, the amount of borrowings outstanding under the Revolver exceeds the borrowing base then in effect, the Company is required to repay such borrowings in an amount sufficient to eliminate such excess. The Revolver includes $3.0 million available for letters of credit, $1.0 million of which was available for letters of credit at June 30, 2016.</w:t>
      </w:r>
    </w:p>
    <w:p>
      <w:pPr>
        <w:spacing w:after="0" w:line="241"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The Company may borrow funds under the Revolver from time to time, with interest payable monthly at a base rate determined by using the daily three month LIBOR rate, plus an applicable margin of 3.00% to 3.50% depending on the Company’s liquidity as determined on the last day of each calendar month. The Revolver is secured by a first priority lien on substantially all of the assets of the Company and certain of its subsidiaries, subject to certain exceptions and permitted liens. The Revolver includes customary representations and warranties, as well as customary reporting and financial covenants.</w:t>
      </w:r>
    </w:p>
    <w:p>
      <w:pPr>
        <w:spacing w:after="0" w:line="20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There was no outstanding balance on the Revolver at June 30, 2016 or December 31, 2015. Based on the Company’s eligible receivables at June 30, 2016, the Company has available borrowings of approximately $7.8 million. As of June 30, 2016, the Company was in compliance with all financial covenants contained in the credit agreement.</w:t>
      </w:r>
    </w:p>
    <w:p>
      <w:pPr>
        <w:sectPr>
          <w:pgSz w:w="11900" w:h="16838" w:orient="portrait"/>
          <w:cols w:equalWidth="0" w:num="1">
            <w:col w:w="11420"/>
          </w:cols>
          <w:pgMar w:left="240" w:top="530"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3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Convertible Senior Notes</w:t>
      </w:r>
    </w:p>
    <w:p>
      <w:pPr>
        <w:spacing w:after="0" w:line="198"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On June 10, 2015, the Company issued $120.0 million aggregate principal amount of Convertible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35"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The Convertible Notes are governed by the terms of an indenture, dated June 10, 2015, entered into between the Company, as issuer, and Wilmington Trust, National Association, as trustee. The Convertible Notes are senior unsecured obligations and bear interest at a rate of 5.50% per year, payable semi-annually in arrears on June 15 and December 15 of each year, beginning on December 15, 2015. The Convertible Notes will mature on June 15, 2020, unless earlier repurchased or converted. The Convertible Notes will be convertible into cash, shares of the Company’s common stock, or a combination thereof, at the election of the Company, at an initial conversion price of $5.00 per share of the Company’s common stock.</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consisted of the following at June 30, 2016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8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3"/>
        </w:trPr>
        <w:tc>
          <w:tcPr>
            <w:tcW w:w="10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10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r>
      <w:tr>
        <w:trPr>
          <w:trHeight w:val="224"/>
        </w:trPr>
        <w:tc>
          <w:tcPr>
            <w:tcW w:w="1028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(33,316)</w:t>
            </w:r>
          </w:p>
        </w:tc>
      </w:tr>
      <w:tr>
        <w:trPr>
          <w:trHeight w:val="33"/>
        </w:trPr>
        <w:tc>
          <w:tcPr>
            <w:tcW w:w="10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86,684</w:t>
            </w:r>
          </w:p>
        </w:tc>
      </w:tr>
      <w:tr>
        <w:trPr>
          <w:trHeight w:val="20"/>
        </w:trPr>
        <w:tc>
          <w:tcPr>
            <w:tcW w:w="10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1028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38,305</w:t>
            </w:r>
          </w:p>
        </w:tc>
      </w:tr>
      <w:tr>
        <w:trPr>
          <w:trHeight w:val="20"/>
        </w:trPr>
        <w:tc>
          <w:tcPr>
            <w:tcW w:w="10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560" w:firstLine="405"/>
        <w:spacing w:after="0" w:line="264" w:lineRule="auto"/>
        <w:rPr>
          <w:sz w:val="20"/>
          <w:szCs w:val="20"/>
          <w:color w:val="auto"/>
        </w:rPr>
      </w:pPr>
      <w:r>
        <w:rPr>
          <w:rFonts w:ascii="Arial" w:cs="Arial" w:eastAsia="Arial" w:hAnsi="Arial"/>
          <w:sz w:val="18"/>
          <w:szCs w:val="18"/>
          <w:color w:val="auto"/>
        </w:rPr>
        <w:t>The Company determined the expected life of the debt was equal to the five-year term of the Convertible Notes. The effective interest rate on the liability component was 17.36% for the six months ended June 30, 2016. The following table sets forth total interest expense recognized related to the Convertible Notes during the three and six months ended June 30, 2016 and 2015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440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3,960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440</w:t>
            </w: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3,761</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7"/>
              </w:rPr>
              <w:t>836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7,523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836</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21"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402</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1,330</w:t>
            </w:r>
          </w:p>
        </w:tc>
      </w:tr>
      <w:tr>
        <w:trPr>
          <w:trHeight w:val="47"/>
        </w:trPr>
        <w:tc>
          <w:tcPr>
            <w:tcW w:w="6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Stock Options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2014</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3,064,880</w:t>
            </w:r>
          </w:p>
        </w:tc>
      </w:tr>
      <w:tr>
        <w:trPr>
          <w:trHeight w:val="224"/>
        </w:trPr>
        <w:tc>
          <w:tcPr>
            <w:tcW w:w="1028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6,656,737</w:t>
            </w:r>
          </w:p>
        </w:tc>
      </w:tr>
      <w:tr>
        <w:trPr>
          <w:trHeight w:val="33"/>
        </w:trPr>
        <w:tc>
          <w:tcPr>
            <w:tcW w:w="10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(273,005)</w:t>
            </w:r>
          </w:p>
        </w:tc>
      </w:tr>
      <w:tr>
        <w:trPr>
          <w:trHeight w:val="224"/>
        </w:trPr>
        <w:tc>
          <w:tcPr>
            <w:tcW w:w="1028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(3,363,776)</w:t>
            </w:r>
          </w:p>
        </w:tc>
      </w:tr>
      <w:tr>
        <w:trPr>
          <w:trHeight w:val="33"/>
        </w:trPr>
        <w:tc>
          <w:tcPr>
            <w:tcW w:w="10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2015</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6,084,836</w:t>
            </w:r>
          </w:p>
        </w:tc>
      </w:tr>
      <w:tr>
        <w:trPr>
          <w:trHeight w:val="224"/>
        </w:trPr>
        <w:tc>
          <w:tcPr>
            <w:tcW w:w="1028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1,051,550</w:t>
            </w:r>
          </w:p>
        </w:tc>
      </w:tr>
      <w:tr>
        <w:trPr>
          <w:trHeight w:val="33"/>
        </w:trPr>
        <w:tc>
          <w:tcPr>
            <w:tcW w:w="10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(9,568)</w:t>
            </w:r>
          </w:p>
        </w:tc>
      </w:tr>
      <w:tr>
        <w:trPr>
          <w:trHeight w:val="224"/>
        </w:trPr>
        <w:tc>
          <w:tcPr>
            <w:tcW w:w="1028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(392,577)</w:t>
            </w:r>
          </w:p>
        </w:tc>
      </w:tr>
      <w:tr>
        <w:trPr>
          <w:trHeight w:val="33"/>
        </w:trPr>
        <w:tc>
          <w:tcPr>
            <w:tcW w:w="10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June 30, 2016</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6,734,241</w:t>
            </w:r>
          </w:p>
        </w:tc>
      </w:tr>
      <w:tr>
        <w:trPr>
          <w:trHeight w:val="20"/>
        </w:trPr>
        <w:tc>
          <w:tcPr>
            <w:tcW w:w="10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10280" w:type="dxa"/>
            <w:vAlign w:val="bottom"/>
          </w:tcPr>
          <w:p>
            <w:pPr>
              <w:ind w:left="40"/>
              <w:spacing w:after="0"/>
              <w:rPr>
                <w:sz w:val="20"/>
                <w:szCs w:val="20"/>
                <w:color w:val="auto"/>
              </w:rPr>
            </w:pPr>
            <w:r>
              <w:rPr>
                <w:rFonts w:ascii="Arial" w:cs="Arial" w:eastAsia="Arial" w:hAnsi="Arial"/>
                <w:sz w:val="16"/>
                <w:szCs w:val="16"/>
                <w:color w:val="auto"/>
              </w:rPr>
              <w:t>Exercisable — June 30, 2016</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1,554,152</w:t>
            </w:r>
          </w:p>
        </w:tc>
      </w:tr>
      <w:tr>
        <w:trPr>
          <w:trHeight w:val="20"/>
        </w:trPr>
        <w:tc>
          <w:tcPr>
            <w:tcW w:w="10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At June 30, 2016, total unrecognized compensation expense related to stock options was $6.1 million, which is expected to be recognized over a weighted-average period of 3.04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2014</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1,628,179</w:t>
            </w:r>
          </w:p>
        </w:tc>
      </w:tr>
      <w:tr>
        <w:trPr>
          <w:trHeight w:val="224"/>
        </w:trPr>
        <w:tc>
          <w:tcPr>
            <w:tcW w:w="1028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1,042,659</w:t>
            </w:r>
          </w:p>
        </w:tc>
      </w:tr>
      <w:tr>
        <w:trPr>
          <w:trHeight w:val="33"/>
        </w:trPr>
        <w:tc>
          <w:tcPr>
            <w:tcW w:w="10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(926,308)</w:t>
            </w:r>
          </w:p>
        </w:tc>
      </w:tr>
      <w:tr>
        <w:trPr>
          <w:trHeight w:val="224"/>
        </w:trPr>
        <w:tc>
          <w:tcPr>
            <w:tcW w:w="1028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(784,327)</w:t>
            </w:r>
          </w:p>
        </w:tc>
      </w:tr>
      <w:tr>
        <w:trPr>
          <w:trHeight w:val="33"/>
        </w:trPr>
        <w:tc>
          <w:tcPr>
            <w:tcW w:w="10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2015</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960,203</w:t>
            </w:r>
          </w:p>
        </w:tc>
      </w:tr>
      <w:tr>
        <w:trPr>
          <w:trHeight w:val="224"/>
        </w:trPr>
        <w:tc>
          <w:tcPr>
            <w:tcW w:w="1028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2,914,000</w:t>
            </w:r>
          </w:p>
        </w:tc>
      </w:tr>
      <w:tr>
        <w:trPr>
          <w:trHeight w:val="33"/>
        </w:trPr>
        <w:tc>
          <w:tcPr>
            <w:tcW w:w="10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(342,123)</w:t>
            </w:r>
          </w:p>
        </w:tc>
      </w:tr>
      <w:tr>
        <w:trPr>
          <w:trHeight w:val="224"/>
        </w:trPr>
        <w:tc>
          <w:tcPr>
            <w:tcW w:w="1028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(54,028)</w:t>
            </w:r>
          </w:p>
        </w:tc>
      </w:tr>
      <w:tr>
        <w:trPr>
          <w:trHeight w:val="33"/>
        </w:trPr>
        <w:tc>
          <w:tcPr>
            <w:tcW w:w="10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June 30, 2016</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3,478,052</w:t>
            </w:r>
          </w:p>
        </w:tc>
      </w:tr>
      <w:tr>
        <w:trPr>
          <w:trHeight w:val="20"/>
        </w:trPr>
        <w:tc>
          <w:tcPr>
            <w:tcW w:w="10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At June 30, 2016, total unrecognized compensation expense related to RSUs was $5.4 million, which is expected to be recognized over a weighted-average period of 3.17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600" w:firstLine="405"/>
        <w:spacing w:after="0" w:line="286" w:lineRule="auto"/>
        <w:rPr>
          <w:sz w:val="20"/>
          <w:szCs w:val="20"/>
          <w:color w:val="auto"/>
        </w:rPr>
      </w:pPr>
      <w:r>
        <w:rPr>
          <w:rFonts w:ascii="Arial" w:cs="Arial" w:eastAsia="Arial" w:hAnsi="Arial"/>
          <w:sz w:val="17"/>
          <w:szCs w:val="17"/>
          <w:color w:val="auto"/>
        </w:rPr>
        <w:t>During the three months ended June 30, 2016 and 2015, the Company recognized $0.1 million and $0.1 million, respectively, of stock-based compensation expense related to the employee stock purchase plan (the “ESPP”). During the six months ended June 30, 2016 and 2015, the Company recognized $0.2 million and $0.2 million, respectively, of stock-based compensation expense related to the ESPP.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Company’s concentration of net revenues by geographic region based on shipping destination: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3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82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722"/>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r>
      <w:tr>
        <w:trPr>
          <w:trHeight w:val="264"/>
        </w:trPr>
        <w:tc>
          <w:tcPr>
            <w:tcW w:w="68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r>
      <w:tr>
        <w:trPr>
          <w:trHeight w:val="236"/>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color w:val="auto"/>
              </w:rPr>
              <w:t>Latin America</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10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0.7</w:t>
            </w:r>
          </w:p>
        </w:tc>
      </w:tr>
      <w:tr>
        <w:trPr>
          <w:trHeight w:val="33"/>
        </w:trPr>
        <w:tc>
          <w:tcPr>
            <w:tcW w:w="6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Middle East, Africa and other</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w:t>
            </w: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color w:val="auto"/>
              </w:rPr>
              <w:t>Asia and Australia</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10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0.1</w:t>
            </w:r>
          </w:p>
        </w:tc>
      </w:tr>
      <w:tr>
        <w:trPr>
          <w:trHeight w:val="33"/>
        </w:trPr>
        <w:tc>
          <w:tcPr>
            <w:tcW w:w="6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8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692"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Concentrations of Risk</w:t>
      </w:r>
    </w:p>
    <w:p>
      <w:pPr>
        <w:spacing w:after="0" w:line="117" w:lineRule="exact"/>
        <w:rPr>
          <w:sz w:val="20"/>
          <w:szCs w:val="20"/>
          <w:color w:val="auto"/>
        </w:rPr>
      </w:pPr>
    </w:p>
    <w:p>
      <w:pPr>
        <w:ind w:right="140" w:firstLine="432"/>
        <w:spacing w:after="0" w:line="288" w:lineRule="auto"/>
        <w:rPr>
          <w:sz w:val="20"/>
          <w:szCs w:val="20"/>
          <w:color w:val="auto"/>
        </w:rPr>
      </w:pPr>
      <w:r>
        <w:rPr>
          <w:rFonts w:ascii="Arial" w:cs="Arial" w:eastAsia="Arial" w:hAnsi="Arial"/>
          <w:sz w:val="16"/>
          <w:szCs w:val="16"/>
          <w:color w:val="auto"/>
        </w:rPr>
        <w:t>Historically, a significant portion of the Company’s net revenues comes from a small number of customers. For the three months ended June 30, 2016, sales to the Company's largest customer accounted for 56.1% of net revenues. In the same period in 2015, sales to its two largest customers accounted for 56.5% and 12.0%, respectively, of net revenues. For the six months ended June 30, 2016 and 2015, sales to the Company’s largest customer accounted for</w:t>
      </w:r>
    </w:p>
    <w:p>
      <w:pPr>
        <w:spacing w:after="0"/>
        <w:rPr>
          <w:sz w:val="20"/>
          <w:szCs w:val="20"/>
          <w:color w:val="auto"/>
        </w:rPr>
      </w:pPr>
      <w:r>
        <w:rPr>
          <w:rFonts w:ascii="Arial" w:cs="Arial" w:eastAsia="Arial" w:hAnsi="Arial"/>
          <w:sz w:val="18"/>
          <w:szCs w:val="18"/>
          <w:color w:val="auto"/>
        </w:rPr>
        <w:t>54.3% and 52.0%, respectively, of net revenues.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Basic earnings per share (“EPS”) excludes dilution and is computed by dividing net income (loss) attributable to Novatel Wireless, Inc.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EPS was as follows (in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1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Novatel Wireless, Inc.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53,622,554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w w:val="94"/>
              </w:rPr>
              <w:t>53,403,148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w w:val="99"/>
              </w:rPr>
              <w:t>53,436,611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w w:val="92"/>
              </w:rPr>
              <w:t>49,852,411</w:t>
            </w:r>
          </w:p>
        </w:tc>
      </w:tr>
      <w:tr>
        <w:trPr>
          <w:trHeight w:val="47"/>
        </w:trPr>
        <w:tc>
          <w:tcPr>
            <w:tcW w:w="6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2"/>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For the three and six months ended June 30, 2016, the computation of diluted EPS excluded 12,098,923 shares related to warrants, stock options and RSUs as their effect would have been anti-dilutive. For the three and six months ended June 30, 2015, the computation of diluted EPS excluded 8,654,028 shares related to warrants, stock options and RSUs as their effect would have been anti-dilutive.</w:t>
      </w:r>
    </w:p>
    <w:p>
      <w:pPr>
        <w:spacing w:after="0" w:line="123" w:lineRule="exact"/>
        <w:rPr>
          <w:sz w:val="20"/>
          <w:szCs w:val="20"/>
          <w:color w:val="auto"/>
        </w:rPr>
      </w:pPr>
    </w:p>
    <w:p>
      <w:pPr>
        <w:ind w:right="8600" w:firstLine="8"/>
        <w:spacing w:after="0" w:line="346" w:lineRule="auto"/>
        <w:tabs>
          <w:tab w:leader="none" w:pos="2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Operating Leases</w:t>
      </w:r>
    </w:p>
    <w:p>
      <w:pPr>
        <w:spacing w:after="0" w:line="1"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On June 10, 2016, the Company entered into a lease agreement for approximately 41,400 square feet in San Diego, CA to serve as the Company’s new corporate headquarters. The lease will commence on December 15, 2016 and has a term of approximately 36 months. The monthly rent expense for this lease agreement will be approximately $0.1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Company’s effective income tax rate was 0.4% and (0.8)% for the three months ended June 30, 2016 and 2015, respectively, and (2.2)% and (0.6)% for the six months ended June 30, 2016 and 2015, respectively. The Company’s effective income tax rates are significantly lower than the statutory tax rate primarily due to an increase in the Company’s valuation allowance related to its U.S.-based deferred tax amounts, resulting from carryforward net operating losses generated during the three and six months ended June 30, 2016 and 2015.</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6" w:name="page17"/>
    <w:bookmarkEnd w:id="16"/>
    <w:p>
      <w:pPr>
        <w:ind w:right="60" w:firstLine="432"/>
        <w:spacing w:after="0" w:line="312" w:lineRule="auto"/>
        <w:rPr>
          <w:sz w:val="20"/>
          <w:szCs w:val="20"/>
          <w:color w:val="auto"/>
        </w:rPr>
      </w:pPr>
      <w:r>
        <w:rPr>
          <w:rFonts w:ascii="Arial" w:cs="Arial" w:eastAsia="Arial" w:hAnsi="Arial"/>
          <w:sz w:val="16"/>
          <w:szCs w:val="16"/>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is in the process of completing an IRC Section 382 analysis, and the Company expects to have this analysis completed within the next three months.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In September 2013, the Company commenced certain restructuring initiatives including the closure of the Company’s development site in Calgary, Canada, and the consolidation of certain supply chain management activities (the “2013 Initiatives”). The 2013 Initiatives are expected to cost a total of approximately $6.6 million and be completed when the facility leases expire in December 2016.</w:t>
      </w:r>
    </w:p>
    <w:p>
      <w:pPr>
        <w:spacing w:after="0" w:line="23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August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which included, among other actions, the replacement of the former Chief Executive Officer (collectively, the “2015 Initiatives”). The Company continued these initiatives in 2016 with a reduction-in-force and the completion of the closure of its facility in Richardson, TX. The 2015 Initiatives are expected to cost a total of approximately $4.6 million and be completed when the Richardson, TX lease expires in June 2020.</w:t>
      </w:r>
    </w:p>
    <w:p>
      <w:pPr>
        <w:spacing w:after="0" w:line="24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 April 2016, the Company commenced certain restructuring initiatives to consolidate the operations of Ctrack with those of the Company, including the closure of the Company’s manufacturing operations in Durban, South Africa resulting in a reduction-in-force.</w:t>
      </w:r>
    </w:p>
    <w:p>
      <w:pPr>
        <w:spacing w:after="0" w:line="22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July 2016, subsequent to the balance sheet date, the Company commenced certain restructuring initiatives intended to improve its strategic focus on its most profitable business lines while de-prioritizing certain hardware-only product lines to non-carrier customers, including a reduction-in-force (collectively with the Durban facility closure, the “2016 Initiatives”). The 2016 Initiatives are expected to cost a total of approximately $0.7 million and be completed in September 2016.</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six months ended June 30, 2016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90"/>
              </w:rPr>
              <w:t>Cumulative</w:t>
            </w: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Balance at</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1140" w:type="dxa"/>
            <w:vAlign w:val="bottom"/>
            <w:tcBorders>
              <w:right w:val="single" w:sz="8" w:color="auto"/>
            </w:tcBorders>
            <w:gridSpan w:val="3"/>
          </w:tcPr>
          <w:p>
            <w:pPr>
              <w:ind w:left="60"/>
              <w:spacing w:after="0" w:line="149" w:lineRule="exact"/>
              <w:rPr>
                <w:sz w:val="20"/>
                <w:szCs w:val="20"/>
                <w:color w:val="auto"/>
              </w:rPr>
            </w:pPr>
            <w:r>
              <w:rPr>
                <w:rFonts w:ascii="Arial" w:cs="Arial" w:eastAsia="Arial" w:hAnsi="Arial"/>
                <w:sz w:val="14"/>
                <w:szCs w:val="14"/>
                <w:b w:val="1"/>
                <w:bCs w:val="1"/>
                <w:color w:val="auto"/>
                <w:w w:val="97"/>
              </w:rPr>
              <w:t>Balance at June</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Costs Incurred</w:t>
            </w:r>
          </w:p>
        </w:tc>
      </w:tr>
      <w:tr>
        <w:trPr>
          <w:trHeight w:val="182"/>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2015</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Costs Incurred</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Non-cash</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5"/>
                <w:szCs w:val="15"/>
                <w:color w:val="auto"/>
              </w:rPr>
            </w:pPr>
          </w:p>
        </w:tc>
        <w:tc>
          <w:tcPr>
            <w:tcW w:w="820" w:type="dxa"/>
            <w:vAlign w:val="bottom"/>
          </w:tcPr>
          <w:p>
            <w:pPr>
              <w:jc w:val="right"/>
              <w:ind w:right="201"/>
              <w:spacing w:after="0"/>
              <w:rPr>
                <w:sz w:val="20"/>
                <w:szCs w:val="20"/>
                <w:color w:val="auto"/>
              </w:rPr>
            </w:pPr>
            <w:r>
              <w:rPr>
                <w:rFonts w:ascii="Arial" w:cs="Arial" w:eastAsia="Arial" w:hAnsi="Arial"/>
                <w:sz w:val="14"/>
                <w:szCs w:val="14"/>
                <w:b w:val="1"/>
                <w:bCs w:val="1"/>
                <w:color w:val="auto"/>
                <w:w w:val="95"/>
              </w:rPr>
              <w:t>30, 2016</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to Date</w:t>
            </w:r>
          </w:p>
        </w:tc>
      </w:tr>
      <w:tr>
        <w:trPr>
          <w:trHeight w:val="176"/>
        </w:trPr>
        <w:tc>
          <w:tcPr>
            <w:tcW w:w="334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2013 Initiatives</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2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3,986</w:t>
            </w:r>
          </w:p>
        </w:tc>
      </w:tr>
      <w:tr>
        <w:trPr>
          <w:trHeight w:val="237"/>
        </w:trPr>
        <w:tc>
          <w:tcPr>
            <w:tcW w:w="334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2,629</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89"/>
        </w:trPr>
        <w:tc>
          <w:tcPr>
            <w:tcW w:w="334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Initiatives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2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4,129</w:t>
            </w:r>
          </w:p>
        </w:tc>
      </w:tr>
      <w:tr>
        <w:trPr>
          <w:trHeight w:val="237"/>
        </w:trPr>
        <w:tc>
          <w:tcPr>
            <w:tcW w:w="334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445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503</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89"/>
        </w:trPr>
        <w:tc>
          <w:tcPr>
            <w:tcW w:w="3340" w:type="dxa"/>
            <w:vAlign w:val="bottom"/>
            <w:gridSpan w:val="3"/>
          </w:tcPr>
          <w:p>
            <w:pPr>
              <w:ind w:left="40"/>
              <w:spacing w:after="0"/>
              <w:rPr>
                <w:sz w:val="20"/>
                <w:szCs w:val="20"/>
                <w:color w:val="auto"/>
              </w:rPr>
            </w:pPr>
            <w:r>
              <w:rPr>
                <w:rFonts w:ascii="Arial" w:cs="Arial" w:eastAsia="Arial" w:hAnsi="Arial"/>
                <w:sz w:val="16"/>
                <w:szCs w:val="16"/>
                <w:b w:val="1"/>
                <w:bCs w:val="1"/>
                <w:color w:val="auto"/>
              </w:rPr>
              <w:t>2016 Initiatives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2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7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w:t>
            </w:r>
          </w:p>
        </w:tc>
      </w:tr>
      <w:tr>
        <w:trPr>
          <w:trHeight w:val="217"/>
        </w:trPr>
        <w:tc>
          <w:tcPr>
            <w:tcW w:w="334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23"/>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1,281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11,474</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balance of the restructuring liability at June 30, 2016 consists of approximately $0.9 million in current liabilities and $0.4 million in long-term liabilities.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6" w:right="239" w:bottom="1440" w:gutter="0" w:footer="0" w:header="0"/>
        </w:sectPr>
      </w:pPr>
    </w:p>
    <w:bookmarkStart w:id="17" w:name="page18"/>
    <w:bookmarkEnd w:id="17"/>
    <w:p>
      <w:pPr>
        <w:ind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“Novatel Wireless” refer to Novatel Wireless, Inc., a Delaware corporation, and its wholly owned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Novatel Wireless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1" w:lineRule="exact"/>
        <w:rPr>
          <w:sz w:val="20"/>
          <w:szCs w:val="20"/>
          <w:color w:val="auto"/>
        </w:rPr>
      </w:pPr>
    </w:p>
    <w:p>
      <w:pPr>
        <w:ind w:left="620" w:right="120" w:hanging="315"/>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products relating to the Internet of Things (“IoT”), and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on our corporate development activities without distracting or disrupting our business operations;</w:t>
      </w:r>
    </w:p>
    <w:p>
      <w:pPr>
        <w:spacing w:after="0" w:line="225" w:lineRule="exact"/>
        <w:rPr>
          <w:rFonts w:ascii="Arial" w:cs="Arial" w:eastAsia="Arial" w:hAnsi="Arial"/>
          <w:sz w:val="18"/>
          <w:szCs w:val="18"/>
          <w:color w:val="auto"/>
        </w:rPr>
      </w:pPr>
    </w:p>
    <w:p>
      <w:pPr>
        <w:ind w:left="620" w:right="300" w:hanging="315"/>
        <w:spacing w:after="0" w:line="259"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the operations of R.E.R. Enterprises, Inc. (“RER”) and its wholly-owned subsidiary and principal operating asset, Feeney Wireless, LLC (collectively, “FW”), DigiCore Holdings Limited (“DigiCore” or “Ctrack”), and any business, products, technologies or personnel that we may acquire in the future, including: (i) our ability to retain key personnel from the acquired company or business and (ii) our ability to realize the anticipated benefits of the acquisition;</w:t>
      </w:r>
    </w:p>
    <w:p>
      <w:pPr>
        <w:spacing w:after="0" w:line="186"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480" w:hanging="315"/>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both mobile broadband and IoT markets;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fleet and vehicle management software-as-a-service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ectPr>
          <w:pgSz w:w="11900" w:h="16838" w:orient="portrait"/>
          <w:cols w:equalWidth="0" w:num="1">
            <w:col w:w="11400"/>
          </w:cols>
          <w:pgMar w:left="240" w:top="800"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800" w:right="259" w:bottom="1440" w:gutter="0" w:footer="0" w:header="0"/>
          <w:type w:val="continuous"/>
        </w:sectPr>
      </w:pPr>
    </w:p>
    <w:bookmarkStart w:id="18" w:name="page19"/>
    <w:bookmarkEnd w:id="18"/>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7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 Part I of our Annual Report on Form 10-K for the year ended December 31, 2015. If one or more events related to these or other risks or uncertainties materialize, or if our underlying assumptions prove to be incorrect, actual results may differ materially from what we anticipate.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“Novatel Wireless”, the Novatel Wireless logo, “MiFi”, “MiFi Intelligent Mobile Hotspot”, “MiFi OS”, “MiFi Powered”, “MiFi Home”, “MobiLink”, “Ovation”, “Expedite” and “MiFi Freedom. My Way.” are trademarks or registered trademarks of Novatel Wireless, Inc. “Enfora”, the Enfora logo, “Spider”, “Enabling Information Anywhere”, “Enabler” and “N4A” are trademarks or registered trademarks of Enfora, Inc. “FW”, “Crossroads” and the Feeney Wireless logo are trademarks or registered trademarks of Feeney Wireless, LLC. “DigiCore”, “Ctrack” and the Ctrack logo are trademarks or registered trademarks of DigiCore Holdings Limited. Other trademarks, trade names or service marks used in this report are the property of their respective owners.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76" w:right="25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the accompanying notes included in Part I, Item 1 of this report, as well as the audited consolidated financial statements and accompanying notes and Management’s Discussion and Analysis of Financial Condition and Results of Operations for the year ended December 31, 2015 contained in our Annual Report on Form 10-K for the year ended December 31,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We are a leader in the design and development of products and solutions that simplify IoT, delivering innovative hardware and cloud-based, software-as-a-service (“SaaS”) services to carriers, distributors, retailers, original equipment manufacturers and vertical markets worldwide. Our products and solutions provide anywhere, anytime communications and analytics for consumers and businesses of all sizes, with approximately 557,000 global subscribers, including 174,000 subscribers within the fleet management vertical of telematics.</w:t>
      </w:r>
    </w:p>
    <w:p>
      <w:pPr>
        <w:spacing w:after="0" w:line="241" w:lineRule="exact"/>
        <w:rPr>
          <w:sz w:val="20"/>
          <w:szCs w:val="20"/>
          <w:color w:val="auto"/>
        </w:rPr>
      </w:pPr>
    </w:p>
    <w:p>
      <w:pPr>
        <w:ind w:right="20" w:firstLine="392"/>
        <w:spacing w:after="0" w:line="291" w:lineRule="auto"/>
        <w:rPr>
          <w:sz w:val="20"/>
          <w:szCs w:val="20"/>
          <w:color w:val="auto"/>
        </w:rPr>
      </w:pPr>
      <w:r>
        <w:rPr>
          <w:rFonts w:ascii="Arial" w:cs="Arial" w:eastAsia="Arial" w:hAnsi="Arial"/>
          <w:sz w:val="16"/>
          <w:szCs w:val="16"/>
          <w:color w:val="auto"/>
        </w:rPr>
        <w:t>We have invented and reinvented ways in which the world stays connected and accesses information. With multiple first-to-market innovations, a strong and growing portfolio of hardware and software innovations for IoT, we have been advancing technology and driving industry transformation for over</w:t>
      </w:r>
    </w:p>
    <w:p>
      <w:pPr>
        <w:ind w:right="280"/>
        <w:spacing w:after="0" w:line="255" w:lineRule="auto"/>
        <w:rPr>
          <w:sz w:val="20"/>
          <w:szCs w:val="20"/>
          <w:color w:val="auto"/>
        </w:rPr>
      </w:pPr>
      <w:r>
        <w:rPr>
          <w:rFonts w:ascii="Arial" w:cs="Arial" w:eastAsia="Arial" w:hAnsi="Arial"/>
          <w:sz w:val="18"/>
          <w:szCs w:val="18"/>
          <w:color w:val="auto"/>
        </w:rPr>
        <w:t>20 years. We invented and patented the award-winning global MiFi® brand of mobile hotspots and MiFi technology platform for IoT. It is this proven expertise and commitment to quality and innovation that make us the preferred global partner of operators, distributors, system integrators, businesses and consumers.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SaaS, Software and Services</w:t>
      </w:r>
    </w:p>
    <w:p>
      <w:pPr>
        <w:spacing w:after="0" w:line="15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Through our acquisitions of DigiCore in October 2015 and of FW in March 2015, our product portfolio was further expanded to include additional product offerings for fleet and vehicle telematics, stolen vehicle recovery, usage-based insurance, IoT integration services and solutions, and applications software and SaaS services. Our SaaS delivery platforms include Ctrack® platforms, which provide asset, fleet, vehicle, and SaaS telematics, and FW's Crossroads, which provides easy IoT device management and service enablement. We sell our SaaS, software and services solutions through our direct sales force and through distributors.</w:t>
      </w:r>
    </w:p>
    <w:p>
      <w:pPr>
        <w:spacing w:after="0" w:line="242" w:lineRule="exact"/>
        <w:rPr>
          <w:sz w:val="20"/>
          <w:szCs w:val="20"/>
          <w:color w:val="auto"/>
        </w:rPr>
      </w:pPr>
    </w:p>
    <w:p>
      <w:pPr>
        <w:ind w:firstLine="392"/>
        <w:spacing w:after="0" w:line="293" w:lineRule="auto"/>
        <w:rPr>
          <w:sz w:val="20"/>
          <w:szCs w:val="20"/>
          <w:color w:val="auto"/>
        </w:rPr>
      </w:pPr>
      <w:r>
        <w:rPr>
          <w:rFonts w:ascii="Arial" w:cs="Arial" w:eastAsia="Arial" w:hAnsi="Arial"/>
          <w:sz w:val="16"/>
          <w:szCs w:val="16"/>
          <w:color w:val="auto"/>
        </w:rPr>
        <w:t>Ctrack specializes in the research, design, development, manufacturing, sales and support of technologically advanced solutions for the vehicle tracking, fleet management and insurance telematics verticals for an international client base. With more than 30 years of innovation, technical and implementation experience, Ctrack provides advanced machine-to-machine communication and telematics solutions that add value to its global base of customers with mobile assets. Ctrack’s operations span over more than 50 countries on six continents with approximately 900 employees and 389,000 subscribers. Through successful global acquisitions and by identifying strong and capable distributors, Ctrack has been able to establish a strong presence in high-growth, low-penetration, developed markets such as the United Kingdom, Netherlands and Australia, and emerging markets such as Asia, Africa and Latin America.</w:t>
      </w:r>
    </w:p>
    <w:p>
      <w:pPr>
        <w:spacing w:after="0" w:line="219" w:lineRule="exact"/>
        <w:rPr>
          <w:sz w:val="20"/>
          <w:szCs w:val="20"/>
          <w:color w:val="auto"/>
        </w:rPr>
      </w:pPr>
    </w:p>
    <w:p>
      <w:pPr>
        <w:ind w:right="20" w:firstLine="392"/>
        <w:spacing w:after="0" w:line="302" w:lineRule="auto"/>
        <w:rPr>
          <w:sz w:val="20"/>
          <w:szCs w:val="20"/>
          <w:color w:val="auto"/>
        </w:rPr>
      </w:pPr>
      <w:r>
        <w:rPr>
          <w:rFonts w:ascii="Arial" w:cs="Arial" w:eastAsia="Arial" w:hAnsi="Arial"/>
          <w:sz w:val="16"/>
          <w:szCs w:val="16"/>
          <w:color w:val="auto"/>
        </w:rPr>
        <w:t>Ctrack’s end-to-end research, design, development, manufacture, sales and support of tailored solutions for customers is serviced by a global network of staff and team members. Ctrack develops a range of asset management and monitoring systems using GPS satellite positioning, GSM cellular communication systems and other advanced communication and sensor technologies. The result is products and solutions ranging from basic track-and-trace with stolen vehicle response services for the consumer market to complete integrated enterprise-level solutions for large fleet owners under the Ctrack brand.</w:t>
      </w:r>
    </w:p>
    <w:p>
      <w:pPr>
        <w:spacing w:after="0" w:line="100" w:lineRule="exact"/>
        <w:rPr>
          <w:sz w:val="20"/>
          <w:szCs w:val="20"/>
          <w:color w:val="auto"/>
        </w:rPr>
      </w:pPr>
    </w:p>
    <w:p>
      <w:pPr>
        <w:ind w:right="1180" w:firstLine="405"/>
        <w:spacing w:after="0" w:line="277" w:lineRule="auto"/>
        <w:rPr>
          <w:sz w:val="20"/>
          <w:szCs w:val="20"/>
          <w:color w:val="auto"/>
        </w:rPr>
      </w:pPr>
      <w:r>
        <w:rPr>
          <w:rFonts w:ascii="Arial" w:cs="Arial" w:eastAsia="Arial" w:hAnsi="Arial"/>
          <w:sz w:val="18"/>
          <w:szCs w:val="18"/>
          <w:color w:val="auto"/>
        </w:rPr>
        <w:t>Our SaaS, software and services customer base includes fleet transportation companies, vehicle insurance companies, public and private telecommunications entities, commercial companies, and both state and federal government agencies.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w:t>
      </w:r>
    </w:p>
    <w:p>
      <w:pPr>
        <w:spacing w:after="0" w:line="117" w:lineRule="exact"/>
        <w:rPr>
          <w:sz w:val="20"/>
          <w:szCs w:val="20"/>
          <w:color w:val="auto"/>
        </w:rPr>
      </w:pPr>
    </w:p>
    <w:p>
      <w:pPr>
        <w:ind w:right="40" w:firstLine="392"/>
        <w:spacing w:after="0" w:line="290" w:lineRule="auto"/>
        <w:rPr>
          <w:sz w:val="20"/>
          <w:szCs w:val="20"/>
          <w:color w:val="auto"/>
        </w:rPr>
      </w:pPr>
      <w:r>
        <w:rPr>
          <w:rFonts w:ascii="Arial" w:cs="Arial" w:eastAsia="Arial" w:hAnsi="Arial"/>
          <w:sz w:val="16"/>
          <w:szCs w:val="16"/>
          <w:color w:val="auto"/>
        </w:rPr>
        <w:t>We provide intelligent wireless hardware products for the worldwide mobile communications market. Our hardware products address multiple vertical markets for our customers including fleet and commercial telematics, after-market telematics, remote monitoring and control, security and connected home, and wireless surveillance systems. Our broad range of products principally includes intelligent mobile hotspots, wireless routers for IoT, USB modems, integrated telematics and mobile tracking hardware devices, which are supported by applications software and cloud services designed to enable customers to easily analyze data insights and also configure and manage our hardware remotely. Our products currently operate on every major cellular wireless technology platform. Our mobile hotspots are actively used by millions of customers annually to provide subscribers with secure and convenient high-speed access to corporate, public and personal information through the Internet and enterprise networks. Our wireless routers and USB modems serve as gateways to the rapidly growing and underpenetrated IoT segment. Our telematics and mobile tracking hardware devices collect and control critical vehicle data and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4" w:right="259" w:bottom="1440" w:gutter="0" w:footer="0" w:header="0"/>
        </w:sectPr>
      </w:pPr>
    </w:p>
    <w:bookmarkStart w:id="20" w:name="page21"/>
    <w:bookmarkEnd w:id="20"/>
    <w:p>
      <w:pPr>
        <w:ind w:right="900"/>
        <w:spacing w:after="0" w:line="277" w:lineRule="auto"/>
        <w:rPr>
          <w:sz w:val="20"/>
          <w:szCs w:val="20"/>
          <w:color w:val="auto"/>
        </w:rPr>
      </w:pPr>
      <w:r>
        <w:rPr>
          <w:rFonts w:ascii="Arial" w:cs="Arial" w:eastAsia="Arial" w:hAnsi="Arial"/>
          <w:sz w:val="18"/>
          <w:szCs w:val="18"/>
          <w:color w:val="auto"/>
        </w:rPr>
        <w:t>driver behaviors, and can reliably deliver that information to the cloud, all managed by our services enablement platform that includes the N4A™ Communications and Management Software and N4A Device Manager.</w:t>
      </w:r>
    </w:p>
    <w:p>
      <w:pPr>
        <w:spacing w:after="0" w:line="22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We sell our intelligent mobile hotspots primarily to wireless operators either directly or through strategic relationships. Our mobile-hotspot customer base is comprised of wireless operators, including Verizon Wireless, Inc. (“Verizon Wireless”), AT&amp;T, Inc. (“AT&amp;T”), and Sprint Corporation (“Sprint”), as well as distributors and various companies in other vertical markets.</w:t>
      </w:r>
    </w:p>
    <w:p>
      <w:pPr>
        <w:spacing w:after="0" w:line="235" w:lineRule="exact"/>
        <w:rPr>
          <w:sz w:val="20"/>
          <w:szCs w:val="20"/>
          <w:color w:val="auto"/>
        </w:rPr>
      </w:pPr>
    </w:p>
    <w:p>
      <w:pPr>
        <w:ind w:right="20" w:firstLine="392"/>
        <w:spacing w:after="0" w:line="279" w:lineRule="auto"/>
        <w:rPr>
          <w:sz w:val="20"/>
          <w:szCs w:val="20"/>
          <w:color w:val="auto"/>
        </w:rPr>
      </w:pPr>
      <w:r>
        <w:rPr>
          <w:rFonts w:ascii="Arial" w:cs="Arial" w:eastAsia="Arial" w:hAnsi="Arial"/>
          <w:sz w:val="17"/>
          <w:szCs w:val="17"/>
          <w:color w:val="auto"/>
        </w:rPr>
        <w:t>We sell our wireless routers for IoT and integrated telematics and mobile tracking hardware devices through our direct sales force and through distributors. The customer base for our wireless routers for IoT and integrated telematics and mobile tracking hardware devices is comprised of transportation companies, industrial companies, manufacturers, application service providers, system integrators and distributors, and enterprises in various industries, including fleet and vehicle transportation, energy and industrial automation, security and safety, medical monitoring and government.</w:t>
      </w:r>
    </w:p>
    <w:p>
      <w:pPr>
        <w:spacing w:after="0" w:line="225"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Our contract manufacturers include AsiaTelco Technologies Co., Inventec Appliances Corporation, Hon Hai Precision Industry Co., Ltd. and Production Logix CC. Under our manufacturing agreements, contract manufacturers provide us with services including component procurement, product manufacturing, final assembly, testing, quality control and fulfillment.</w:t>
      </w:r>
    </w:p>
    <w:p>
      <w:pPr>
        <w:spacing w:after="0" w:line="241" w:lineRule="exact"/>
        <w:rPr>
          <w:sz w:val="20"/>
          <w:szCs w:val="20"/>
          <w:color w:val="auto"/>
        </w:rPr>
      </w:pPr>
    </w:p>
    <w:p>
      <w:pPr>
        <w:ind w:right="280" w:firstLine="392"/>
        <w:spacing w:after="0" w:line="312" w:lineRule="auto"/>
        <w:rPr>
          <w:sz w:val="20"/>
          <w:szCs w:val="20"/>
          <w:color w:val="auto"/>
        </w:rPr>
      </w:pPr>
      <w:r>
        <w:rPr>
          <w:rFonts w:ascii="Arial" w:cs="Arial" w:eastAsia="Arial" w:hAnsi="Arial"/>
          <w:sz w:val="16"/>
          <w:szCs w:val="16"/>
          <w:color w:val="auto"/>
        </w:rPr>
        <w:t>Our hardware products are managed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Acquisition and Divestiture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Holdings Limited (DBA Ctrack)</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On June 18, 2015, we entered into a transaction implementation agreement (the “TIA”) with DigiCore. Pursuant to the terms of the TIA, we acquired 100% of the issued and outstanding ordinary shares of DigiCore for 4.40 South African Rand per ordinary share outstanding.</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252525"/>
        </w:rPr>
        <w:t xml:space="preserve">On October 5, 2015 (the “Closing Date”), the transaction was completed. </w:t>
      </w:r>
      <w:r>
        <w:rPr>
          <w:rFonts w:ascii="Arial" w:cs="Arial" w:eastAsia="Arial" w:hAnsi="Arial"/>
          <w:sz w:val="17"/>
          <w:szCs w:val="17"/>
          <w:color w:val="000000"/>
        </w:rPr>
        <w:t>The total purchase price was approximately $80.0 million and included</w:t>
      </w:r>
    </w:p>
    <w:p>
      <w:pPr>
        <w:spacing w:after="0" w:line="35" w:lineRule="exact"/>
        <w:rPr>
          <w:sz w:val="20"/>
          <w:szCs w:val="20"/>
          <w:color w:val="auto"/>
        </w:rPr>
      </w:pPr>
    </w:p>
    <w:p>
      <w:pPr>
        <w:ind w:right="80" w:firstLine="8"/>
        <w:spacing w:after="0" w:line="254"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consideration of $79.4 million for all of the outstanding ordinary shares of DigiCore and the purchase of in-the-money vested stock options held by Ctrack employees on the closing date and (ii) $0.6 million for the portion of the fair value of replacement equity awards issued to Ctrack employees that related to services performed prior to the Closing Date. Upon consummation of the acquisition, DigiCore became an indirect wholly-owned subsidiary of the Company.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Enterprises, Inc. (DBA Feeney Wireless)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March 27, 2015, the Company entered into an asset purchase agreement (“APA”) with FW to acquire all of the issued and outstanding shares of FW. The total consideration was approximately $24.8 million and included a cash payment at closing of approximately $9.3 million, including $1.5 million which was placed into an escrow fund to serve as partial security for the indemnification obligations of RER and its former shareholders, the Company’s assumption of $0.5 million in certain transaction-related expenses incurred by FW, and the future issuance of shares of our common stock valued at $15.0 million to RER's former shareholders, which would have been payable in March 2016.</w:t>
      </w:r>
    </w:p>
    <w:p>
      <w:pPr>
        <w:spacing w:after="0" w:line="242"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total consideration of $24.8 million paid by the Company for FW did not include amounts, if any, payable under an earn-out arrangement pursuant to which we may have been required to pay up to an additional $25.0 million to the former shareholders of RER contingent upon FW’s achievement of certain financial targets for the years ending December 31, 2015, 2016, and 2017 (the “Earn-Out Arrangement”).</w:t>
      </w:r>
    </w:p>
    <w:p>
      <w:pPr>
        <w:spacing w:after="0" w:line="220"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On January 5, 2016, the Company and RER amended certain payment terms of the APA related to the Company’s acquisition of RER (the “RER Amendment”). Under the RER Amendment, the $1.5 million placed into escrow on the date of acquisition was released to RER and its former shareholders on January 8, 2016, and the $15.0 million that was payable in shares of our common stock in March 2016 will now be paid in five cash installments over a four-year period, beginning in March 2016. Under the RER Amendment, the Earn-Out Arrangement has been amended as follows: (a) any amount earned under the Earn-Out Arrangement for the achievement of financial targets for the year ended December 31, 2015 will now be paid in five cash installments over a four-year period, beginning in March 2016 and (b) in replacement of the potential earn-out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76" w:right="259" w:bottom="1440" w:gutter="0" w:footer="0" w:header="0"/>
        </w:sectPr>
      </w:pPr>
    </w:p>
    <w:bookmarkStart w:id="21" w:name="page22"/>
    <w:bookmarkEnd w:id="21"/>
    <w:p>
      <w:pPr>
        <w:ind w:right="140"/>
        <w:spacing w:after="0" w:line="259" w:lineRule="auto"/>
        <w:rPr>
          <w:sz w:val="20"/>
          <w:szCs w:val="20"/>
          <w:color w:val="auto"/>
        </w:rPr>
      </w:pPr>
      <w:r>
        <w:rPr>
          <w:rFonts w:ascii="Arial" w:cs="Arial" w:eastAsia="Arial" w:hAnsi="Arial"/>
          <w:sz w:val="18"/>
          <w:szCs w:val="18"/>
          <w:color w:val="auto"/>
        </w:rPr>
        <w:t>contingent upon FW’s achievement of certain financial targets for the years ended December 31, 2016 and 2017, we will issue to the former shareholders of RER approximately 2.9 million shares of our common stock in three equal installments over a three-year period, beginning in March 2017, contingent upon FW’s retention of certain key personnel. Consideration due to former shareholders of RER under the Earn-Out Arrangement is treated as compensation expense during the service period earned.</w:t>
      </w:r>
    </w:p>
    <w:p>
      <w:pPr>
        <w:spacing w:after="0" w:line="24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recognized approximately $0.8 million in expense during the six months ended June 30, 2016 in connection with the potential payment, in the form of shares of our common stock, due to the former shareholders of RER, contingent upon FW’s retention of certain key personnel. As of June 30, 2016, the total amount earned pursuant to the Earn-Out Arrangement was $6.9 million, $6.1 million of which remained outstanding and is included in accrued expenses and other current liabilities and other long-term liabilities in the unaudited condensed consolidated balance sheets.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Divestiture</w:t>
      </w:r>
    </w:p>
    <w:p>
      <w:pPr>
        <w:spacing w:after="0" w:line="27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On April 11, 2016, we signed a definitive asset purchase agreement with Telit Technologies (Cyprus) Limited and Telit Wireless Solutions, Inc. (collectively, “Telit”) pursuant to which we sold, and Telit acquired, certain hardware modules and related assets for an initial purchase price of $11.0 million in cash, which includes $9.0 million that was paid to us on the closing date of the transaction, $1.0 million that will be paid to us in equal quarterly installments over a two-year period in connection with the provision by us of certain transition services and $1.0 million that will be paid to us following the satisfaction of certain conditions by us, including the assignment of specified contracts and the delivery of certain certifications and approvals. We also have the potential to receive an additional cash payment of approximately $3.8 million from Telit related to their purchase of module product inventory from us, $1.0 million of which will be paid to us in equal quarterly installments over the two-year period following the closing date in connection with the provision by us of certain transition services. In addition to the above, we may be entitled to receive a subsequent earn-out payment following the closing of the transaction if certain conditions are met.</w:t>
      </w:r>
    </w:p>
    <w:p>
      <w:pPr>
        <w:spacing w:after="0" w:line="25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During the three months ended June 30, 2016, we received approximately $9.3 million in cash and recognized a gain of approximately $6.9 million in connection with the fulfillment of certain obligations pursuant to the agreement, which is included in other income (expense), net, in the unaudited condensed consolidated statements of operations. We also recorded a liability for the fair value of the obligations that have yet to be fulfilled by us, which was $3.7 million as of June 30, 2016 and is included in accrued expenses and other current liabilities in the unaudited condensed consolidated balance sheets, and a receivable for the remainder of the cash to be received from Telit pursuant to the agreement, which was $5.4 million as of June 30, 2016 and is included in other assets and prepaid expenses and other in the unaudited condensed consolidated balance sheets.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75" w:lineRule="exact"/>
        <w:rPr>
          <w:sz w:val="20"/>
          <w:szCs w:val="20"/>
          <w:color w:val="auto"/>
        </w:rPr>
      </w:pPr>
    </w:p>
    <w:p>
      <w:pPr>
        <w:ind w:right="280" w:firstLine="405"/>
        <w:spacing w:after="0" w:line="299"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use of next generation networks, including demand for 3G and 4G products, 3G and 4G data access services, demand for fleet and vehicle management SaaS telematics solutions, customer acceptance of our new products that address these markets, including our MiFi line of intelligent mobile hotspots, and our ability to meet customer demand. Factors that could potentially affect customer demand for our products include the following:</w:t>
      </w:r>
    </w:p>
    <w:p>
      <w:pPr>
        <w:spacing w:after="0" w:line="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other wireless data device suppliers and fleet and vehicle telematics solutions, as well as suppliers of emerging devices that contain a wireless data access feature;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demand for 3G and 4G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products.</w:t>
      </w:r>
    </w:p>
    <w:p>
      <w:pPr>
        <w:spacing w:after="0" w:line="33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SaaS telematics solutions and additional service offerings. We continue to develop and maintain strategic relationships with wireless and computing industry leaders like QUALCOMM Incorporated, Verizon Wireless, AT&amp;T, Sprint and major software vendors. Through strategic relationships, we have been able to maintain market penetration by leveraging the resources of our channel partners, including their access to distribution resources, increased sales opportunities and market opportunities.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76" w:right="279" w:bottom="1440" w:gutter="0" w:footer="0" w:header="0"/>
        </w:sectPr>
      </w:pPr>
    </w:p>
    <w:bookmarkStart w:id="22" w:name="page23"/>
    <w:bookmarkEnd w:id="22"/>
    <w:p>
      <w:pPr>
        <w:ind w:right="240" w:firstLine="405"/>
        <w:spacing w:after="0" w:line="297"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net revenues. Cost of net revenues also includes costs of delivering SaaS services, warranty costs, amortization of intangible assets, royalties, operations overhead, costs associated with our cancellation of purchase orders, costs related to outside services and costs related to inventory adjustments, including the FW and Ctrack acquisition-related amortization of the fair value of inventory, as well as any write downs for excess and obsolete inventory. Inventory adjustments are impacted primarily by demand for our products, which is influenced by the factors discussed above.</w:t>
      </w:r>
    </w:p>
    <w:p>
      <w:pPr>
        <w:spacing w:after="0" w:line="26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27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 We expect to continue to incur these expenses in future periods prior to recognizing net revenues from sales of these products.</w:t>
      </w:r>
    </w:p>
    <w:p>
      <w:pPr>
        <w:spacing w:after="0" w:line="28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Sales and marketing expenses consist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29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296"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w:t>
      </w:r>
    </w:p>
    <w:p>
      <w:pPr>
        <w:spacing w:after="0" w:line="28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such as the acquisitions of FW and Ctrack. Given our current cash position and recent losses, any additional acquisitions we make would likely involve issuing stock and/or borrowing additional funds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the notes to our consolidated financial statements and in “Item 7-Management’s Discussion and Analysis of Financial Condition and Results of Operations” included in our 2015 Annual Report on Form 10-K, we have disclosed those accounting policies that we consider to be significant in determining our results of operations and financial condition. There have been no material changes to those policies that we consider to be significant since the filing of our 2015 Annual Report on Form 10-K. The accounting principles used in preparing our unaudited condensed consolidated financial statements conform in all material respects to accounting principles generally accepted in the U.S. (“GAAP”).</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3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2016 Compared to Three Months Ended June 30, 2015</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three months ended June 30, 2016 were $62.8 million, an increase of $11.1 million, or 21.6%,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2015.</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8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40" w:type="dxa"/>
            <w:vAlign w:val="bottom"/>
            <w:tcBorders>
              <w:bottom w:val="single" w:sz="8" w:color="auto"/>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Hardware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49,145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49,272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13,666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11,271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470.6 %</w:t>
            </w:r>
          </w:p>
        </w:tc>
        <w:tc>
          <w:tcPr>
            <w:tcW w:w="0" w:type="dxa"/>
            <w:vAlign w:val="bottom"/>
          </w:tcPr>
          <w:p>
            <w:pPr>
              <w:spacing w:after="0"/>
              <w:rPr>
                <w:sz w:val="1"/>
                <w:szCs w:val="1"/>
                <w:color w:val="auto"/>
              </w:rPr>
            </w:pP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62,811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51,667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decrease in hardware net revenues is primarily a result of the divestiture of certain hardware modules to Telit, partially offset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Ctrack with its hardware net revenues.</w:t>
      </w:r>
    </w:p>
    <w:p>
      <w:pPr>
        <w:spacing w:after="0" w:line="279"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i w:val="1"/>
          <w:iCs w:val="1"/>
          <w:color w:val="auto"/>
        </w:rPr>
        <w:t xml:space="preserve">SaaS, software and services. </w:t>
      </w:r>
      <w:r>
        <w:rPr>
          <w:rFonts w:ascii="Arial" w:cs="Arial" w:eastAsia="Arial" w:hAnsi="Arial"/>
          <w:sz w:val="18"/>
          <w:szCs w:val="18"/>
          <w:color w:val="auto"/>
        </w:rPr>
        <w:t>The increase in SaaS, software and services net revenues is primarily a result of our acquisition of Ctrack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subscription-based solutions.</w:t>
      </w:r>
    </w:p>
    <w:p>
      <w:pPr>
        <w:spacing w:after="0" w:line="27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June 30, 2016 was $39.6 million, or 63.0% of net revenues, as compared to $36.3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70.3% of net revenues for the same period in 2015.</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86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74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60" w:type="dxa"/>
            <w:vAlign w:val="bottom"/>
            <w:tcBorders>
              <w:bottom w:val="single" w:sz="8" w:color="auto"/>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Hardware</w:t>
            </w:r>
          </w:p>
        </w:tc>
        <w:tc>
          <w:tcPr>
            <w:tcW w:w="3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35,758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35,775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4"/>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3,246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570.5 %</w:t>
            </w:r>
          </w:p>
        </w:tc>
        <w:tc>
          <w:tcPr>
            <w:tcW w:w="0" w:type="dxa"/>
            <w:vAlign w:val="bottom"/>
          </w:tcPr>
          <w:p>
            <w:pPr>
              <w:spacing w:after="0"/>
              <w:rPr>
                <w:sz w:val="1"/>
                <w:szCs w:val="1"/>
                <w:color w:val="auto"/>
              </w:rPr>
            </w:pPr>
          </w:p>
        </w:tc>
      </w:tr>
      <w:tr>
        <w:trPr>
          <w:trHeight w:val="47"/>
        </w:trPr>
        <w:tc>
          <w:tcPr>
            <w:tcW w:w="286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39,573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36,344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decrease in hardware cost of net revenues is primarily a result of the divestiture of certain hardware modules to Telit,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acquisition of Ctrack with its hardware net revenues.</w:t>
      </w:r>
    </w:p>
    <w:p>
      <w:pPr>
        <w:spacing w:after="0" w:line="27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i w:val="1"/>
          <w:iCs w:val="1"/>
          <w:color w:val="auto"/>
        </w:rPr>
        <w:t xml:space="preserve">SaaS, software and services. </w:t>
      </w:r>
      <w:r>
        <w:rPr>
          <w:rFonts w:ascii="Arial" w:cs="Arial" w:eastAsia="Arial" w:hAnsi="Arial"/>
          <w:sz w:val="18"/>
          <w:szCs w:val="18"/>
          <w:color w:val="auto"/>
        </w:rPr>
        <w:t>The increase in SaaS, software and services cost of net revenues is primarily a result of our acquisition of Ctrack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increase in SaaS, software and services net revenues.</w:t>
      </w:r>
    </w:p>
    <w:p>
      <w:pPr>
        <w:spacing w:after="0" w:line="27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June 30, 2016 was $23.2 million, or a gross margin of 37.0%, compared to $15.3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29.7% for the same period in 2015. The increase in gross profit was primarily attributable to the changes in net revenues and cost of net revenues as discussed above. The increase in gross margin was primarily a result of the diversification of the revenue base toward the more highly profitable SaaS, software and services business.</w:t>
      </w:r>
    </w:p>
    <w:p>
      <w:pPr>
        <w:spacing w:after="0" w:line="29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June 30, 2016 were $8.3 million, or 13.2%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$9.7 million, or 18.8% of net revenues, for the same period in 2015. The decrease was primarily due to reduction of headcount and associated expenses as we rationalized our product portfolio to focus on the more profitable products, partially offset by our acquisition of Ctrack with their associated research and development expenses.</w:t>
      </w:r>
    </w:p>
    <w:p>
      <w:pPr>
        <w:spacing w:after="0" w:line="295"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June 30, 2016 were $8.4 million, or 13.3%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$4.2 million, or 8.2% of net revenues, for the same period in 2015. The increase was primarily a result of the acquisition of Ctrack, partially offset by our cost containment initiatives.</w:t>
      </w:r>
    </w:p>
    <w:p>
      <w:pPr>
        <w:spacing w:after="0" w:line="28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2016 were $10.0 million, or 15.9%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$9.0 million, or 17.4% of net revenues, for the same period in 2015.</w:t>
      </w:r>
    </w:p>
    <w:p>
      <w:pPr>
        <w:sectPr>
          <w:pgSz w:w="11900" w:h="16838" w:orient="portrait"/>
          <w:cols w:equalWidth="0" w:num="1">
            <w:col w:w="11420"/>
          </w:cols>
          <w:pgMar w:left="240" w:top="52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26"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color w:val="auto"/>
        </w:rPr>
        <w:t>The increase was primarily a result of the acquisition of Ctrack, partially offset by our reduced acquisition-related expenses and cost containment initiatives.</w:t>
      </w:r>
    </w:p>
    <w:p>
      <w:pPr>
        <w:spacing w:after="0" w:line="352" w:lineRule="exact"/>
        <w:rPr>
          <w:sz w:val="20"/>
          <w:szCs w:val="20"/>
          <w:color w:val="auto"/>
        </w:rPr>
      </w:pPr>
    </w:p>
    <w:p>
      <w:pPr>
        <w:ind w:right="20" w:firstLine="405"/>
        <w:spacing w:after="0" w:line="281" w:lineRule="auto"/>
        <w:rPr>
          <w:sz w:val="20"/>
          <w:szCs w:val="20"/>
          <w:color w:val="auto"/>
        </w:rPr>
      </w:pPr>
      <w:r>
        <w:rPr>
          <w:rFonts w:ascii="Arial" w:cs="Arial" w:eastAsia="Arial" w:hAnsi="Arial"/>
          <w:sz w:val="17"/>
          <w:szCs w:val="17"/>
          <w:b w:val="1"/>
          <w:bCs w:val="1"/>
          <w:i w:val="1"/>
          <w:iCs w:val="1"/>
          <w:color w:val="auto"/>
        </w:rPr>
        <w:t>Amortization of purchased intangible assets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amortization of purchased intangible assets for the three months ended June 30, 2016 and 2015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 million and $0.7 million, respectively. Amortization of purchased intangible assets for the three months ended June 30, 2016 includes the amortization of intangible assets purchased through the acquisitions of Ctrack and FW. Amortization of purchased intangible assets for the three months ended June 30, 2015 includes the amortization of intangible assets purchased through the acquisition of FW.</w:t>
      </w:r>
    </w:p>
    <w:p>
      <w:pPr>
        <w:spacing w:after="0" w:line="27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expenses for the three months ended June 30, 2016 were $0.3 million and primarily consisted of severance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in connection with the reduction of our workforce, as well as facility exit related costs. There were no restructuring charges during the three months ended June 30, 2015.</w:t>
      </w:r>
    </w:p>
    <w:p>
      <w:pPr>
        <w:spacing w:after="0" w:line="289"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Interest expense, net, for the three months ended June 30, 2016 was $3.9 million compared to $0.8 million for the same period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2015. The increase in interest expense is primarily a result of the interest expense related to the 5.50% convertible senior notes due on June 15, 2020 that we issued in June 2015 (the “Convertible Notes”), which includes the amortization of the debt discount and debt issuance costs.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Other income (expense), net. </w:t>
      </w:r>
      <w:r>
        <w:rPr>
          <w:rFonts w:ascii="Arial" w:cs="Arial" w:eastAsia="Arial" w:hAnsi="Arial"/>
          <w:sz w:val="17"/>
          <w:szCs w:val="17"/>
          <w:color w:val="auto"/>
        </w:rPr>
        <w:t>Other income, net, for the three months ended June 30, 2016 was $5.8 million, compared to other expense, net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same period in 2015. The increase in other income is a result of our sale of certain hardware modules and other related assets to Telit,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an unrealized foreign currency loss on an outstanding intercompany loan that Ctrack has with one of its wholly-owned subsidiaries,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re-measured at each reporting period, and the effect of exchange rates on cash and cash equivalents during the period.</w:t>
      </w:r>
    </w:p>
    <w:p>
      <w:pPr>
        <w:spacing w:after="0" w:line="31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benefit for the three months ended June 30, 2016 was $10,000 as compared to an income tax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for the same period in 2015. The decrease in income tax provision is primarily due to a decrease in our valuation allowance related to the purchase accounting for certain intangible assets, partially offset by an increase in income tax provision due to certain of our profitable subsidiaries in foreign jurisdictions.</w:t>
      </w:r>
    </w:p>
    <w:p>
      <w:pPr>
        <w:spacing w:after="0" w:line="29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income attributable to noncontrolling interests. </w:t>
      </w:r>
      <w:r>
        <w:rPr>
          <w:rFonts w:ascii="Arial" w:cs="Arial" w:eastAsia="Arial" w:hAnsi="Arial"/>
          <w:sz w:val="18"/>
          <w:szCs w:val="18"/>
          <w:color w:val="auto"/>
        </w:rPr>
        <w:t>For the three months ended June 30, 2016, net income attributable to noncontrolling interests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$8,000. We did not have any noncontrolling interests during the three months ended June 30, 2015.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2016 Compared to Six Months Ended June 30, 2015</w:t>
      </w:r>
    </w:p>
    <w:p>
      <w:pPr>
        <w:spacing w:after="0" w:line="17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six months ended June 30, 2016 were $129.8 million, an increase of $24.6 million, or 23.4%,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2015.</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8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80" w:type="dxa"/>
            <w:vAlign w:val="bottom"/>
            <w:tcBorders>
              <w:bottom w:val="single" w:sz="8" w:color="auto"/>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Hardware</w:t>
            </w:r>
          </w:p>
        </w:tc>
        <w:tc>
          <w:tcPr>
            <w:tcW w:w="3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103,306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102,283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26,449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2,878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23,571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819.0%</w:t>
            </w:r>
          </w:p>
        </w:tc>
        <w:tc>
          <w:tcPr>
            <w:tcW w:w="0" w:type="dxa"/>
            <w:vAlign w:val="bottom"/>
          </w:tcPr>
          <w:p>
            <w:pPr>
              <w:spacing w:after="0"/>
              <w:rPr>
                <w:sz w:val="1"/>
                <w:szCs w:val="1"/>
                <w:color w:val="auto"/>
              </w:rPr>
            </w:pPr>
          </w:p>
        </w:tc>
      </w:tr>
      <w:tr>
        <w:trPr>
          <w:trHeight w:val="47"/>
        </w:trPr>
        <w:tc>
          <w:tcPr>
            <w:tcW w:w="288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129,755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105,161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24,594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increase in hardware net revenues is primarily a result of the acquisitions of Ctrack and FW, partially offset by the sale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modules to Telit and the ongoing focus on our most profitable products.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SaaS, software and services. </w:t>
      </w:r>
      <w:r>
        <w:rPr>
          <w:rFonts w:ascii="Arial" w:cs="Arial" w:eastAsia="Arial" w:hAnsi="Arial"/>
          <w:sz w:val="17"/>
          <w:szCs w:val="17"/>
          <w:color w:val="auto"/>
        </w:rPr>
        <w:t>The increase in SaaS, software and services net revenues is primarily a result of our acquisitions of Ctrack and FW.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5" w:name="page26"/>
    <w:bookmarkEnd w:id="25"/>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six months ended June 30, 2016 was $85.3 million, an increase of $8.1 million, or 10.5%,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$77.2 million for the same period in 2015.</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8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80" w:type="dxa"/>
            <w:vAlign w:val="bottom"/>
            <w:tcBorders>
              <w:bottom w:val="single" w:sz="8" w:color="auto"/>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Hardware</w:t>
            </w:r>
          </w:p>
        </w:tc>
        <w:tc>
          <w:tcPr>
            <w:tcW w:w="3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76,627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76,598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8,707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8,101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1,336.8%</w:t>
            </w:r>
          </w:p>
        </w:tc>
        <w:tc>
          <w:tcPr>
            <w:tcW w:w="0" w:type="dxa"/>
            <w:vAlign w:val="bottom"/>
          </w:tcPr>
          <w:p>
            <w:pPr>
              <w:spacing w:after="0"/>
              <w:rPr>
                <w:sz w:val="1"/>
                <w:szCs w:val="1"/>
                <w:color w:val="auto"/>
              </w:rPr>
            </w:pPr>
          </w:p>
        </w:tc>
      </w:tr>
      <w:tr>
        <w:trPr>
          <w:trHeight w:val="47"/>
        </w:trPr>
        <w:tc>
          <w:tcPr>
            <w:tcW w:w="288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85,334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77,204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increase in hardware cost of net revenues is primarily a result of the acquisitions of Ctrack and FW, partially offset by the sale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modules to Telit.</w:t>
      </w:r>
    </w:p>
    <w:p>
      <w:pPr>
        <w:spacing w:after="0" w:line="22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i w:val="1"/>
          <w:iCs w:val="1"/>
          <w:color w:val="auto"/>
        </w:rPr>
        <w:t xml:space="preserve">SaaS, software and services. </w:t>
      </w:r>
      <w:r>
        <w:rPr>
          <w:rFonts w:ascii="Arial" w:cs="Arial" w:eastAsia="Arial" w:hAnsi="Arial"/>
          <w:sz w:val="18"/>
          <w:szCs w:val="18"/>
          <w:color w:val="auto"/>
        </w:rPr>
        <w:t>The increase in SaaS, software and services cost of net revenues is primarily a result of our acquisitions of Ctrack and FW</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associated increase in SaaS, software and services net revenues.</w:t>
      </w:r>
    </w:p>
    <w:p>
      <w:pPr>
        <w:spacing w:after="0" w:line="22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2016 was $44.4 million, or a gross margin of 34.2%, compared to $28.0 million, or a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of 26.6%, for the same period in 2015. The increase in gross profit was primarily a result of the changes in net revenues and cost of net revenues as discussed above. The increase in gross margin was primarily a result of the diversification of the revenue base toward more highly profitable SaaS, software and services business.</w:t>
      </w:r>
    </w:p>
    <w:p>
      <w:pPr>
        <w:spacing w:after="0" w:line="24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six months ended June 30, 2016 were $16.3 million, or 12.6%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$20.4 million, or 19.4% of net revenues, for the same period in 2015. The decrease was primarily due to reduction of headcount and associated expenses as we rationalized our product portfolio as well as the lack of a retention bonus that was paid in 2015, partially offset by our acquisitions of Ctrack and FW with their associated research and development expenses.</w:t>
      </w:r>
    </w:p>
    <w:p>
      <w:pPr>
        <w:spacing w:after="0" w:line="241" w:lineRule="exact"/>
        <w:rPr>
          <w:sz w:val="20"/>
          <w:szCs w:val="20"/>
          <w:color w:val="auto"/>
        </w:rPr>
      </w:pPr>
    </w:p>
    <w:p>
      <w:pPr>
        <w:jc w:val="both"/>
        <w:ind w:right="320" w:firstLine="405"/>
        <w:spacing w:after="0" w:line="286" w:lineRule="auto"/>
        <w:rPr>
          <w:sz w:val="20"/>
          <w:szCs w:val="20"/>
          <w:color w:val="auto"/>
        </w:rPr>
      </w:pPr>
      <w:r>
        <w:rPr>
          <w:rFonts w:ascii="Arial" w:cs="Arial" w:eastAsia="Arial" w:hAnsi="Arial"/>
          <w:sz w:val="17"/>
          <w:szCs w:val="17"/>
          <w:b w:val="1"/>
          <w:bCs w:val="1"/>
          <w:i w:val="1"/>
          <w:iCs w:val="1"/>
          <w:color w:val="auto"/>
        </w:rPr>
        <w:t xml:space="preserve">Sales and marketing expenses. </w:t>
      </w:r>
      <w:r>
        <w:rPr>
          <w:rFonts w:ascii="Arial" w:cs="Arial" w:eastAsia="Arial" w:hAnsi="Arial"/>
          <w:sz w:val="17"/>
          <w:szCs w:val="17"/>
          <w:color w:val="auto"/>
        </w:rPr>
        <w:t>Sales and marketing expenses for the six months ended June 30, 2016 were $16.1 million, or 12.4% of net revenues,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$8.5 million, or 8.0% of net revenues, for the same period in 2015. The increase was primarily a result of the acquisitions of Ctrack and FW, partially offset by our cost containment initiatives and the lack of a retention bonus that was paid in 2015.</w:t>
      </w:r>
    </w:p>
    <w:p>
      <w:pPr>
        <w:spacing w:after="0" w:line="22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six months ended June 30, 2016 were $20.2 million, or 15.6%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$14.4 million, or 13.6% of net revenues, for the same period in 2015. General and administrative expenses increased for the six months ended June 30, 2016 primarily a result of the acquisitions of Ctrack and FW, partially offset by our cost containment initiatives and the lack of a retention bonus that was paid in 2015.</w:t>
      </w:r>
    </w:p>
    <w:p>
      <w:pPr>
        <w:spacing w:after="0" w:line="237" w:lineRule="exact"/>
        <w:rPr>
          <w:sz w:val="20"/>
          <w:szCs w:val="20"/>
          <w:color w:val="auto"/>
        </w:rPr>
      </w:pPr>
    </w:p>
    <w:p>
      <w:pPr>
        <w:ind w:right="180" w:firstLine="405"/>
        <w:spacing w:after="0" w:line="258"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six months ended June 30, 2016 and 2015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 million and $0.8 million, respectively. Amortization of purchased intangible assets for the six months ended June 30, 2016 includes the amortization of intangible assets purchased through the acquisitions of Ctrack and FW. Amortization of purchased intangible assets for the six months ended June 30, 2015 includes the amortization of intangible assets purchased through the acquisition of FW for the period following the March 27, 2015 date of acquisition through June 30, 2015.</w:t>
      </w:r>
    </w:p>
    <w:p>
      <w:pPr>
        <w:spacing w:after="0" w:line="242"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expenses for the six months ended June 30, 2016 were $0.9 million and predominantly consisted of severance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incurred in connection with the reduction of our workforce, as well as facility exit related costs. During the six months ended June 30, 2015, we recorded a reduction of $0.2 million in restructuring charges, primarily related to a re-evaluation of our expected remaining restructuring accrual for severance and facility exit related costs.</w:t>
      </w:r>
    </w:p>
    <w:p>
      <w:pPr>
        <w:spacing w:after="0" w:line="24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six months ended June 30, 2016 was $7.8 million, compared to $0.9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The increase in interest expense is primarily a result of the interest expense related to the Convertible Notes that we issued in June 2015, which includes the amortization of the debt discount and debt issuance costs.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Other income (expense), net. </w:t>
      </w:r>
      <w:r>
        <w:rPr>
          <w:rFonts w:ascii="Arial" w:cs="Arial" w:eastAsia="Arial" w:hAnsi="Arial"/>
          <w:sz w:val="17"/>
          <w:szCs w:val="17"/>
          <w:color w:val="auto"/>
        </w:rPr>
        <w:t>Other income, net, for the six months ended June 30, 2016 was $4.5 million, compared to other expense, net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same period in 2015. The increase in other income is a result of our sale of certain hardware modules and other related assets to Telit,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an unrealized foreign currency loss on an outstanding</w:t>
      </w:r>
    </w:p>
    <w:p>
      <w:pPr>
        <w:sectPr>
          <w:pgSz w:w="11900" w:h="16838" w:orient="portrait"/>
          <w:cols w:equalWidth="0" w:num="1">
            <w:col w:w="11420"/>
          </w:cols>
          <w:pgMar w:left="240" w:top="476"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76" w:right="239" w:bottom="1440" w:gutter="0" w:footer="0" w:header="0"/>
          <w:type w:val="continuous"/>
        </w:sectPr>
      </w:pPr>
    </w:p>
    <w:bookmarkStart w:id="26" w:name="page27"/>
    <w:bookmarkEnd w:id="26"/>
    <w:p>
      <w:pPr>
        <w:ind w:right="120"/>
        <w:spacing w:after="0" w:line="277" w:lineRule="auto"/>
        <w:rPr>
          <w:sz w:val="20"/>
          <w:szCs w:val="20"/>
          <w:color w:val="auto"/>
        </w:rPr>
      </w:pPr>
      <w:r>
        <w:rPr>
          <w:rFonts w:ascii="Arial" w:cs="Arial" w:eastAsia="Arial" w:hAnsi="Arial"/>
          <w:sz w:val="18"/>
          <w:szCs w:val="18"/>
          <w:color w:val="auto"/>
        </w:rPr>
        <w:t>intercompany loan that Ctrack has with one of its wholly-owned subsidiaries, which is re-measured at each reporting period, and the effect of exchange rates on cash and cash equivalents during the period.</w:t>
      </w:r>
    </w:p>
    <w:p>
      <w:pPr>
        <w:spacing w:after="0" w:line="197"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b w:val="1"/>
          <w:bCs w:val="1"/>
          <w:i w:val="1"/>
          <w:iCs w:val="1"/>
          <w:color w:val="auto"/>
        </w:rPr>
        <w:t xml:space="preserve">Income tax provision (benefit). </w:t>
      </w:r>
      <w:r>
        <w:rPr>
          <w:rFonts w:ascii="Arial" w:cs="Arial" w:eastAsia="Arial" w:hAnsi="Arial"/>
          <w:sz w:val="16"/>
          <w:szCs w:val="16"/>
          <w:color w:val="auto"/>
        </w:rPr>
        <w:t>Income tax provision for the six months ended June 30, 2016 was $0.3 million as compared to $0.1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2015. The increase in income tax provision is primarily due to certain of our profitable subsidiaries in foreign jurisdictions, partially offset by a decrease in income tax provision primarily due to a decrease in our valuation allowance related to the purchase accounting for certain intangible assets.</w:t>
      </w:r>
    </w:p>
    <w:p>
      <w:pPr>
        <w:spacing w:after="0" w:line="25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income attributable to noncontrolling interests. </w:t>
      </w:r>
      <w:r>
        <w:rPr>
          <w:rFonts w:ascii="Arial" w:cs="Arial" w:eastAsia="Arial" w:hAnsi="Arial"/>
          <w:sz w:val="18"/>
          <w:szCs w:val="18"/>
          <w:color w:val="auto"/>
        </w:rPr>
        <w:t>For the six months ended June 30, 2016, net income attributable to noncontrolling interests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$13,000. We did not have any noncontrolling interests during the six months ended June 30,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sources of liquidity are our existing cash and cash equivalents and cash generated from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9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October 31, 2014, we entered into a senior secured revolving credit facility in the amount of $25.0 million with Wells Fargo Bank, National Association (the “Revolver”). On November 17, 2015, the Revolver was amended to increase the maximum borrowing capacity to $48.0 million. The amount of borrowings that may be made under the Revolver are based on a borrowing base and are comprised of a specified percentage of eligible receivables. If, at any time during the term of the Revolver, the amount of borrowings outstanding under the Revolver exceeds the borrowing base then in effect, we would be required to repay such borrowings in an amount sufficient to eliminate such excess. The Revolver includes $3.0 million available for letters of credit, $1.0 million of which was available for letters of credit at June 30, 2016. As of June 30, 2016, there was no outstanding balance on the Revolver. Based on our eligible receivables at June 30, 2016, we have available borrowings of approximately $7.8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June 10, 2015, we issued $120.0 million of Convertible Notes, which are governed by the terms of an indenture between us, as issuer, and Wilmington Trust, National Association, as trustee. The Convertible Notes are senior unsecured obligations and bear interest at a rate of 5.50% per year, payable semi-annually in arrears on June 15 and December 15 of each year, beginning on December 15, 2015. The Convertible Notes will mature on June 15, 2020, unless earlier repurchased or converted. The Convertible Notes will be convertible into cash, shares of our common stock, or a combination thereof, at our election, at an initial conversion price of $5.00 per share of our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Amendment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Pursuant to the RER Amendment, we are obligated to pay a total of $15.0 million in five cash installments over a four-year period, beginning in March</w:t>
      </w:r>
    </w:p>
    <w:p>
      <w:pPr>
        <w:spacing w:after="0" w:line="46"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2016. We are also obligated to pay a total of approximately $6.1 million in cash over a four-year period, beginning in March 2016, related to the Earn-Out Arrangement. We believe that our cash and cash equivalents and our availability under the Revolver, together with anticipated cash flows from operations, will be sufficient to meet these obligations.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24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(19,180)</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6,919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(98,174)</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117,628</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17,853</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17,913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7" w:name="page28"/>
    <w:bookmarkEnd w:id="27"/>
    <w:p>
      <w:pPr>
        <w:ind w:firstLine="432"/>
        <w:spacing w:after="0" w:line="271"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used in operating activities was $0.8 million for the six months ended June 30, 2016 compared to $19.2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period in 2015. Net cash used in operating activities for the six months ended June 30, 2016 was primarily attributable to the net loss in the period, a gain on the divestiture of certain hardware modules and related assets, and a decrease in accounts payable, partially offset by a decrease in accounts receivable and inventory and the non-cash charges for depreciation and amortization, including the amortization of the acquisition-related inventory step up and debt discount and debt issuance costs, the provision for excess and obsolete inventory and share-based compensation expense. Net cash used in operating activities for the six months ended June 30, 2015 was primarily attributable to the net loss in the period along with the decrease in accounts payable and increase in accounts receivable, partially offset by the non-cash charges for depreciation and amortization, including the amortization of the acquisition-related inventory step up and debt discount and debt issuance costs, and share-based compensation expense.</w:t>
      </w:r>
    </w:p>
    <w:p>
      <w:pPr>
        <w:spacing w:after="0" w:line="287"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provided by investing activities during the six months ended June 30, 2016 was $6.9 million compared to $98.2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in investing activities for the same period in 2015. Cash provided by investing activities during the six months ended June 30, 2016 was primarily related to the sale of certain hardware modules and related assets as well as the sale of certain short-term investments, partially offset by the capitalization of certain costs related to the research and development of software to be sold in our solutions. Cash used in investing activities during the six months ended June 30, 2015 was primarily related to our acquisition of FW and our then-pending acquisition of Ctrack.</w:t>
      </w:r>
    </w:p>
    <w:p>
      <w:pPr>
        <w:spacing w:after="0" w:line="28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during the six months ended June 30, 2016 was $0.2 million, compared to net cash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financing activities of $117.6 million for the same period in 2015. Net cash used in financing activities during the six months ended June 30, 2016 was primarily related to payments on capital lease obligations, partially offset by proceeds from the May 2016 purchases under our employee stock purchase plan. Net cash provided by financing activities during the six months ended June 30, 2015 was primarily related to proceeds received from the issuance of the Convertible Notes and exercise of a warrant, partially offset by the repayment on the Revolver, the payment of issuance costs related to the Convertible Notes and the payoff of the FW assumed liabilities.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As of June 30, 2016, we had available cash and cash equivalents totaling $18.5 million and working capital of $35.4 million. We also had availability for borrowings under the Revolver. Borrowings under this facility are secured by a first priority lien on substantially all of our assets and the assets of certain of our subsidiaries, subject to certain exceptions and permitted liens. At June 30, 2016, there was no outstanding balance on the Revolver. Based on our eligible receivables at June 30, 2016, we have available borrowings of approximately $7.8 million. In addition, in the second quarter of 2016, the Company received approximately $9.3 million related to the closing of the asset purchase agreement with Telit, a portion of which was used to repay the outstanding balance on the Revolver.</w:t>
      </w:r>
    </w:p>
    <w:p>
      <w:pPr>
        <w:spacing w:after="0" w:line="247" w:lineRule="exact"/>
        <w:rPr>
          <w:sz w:val="20"/>
          <w:szCs w:val="20"/>
          <w:color w:val="auto"/>
        </w:rPr>
      </w:pPr>
    </w:p>
    <w:p>
      <w:pPr>
        <w:ind w:right="360" w:firstLine="405"/>
        <w:spacing w:after="0" w:line="276" w:lineRule="auto"/>
        <w:rPr>
          <w:sz w:val="20"/>
          <w:szCs w:val="20"/>
          <w:color w:val="auto"/>
        </w:rPr>
      </w:pPr>
      <w:r>
        <w:rPr>
          <w:rFonts w:ascii="Arial" w:cs="Arial" w:eastAsia="Arial" w:hAnsi="Arial"/>
          <w:sz w:val="17"/>
          <w:szCs w:val="17"/>
          <w:color w:val="auto"/>
        </w:rPr>
        <w:t>Our ability to transition to attaining profitable operations is dependent upon achieving a level of revenues adequate to support our evolving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and our availability under the Revolver, together with anticipated cash flows from operations, will be sufficient to meet our working capital needs for the next twelve months.</w:t>
      </w:r>
    </w:p>
    <w:p>
      <w:pPr>
        <w:spacing w:after="0" w:line="2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224"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In addition, in order to obtain additional borrowings we must comply with certain requirements under the Revolver.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have been no material changes to our contractual obligations and commercial commitments from those disclosed in our Annual Report on Form 10-K for the year ended December 31, 2015, except for the lease discussed below.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28" w:name="page29"/>
    <w:bookmarkEnd w:id="28"/>
    <w:p>
      <w:pPr>
        <w:ind w:right="160" w:firstLine="405"/>
        <w:spacing w:after="0" w:line="264" w:lineRule="auto"/>
        <w:rPr>
          <w:sz w:val="20"/>
          <w:szCs w:val="20"/>
          <w:color w:val="auto"/>
        </w:rPr>
      </w:pPr>
      <w:r>
        <w:rPr>
          <w:rFonts w:ascii="Arial" w:cs="Arial" w:eastAsia="Arial" w:hAnsi="Arial"/>
          <w:sz w:val="18"/>
          <w:szCs w:val="18"/>
          <w:color w:val="auto"/>
        </w:rPr>
        <w:t>On June 10, 2016, we entered into a lease agreement for approximately 41,400 square feet in San Diego, CA to serve as the Company’s new corporate headquarters. The lease will commence on December 15, 2016 and has a term of approximately 36 months. The monthly rent expense for this lease agreement will be approximately $0.1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financing activities.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4"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38"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Since December 31, 2015,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2015.</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30, 2016, the end of the period covered by this report. Based on the foregoing, our principal executive officer and principal financial and accounting officer concluded that our disclosure controls and procedures were effective as of June 30, 2016.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June 30, 2016, that have materially affected, or are reasonably likely to materially affect, the Company’s internal control over financial reporting.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76"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 xml:space="preserve">The disclosure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11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2015, except for the risk factors listed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development activities could disrupt our business and harm our financial condition and results of operations.</w:t>
      </w:r>
    </w:p>
    <w:p>
      <w:pPr>
        <w:spacing w:after="0" w:line="225"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As part of our business strategy, we review and intend to continue to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make an acquisition, we could take any or all of the following actions, any one of which could adversely affect our business, financial condition, results of operations or stock price:</w:t>
      </w:r>
    </w:p>
    <w:p>
      <w:pPr>
        <w:spacing w:after="0" w:line="18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the percentage ownership of existing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customers,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In addition, if we finance acquisitions by issuing convertible debt or equity securities, our existing stockholders may be diluted, which could affect the market price of our stock. Acquisitions and/or the related equity financings could also impact our ability to utilize our net operating loss carryforwards.</w:t>
      </w:r>
    </w:p>
    <w:p>
      <w:pPr>
        <w:spacing w:after="0" w:line="17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Numerous other risks of engaging in acquisitions include: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Acquisitions may result in substantial accounting charges for restructuring and other expenses, amortization of purchased technology and intangible assets and stock-based compensation expense, any of which could materially adversely affect our operating results.</w:t>
      </w:r>
    </w:p>
    <w:p>
      <w:pPr>
        <w:spacing w:after="0" w:line="15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Conversely, there are many risks associated with corporate divestitures, including the proposed divestiture of our telematics hardware assets or the recent sale of portions of our IoT modules business to Telit. The numerous risks of engaging in sales of assets, technology or portions of our business include: difficulties separating divested operations from ongoing operations; loss of sales, marketing and operating synergies; loss of key employees and know-how related to the on-going portions of the business; unanticipated costs; diversion of management’s attention from existing operations; and adverse effects on existing business relationships with suppliers and customers. Similar to discontinued operations, divestitures may be disruptive and result in substantial accounting charges for any related restructuring.</w:t>
      </w:r>
    </w:p>
    <w:p>
      <w:pPr>
        <w:spacing w:after="0" w:line="19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a result, if we fail to properly evaluate or implement acquisitions or divestitures, including the proposed divestiture of our telematics hardware assets and the recent sale of portions of our IoT modules business to Telit, we may not achieve the anticipated benefits of any such transactions, and we may incur unanticipated costs, either of which could harm our business and operating results.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0" w:right="259" w:bottom="1440" w:gutter="0" w:footer="0" w:header="0"/>
        </w:sectPr>
      </w:pPr>
    </w:p>
    <w:bookmarkStart w:id="30" w:name="page31"/>
    <w:bookmarkEnd w:id="30"/>
    <w:p>
      <w:pPr>
        <w:ind w:right="120"/>
        <w:spacing w:after="0" w:line="277" w:lineRule="auto"/>
        <w:rPr>
          <w:sz w:val="20"/>
          <w:szCs w:val="20"/>
          <w:color w:val="auto"/>
        </w:rPr>
      </w:pPr>
      <w:r>
        <w:rPr>
          <w:rFonts w:ascii="Arial" w:cs="Arial" w:eastAsia="Arial" w:hAnsi="Arial"/>
          <w:sz w:val="18"/>
          <w:szCs w:val="18"/>
          <w:b w:val="1"/>
          <w:bCs w:val="1"/>
          <w:i w:val="1"/>
          <w:iCs w:val="1"/>
          <w:color w:val="auto"/>
        </w:rPr>
        <w:t>We currently rely on third parties to manufacture and warehouse many of our products, which exposes us to a number of risks and uncertainties outside our control.</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currently outsource the manufacturing of all of our mobile computing solutions and many of our IoT devices to companies including: AsiaTelco Technologies Co., Inventec Appliances Corporation, Hon Hai Precision Industry Co., Ltd. and Production Logix CC. In addition, we recently sold portions of our IoT modules business to Telit, and we now rely on Telit to supply us with modules that are critical to the functionality of some of our telematics hardware devices, including devices sold or deployed by Ctrack. If one of these third-party manufacturers were to experience delays, disruptions, capacity constraints or quality control problems in its manufacturing operations, product shipments to our customers could be delayed or rejected or our customers could consequently elect to cancel the underlying product purchase order. These disruptions would negatively impact our revenues,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significantly increase.</w:t>
      </w:r>
    </w:p>
    <w:p>
      <w:pPr>
        <w:spacing w:after="0" w:line="16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Because we outsource the manufacturing of so many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18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225"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and solutions. The availability and sale of those products and solutions would be harmed if any of these suppliers is not able to meet our demand and production schedule and alternative suitable components are not available on acceptable terms, if at all.</w:t>
      </w:r>
    </w:p>
    <w:p>
      <w:pPr>
        <w:spacing w:after="0" w:line="181"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products contain a variety of components, some of which are procured from single suppliers. In addition, some of our vehicle tracking or fleet management solutions rely on devices procured from single suppliers, including Telit, which recently purchased a portion of our IoT modules business from us. From time to time, certain components used in our products or certain products used in our solutions have been in short supply or their anticipated commercial introduction has been delayed or their availability has been subsequently interrupted for reasons outside our control. If there is a shortage or interruption in the availability to us of any such components or products and we cannot timely obtain a commercially and technologically suitable substitute or make sufficient and timely design or other modifications to permit the use of such a substitute component or product, we may not be able to timely deliver sufficient quantities of our products or solutions to satisfy our contractual obligations and particular revenue expectations. Moreover, even if we timely locate a substitute part or product, but its price materially exceeds the original cost of the component or product, then our results of operations would be adversely affected.</w:t>
      </w:r>
    </w:p>
    <w:p>
      <w:pPr>
        <w:sectPr>
          <w:pgSz w:w="11900" w:h="16838" w:orient="portrait"/>
          <w:cols w:equalWidth="0" w:num="1">
            <w:col w:w="11420"/>
          </w:cols>
          <w:pgMar w:left="240" w:top="476" w:right="2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76" w:right="239" w:bottom="1440" w:gutter="0" w:footer="0" w:header="0"/>
          <w:type w:val="continuous"/>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526"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2"/>
          </w:tcPr>
          <w:p>
            <w:pPr>
              <w:jc w:val="right"/>
              <w:ind w:right="9690"/>
              <w:spacing w:after="0"/>
              <w:rPr>
                <w:sz w:val="20"/>
                <w:szCs w:val="20"/>
                <w:color w:val="auto"/>
              </w:rPr>
            </w:pPr>
            <w:r>
              <w:rPr>
                <w:rFonts w:ascii="Arial" w:cs="Arial" w:eastAsia="Arial" w:hAnsi="Arial"/>
                <w:sz w:val="18"/>
                <w:szCs w:val="18"/>
                <w:b w:val="1"/>
                <w:bCs w:val="1"/>
                <w:i w:val="1"/>
                <w:iCs w:val="1"/>
                <w:color w:val="auto"/>
                <w:w w:val="93"/>
              </w:rPr>
              <w:t>Exhibits.</w:t>
            </w:r>
          </w:p>
        </w:tc>
      </w:tr>
      <w:tr>
        <w:trPr>
          <w:trHeight w:val="360"/>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344"/>
        </w:trPr>
        <w:tc>
          <w:tcPr>
            <w:tcW w:w="92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Agreement and Plan of Merger, dated March 27, 2015, by and among Novatel Wireless, Inc., Duck Acquisition, Inc., R.E.R. Enterprises, Inc.,</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the stockholders of R.E.R. Enterprises, Inc. and Ethan Ralston, as the representative of the stockholders of R.E.R. Enterprises, Inc.</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by reference to Exhibit 2.1 to the Company’s Current Report on Form 8-K, filed April 1, 2015).</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No. 1 to Agreement and Plan of Merger, dated January 5, 2016, by and among Novatel Wireless, Inc., Duck Acquisition, Inc.,</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R.E.R. Enterprises, Inc., certain stockholders of R.E.R. Enterprises, Inc. and Ethan Ralston, as the representative of the R.E.R. stockholders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by reference to Exhibit 2.1 to the Company’s Current Report on Form 8-K, filed January 11, 2016).</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Transaction Implementation Agreement, dated June 18, 2015, by and between Novatel Wireless, Inc. and DigiCore Holdings Limited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by reference to Exhibit 2.1 to the Company’s Current Report on Form 8-K, filed June 24, 2015).</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Asset Purchase Agreement, dated April 11, 2016, by and among Novatel Wireless Inc. and Telit Technologies (Cyprus) Limited and Telit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Wireless Solutions, Inc. (incorporated by reference to Exhibit 2.5 to the Company’s Quarterly Report on Form 10-Q, filed May 10, 2016).</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the Company’s Annual Report on Form 10-</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K405 for the year ended December 31, 2000, filed March 27, 2001).</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Amendment to Amended and Restated Certificate of Incorporation (incorporated by reference to Exhibit 3.1 to the Company’s Quarterly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period ended September 30, 2002, filed November 14, 2002).</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3.2 to the Company’s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3.4 to the Company’s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Annual Report on Form 10-K for the year ended December 31, 2014, filed March 10, 2015).</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3.1 to the Company’s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Current Report on Form 8-K, filed September 3, 2015).</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Amended and Restated Certificate of Designation of Series A Convertible Preferred Stock (incorporated by reference to Exhibit 3.4 to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Certificate of Designation of Series B Convertible Preferred Stock (incorporated by reference to Exhibit 3.5 to the Company’s Annual Report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10-K/A for the year ended December 31, 2003, filed March 31, 2004).</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Certificate of Designation of Series C Convertible Preferred Stock (incorporated by reference to Exhibit 3.1 to the Company’s Current Report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8-K, filed September 8, 2014).</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Second Amended and Restated Bylaws (incorporated by reference to Exhibit 3.1 to the Company’s Current Report on Form 8-K, filed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February 19, 2015).</w:t>
            </w: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Sarbanes-Oxley Act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of 2002.</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Certification of Principal Financial Officer pursuant to 18 U.S.C. Section 1350, as adopted pursuant to Section 906 of the Sarbanes-Oxley Act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of 2002.</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 following financial statements and footnotes from the Novatel Wireless, Inc. Quarterly Report on Form 10-Q for the quarter ended June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30, 2016 formatted in eXtensible Business Reporting Language (XBRL): (i) Condensed Consolidated Balance Sheets; (ii) Condensed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Consolidated Statements of Operations; (iii) Condensed Consolidated Statements of Comprehensive Loss; (iv) Condensed Consolidated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Statements of Cash Flows; and (v) the Notes to Condensed Consolidated Financial Statements.</w:t>
            </w:r>
          </w:p>
        </w:tc>
      </w:tr>
      <w:tr>
        <w:trPr>
          <w:trHeight w:val="608"/>
        </w:trPr>
        <w:tc>
          <w:tcPr>
            <w:tcW w:w="920" w:type="dxa"/>
            <w:vAlign w:val="bottom"/>
          </w:tcPr>
          <w:p>
            <w:pPr>
              <w:spacing w:after="0"/>
              <w:rPr>
                <w:sz w:val="24"/>
                <w:szCs w:val="24"/>
                <w:color w:val="auto"/>
              </w:rPr>
            </w:pPr>
          </w:p>
        </w:tc>
        <w:tc>
          <w:tcPr>
            <w:tcW w:w="10500" w:type="dxa"/>
            <w:vAlign w:val="bottom"/>
            <w:gridSpan w:val="2"/>
          </w:tcPr>
          <w:p>
            <w:pPr>
              <w:jc w:val="right"/>
              <w:ind w:right="553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580" w:right="239" w:bottom="1440" w:gutter="0" w:footer="0" w:header="0"/>
        </w:sectPr>
      </w:pPr>
    </w:p>
    <w:bookmarkStart w:id="33" w:name="page34"/>
    <w:bookmarkEnd w:id="33"/>
    <w:p>
      <w:pPr>
        <w:ind w:left="5"/>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5"/>
        <w:spacing w:after="0"/>
        <w:tabs>
          <w:tab w:leader="none" w:pos="1025"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1045" w:hanging="1045"/>
        <w:spacing w:after="0" w:line="277" w:lineRule="auto"/>
        <w:tabs>
          <w:tab w:leader="none" w:pos="10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30" w:lineRule="exact"/>
        <w:rPr>
          <w:sz w:val="20"/>
          <w:szCs w:val="20"/>
          <w:color w:val="auto"/>
        </w:rPr>
      </w:pPr>
    </w:p>
    <w:p>
      <w:pPr>
        <w:ind w:left="1045" w:hanging="1045"/>
        <w:spacing w:after="0"/>
        <w:tabs>
          <w:tab w:leader="none" w:pos="10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8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85"/>
          </w:cols>
          <w:pgMar w:left="275" w:top="742" w:right="7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Date: August 5, 2016</w:t>
      </w:r>
      <w:r>
        <w:rPr>
          <w:sz w:val="20"/>
          <w:szCs w:val="20"/>
          <w:color w:val="auto"/>
        </w:rPr>
        <w:tab/>
      </w:r>
      <w:r>
        <w:rPr>
          <w:rFonts w:ascii="Arial" w:cs="Arial" w:eastAsia="Arial" w:hAnsi="Arial"/>
          <w:sz w:val="16"/>
          <w:szCs w:val="16"/>
          <w:color w:val="auto"/>
        </w:rPr>
        <w:t>Novatel Wireless, Inc.</w:t>
      </w:r>
    </w:p>
    <w:p>
      <w:pPr>
        <w:spacing w:after="0" w:line="185"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jc w:val="center"/>
              <w:spacing w:after="0"/>
              <w:rPr>
                <w:sz w:val="20"/>
                <w:szCs w:val="20"/>
                <w:color w:val="auto"/>
              </w:rPr>
            </w:pPr>
            <w:r>
              <w:rPr>
                <w:rFonts w:ascii="Arial" w:cs="Arial" w:eastAsia="Arial" w:hAnsi="Arial"/>
                <w:sz w:val="16"/>
                <w:szCs w:val="16"/>
                <w:color w:val="auto"/>
                <w:w w:val="98"/>
              </w:rPr>
              <w:t>/s/  SUE SWENSON</w:t>
            </w:r>
          </w:p>
        </w:tc>
      </w:tr>
      <w:tr>
        <w:trPr>
          <w:trHeight w:val="27"/>
        </w:trPr>
        <w:tc>
          <w:tcPr>
            <w:tcW w:w="66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184"/>
        </w:trPr>
        <w:tc>
          <w:tcPr>
            <w:tcW w:w="6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7"/>
              </w:rPr>
              <w:t>Sue Swenson</w:t>
            </w:r>
          </w:p>
        </w:tc>
      </w:tr>
      <w:tr>
        <w:trPr>
          <w:trHeight w:val="257"/>
        </w:trPr>
        <w:tc>
          <w:tcPr>
            <w:tcW w:w="66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5"/>
              </w:rPr>
              <w:t>Chief Executive Officer</w:t>
            </w:r>
          </w:p>
        </w:tc>
      </w:tr>
      <w:tr>
        <w:trPr>
          <w:trHeight w:val="75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ind w:left="1060"/>
              <w:spacing w:after="0"/>
              <w:rPr>
                <w:sz w:val="20"/>
                <w:szCs w:val="20"/>
                <w:color w:val="auto"/>
              </w:rPr>
            </w:pPr>
            <w:r>
              <w:rPr>
                <w:rFonts w:ascii="Arial" w:cs="Arial" w:eastAsia="Arial" w:hAnsi="Arial"/>
                <w:sz w:val="16"/>
                <w:szCs w:val="16"/>
                <w:color w:val="auto"/>
              </w:rPr>
              <w:t>/s/  MICHAEL NEWMAN</w:t>
            </w:r>
          </w:p>
        </w:tc>
      </w:tr>
      <w:tr>
        <w:trPr>
          <w:trHeight w:val="27"/>
        </w:trPr>
        <w:tc>
          <w:tcPr>
            <w:tcW w:w="66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184"/>
        </w:trPr>
        <w:tc>
          <w:tcPr>
            <w:tcW w:w="6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5"/>
              </w:rPr>
              <w:t>Michael Newman</w:t>
            </w:r>
          </w:p>
        </w:tc>
      </w:tr>
      <w:tr>
        <w:trPr>
          <w:trHeight w:val="257"/>
        </w:trPr>
        <w:tc>
          <w:tcPr>
            <w:tcW w:w="66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Sue Swenson, certify that:</w:t>
      </w:r>
    </w:p>
    <w:p>
      <w:pPr>
        <w:spacing w:after="0" w:line="117" w:lineRule="exact"/>
        <w:rPr>
          <w:sz w:val="20"/>
          <w:szCs w:val="20"/>
          <w:color w:val="auto"/>
        </w:rPr>
      </w:pPr>
    </w:p>
    <w:p>
      <w:pPr>
        <w:ind w:left="620" w:hanging="180"/>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17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360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Sue Swenson</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Newman, certify that:</w:t>
      </w:r>
    </w:p>
    <w:p>
      <w:pPr>
        <w:spacing w:after="0" w:line="117" w:lineRule="exact"/>
        <w:rPr>
          <w:sz w:val="20"/>
          <w:szCs w:val="20"/>
          <w:color w:val="auto"/>
        </w:rPr>
      </w:pPr>
    </w:p>
    <w:p>
      <w:pPr>
        <w:ind w:left="620" w:hanging="180"/>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17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360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Michael Newman</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 Sue Swenson, Chief Executive Officer of Novatel Wireless, Inc. (the “Company”), do hereby certify, pursuant to 18 U.S.C. Section 1350, as adopted pursuant to Section 906 of the Sarbanes-Oxley Act of 2002, that to the best of my knowledge:</w:t>
      </w:r>
    </w:p>
    <w:p>
      <w:pPr>
        <w:spacing w:after="0" w:line="279" w:lineRule="exact"/>
        <w:rPr>
          <w:sz w:val="20"/>
          <w:szCs w:val="20"/>
          <w:color w:val="auto"/>
        </w:rPr>
      </w:pPr>
    </w:p>
    <w:p>
      <w:pPr>
        <w:ind w:left="1360" w:right="900" w:hanging="30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2016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200" w:lineRule="exact"/>
        <w:rPr>
          <w:sz w:val="20"/>
          <w:szCs w:val="20"/>
          <w:color w:val="auto"/>
        </w:rPr>
      </w:pPr>
    </w:p>
    <w:p>
      <w:pPr>
        <w:spacing w:after="0" w:line="295" w:lineRule="exact"/>
        <w:rPr>
          <w:sz w:val="20"/>
          <w:szCs w:val="20"/>
          <w:color w:val="auto"/>
        </w:rPr>
      </w:pPr>
    </w:p>
    <w:p>
      <w:pPr>
        <w:ind w:left="5880"/>
        <w:spacing w:after="0"/>
        <w:tabs>
          <w:tab w:leader="none" w:pos="62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Sue Swenson</w:t>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Michael Newman, Chief Financial Officer of Novatel Wireless, Inc. (the “Company”), do hereby certify, pursuant to 18 U.S.C. Section 1350, as adopted pursuant to Section 906 of the Sarbanes-Oxley Act of 2002, that to the best of my knowledge:</w:t>
      </w:r>
    </w:p>
    <w:p>
      <w:pPr>
        <w:spacing w:after="0" w:line="224" w:lineRule="exact"/>
        <w:rPr>
          <w:sz w:val="20"/>
          <w:szCs w:val="20"/>
          <w:color w:val="auto"/>
        </w:rPr>
      </w:pPr>
    </w:p>
    <w:p>
      <w:pPr>
        <w:ind w:left="1360" w:right="900" w:hanging="305"/>
        <w:spacing w:after="0" w:line="277"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2016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279" w:lineRule="exact"/>
        <w:rPr>
          <w:sz w:val="20"/>
          <w:szCs w:val="20"/>
          <w:color w:val="auto"/>
        </w:rPr>
      </w:pPr>
    </w:p>
    <w:p>
      <w:pPr>
        <w:ind w:left="5880"/>
        <w:spacing w:after="0"/>
        <w:tabs>
          <w:tab w:leader="none" w:pos="6220" w:val="left"/>
        </w:tabs>
        <w:rPr>
          <w:sz w:val="20"/>
          <w:szCs w:val="20"/>
          <w:color w:val="auto"/>
        </w:rPr>
      </w:pPr>
      <w:r>
        <w:rPr>
          <w:rFonts w:ascii="Arial" w:cs="Arial" w:eastAsia="Arial" w:hAnsi="Arial"/>
          <w:sz w:val="18"/>
          <w:szCs w:val="18"/>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Michael Newman</w:t>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0"/>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2019-12-06T14:05:39Z</dcterms:created>
  <dcterms:modified xsi:type="dcterms:W3CDTF">2019-12-06T14:05:39Z</dcterms:modified>
</cp:coreProperties>
</file>