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Mulhern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INSEEGO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9710 SCRANTON ROAD,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INSEEGO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502"/>
        <w:gridCol w:w="675"/>
        <w:gridCol w:w="1174"/>
        <w:gridCol w:w="1006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5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3,855</w:t>
            </w:r>
          </w:p>
        </w:tc>
        <w:tc>
          <w:tcPr>
            <w:tcW w:w="5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56,523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that settle for shares of common stock on a 1-for-1 basis, and that are fully vested upon grant. These RSUs represent shares the re-porting person elected to receive as compensation in lieu of cash pursuant to the Issuer's 2018 Omnibus Incentive Compensation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Frances Wong,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7163" TargetMode="External"/><Relationship Id="rId5" Type="http://schemas.openxmlformats.org/officeDocument/2006/relationships/hyperlink" Target="http://www.sec.gov/cgi-bin/browse-edgar?action=getcompany&amp;CIK=00010226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612</Words>
  <Characters>3327</Characters>
  <CharactersWithSpaces>3872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