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4140" w:right="1960" w:hanging="4132"/>
        <w:spacing w:after="0" w:line="441" w:lineRule="auto"/>
        <w:tabs>
          <w:tab w:leader="none" w:pos="45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June 30, 2006</w:t>
      </w:r>
    </w:p>
    <w:p>
      <w:pPr>
        <w:spacing w:after="0" w:line="1" w:lineRule="exact"/>
        <w:rPr>
          <w:rFonts w:ascii="MS PGothic" w:cs="MS PGothic" w:eastAsia="MS PGothic" w:hAnsi="MS PGothic"/>
          <w:sz w:val="18"/>
          <w:szCs w:val="18"/>
          <w:color w:val="auto"/>
          <w:highlight w:val="black"/>
        </w:rPr>
      </w:pPr>
    </w:p>
    <w:p>
      <w:pPr>
        <w:ind w:left="560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OR</w:t>
      </w:r>
    </w:p>
    <w:p>
      <w:pPr>
        <w:spacing w:after="0" w:line="20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7" w:lineRule="exact"/>
        <w:rPr>
          <w:sz w:val="24"/>
          <w:szCs w:val="24"/>
          <w:color w:val="auto"/>
        </w:rPr>
      </w:pPr>
    </w:p>
    <w:p>
      <w:pPr>
        <w:ind w:left="3640"/>
        <w:spacing w:after="0"/>
        <w:tabs>
          <w:tab w:leader="none" w:pos="6660" w:val="left"/>
          <w:tab w:leader="none" w:pos="7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3662045</wp:posOffset>
            </wp:positionH>
            <wp:positionV relativeFrom="paragraph">
              <wp:posOffset>-13970</wp:posOffset>
            </wp:positionV>
            <wp:extent cx="12573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15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Commission file number: 000-31659</w:t>
      </w:r>
    </w:p>
    <w:p>
      <w:pPr>
        <w:spacing w:after="0" w:line="136"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NOVATEL WIRELESS,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1120" w:type="dxa"/>
        <w:tblCellMar>
          <w:top w:w="0" w:type="dxa"/>
          <w:left w:w="0" w:type="dxa"/>
          <w:bottom w:w="0" w:type="dxa"/>
          <w:right w:w="0" w:type="dxa"/>
        </w:tblCellMar>
      </w:tblPr>
      <w:tr>
        <w:trPr>
          <w:trHeight w:val="218"/>
        </w:trPr>
        <w:tc>
          <w:tcPr>
            <w:tcW w:w="5260" w:type="dxa"/>
            <w:vAlign w:val="bottom"/>
          </w:tcPr>
          <w:p>
            <w:pPr>
              <w:jc w:val="center"/>
              <w:ind w:right="1684"/>
              <w:spacing w:after="0"/>
              <w:rPr>
                <w:sz w:val="20"/>
                <w:szCs w:val="20"/>
                <w:color w:val="auto"/>
              </w:rPr>
            </w:pPr>
            <w:r>
              <w:rPr>
                <w:rFonts w:ascii="Arial" w:cs="Arial" w:eastAsia="Arial" w:hAnsi="Arial"/>
                <w:sz w:val="18"/>
                <w:szCs w:val="18"/>
                <w:b w:val="1"/>
                <w:bCs w:val="1"/>
                <w:color w:val="auto"/>
                <w:w w:val="88"/>
              </w:rPr>
              <w:t>Delaware</w:t>
            </w:r>
          </w:p>
        </w:tc>
        <w:tc>
          <w:tcPr>
            <w:tcW w:w="2840" w:type="dxa"/>
            <w:vAlign w:val="bottom"/>
          </w:tcPr>
          <w:p>
            <w:pPr>
              <w:jc w:val="right"/>
              <w:ind w:right="42"/>
              <w:spacing w:after="0"/>
              <w:rPr>
                <w:sz w:val="20"/>
                <w:szCs w:val="20"/>
                <w:color w:val="auto"/>
              </w:rPr>
            </w:pPr>
            <w:r>
              <w:rPr>
                <w:rFonts w:ascii="Arial" w:cs="Arial" w:eastAsia="Arial" w:hAnsi="Arial"/>
                <w:sz w:val="18"/>
                <w:szCs w:val="18"/>
                <w:b w:val="1"/>
                <w:bCs w:val="1"/>
                <w:color w:val="auto"/>
              </w:rPr>
              <w:t>86-0824673</w:t>
            </w:r>
          </w:p>
        </w:tc>
      </w:tr>
      <w:tr>
        <w:trPr>
          <w:trHeight w:val="149"/>
        </w:trPr>
        <w:tc>
          <w:tcPr>
            <w:tcW w:w="5260" w:type="dxa"/>
            <w:vAlign w:val="bottom"/>
          </w:tcPr>
          <w:p>
            <w:pPr>
              <w:jc w:val="center"/>
              <w:ind w:right="1684"/>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840" w:type="dxa"/>
            <w:vAlign w:val="bottom"/>
          </w:tcPr>
          <w:p>
            <w:pPr>
              <w:jc w:val="center"/>
              <w:ind w:left="170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260" w:type="dxa"/>
            <w:vAlign w:val="bottom"/>
          </w:tcPr>
          <w:p>
            <w:pPr>
              <w:jc w:val="center"/>
              <w:ind w:right="1704"/>
              <w:spacing w:after="0"/>
              <w:rPr>
                <w:sz w:val="20"/>
                <w:szCs w:val="20"/>
                <w:color w:val="auto"/>
              </w:rPr>
            </w:pPr>
            <w:r>
              <w:rPr>
                <w:rFonts w:ascii="Arial" w:cs="Arial" w:eastAsia="Arial" w:hAnsi="Arial"/>
                <w:sz w:val="14"/>
                <w:szCs w:val="14"/>
                <w:b w:val="1"/>
                <w:bCs w:val="1"/>
                <w:color w:val="auto"/>
                <w:w w:val="88"/>
              </w:rPr>
              <w:t>of incorporation or organization)</w:t>
            </w:r>
          </w:p>
        </w:tc>
        <w:tc>
          <w:tcPr>
            <w:tcW w:w="2840" w:type="dxa"/>
            <w:vAlign w:val="bottom"/>
          </w:tcPr>
          <w:p>
            <w:pPr>
              <w:jc w:val="center"/>
              <w:ind w:left="1702"/>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5260" w:type="dxa"/>
            <w:vAlign w:val="bottom"/>
          </w:tcPr>
          <w:p>
            <w:pPr>
              <w:jc w:val="center"/>
              <w:ind w:right="1704"/>
              <w:spacing w:after="0"/>
              <w:rPr>
                <w:sz w:val="20"/>
                <w:szCs w:val="20"/>
                <w:color w:val="auto"/>
              </w:rPr>
            </w:pPr>
            <w:r>
              <w:rPr>
                <w:rFonts w:ascii="Arial" w:cs="Arial" w:eastAsia="Arial" w:hAnsi="Arial"/>
                <w:sz w:val="18"/>
                <w:szCs w:val="18"/>
                <w:b w:val="1"/>
                <w:bCs w:val="1"/>
                <w:color w:val="auto"/>
                <w:w w:val="87"/>
              </w:rPr>
              <w:t>9645 Scranton Road, Suite 205, San Diego, CA</w:t>
            </w:r>
          </w:p>
        </w:tc>
        <w:tc>
          <w:tcPr>
            <w:tcW w:w="2840" w:type="dxa"/>
            <w:vAlign w:val="bottom"/>
          </w:tcPr>
          <w:p>
            <w:pPr>
              <w:jc w:val="right"/>
              <w:ind w:right="242"/>
              <w:spacing w:after="0"/>
              <w:rPr>
                <w:sz w:val="20"/>
                <w:szCs w:val="20"/>
                <w:color w:val="auto"/>
              </w:rPr>
            </w:pPr>
            <w:r>
              <w:rPr>
                <w:rFonts w:ascii="Arial" w:cs="Arial" w:eastAsia="Arial" w:hAnsi="Arial"/>
                <w:sz w:val="18"/>
                <w:szCs w:val="18"/>
                <w:b w:val="1"/>
                <w:bCs w:val="1"/>
                <w:color w:val="auto"/>
              </w:rPr>
              <w:t>92121</w:t>
            </w:r>
          </w:p>
        </w:tc>
      </w:tr>
      <w:tr>
        <w:trPr>
          <w:trHeight w:val="174"/>
        </w:trPr>
        <w:tc>
          <w:tcPr>
            <w:tcW w:w="5260" w:type="dxa"/>
            <w:vAlign w:val="bottom"/>
          </w:tcPr>
          <w:p>
            <w:pPr>
              <w:jc w:val="center"/>
              <w:ind w:right="170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840" w:type="dxa"/>
            <w:vAlign w:val="bottom"/>
          </w:tcPr>
          <w:p>
            <w:pPr>
              <w:spacing w:after="0"/>
              <w:rPr>
                <w:sz w:val="15"/>
                <w:szCs w:val="15"/>
                <w:color w:val="auto"/>
              </w:rPr>
            </w:pPr>
          </w:p>
        </w:tc>
      </w:tr>
    </w:tbl>
    <w:p>
      <w:pPr>
        <w:spacing w:after="0" w:line="1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(858) 320-8800</w:t>
      </w:r>
    </w:p>
    <w:p>
      <w:pPr>
        <w:spacing w:after="0" w:line="177" w:lineRule="exact"/>
        <w:rPr>
          <w:sz w:val="24"/>
          <w:szCs w:val="24"/>
          <w:color w:val="auto"/>
        </w:rPr>
      </w:pPr>
    </w:p>
    <w:p>
      <w:pPr>
        <w:ind w:right="220" w:firstLine="456"/>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8" w:lineRule="exact"/>
        <w:rPr>
          <w:sz w:val="24"/>
          <w:szCs w:val="24"/>
          <w:color w:val="auto"/>
        </w:rPr>
      </w:pPr>
    </w:p>
    <w:p>
      <w:pPr>
        <w:jc w:val="center"/>
        <w:ind w:right="-79"/>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340"/>
          </w:cols>
          <w:pgMar w:left="240" w:top="584" w:right="319" w:bottom="1440" w:gutter="0" w:footer="0" w:header="0"/>
        </w:sectPr>
      </w:pPr>
    </w:p>
    <w:p>
      <w:pPr>
        <w:spacing w:after="0" w:line="132" w:lineRule="exact"/>
        <w:rPr>
          <w:sz w:val="24"/>
          <w:szCs w:val="24"/>
          <w:color w:val="auto"/>
        </w:rPr>
      </w:pPr>
    </w:p>
    <w:p>
      <w:pPr>
        <w:ind w:left="250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6">
            <w:col w:w="4080" w:space="80"/>
            <w:col w:w="160" w:space="700"/>
            <w:col w:w="1180" w:space="80"/>
            <w:col w:w="160" w:space="700"/>
            <w:col w:w="1540" w:space="80"/>
            <w:col w:w="2580"/>
          </w:cols>
          <w:pgMar w:left="240" w:top="584" w:right="31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3">
            <w:col w:w="8740" w:space="80"/>
            <w:col w:w="160" w:space="180"/>
            <w:col w:w="2180"/>
          </w:cols>
          <w:pgMar w:left="240" w:top="584" w:right="31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of the Registrant’s common stock outstanding as of August 2, 2006 was 29,643,523.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330835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type w:val="continuous"/>
        </w:sectPr>
      </w:pPr>
    </w:p>
    <w:bookmarkStart w:id="1" w:name="page2"/>
    <w:bookmarkEnd w:id="1"/>
    <w:p>
      <w:pPr>
        <w:ind w:right="2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used in this report on Form 10-Q, unless the context otherwise requires, the terms “we,” “us,” “our,” “the Company” and “Novatel Wireless” refer to Novatel Wireless, Inc., a Delaware corporation and its wholly-owned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This report contains forward-looking statements based on our current expectations, assumptions, estimates and projections about Novatel Wireless and our industry. These forward-looking statements include, but are not limited to, statements regarding: future demand for access to wireless data and factors affecting that demand; the future growth of wireless wide area networking and factors affecting that growth; changes in commercially adopted wireless transmission standards and technologies; growth in 3G infrastructure spending; the sufficiency of our capital resources; the effect of changes in accounting standards and in aspects of our critical accounting policies; the utilization of our net operating loss carryforwards; and our general business and strategy, including plans and expectations relating to technology, product development, strategic relationships, customers, manufacturing, service activities and international expansion. The words “may,” “estimate,” “anticipate,” “believe,” “expect,” “intend,” “plan,” “project,” “will” and similar words and phrases indicating future results are also intended to identify forward-looking statements.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Forward-looking statements involve risks and uncertainties that could cause actual results to differ materially from those anticipated in such forward-looking statements as of the date of this report. You should carefully review and consider the various disclosures in this report regarding factors that could cause actual results to differ materially from anticipated results, including those factors under the caption “Risks Related to Our Business” of this Form 10-Q. We undertake no obligation to update publicly any forward-looking statements for any reason, even if new information becomes available or other events occur in the future, except as otherwise required pursuant to our on-going reporting obligations under the Securities Exchange Act of 1934, as amended.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“Novatel Wireless,” the Novatel Wireless logo, “Merlin,” “MobiLink,” “Freedom Box,” “Expedite,” “Ovation” and “Conversa” are trademarks of Novatel Wireless, Inc. Other trademarks, trade names or service marks used in this report are the property of their owners.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80"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20" w:type="dxa"/>
            <w:vAlign w:val="bottom"/>
          </w:tcPr>
          <w:p>
            <w:pPr>
              <w:jc w:val="center"/>
              <w:ind w:left="1332"/>
              <w:spacing w:after="0"/>
              <w:rPr>
                <w:sz w:val="20"/>
                <w:szCs w:val="20"/>
                <w:color w:val="auto"/>
              </w:rPr>
            </w:pPr>
            <w:r>
              <w:rPr>
                <w:rFonts w:ascii="Arial" w:cs="Arial" w:eastAsia="Arial" w:hAnsi="Arial"/>
                <w:sz w:val="18"/>
                <w:szCs w:val="18"/>
                <w:b w:val="1"/>
                <w:bCs w:val="1"/>
                <w:color w:val="auto"/>
                <w:w w:val="99"/>
              </w:rPr>
              <w:t>PART I – FINANCIAL INFORMATION</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82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Financial Statements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jc w:val="center"/>
              <w:ind w:left="1332"/>
              <w:spacing w:after="0"/>
              <w:rPr>
                <w:sz w:val="20"/>
                <w:szCs w:val="20"/>
                <w:color w:val="auto"/>
              </w:rPr>
            </w:pPr>
            <w:r>
              <w:rPr>
                <w:rFonts w:ascii="Arial" w:cs="Arial" w:eastAsia="Arial" w:hAnsi="Arial"/>
                <w:sz w:val="18"/>
                <w:szCs w:val="18"/>
                <w:b w:val="1"/>
                <w:bCs w:val="1"/>
                <w:color w:val="auto"/>
                <w:w w:val="96"/>
              </w:rPr>
              <w:t>NOVATEL WIRELESS, INC.</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jc w:val="center"/>
              <w:ind w:left="133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20" w:type="dxa"/>
            <w:vAlign w:val="bottom"/>
          </w:tcPr>
          <w:p>
            <w:pPr>
              <w:jc w:val="center"/>
              <w:ind w:left="1312"/>
              <w:spacing w:after="0"/>
              <w:rPr>
                <w:sz w:val="20"/>
                <w:szCs w:val="20"/>
                <w:color w:val="auto"/>
              </w:rPr>
            </w:pPr>
            <w:r>
              <w:rPr>
                <w:rFonts w:ascii="Arial" w:cs="Arial" w:eastAsia="Arial" w:hAnsi="Arial"/>
                <w:sz w:val="18"/>
                <w:szCs w:val="18"/>
                <w:b w:val="1"/>
                <w:bCs w:val="1"/>
                <w:color w:val="auto"/>
                <w:w w:val="87"/>
              </w:rPr>
              <w:t>(In thousands, except per share data)</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20" w:type="dxa"/>
            <w:vAlign w:val="bottom"/>
          </w:tcPr>
          <w:p>
            <w:pPr>
              <w:jc w:val="center"/>
              <w:ind w:left="1312"/>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5"/>
              </w:rPr>
              <w:t>June 30,</w:t>
            </w:r>
          </w:p>
        </w:tc>
        <w:tc>
          <w:tcPr>
            <w:tcW w:w="18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20" w:type="dxa"/>
            <w:vAlign w:val="bottom"/>
            <w:shd w:val="clear" w:color="auto" w:fill="CCEEFF"/>
          </w:tcPr>
          <w:p>
            <w:pPr>
              <w:jc w:val="center"/>
              <w:ind w:right="832"/>
              <w:spacing w:after="0"/>
              <w:rPr>
                <w:sz w:val="20"/>
                <w:szCs w:val="20"/>
                <w:color w:val="auto"/>
              </w:rPr>
            </w:pPr>
            <w:r>
              <w:rPr>
                <w:rFonts w:ascii="Arial" w:cs="Arial" w:eastAsia="Arial" w:hAnsi="Arial"/>
                <w:sz w:val="18"/>
                <w:szCs w:val="18"/>
                <w:b w:val="1"/>
                <w:bCs w:val="1"/>
                <w:color w:val="auto"/>
                <w:w w:val="91"/>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30,763</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42,120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for doubtful accounts of $396 in 2006 and $96 in 2005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assets,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138,805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assets,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161,815</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20" w:type="dxa"/>
            <w:vAlign w:val="bottom"/>
            <w:vMerge w:val="restart"/>
          </w:tcPr>
          <w:p>
            <w:pPr>
              <w:jc w:val="center"/>
              <w:ind w:right="832"/>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22,471</w:t>
            </w:r>
          </w:p>
        </w:tc>
        <w:tc>
          <w:tcPr>
            <w:tcW w:w="22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Line of credit</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Capital lease obligations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2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35,461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Preferred stock, par value $0.001, 2,000 shares authorized and none outstanding</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w w:val="91"/>
              </w:rPr>
              <w:t>Common stock, par value $0.001, 50,000 shares authorized, 29,641 and 29,326 shares issued and outstanding at June 30,</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20" w:type="dxa"/>
            <w:vAlign w:val="bottom"/>
          </w:tcPr>
          <w:p>
            <w:pPr>
              <w:ind w:left="60"/>
              <w:spacing w:after="0"/>
              <w:rPr>
                <w:sz w:val="20"/>
                <w:szCs w:val="20"/>
                <w:color w:val="auto"/>
              </w:rPr>
            </w:pPr>
            <w:r>
              <w:rPr>
                <w:rFonts w:ascii="Arial" w:cs="Arial" w:eastAsia="Arial" w:hAnsi="Arial"/>
                <w:sz w:val="18"/>
                <w:szCs w:val="18"/>
                <w:color w:val="auto"/>
              </w:rPr>
              <w:t>2006 and December 31, 2005, respectively</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350,121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(223,595)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(222,344)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20" w:type="dxa"/>
            <w:vAlign w:val="bottom"/>
          </w:tcPr>
          <w:p>
            <w:pPr>
              <w:ind w:left="2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126,354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161,815</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 w:name="page4"/>
    <w:bookmarkEnd w:id="3"/>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14"/>
                <w:szCs w:val="14"/>
                <w:color w:val="auto"/>
              </w:rPr>
            </w:pPr>
          </w:p>
        </w:tc>
        <w:tc>
          <w:tcPr>
            <w:tcW w:w="14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61"/>
        </w:trPr>
        <w:tc>
          <w:tcPr>
            <w:tcW w:w="8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2005</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45,654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38,597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85,813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70,924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34,107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26,769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65,386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48,440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11,547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11,828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20,427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22,484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4,438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13,835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44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6,195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ind w:left="88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14,563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7,731</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27,760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14,892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(3,016)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4,097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(7,333)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income and expense,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44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1,531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(loss) before taxes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(1,505)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4,451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(4,636)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880"/>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(1,600)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(3,385)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(1,251)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8"/>
                <w:szCs w:val="18"/>
                <w:color w:val="auto"/>
              </w:rPr>
              <w:t>Per share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0.00</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w w:val="97"/>
              </w:rPr>
              <w:t>Weighted average shares used in computation of basic and diluted net income (loss) per common share: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29,547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29,048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29,461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80" w:type="dxa"/>
            <w:vAlign w:val="bottom"/>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30,233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30,212</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29,461</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30,247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4" w:name="page5"/>
    <w:bookmarkEnd w:id="4"/>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9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7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(1,251)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5,545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88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3,576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Inventory write down</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880"/>
              <w:spacing w:after="0"/>
              <w:rPr>
                <w:sz w:val="20"/>
                <w:szCs w:val="20"/>
                <w:color w:val="auto"/>
              </w:rPr>
            </w:pPr>
            <w:r>
              <w:rPr>
                <w:rFonts w:ascii="Arial" w:cs="Arial" w:eastAsia="Arial" w:hAnsi="Arial"/>
                <w:sz w:val="18"/>
                <w:szCs w:val="18"/>
                <w:color w:val="auto"/>
              </w:rPr>
              <w:t>Provision for bad debts</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Share based compensation expense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4,652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780" w:type="dxa"/>
            <w:vAlign w:val="bottom"/>
          </w:tcPr>
          <w:p>
            <w:pPr>
              <w:ind w:left="880"/>
              <w:spacing w:after="0"/>
              <w:rPr>
                <w:sz w:val="20"/>
                <w:szCs w:val="20"/>
                <w:color w:val="auto"/>
              </w:rPr>
            </w:pPr>
            <w:r>
              <w:rPr>
                <w:rFonts w:ascii="Arial" w:cs="Arial" w:eastAsia="Arial" w:hAnsi="Arial"/>
                <w:sz w:val="18"/>
                <w:szCs w:val="18"/>
                <w:color w:val="auto"/>
              </w:rPr>
              <w:t>Excess tax benefits from stock options exercised</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tax benefit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780" w:type="dxa"/>
            <w:vAlign w:val="bottom"/>
          </w:tcPr>
          <w:p>
            <w:pPr>
              <w:ind w:left="880"/>
              <w:spacing w:after="0"/>
              <w:rPr>
                <w:sz w:val="20"/>
                <w:szCs w:val="20"/>
                <w:color w:val="auto"/>
              </w:rPr>
            </w:pPr>
            <w:r>
              <w:rPr>
                <w:rFonts w:ascii="Arial" w:cs="Arial" w:eastAsia="Arial" w:hAnsi="Arial"/>
                <w:sz w:val="18"/>
                <w:szCs w:val="18"/>
                <w:color w:val="auto"/>
              </w:rPr>
              <w:t>Gain on sale of property and equipment</w:t>
            </w: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(decrease) in cash resulting from changes in:</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130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(7,310)</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(10,691)</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4,891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16"/>
        </w:trPr>
        <w:tc>
          <w:tcPr>
            <w:tcW w:w="9780" w:type="dxa"/>
            <w:vAlign w:val="bottom"/>
          </w:tcPr>
          <w:p>
            <w:pPr>
              <w:ind w:left="130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5,695</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(11,755)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20,827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130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7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Purchases of intangible assets</w:t>
            </w: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Purchases of securities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(15,475)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(17,720)</w:t>
            </w:r>
          </w:p>
        </w:tc>
        <w:tc>
          <w:tcPr>
            <w:tcW w:w="0" w:type="dxa"/>
            <w:vAlign w:val="bottom"/>
          </w:tcPr>
          <w:p>
            <w:pPr>
              <w:spacing w:after="0"/>
              <w:rPr>
                <w:sz w:val="1"/>
                <w:szCs w:val="1"/>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Maturities/sales of securities</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23,245</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21,948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7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Net cash provided by investing activities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4,548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exercise of stock options and warrants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Excess tax benefits from stock options exercised</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Payments on line of credit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Principal payments under capital lease obligations</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(3,891)</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7"/>
        </w:trPr>
        <w:tc>
          <w:tcPr>
            <w:tcW w:w="9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7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9780" w:type="dxa"/>
            <w:vAlign w:val="bottom"/>
            <w:vMerge w:val="restart"/>
          </w:tcPr>
          <w:p>
            <w:pPr>
              <w:ind w:left="1740"/>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(5,890)</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15,449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36,653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16,486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80" w:type="dxa"/>
            <w:vAlign w:val="bottom"/>
            <w:vMerge w:val="restart"/>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30,763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31,935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Cash paid during the period for:</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80" w:type="dxa"/>
            <w:vAlign w:val="bottom"/>
          </w:tcPr>
          <w:p>
            <w:pPr>
              <w:ind w:left="880"/>
              <w:spacing w:after="0"/>
              <w:rPr>
                <w:sz w:val="20"/>
                <w:szCs w:val="20"/>
                <w:color w:val="auto"/>
              </w:rPr>
            </w:pPr>
            <w:r>
              <w:rPr>
                <w:rFonts w:ascii="Arial" w:cs="Arial" w:eastAsia="Arial" w:hAnsi="Arial"/>
                <w:sz w:val="18"/>
                <w:szCs w:val="18"/>
                <w:color w:val="auto"/>
              </w:rPr>
              <w:t>Income taxes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19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information contained herein has been prepared by Novatel Wireless, Inc. (the “Company”) in accordance with the rules of the Securities and Exchange Commission. The information at June 30, 2006 and for the three and six months ended June 30, 2006 and 2005 is unaudited. The consolidated financial statements reflect all adjustments, consisting of only normal recurring accruals, which are, in the opinion of management, necessary for a fair statement of the results of the interim periods presented. These consolidated financial statements and notes hereto should be read in conjunction with the audited financial statements and notes thereto included in the Company’s annual report on Form 10-K for the year ended December 31, 2005. The results of operations for the interim periods presented are not necessarily indicative of results to be expected for any other interim period or for the year as a whole.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 Certain reclassifications have been made to amounts included in the prior period’s financial statements to conform to the current year presentation.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These estimates and assumptions affect the reported amounts of assets, liabilities, revenues, expenses and disclosures of contingent assets and liabilities. Actual results could differ materially from these estimates. Significant estimates include allowance for doubtful accounts receivable, allowance for excess and obsolete inventory, useful lives of long-lived assets, valuation of intangible and long-lived assets, provision for warranty and price protection costs, estimated royalty costs, deferred tax asset valuation allowance, foreign currency translation, foreign exchange forward contracts, and the use of option pricing models to establish values of equity instruments.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 Plans</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Company’s amended and restated 1997 employee stock option plan (the “1997 Plan”) for employees authorizes the granting of options for up to 800,000 shares of the Company’s common stock. Generally, options issued under the 1997 Plan were granted at prices equal to at least 100% of the fair value of the stock on the date of grant, expire not later than ten years from the date of grant and vest ratably and annually over a four-year period following the date of grant. From time to time, as approved by the Company’s Board of Directors, options with differing vesting terms have also been granted. The 1997 Plan provides that any shares issued come from the Company’s authorized but unissued or reacquired common stock. In September, 2000 the Company suspended making any further grants pursuant to the 1997 Plan and contributed the remaining shares then reserved for issuance under such plan to the 2000 Stock Incentive Plan (the “2000 Plan”).</w:t>
      </w:r>
    </w:p>
    <w:p>
      <w:pPr>
        <w:spacing w:after="0" w:line="147" w:lineRule="exact"/>
        <w:rPr>
          <w:sz w:val="20"/>
          <w:szCs w:val="20"/>
          <w:color w:val="auto"/>
        </w:rPr>
      </w:pPr>
    </w:p>
    <w:p>
      <w:pPr>
        <w:ind w:right="320" w:firstLine="456"/>
        <w:spacing w:after="0" w:line="303" w:lineRule="auto"/>
        <w:rPr>
          <w:sz w:val="20"/>
          <w:szCs w:val="20"/>
          <w:color w:val="auto"/>
        </w:rPr>
      </w:pPr>
      <w:r>
        <w:rPr>
          <w:rFonts w:ascii="Arial" w:cs="Arial" w:eastAsia="Arial" w:hAnsi="Arial"/>
          <w:sz w:val="15"/>
          <w:szCs w:val="15"/>
          <w:color w:val="auto"/>
        </w:rPr>
        <w:t>In July 2000, the Company’s Board of Directors approved and in September 2000, the Company’s stockholders approved the 2000 Plan authorizing the granting of options, restricted stock and stock appreciation rights for up to 1,100,000 shares of the Company’s common stock, including the 800,000 shares authorized under the 1997 Plan, plus an automatic annual increase, to be added on the first day of each fiscal year beginning in 2001, equal to the lesser of</w:t>
      </w:r>
    </w:p>
    <w:p>
      <w:pPr>
        <w:spacing w:after="0" w:line="1" w:lineRule="exact"/>
        <w:rPr>
          <w:sz w:val="20"/>
          <w:szCs w:val="20"/>
          <w:color w:val="auto"/>
        </w:rPr>
      </w:pPr>
    </w:p>
    <w:p>
      <w:pPr>
        <w:jc w:val="both"/>
        <w:ind w:firstLine="8"/>
        <w:spacing w:after="0" w:line="320" w:lineRule="auto"/>
        <w:tabs>
          <w:tab w:leader="none" w:pos="239" w:val="left"/>
        </w:tabs>
        <w:numPr>
          <w:ilvl w:val="0"/>
          <w:numId w:val="4"/>
        </w:numPr>
        <w:rPr>
          <w:rFonts w:ascii="Arial" w:cs="Arial" w:eastAsia="Arial" w:hAnsi="Arial"/>
          <w:sz w:val="15"/>
          <w:szCs w:val="15"/>
          <w:color w:val="auto"/>
        </w:rPr>
      </w:pPr>
      <w:r>
        <w:rPr>
          <w:rFonts w:ascii="Arial" w:cs="Arial" w:eastAsia="Arial" w:hAnsi="Arial"/>
          <w:sz w:val="15"/>
          <w:szCs w:val="15"/>
          <w:color w:val="auto"/>
        </w:rPr>
        <w:t>3.0% of the outstanding shares on the last day of the prior fiscal year, (b) 100,000 shares, or (c) such lesser number of shares as may determined by the Board in its sole discretion (the automatic annual increase was eliminated effective in 2006 as described further below). The Company implemented the 2000 Plan upon the effective date of the Company’s initial public offering in November 2000. The Compensation Committee of the Company’s Board of Directors administers the 2000 Plan. Options granted under the 2000 Plan typically vest ratably over either a three or a four year period and have a contractual term of 10 years.</w:t>
      </w:r>
    </w:p>
    <w:p>
      <w:pPr>
        <w:spacing w:after="0" w:line="10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 June 2003, the stockholders of the Company approved the amendment of the 2000 Plan to increase the number of shares reserved for issuance under the plan by 4,222,743 shares of the Company’s common stock. In June 2004, the stockholders of the Company approved the amendment of the 2000 Plan to increase the number of shares reserved for issuance under the plan by an additional 2,000,000 shares of the Company’s common stock.</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6" w:name="page7"/>
    <w:bookmarkEnd w:id="6"/>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July 2005, the stockholders of the Company approved the amendment of the 2000 Plan to increase the number of shares reserved for issuance under the plan by 1,500,000 shares of the Company’s common stock and eliminate a provision from the plan that provides for the automatic annual increase in the number of shares reserved for issuance effective in 2006. The Company’s stockholders also voted to remove a provision from the 2000 Plan that permitted the repricing of the exercise prices with respect to stock options or stock appreciation rights.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Employee Stock Purchase Plan</w:t>
      </w:r>
    </w:p>
    <w:p>
      <w:pPr>
        <w:spacing w:after="0" w:line="90" w:lineRule="exact"/>
        <w:rPr>
          <w:sz w:val="20"/>
          <w:szCs w:val="20"/>
          <w:color w:val="auto"/>
        </w:rPr>
      </w:pPr>
    </w:p>
    <w:p>
      <w:pPr>
        <w:ind w:right="220" w:firstLine="456"/>
        <w:spacing w:after="0" w:line="288" w:lineRule="auto"/>
        <w:rPr>
          <w:sz w:val="20"/>
          <w:szCs w:val="20"/>
          <w:color w:val="auto"/>
        </w:rPr>
      </w:pPr>
      <w:r>
        <w:rPr>
          <w:rFonts w:ascii="Arial" w:cs="Arial" w:eastAsia="Arial" w:hAnsi="Arial"/>
          <w:sz w:val="16"/>
          <w:szCs w:val="16"/>
          <w:color w:val="auto"/>
        </w:rPr>
        <w:t>In July 2000, the Company’s Board of Directors approved the 2000 Employee Stock Purchase Plan (“ESPP”) and in September 2000, the Company’s stockholders approved the ESPP. The Company implemented the ESPP in 2001 following the completion of the initial public offering in November 2000. The ESPP, subject to certain limitations, permits eligible employees of the Company to purchase common stock, at a price equal to 85.0% of the lower of the fair market value on the first day of the offering period or the last day of each six-month purchase period, through payroll deductions of up to 10.0% of their annual compensation. The ESPP provides for the issuance of up to 100,000 shares of common stock, plus an automatic annual increase, to be added on the first day of each fiscal year beginning in 2001, equal to the lesser of (a) 0.5% of the outstanding shares on the last day of the prior fiscal year, (b) 18,000 shares, or (c) such lesser number of shares as may be determined by the Board in its sole discretion. During 2004, our stockholders approved an amendment to the ESPP which increased the number of shares reserved for future issuance under the ESPP by 80,000 shares. If purchases of stock through the plan deplete this supply, the Company will limit, suspend or discontinue purchases under the plan until additional shares of stock are available.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has granted incentive stock options to employees, and restricted stock and non-qualified stock options to employees and non-employee members of the Board of Directors. The Company also has an employee stock purchase plan for all eligible employees. On January 1, 2006, the Company adopted Statement of Financial Accounting Standard (“SFAS”) No. 123(R), Share-Based Payment, which requires the measurement and recognition of compensation expense for all share-based payment awards made to employees and directors including stock option grants, non-vested stock grants, and purchases of stock made pursuant to the Company’s ESPP based on estimated fair values. SFAS No. 123(R) supersedes the Company’s previous accounting under Accounting Principles Board Opinion (“APB”) No. 25, Accounting for Stock Issued to Employees. In March 2005, the SEC issued Staff Accounting Bulletin (“SAB”) No. 107, and the Company has applied the provisions of SAB No. 107 in its adoption of SFAS No. 123(R).</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adopted SFAS No. 123(R) using the modified prospective transition method of recognition of compensation expense related to share-based payments, which requires the application of the accounting standard as of January 1, 2006. In accordance with the modified prospective transition method, the Company’s unaudited Consolidated Financial Statements for the three and six months ended June 30, 2005 have not been restated to reflect, and do not include, the impact of SFAS No. 123(R).</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SFAS No. 123(R) requires companies to estimate the fair value of share-based payment option awards on the date of grant using an option-pricing model. The value of the awards that are ultimately expected to vest are recognized as compensation expense over the requisite service periods using the straight-line method. Prior to the adoption of SFAS No. 123(R), the Company accounted for share-based awards to employees and directors using the intrinsic value method in accordance with APB No. 25 as allowed under SFAS No. 123, Accounting for Stock-Based Compensation. Under the intrinsic value method, share-based compensation expense was only recognized by the Company if the exercise price of the grant was less than the fair market value of the underlying stock at the date of grant. No stock-based compensation expense was recorded by the Company in 2005.</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7" w:name="page8"/>
    <w:bookmarkEnd w:id="7"/>
    <w:p>
      <w:pPr>
        <w:ind w:right="16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of June 30, 2006, total unrecognized share-based compensation cost related to unvested stock options was $12.4 million, which is expected to be recognized over a weighted average period of approximately 14 months. As of June 30, 2006, total unrecognized share-based compensation cost related to restricted stock was $2.5 million, which is expected to be recognized over a weighted average period of approximately 19 months. As of June 30, 2006, total unrecognized ESPP compensation cost related to ESPP share purchases was approximately $200,000, which is expected to be recognized over a weighted average period of approximately six months. The Company has included the following amounts for share-based compensation cost, including the cost related to the ESPP, in the accompanying unaudited Consolidated Statements of Operations for the three and six months ended June 30, 2006 (in thousands):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0"/>
              </w:rPr>
              <w:t>Six Months ended</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0" w:type="dxa"/>
            <w:vAlign w:val="bottom"/>
            <w:gridSpan w:val="2"/>
          </w:tcPr>
          <w:p>
            <w:pPr>
              <w:jc w:val="right"/>
              <w:ind w:right="1380"/>
              <w:spacing w:after="0" w:line="149"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75"/>
        </w:trPr>
        <w:tc>
          <w:tcPr>
            <w:tcW w:w="52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2006</w:t>
            </w:r>
          </w:p>
        </w:tc>
        <w:tc>
          <w:tcPr>
            <w:tcW w:w="1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18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585</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w:t>
            </w:r>
          </w:p>
        </w:tc>
        <w:tc>
          <w:tcPr>
            <w:tcW w:w="10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Tax effect on stock-based compensation</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right"/>
              <w:ind w:right="960"/>
              <w:spacing w:after="0"/>
              <w:rPr>
                <w:sz w:val="20"/>
                <w:szCs w:val="20"/>
                <w:color w:val="auto"/>
              </w:rPr>
            </w:pPr>
            <w:r>
              <w:rPr>
                <w:rFonts w:ascii="Arial" w:cs="Arial" w:eastAsia="Arial" w:hAnsi="Arial"/>
                <w:sz w:val="18"/>
                <w:szCs w:val="18"/>
                <w:color w:val="auto"/>
              </w:rPr>
              <w:t>(1,900)</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effect on net loss</w:t>
            </w:r>
          </w:p>
        </w:tc>
        <w:tc>
          <w:tcPr>
            <w:tcW w:w="218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Effect on earnings per share:</w:t>
            </w:r>
          </w:p>
        </w:tc>
        <w:tc>
          <w:tcPr>
            <w:tcW w:w="1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20" w:type="dxa"/>
            <w:vAlign w:val="bottom"/>
            <w:vMerge w:val="continue"/>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18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2"/>
        </w:trPr>
        <w:tc>
          <w:tcPr>
            <w:tcW w:w="5220" w:type="dxa"/>
            <w:vAlign w:val="bottom"/>
          </w:tcPr>
          <w:p>
            <w:pPr>
              <w:ind w:left="440"/>
              <w:spacing w:after="0"/>
              <w:rPr>
                <w:sz w:val="20"/>
                <w:szCs w:val="20"/>
                <w:color w:val="auto"/>
              </w:rPr>
            </w:pPr>
            <w:r>
              <w:rPr>
                <w:rFonts w:ascii="Arial" w:cs="Arial" w:eastAsia="Arial" w:hAnsi="Arial"/>
                <w:sz w:val="18"/>
                <w:szCs w:val="18"/>
                <w:color w:val="auto"/>
              </w:rPr>
              <w:t>Diluted</w:t>
            </w:r>
          </w:p>
        </w:tc>
        <w:tc>
          <w:tcPr>
            <w:tcW w:w="218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960"/>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Share-based compensation expense recognized during the three and six months ended June 30, 2006 included (1) compensation expense for awards granted prior to, but not yet fully vested as of January 1, 2006, and (2) compensation expense for the share-based payment awards granted subsequent to December 31, 2005, based on the grant date fair values estimated in accordance with the provisions of SFAS No. 123 and SFAS No. 123(R), respectively. The Company has historically disclosed and currently recognizes share-based compensation expense using the straight-line method. SFAS No. 123(R) requires forfeitures to be estimated at the time of grant and revised, if necessary, in subsequent periods if actual forfeitures differ from those estimates. In the Company’s pro forma disclosures required under SFAS No. 123 for the periods prior to 2006, the Company accounted for forfeitures as they occurred. The Company has historically and continues to estimate the fair value of share based option awards using the Black-Scholes option-pricing model.</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Share-Based Compensation Cost under SFAS No. 123</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Prior to January 1, 2006, the Company disclosed compensation cost in accordance with SFAS No. 123. The provisions of SFAS No. 123 required the Company to disclose the assumptions used in calculating the fair value pro forma expense. Had compensation expense for the plans been determined based on the fair value of the options at the grant dates for awards under the plans consistent with SFAS No. 123, the Company’s net income for the three and six months ended June 30, 2005 would have been as follows (in thousands, except per share data):</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2"/>
          </w:tcPr>
          <w:p>
            <w:pPr>
              <w:jc w:val="right"/>
              <w:ind w:right="1400"/>
              <w:spacing w:after="0" w:line="149"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75"/>
        </w:trPr>
        <w:tc>
          <w:tcPr>
            <w:tcW w:w="6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2005</w:t>
            </w:r>
          </w:p>
        </w:tc>
        <w:tc>
          <w:tcPr>
            <w:tcW w:w="1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Share-based compensation, as reported</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share-based compensation determined under fair value based method for all</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awards</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(3,128)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(6,196)</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Pro forma net income (loss)</w:t>
            </w:r>
          </w:p>
        </w:tc>
        <w:tc>
          <w:tcPr>
            <w:tcW w:w="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20" w:type="dxa"/>
            <w:vAlign w:val="bottom"/>
            <w:vMerge w:val="continue"/>
          </w:tcPr>
          <w:p>
            <w:pPr>
              <w:spacing w:after="0"/>
              <w:rPr>
                <w:sz w:val="19"/>
                <w:szCs w:val="19"/>
                <w:color w:val="auto"/>
              </w:rPr>
            </w:pPr>
          </w:p>
        </w:tc>
        <w:tc>
          <w:tcPr>
            <w:tcW w:w="9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980"/>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Basic net earnings per share, as reported</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Diluted net earnings per share, as reported</w:t>
            </w: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vMerge w:val="continue"/>
          </w:tcPr>
          <w:p>
            <w:pPr>
              <w:spacing w:after="0"/>
              <w:rPr>
                <w:sz w:val="18"/>
                <w:szCs w:val="18"/>
                <w:color w:val="auto"/>
              </w:rPr>
            </w:pPr>
          </w:p>
        </w:tc>
        <w:tc>
          <w:tcPr>
            <w:tcW w:w="9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0.10</w:t>
            </w:r>
          </w:p>
        </w:tc>
        <w:tc>
          <w:tcPr>
            <w:tcW w:w="10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Basic net earnings (loss) per share, SFAS No. 123 adjusted</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Diluted net earnings (loss) per share, SFAS No. 123 adjusted</w:t>
            </w: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20" w:type="dxa"/>
            <w:vAlign w:val="bottom"/>
            <w:vMerge w:val="continue"/>
          </w:tcPr>
          <w:p>
            <w:pPr>
              <w:spacing w:after="0"/>
              <w:rPr>
                <w:sz w:val="18"/>
                <w:szCs w:val="18"/>
                <w:color w:val="auto"/>
              </w:rPr>
            </w:pPr>
          </w:p>
        </w:tc>
        <w:tc>
          <w:tcPr>
            <w:tcW w:w="9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980"/>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5220"/>
              <w:spacing w:after="0"/>
              <w:rPr>
                <w:sz w:val="20"/>
                <w:szCs w:val="20"/>
                <w:color w:val="auto"/>
              </w:rPr>
            </w:pPr>
            <w:r>
              <w:rPr>
                <w:rFonts w:ascii="Arial" w:cs="Arial" w:eastAsia="Arial" w:hAnsi="Arial"/>
                <w:sz w:val="18"/>
                <w:szCs w:val="18"/>
                <w:color w:val="auto"/>
              </w:rPr>
              <w:t>7</w:t>
            </w: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80" w:right="259" w:bottom="1440" w:gutter="0" w:footer="0" w:header="0"/>
        </w:sectPr>
      </w:pPr>
    </w:p>
    <w:bookmarkStart w:id="8" w:name="page9"/>
    <w:bookmarkEnd w:id="8"/>
    <w:p>
      <w:pPr>
        <w:ind w:right="2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 forma disclosures for the three and six months ended June 30, 2006 are not presented because the compensation expense is recorded in the unaudited Consolidated Statements of Operations.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To estimate compensation expense which would have been recognized under SFAS No. 123 for the three and six months ended June 30, 2005 and the compensation cost that was recognized under SFAS No. 123(R) for the three and six months ended June 30, 2006, the Company used the Black-Scholes option-pricing model with the following weighted-average assumptions for equity awards granted: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64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3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39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39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2006</w:t>
            </w:r>
          </w:p>
        </w:tc>
        <w:tc>
          <w:tcPr>
            <w:tcW w:w="700" w:type="dxa"/>
            <w:vAlign w:val="bottom"/>
          </w:tcPr>
          <w:p>
            <w:pPr>
              <w:spacing w:after="0"/>
              <w:rPr>
                <w:sz w:val="12"/>
                <w:szCs w:val="12"/>
                <w:color w:val="auto"/>
              </w:rPr>
            </w:pPr>
          </w:p>
        </w:tc>
        <w:tc>
          <w:tcPr>
            <w:tcW w:w="7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68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66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0%</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Options</w:t>
            </w:r>
          </w:p>
        </w:tc>
        <w:tc>
          <w:tcPr>
            <w:tcW w:w="368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5.0%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166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4.8%</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3940" w:type="dxa"/>
            <w:vAlign w:val="bottom"/>
          </w:tcPr>
          <w:p>
            <w:pPr>
              <w:ind w:left="440"/>
              <w:spacing w:after="0"/>
              <w:rPr>
                <w:sz w:val="20"/>
                <w:szCs w:val="20"/>
                <w:color w:val="auto"/>
              </w:rPr>
            </w:pPr>
            <w:r>
              <w:rPr>
                <w:rFonts w:ascii="Arial" w:cs="Arial" w:eastAsia="Arial" w:hAnsi="Arial"/>
                <w:sz w:val="18"/>
                <w:szCs w:val="18"/>
                <w:color w:val="auto"/>
              </w:rPr>
              <w:t>ESPP</w:t>
            </w:r>
          </w:p>
        </w:tc>
        <w:tc>
          <w:tcPr>
            <w:tcW w:w="3680" w:type="dxa"/>
            <w:vAlign w:val="bottom"/>
            <w:gridSpan w:val="3"/>
          </w:tcPr>
          <w:p>
            <w:pPr>
              <w:jc w:val="right"/>
              <w:ind w:right="492"/>
              <w:spacing w:after="0"/>
              <w:rPr>
                <w:sz w:val="20"/>
                <w:szCs w:val="20"/>
                <w:color w:val="auto"/>
              </w:rPr>
            </w:pPr>
            <w:r>
              <w:rPr>
                <w:rFonts w:ascii="Arial" w:cs="Arial" w:eastAsia="Arial" w:hAnsi="Arial"/>
                <w:sz w:val="18"/>
                <w:szCs w:val="18"/>
                <w:color w:val="auto"/>
              </w:rPr>
              <w:t>4.7%</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1660" w:type="dxa"/>
            <w:vAlign w:val="bottom"/>
            <w:gridSpan w:val="3"/>
          </w:tcPr>
          <w:p>
            <w:pPr>
              <w:jc w:val="right"/>
              <w:ind w:right="412"/>
              <w:spacing w:after="0"/>
              <w:rPr>
                <w:sz w:val="20"/>
                <w:szCs w:val="20"/>
                <w:color w:val="auto"/>
              </w:rPr>
            </w:pPr>
            <w:r>
              <w:rPr>
                <w:rFonts w:ascii="Arial" w:cs="Arial" w:eastAsia="Arial" w:hAnsi="Arial"/>
                <w:sz w:val="18"/>
                <w:szCs w:val="18"/>
                <w:color w:val="auto"/>
              </w:rPr>
              <w:t>4.7%</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940" w:type="dxa"/>
            <w:vAlign w:val="bottom"/>
          </w:tcPr>
          <w:p>
            <w:pPr>
              <w:ind w:left="440"/>
              <w:spacing w:after="0"/>
              <w:rPr>
                <w:sz w:val="20"/>
                <w:szCs w:val="20"/>
                <w:color w:val="auto"/>
              </w:rPr>
            </w:pPr>
            <w:r>
              <w:rPr>
                <w:rFonts w:ascii="Arial" w:cs="Arial" w:eastAsia="Arial" w:hAnsi="Arial"/>
                <w:sz w:val="18"/>
                <w:szCs w:val="18"/>
                <w:color w:val="auto"/>
              </w:rPr>
              <w:t>Stock Options</w:t>
            </w:r>
          </w:p>
        </w:tc>
        <w:tc>
          <w:tcPr>
            <w:tcW w:w="3680" w:type="dxa"/>
            <w:vAlign w:val="bottom"/>
            <w:gridSpan w:val="3"/>
          </w:tcPr>
          <w:p>
            <w:pPr>
              <w:jc w:val="right"/>
              <w:ind w:right="492"/>
              <w:spacing w:after="0"/>
              <w:rPr>
                <w:sz w:val="20"/>
                <w:szCs w:val="20"/>
                <w:color w:val="auto"/>
              </w:rPr>
            </w:pPr>
            <w:r>
              <w:rPr>
                <w:rFonts w:ascii="Arial" w:cs="Arial" w:eastAsia="Arial" w:hAnsi="Arial"/>
                <w:sz w:val="18"/>
                <w:szCs w:val="18"/>
                <w:color w:val="auto"/>
              </w:rPr>
              <w:t>71%</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62%</w:t>
            </w:r>
          </w:p>
        </w:tc>
        <w:tc>
          <w:tcPr>
            <w:tcW w:w="1660" w:type="dxa"/>
            <w:vAlign w:val="bottom"/>
            <w:gridSpan w:val="3"/>
          </w:tcPr>
          <w:p>
            <w:pPr>
              <w:jc w:val="right"/>
              <w:ind w:right="412"/>
              <w:spacing w:after="0"/>
              <w:rPr>
                <w:sz w:val="20"/>
                <w:szCs w:val="20"/>
                <w:color w:val="auto"/>
              </w:rPr>
            </w:pPr>
            <w:r>
              <w:rPr>
                <w:rFonts w:ascii="Arial" w:cs="Arial" w:eastAsia="Arial" w:hAnsi="Arial"/>
                <w:sz w:val="18"/>
                <w:szCs w:val="18"/>
                <w:color w:val="auto"/>
              </w:rPr>
              <w:t>73%</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ESPP</w:t>
            </w:r>
          </w:p>
        </w:tc>
        <w:tc>
          <w:tcPr>
            <w:tcW w:w="368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51%</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w:t>
            </w:r>
          </w:p>
        </w:tc>
        <w:tc>
          <w:tcPr>
            <w:tcW w:w="166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51%</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Expected Term:</w:t>
            </w:r>
          </w:p>
        </w:tc>
        <w:tc>
          <w:tcPr>
            <w:tcW w:w="2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Options</w:t>
            </w:r>
          </w:p>
        </w:tc>
        <w:tc>
          <w:tcPr>
            <w:tcW w:w="3680" w:type="dxa"/>
            <w:vAlign w:val="bottom"/>
            <w:gridSpan w:val="3"/>
            <w:shd w:val="clear" w:color="auto" w:fill="CCEEFF"/>
          </w:tcPr>
          <w:p>
            <w:pPr>
              <w:ind w:left="2220"/>
              <w:spacing w:after="0"/>
              <w:rPr>
                <w:sz w:val="20"/>
                <w:szCs w:val="20"/>
                <w:color w:val="auto"/>
              </w:rPr>
            </w:pPr>
            <w:r>
              <w:rPr>
                <w:rFonts w:ascii="Arial" w:cs="Arial" w:eastAsia="Arial" w:hAnsi="Arial"/>
                <w:sz w:val="18"/>
                <w:szCs w:val="18"/>
                <w:color w:val="auto"/>
              </w:rPr>
              <w:t>4.8 years</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1"/>
              </w:rPr>
              <w:t>4 years</w:t>
            </w:r>
          </w:p>
        </w:tc>
        <w:tc>
          <w:tcPr>
            <w:tcW w:w="16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5.5 years</w:t>
            </w: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4"/>
              </w:rPr>
              <w:t>4 years</w:t>
            </w:r>
          </w:p>
        </w:tc>
      </w:tr>
      <w:tr>
        <w:trPr>
          <w:trHeight w:val="222"/>
        </w:trPr>
        <w:tc>
          <w:tcPr>
            <w:tcW w:w="3940" w:type="dxa"/>
            <w:vAlign w:val="bottom"/>
          </w:tcPr>
          <w:p>
            <w:pPr>
              <w:ind w:left="440"/>
              <w:spacing w:after="0"/>
              <w:rPr>
                <w:sz w:val="20"/>
                <w:szCs w:val="20"/>
                <w:color w:val="auto"/>
              </w:rPr>
            </w:pPr>
            <w:r>
              <w:rPr>
                <w:rFonts w:ascii="Arial" w:cs="Arial" w:eastAsia="Arial" w:hAnsi="Arial"/>
                <w:sz w:val="18"/>
                <w:szCs w:val="18"/>
                <w:color w:val="auto"/>
              </w:rPr>
              <w:t>ESPP</w:t>
            </w:r>
          </w:p>
        </w:tc>
        <w:tc>
          <w:tcPr>
            <w:tcW w:w="3680" w:type="dxa"/>
            <w:vAlign w:val="bottom"/>
            <w:gridSpan w:val="3"/>
          </w:tcPr>
          <w:p>
            <w:pPr>
              <w:ind w:left="2220"/>
              <w:spacing w:after="0"/>
              <w:rPr>
                <w:sz w:val="20"/>
                <w:szCs w:val="20"/>
                <w:color w:val="auto"/>
              </w:rPr>
            </w:pPr>
            <w:r>
              <w:rPr>
                <w:rFonts w:ascii="Arial" w:cs="Arial" w:eastAsia="Arial" w:hAnsi="Arial"/>
                <w:sz w:val="18"/>
                <w:szCs w:val="18"/>
                <w:color w:val="auto"/>
              </w:rPr>
              <w:t>15 Months</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15 months</w:t>
            </w:r>
          </w:p>
        </w:tc>
        <w:tc>
          <w:tcPr>
            <w:tcW w:w="1660" w:type="dxa"/>
            <w:vAlign w:val="bottom"/>
            <w:gridSpan w:val="3"/>
          </w:tcPr>
          <w:p>
            <w:pPr>
              <w:ind w:left="280"/>
              <w:spacing w:after="0"/>
              <w:rPr>
                <w:sz w:val="20"/>
                <w:szCs w:val="20"/>
                <w:color w:val="auto"/>
              </w:rPr>
            </w:pPr>
            <w:r>
              <w:rPr>
                <w:rFonts w:ascii="Arial" w:cs="Arial" w:eastAsia="Arial" w:hAnsi="Arial"/>
                <w:sz w:val="18"/>
                <w:szCs w:val="18"/>
                <w:color w:val="auto"/>
              </w:rPr>
              <w:t>15 Months</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15 months</w:t>
            </w:r>
          </w:p>
        </w:tc>
      </w:tr>
    </w:tbl>
    <w:p>
      <w:pPr>
        <w:spacing w:after="0" w:line="14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risk-free interest rate is based on the implied yield available on U.S. Treasury issues with an equivalent remaining term. The Company has not paid dividends in the past and currently does not plan to pay any dividends in the foreseeable future. The expected volatility is based on an average of historical and implied volatility of the Company’s stock for the related expected life. The expected term of options granted is estimated using the average of the vesting date and the contractual term and projected and historical experience.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Activity and pricing information regarding all options to purchase shares of common stock are summarized as follows (in thousands, except per share data):</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3"/>
              </w:rPr>
              <w:t>Options</w:t>
            </w:r>
          </w:p>
        </w:tc>
        <w:tc>
          <w:tcPr>
            <w:tcW w:w="20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2005</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5,444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Cancelled</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Exercised</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31, 2006</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5,449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rPr>
              <w:t>325</w:t>
            </w:r>
          </w:p>
        </w:tc>
        <w:tc>
          <w:tcPr>
            <w:tcW w:w="2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Cancelled</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Exercised</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30, 2006</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5,478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June 30, 2006</w:t>
            </w: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0" w:type="dxa"/>
            <w:vAlign w:val="bottom"/>
            <w:gridSpan w:val="2"/>
            <w:vMerge w:val="continue"/>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3,611</w:t>
            </w:r>
          </w:p>
        </w:tc>
        <w:tc>
          <w:tcPr>
            <w:tcW w:w="28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$ 14.24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During the three and six months ended June 30, 2006, the total pre-tax intrinsic value of options exercised to purchase common stock was $1.7 million and $1.9 million, respectively, and the weighted average fair value of options to purchase common stock that were granted was $6.43 and $6.68 per share, respectively. During the three and six months ended June 30, 2005, the total pre-tax intrinsic value of options exercised to purchase common stock was $1.2 and $1.8 million, respectively, and the weighted average fair value of options to purchase common stock that were granted was $5.34 and $6.41 per share, respectively.</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During the three and six months ended June 30, 2006, cash flows generated from share-based compensation arrangements amounted to $532,000 and $701,000, respectively, for the purchase of shares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exercise of options. The Company issues new shares upon exercise of options to purchase common stock or purchases made through the ESPP.</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information regarding options outstanding for all plans as of June 30, 2006, is as follows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5"/>
              </w:rPr>
              <w:t>Options Exercisable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Weighted</w:t>
            </w: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Remaining</w:t>
            </w:r>
          </w:p>
        </w:tc>
        <w:tc>
          <w:tcPr>
            <w:tcW w:w="7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6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400" w:type="dxa"/>
            <w:vAlign w:val="bottom"/>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Number</w:t>
            </w:r>
          </w:p>
        </w:tc>
        <w:tc>
          <w:tcPr>
            <w:tcW w:w="38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7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Exercise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6"/>
              </w:rPr>
              <w:t>Number</w:t>
            </w:r>
          </w:p>
        </w:tc>
        <w:tc>
          <w:tcPr>
            <w:tcW w:w="2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55"/>
        </w:trPr>
        <w:tc>
          <w:tcPr>
            <w:tcW w:w="618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9"/>
              </w:rPr>
              <w:t>Outstanding</w:t>
            </w:r>
          </w:p>
        </w:tc>
        <w:tc>
          <w:tcPr>
            <w:tcW w:w="380" w:type="dxa"/>
            <w:vAlign w:val="bottom"/>
          </w:tcPr>
          <w:p>
            <w:pPr>
              <w:spacing w:after="0"/>
              <w:rPr>
                <w:sz w:val="13"/>
                <w:szCs w:val="13"/>
                <w:color w:val="auto"/>
              </w:rPr>
            </w:pPr>
          </w:p>
        </w:tc>
        <w:tc>
          <w:tcPr>
            <w:tcW w:w="110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1"/>
              </w:rPr>
              <w:t>Life (yrs.)</w:t>
            </w:r>
          </w:p>
        </w:tc>
        <w:tc>
          <w:tcPr>
            <w:tcW w:w="120" w:type="dxa"/>
            <w:vAlign w:val="bottom"/>
          </w:tcPr>
          <w:p>
            <w:pPr>
              <w:spacing w:after="0"/>
              <w:rPr>
                <w:sz w:val="13"/>
                <w:szCs w:val="13"/>
                <w:color w:val="auto"/>
              </w:rPr>
            </w:pPr>
          </w:p>
        </w:tc>
        <w:tc>
          <w:tcPr>
            <w:tcW w:w="6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7"/>
              </w:rPr>
              <w:t>Price</w:t>
            </w:r>
          </w:p>
        </w:tc>
        <w:tc>
          <w:tcPr>
            <w:tcW w:w="200" w:type="dxa"/>
            <w:vAlign w:val="bottom"/>
          </w:tcPr>
          <w:p>
            <w:pPr>
              <w:spacing w:after="0"/>
              <w:rPr>
                <w:sz w:val="13"/>
                <w:szCs w:val="13"/>
                <w:color w:val="auto"/>
              </w:rPr>
            </w:pPr>
          </w:p>
        </w:tc>
        <w:tc>
          <w:tcPr>
            <w:tcW w:w="8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Exercisable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$0.95 – 2.65</w:t>
            </w:r>
          </w:p>
        </w:tc>
        <w:tc>
          <w:tcPr>
            <w:tcW w:w="4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$3.90 – 13.55</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2,002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8.78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11.11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$13.64</w:t>
            </w:r>
          </w:p>
        </w:tc>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16.20</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14.62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87"/>
              </w:rPr>
              <w:t>$16.27</w:t>
            </w:r>
          </w:p>
        </w:tc>
        <w:tc>
          <w:tcPr>
            <w:tcW w:w="5660" w:type="dxa"/>
            <w:vAlign w:val="bottom"/>
          </w:tcPr>
          <w:p>
            <w:pPr>
              <w:ind w:left="20"/>
              <w:spacing w:after="0"/>
              <w:rPr>
                <w:sz w:val="20"/>
                <w:szCs w:val="20"/>
                <w:color w:val="auto"/>
              </w:rPr>
            </w:pPr>
            <w:r>
              <w:rPr>
                <w:rFonts w:ascii="Arial" w:cs="Arial" w:eastAsia="Arial" w:hAnsi="Arial"/>
                <w:sz w:val="18"/>
                <w:szCs w:val="18"/>
                <w:color w:val="auto"/>
              </w:rPr>
              <w:t>– 17.85</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822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7.62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16.36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$18.78</w:t>
            </w:r>
          </w:p>
        </w:tc>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193.13</w:t>
            </w:r>
          </w:p>
        </w:tc>
        <w:tc>
          <w:tcPr>
            <w:tcW w:w="4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27.29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566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5,478</w:t>
            </w: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13.73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3,611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Aggregate intrinsic value</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9,011</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remaining contractual life (in years)</w:t>
            </w: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8.03</w:t>
            </w: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80" w:type="dxa"/>
            <w:vAlign w:val="bottom"/>
            <w:gridSpan w:val="3"/>
            <w:vMerge w:val="continue"/>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aggregate intrinsic value in the table above is based on the Company’s closing stock price of $10.42 per share as of the last business day of the three months ended June 30, 2006, which amount would have been received by the optionees had all options been exercised on that date.</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May 17, 2006, the Compensation Committee of the Board of Directors, pursuant to the 2000 Plan, granted 222,000 shares of market-based restricted stock to executives at a fair value of $10.61 per share. The restricted stock awards vest in one-third increments based on closing per share stock price achievement of $13.26, $15.92 and $18.57 for 10 consecutive trading days, but no more than 50% of the shares are permitted to vest earlier than May 1, 2007. If the stock price levels are not achieved, these shares will become fully vested on May 17, 2011 assuming continued employment or other qualifying service for the Company. The Company has estimated the aggregate fair value of this award at approximately $2.4 million which will be amortized and recorded as compensation expense over a period of eight months for the first $800,000 of the compensation expense, 17 months for the next $800,000 of the compensation expense and 28 months for the final $800,000 of the compensation expense. The vesting term for each increment was calculated using a Monte Carlo valuation model using the following assumptions: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Volatility</w:t>
            </w:r>
          </w:p>
        </w:tc>
        <w:tc>
          <w:tcPr>
            <w:tcW w:w="41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Risk free rate of return</w:t>
            </w:r>
          </w:p>
        </w:tc>
        <w:tc>
          <w:tcPr>
            <w:tcW w:w="4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pacing w:after="0" w:line="15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During the three months ended June 30, 2006, the Company awarded 7,500 shares of restricted stock to each of the 5 non-employee directors (for a total of 37,500 such shares) at a fair value of $10.61 per share. 2,500 shares of each such grant vests annually each May 17, commencing in 2007, so long as the director is serving on such date. The Company has estimated the aggregate fair value of these awards to the non-employee directors at approximately $400,000, which will be amortized to compensation expense ratably over a three year period.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activity for the three months ended June 30, 2006 is presented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2006</w:t>
            </w:r>
          </w:p>
        </w:tc>
        <w:tc>
          <w:tcPr>
            <w:tcW w:w="5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Granted</w:t>
            </w:r>
          </w:p>
        </w:tc>
        <w:tc>
          <w:tcPr>
            <w:tcW w:w="5940" w:type="dxa"/>
            <w:vAlign w:val="bottom"/>
            <w:gridSpan w:val="3"/>
          </w:tcPr>
          <w:p>
            <w:pPr>
              <w:jc w:val="center"/>
              <w:ind w:left="4872"/>
              <w:spacing w:after="0"/>
              <w:rPr>
                <w:sz w:val="20"/>
                <w:szCs w:val="20"/>
                <w:color w:val="auto"/>
              </w:rPr>
            </w:pPr>
            <w:r>
              <w:rPr>
                <w:rFonts w:ascii="Arial" w:cs="Arial" w:eastAsia="Arial" w:hAnsi="Arial"/>
                <w:sz w:val="18"/>
                <w:szCs w:val="18"/>
                <w:color w:val="auto"/>
                <w:w w:val="89"/>
              </w:rPr>
              <w:t>259,500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center"/>
              <w:ind w:left="76"/>
              <w:spacing w:after="0"/>
              <w:rPr>
                <w:sz w:val="20"/>
                <w:szCs w:val="20"/>
                <w:color w:val="auto"/>
              </w:rPr>
            </w:pPr>
            <w:r>
              <w:rPr>
                <w:rFonts w:ascii="Arial" w:cs="Arial" w:eastAsia="Arial" w:hAnsi="Arial"/>
                <w:sz w:val="18"/>
                <w:szCs w:val="18"/>
                <w:color w:val="auto"/>
                <w:w w:val="88"/>
              </w:rPr>
              <w:t>10.61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5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Forfeited</w:t>
            </w:r>
          </w:p>
        </w:tc>
        <w:tc>
          <w:tcPr>
            <w:tcW w:w="516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center"/>
              <w:ind w:left="136"/>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2006</w:t>
            </w:r>
          </w:p>
        </w:tc>
        <w:tc>
          <w:tcPr>
            <w:tcW w:w="5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259,500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88"/>
              </w:rPr>
              <w:t>10.61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160" w:type="dxa"/>
            <w:vAlign w:val="bottom"/>
          </w:tcPr>
          <w:p>
            <w:pPr>
              <w:jc w:val="right"/>
              <w:ind w:right="3452"/>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0" w:name="page11"/>
    <w:bookmarkEnd w:id="10"/>
    <w:p>
      <w:pPr>
        <w:ind w:right="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total fair value of restricted stock vested during the three months ended June 30, 2006 was approximately $265,000 and the related tax benefit realized was approximately $98,000.</w:t>
      </w:r>
    </w:p>
    <w:p>
      <w:pPr>
        <w:spacing w:after="0" w:line="132"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On December 29, 2005, the Company’s Board of Directors approved the acceleration of vesting of certain unvested stock options granted to our non-executive officer employees under our stock option plans that had an exercise price greater than $18.78 per share. Options held by executive officers and non-employee directors were not included in the acceleration. As a result, previously unvested options to purchase approximately 550,000 shares of our common stock became fully vested and immediately exercisable on such date.</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This acceleration of vesting enabled the Company to eliminate the recognition in our Consolidated Statements of Operations of the compensation expense associated with these “out of the money” stock options in future periods, upon our adoption of SFAS No. 123(R) on January 1, 2006. Had the options not been accelerated, the unamortized fair value-based compensation expense for these options at January 1, 2006, would have been recorded in 2006 through 2008, under vesting schedules in place prior to the acceleration, and would have been approximately $6.9 million, net of estimated forfeitures.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Employee Stock Purchase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shares issued pursuant to the ESPP for the three month periods ended June 30, 2006 and 2005, respectively.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Future Accounting Requirements.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July 2006, the Financial Accounting Standards Board issued FASB Interpretation No. 48 (FIN No. 48) “Accounting for Uncertainty in Income Taxes” which prescribes a recognition threshold and measurement process for recording in the financial statements uncertain tax positions taken or expected to be taken in a tax return. Additionally, FIN No. 48 provides guidance on the derecognition, classification, accounting in interim periods and disclosure requirements for uncertain tax positions. The accounting provisions of FIN No. 48 will be effective for the Company beginning January 1, 2007. The Company is in the process of determining the effect, if any, the adoption of FIN No. 48 will have on its financial statements.</w:t>
      </w:r>
    </w:p>
    <w:p>
      <w:pPr>
        <w:spacing w:after="0" w:line="231" w:lineRule="exact"/>
        <w:rPr>
          <w:sz w:val="20"/>
          <w:szCs w:val="20"/>
          <w:color w:val="auto"/>
        </w:rPr>
      </w:pPr>
    </w:p>
    <w:p>
      <w:pPr>
        <w:jc w:val="both"/>
        <w:ind w:left="460" w:right="9360" w:hanging="452"/>
        <w:spacing w:after="0" w:line="417" w:lineRule="auto"/>
        <w:tabs>
          <w:tab w:leader="none" w:pos="449"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Balance Sheet Details </w:t>
      </w:r>
      <w:r>
        <w:rPr>
          <w:rFonts w:ascii="Arial" w:cs="Arial" w:eastAsia="Arial" w:hAnsi="Arial"/>
          <w:sz w:val="15"/>
          <w:szCs w:val="15"/>
          <w:i w:val="1"/>
          <w:iCs w:val="1"/>
          <w:color w:val="auto"/>
        </w:rPr>
        <w:t>Marketable Securities</w:t>
      </w:r>
    </w:p>
    <w:p>
      <w:pPr>
        <w:spacing w:after="0" w:line="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of June 30, 2006, unrealized losses of $202,000 are included in accumulated other comprehensive loss. The Company’s portfolio of available-for-sale securities by contractual maturity consists of the following as of June 30, 2006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Gross</w:t>
            </w: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Maturity</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Amortized</w:t>
            </w:r>
          </w:p>
        </w:tc>
        <w:tc>
          <w:tcPr>
            <w:tcW w:w="2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in Years</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78"/>
              </w:rPr>
              <w:t>Losses</w:t>
            </w:r>
          </w:p>
        </w:tc>
        <w:tc>
          <w:tcPr>
            <w:tcW w:w="2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U.S. Agency securities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 or less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$ 10,988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$ 10,937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Corporate debentures/bonds</w:t>
            </w:r>
          </w:p>
        </w:tc>
        <w:tc>
          <w:tcPr>
            <w:tcW w:w="600" w:type="dxa"/>
            <w:vAlign w:val="bottom"/>
          </w:tcPr>
          <w:p>
            <w:pPr>
              <w:jc w:val="center"/>
              <w:spacing w:after="0"/>
              <w:rPr>
                <w:sz w:val="20"/>
                <w:szCs w:val="20"/>
                <w:color w:val="auto"/>
              </w:rPr>
            </w:pPr>
            <w:r>
              <w:rPr>
                <w:rFonts w:ascii="Arial" w:cs="Arial" w:eastAsia="Arial" w:hAnsi="Arial"/>
                <w:sz w:val="18"/>
                <w:szCs w:val="18"/>
                <w:color w:val="auto"/>
                <w:w w:val="85"/>
              </w:rPr>
              <w:t>1 or less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28,325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600" w:type="dxa"/>
            <w:vAlign w:val="bottom"/>
          </w:tcPr>
          <w:p>
            <w:pPr>
              <w:jc w:val="right"/>
              <w:spacing w:after="0"/>
              <w:rPr>
                <w:sz w:val="20"/>
                <w:szCs w:val="20"/>
                <w:color w:val="auto"/>
              </w:rPr>
            </w:pPr>
            <w:r>
              <w:rPr>
                <w:rFonts w:ascii="Arial" w:cs="Arial" w:eastAsia="Arial" w:hAnsi="Arial"/>
                <w:sz w:val="18"/>
                <w:szCs w:val="18"/>
                <w:color w:val="auto"/>
              </w:rPr>
              <w:t>28,196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 or less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600" w:type="dxa"/>
            <w:vAlign w:val="bottom"/>
          </w:tcPr>
          <w:p>
            <w:pPr>
              <w:jc w:val="center"/>
              <w:spacing w:after="0"/>
              <w:rPr>
                <w:sz w:val="20"/>
                <w:szCs w:val="20"/>
                <w:color w:val="auto"/>
              </w:rPr>
            </w:pPr>
            <w:r>
              <w:rPr>
                <w:rFonts w:ascii="Arial" w:cs="Arial" w:eastAsia="Arial" w:hAnsi="Arial"/>
                <w:sz w:val="18"/>
                <w:szCs w:val="18"/>
                <w:color w:val="auto"/>
                <w:w w:val="85"/>
              </w:rPr>
              <w:t>1 or less</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600" w:type="dxa"/>
            <w:vAlign w:val="bottom"/>
          </w:tcPr>
          <w:p>
            <w:pPr>
              <w:jc w:val="right"/>
              <w:spacing w:after="0"/>
              <w:rPr>
                <w:sz w:val="20"/>
                <w:szCs w:val="20"/>
                <w:color w:val="auto"/>
              </w:rPr>
            </w:pPr>
            <w:r>
              <w:rPr>
                <w:rFonts w:ascii="Arial" w:cs="Arial" w:eastAsia="Arial" w:hAnsi="Arial"/>
                <w:sz w:val="18"/>
                <w:szCs w:val="18"/>
                <w:color w:val="auto"/>
              </w:rPr>
              <w:t>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 short-term marketable securities</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color w:val="auto"/>
              </w:rPr>
              <w:t>Corporate debentures/bonds/preferred</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88"/>
              </w:rPr>
              <w:t>1 to 2</w:t>
            </w: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6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3,959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marketable securities</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$ 46,281</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(202)</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$ 46,079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At June 30, 2006, the Company did not have any investments in individual securities that have been in a continuous unrealized loss position deemed to be other than temporary for more than 12 months. Because the Company’s general intent is to hold its investment securities to maturity, and considering the high quality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1" w:name="page12"/>
    <w:bookmarkEnd w:id="11"/>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investment securities, the Company believes that the unrealized losses at June 30, 2006 represent a temporary condition and will not result in realized losses on sale or maturity of the securities.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5"/>
        </w:trPr>
        <w:tc>
          <w:tcPr>
            <w:tcW w:w="862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2006</w:t>
            </w:r>
          </w:p>
        </w:tc>
        <w:tc>
          <w:tcPr>
            <w:tcW w:w="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$16,517</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17,417</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8"/>
                <w:szCs w:val="18"/>
                <w:i w:val="1"/>
                <w:iCs w:val="1"/>
                <w:color w:val="auto"/>
              </w:rPr>
              <w:t>Accrued Expenses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6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20" w:type="dxa"/>
            <w:vAlign w:val="bottom"/>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6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5"/>
        </w:trPr>
        <w:tc>
          <w:tcPr>
            <w:tcW w:w="862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2006</w:t>
            </w:r>
          </w:p>
        </w:tc>
        <w:tc>
          <w:tcPr>
            <w:tcW w:w="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$ 5,753</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580" w:type="dxa"/>
            <w:vAlign w:val="bottom"/>
          </w:tcPr>
          <w:p>
            <w:pPr>
              <w:jc w:val="right"/>
              <w:spacing w:after="0"/>
              <w:rPr>
                <w:sz w:val="20"/>
                <w:szCs w:val="20"/>
                <w:color w:val="auto"/>
              </w:rPr>
            </w:pPr>
            <w:r>
              <w:rPr>
                <w:rFonts w:ascii="Arial" w:cs="Arial" w:eastAsia="Arial" w:hAnsi="Arial"/>
                <w:sz w:val="18"/>
                <w:szCs w:val="18"/>
                <w:color w:val="auto"/>
              </w:rPr>
              <w:t>2,998</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 price protection and sales returns allowance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Professional fees</w:t>
            </w:r>
          </w:p>
        </w:tc>
        <w:tc>
          <w:tcPr>
            <w:tcW w:w="580" w:type="dxa"/>
            <w:vAlign w:val="bottom"/>
          </w:tcPr>
          <w:p>
            <w:pPr>
              <w:jc w:val="right"/>
              <w:spacing w:after="0"/>
              <w:rPr>
                <w:sz w:val="20"/>
                <w:szCs w:val="20"/>
                <w:color w:val="auto"/>
              </w:rPr>
            </w:pPr>
            <w:r>
              <w:rPr>
                <w:rFonts w:ascii="Arial" w:cs="Arial" w:eastAsia="Arial" w:hAnsi="Arial"/>
                <w:sz w:val="18"/>
                <w:szCs w:val="18"/>
                <w:color w:val="auto"/>
              </w:rPr>
              <w:t>805</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Restructuring</w:t>
            </w:r>
          </w:p>
        </w:tc>
        <w:tc>
          <w:tcPr>
            <w:tcW w:w="580" w:type="dxa"/>
            <w:vAlign w:val="bottom"/>
          </w:tcPr>
          <w:p>
            <w:pPr>
              <w:jc w:val="right"/>
              <w:spacing w:after="0"/>
              <w:rPr>
                <w:sz w:val="20"/>
                <w:szCs w:val="20"/>
                <w:color w:val="auto"/>
              </w:rPr>
            </w:pPr>
            <w:r>
              <w:rPr>
                <w:rFonts w:ascii="Arial" w:cs="Arial" w:eastAsia="Arial" w:hAnsi="Arial"/>
                <w:sz w:val="18"/>
                <w:szCs w:val="18"/>
                <w:color w:val="auto"/>
              </w:rPr>
              <w:t>223</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12,990</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December 29, 2005, the Company entered into a two-year $25.0 million secured revolving credit facility (“the Credit Agreement”). The Credit Agreement was entered into with Bank of America, N.A., as Administrative Agent, who was granted a first priority blanket lien on substantially all the Company’s assets in order to secure repayment of outstanding indebtedness under the Credit Agreement. At the Company’s option, borrowings under the Credit Agreement will bear interest at either the London Interbank Offering Rate (LIBOR) plus 100-150 basis points depending on the level of borrowing under the Credit Agreement, or at the prime rate plus 50 basis points (8.75% at June 30, 2006). The Credit Agreement further contains certain customary restrictive financial and operating covenants which, among other things, require the Company to (i) maintain minimum financial performance requirements as measured by the Company’s income or loss before taxes, (ii) limit the levels of certain indebtedness and capital expenditures, and (iii) maintain a minimum liquidity ratio. In the event that a default were to occur under the Credit Agreement which was not subsequently cured or waived, then repayment in full of all the borrowings then outstanding could become immediately due and payable. Such events of default include, without limitation, failing to pay borrowed amounts when due, failing to adhere to agreed upon financial covenants or failing to notify Bank of America of the occurrence of an event that could reasonably be expected to result in a material adverse effect upon the Company. Borrowings under the Credit Agreement can be used for general corporate purposes including capital expenditures, working capital, letters of credit and certain permitted acquisitions and investments. As of June 30, 2006, the Company had no outstanding balance under the Credit Agreement and was in compliance with all covenants of the Credit Agreement.</w:t>
      </w:r>
    </w:p>
    <w:p>
      <w:pPr>
        <w:spacing w:after="0" w:line="236" w:lineRule="exact"/>
        <w:rPr>
          <w:sz w:val="20"/>
          <w:szCs w:val="20"/>
          <w:color w:val="auto"/>
        </w:rPr>
      </w:pPr>
    </w:p>
    <w:p>
      <w:pPr>
        <w:ind w:left="460" w:right="7200" w:hanging="452"/>
        <w:spacing w:after="0" w:line="347" w:lineRule="auto"/>
        <w:tabs>
          <w:tab w:leader="none" w:pos="449"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and Concentrations of Risk </w:t>
      </w:r>
      <w:r>
        <w:rPr>
          <w:rFonts w:ascii="Arial" w:cs="Arial" w:eastAsia="Arial" w:hAnsi="Arial"/>
          <w:sz w:val="18"/>
          <w:szCs w:val="18"/>
          <w:i w:val="1"/>
          <w:iCs w:val="1"/>
          <w:color w:val="auto"/>
        </w:rPr>
        <w:t>Segment Information</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operates in the wireless data modem technology industry and all sales of the Company’s products and services are made in this segment.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Management makes decisions about allocating resources based on this one operating segment.</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12" w:name="page13"/>
    <w:bookmarkEnd w:id="12"/>
    <w:p>
      <w:pPr>
        <w:ind w:right="6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has operations in the United States, Canada and the U.K. The amount of the Company’s assets in the United States and Canada as of June 30, 2006 were $153.6 million and $8.2 million, respectively, and as of December 31, 2005 were $166.5 million and $9.6 million, respectively.</w:t>
      </w:r>
    </w:p>
    <w:p>
      <w:pPr>
        <w:spacing w:after="0" w:line="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For the six months ended June 30, 2006, approximately 31% of revenues were derived from international customers (Europe/Middle East/Africa 29%, Asia/Australia 2%) as compared to approximately 66% of revenues derived from international customers (Europe/Middle East/Africa 64%, Asia/Australia 2%), for the six months ended June 30, 2005.</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jc w:val="both"/>
        <w:ind w:right="360" w:firstLine="456"/>
        <w:spacing w:after="0" w:line="332" w:lineRule="auto"/>
        <w:rPr>
          <w:sz w:val="20"/>
          <w:szCs w:val="20"/>
          <w:color w:val="auto"/>
        </w:rPr>
      </w:pPr>
      <w:r>
        <w:rPr>
          <w:rFonts w:ascii="Arial" w:cs="Arial" w:eastAsia="Arial" w:hAnsi="Arial"/>
          <w:sz w:val="16"/>
          <w:szCs w:val="16"/>
          <w:color w:val="auto"/>
        </w:rPr>
        <w:t>Substantially all of the Company’s revenues are derived from the sales of wireless access products. Any significant decline in market acceptance of the Company’s products or in the financial condition of the Company’s existing customers could impair the Company’s ability to operate effectively.</w:t>
      </w:r>
    </w:p>
    <w:p>
      <w:pPr>
        <w:spacing w:after="0" w:line="85"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A significant portion of the Company’s revenue is derived from a small number of customers. Two customers accounted for 43.9% and 13.6% of revenues for the six months ended June 30, 2006. Three customers accounted for 23.7%, 15.5%, and 12.1% of revenues for the six months ended June 30, 2005.</w:t>
      </w:r>
    </w:p>
    <w:p>
      <w:pPr>
        <w:spacing w:after="0" w:line="62"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The Company outsources its manufacturing to a relatively small number of third-party manufacturers. If a third-party manufacturer were to experience delays, disruptions, capacity constraints or quality control problems in its manufacturing operations, product shipments to the Company’s customers could be delayed or its customers could consequently elect to cancel the underlying order, which would negatively impact the Company’s revenues.</w:t>
      </w:r>
    </w:p>
    <w:p>
      <w:pPr>
        <w:spacing w:after="0" w:line="22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Share</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Basic earnings (loss) per share (“EPS”) excludes dilution and is computed by dividing net income or loss attributable to common stockholders by the weighted-average number of common shares outstanding for the period. Diluted EPS reflects the potential dilution that could occur if securities or other contracts to issue common stock were exercised or converted into common stock. Potential dilutive securities (currently consisting of options, warrants and restricted stock using the treasury stock method) are excluded from the diluted EPS computation in loss periods and when their exercise price is greater than the market price as their effect would be anti-dilutive.</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sets forth the computation of diluted weighted average common and potential common shares outstanding for the three and six months ended June 30, 2006 and 2005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Three Months Ended</w:t>
            </w:r>
          </w:p>
        </w:tc>
        <w:tc>
          <w:tcPr>
            <w:tcW w:w="120" w:type="dxa"/>
            <w:vAlign w:val="bottom"/>
          </w:tcPr>
          <w:p>
            <w:pPr>
              <w:spacing w:after="0"/>
              <w:rPr>
                <w:sz w:val="14"/>
                <w:szCs w:val="14"/>
                <w:color w:val="auto"/>
              </w:rPr>
            </w:pPr>
          </w:p>
        </w:tc>
        <w:tc>
          <w:tcPr>
            <w:tcW w:w="12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8780" w:type="dxa"/>
            <w:vAlign w:val="bottom"/>
          </w:tcPr>
          <w:p>
            <w:pPr>
              <w:spacing w:after="0"/>
              <w:rPr>
                <w:sz w:val="14"/>
                <w:szCs w:val="14"/>
                <w:color w:val="auto"/>
              </w:rPr>
            </w:pPr>
          </w:p>
        </w:tc>
        <w:tc>
          <w:tcPr>
            <w:tcW w:w="134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2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87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2006</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29,048</w:t>
            </w:r>
          </w:p>
        </w:tc>
        <w:tc>
          <w:tcPr>
            <w:tcW w:w="6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7"/>
              </w:rPr>
              <w:t>29,461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29,020</w:t>
            </w:r>
          </w:p>
        </w:tc>
        <w:tc>
          <w:tcPr>
            <w:tcW w:w="20" w:type="dxa"/>
            <w:vAlign w:val="bottom"/>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r>
      <w:tr>
        <w:trPr>
          <w:trHeight w:val="216"/>
        </w:trPr>
        <w:tc>
          <w:tcPr>
            <w:tcW w:w="8780" w:type="dxa"/>
            <w:vAlign w:val="bottom"/>
          </w:tcPr>
          <w:p>
            <w:pPr>
              <w:ind w:left="440"/>
              <w:spacing w:after="0"/>
              <w:rPr>
                <w:sz w:val="20"/>
                <w:szCs w:val="20"/>
                <w:color w:val="auto"/>
              </w:rPr>
            </w:pPr>
            <w:r>
              <w:rPr>
                <w:rFonts w:ascii="Arial" w:cs="Arial" w:eastAsia="Arial" w:hAnsi="Arial"/>
                <w:sz w:val="18"/>
                <w:szCs w:val="18"/>
                <w:color w:val="auto"/>
              </w:rPr>
              <w:t>Restricted Shares</w:t>
            </w: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20" w:type="dxa"/>
            <w:vAlign w:val="bottom"/>
          </w:tcPr>
          <w:p>
            <w:pPr>
              <w:spacing w:after="0"/>
              <w:rPr>
                <w:sz w:val="18"/>
                <w:szCs w:val="18"/>
                <w:color w:val="auto"/>
              </w:rPr>
            </w:pPr>
          </w:p>
        </w:tc>
      </w:tr>
      <w:tr>
        <w:trPr>
          <w:trHeight w:val="222"/>
        </w:trPr>
        <w:tc>
          <w:tcPr>
            <w:tcW w:w="8780" w:type="dxa"/>
            <w:vAlign w:val="bottom"/>
          </w:tcPr>
          <w:p>
            <w:pPr>
              <w:spacing w:after="0"/>
              <w:rPr>
                <w:sz w:val="20"/>
                <w:szCs w:val="20"/>
                <w:color w:val="auto"/>
              </w:rPr>
            </w:pPr>
            <w:r>
              <w:rPr>
                <w:rFonts w:ascii="Arial" w:cs="Arial" w:eastAsia="Arial" w:hAnsi="Arial"/>
                <w:sz w:val="18"/>
                <w:szCs w:val="18"/>
                <w:color w:val="auto"/>
              </w:rPr>
              <w:t>Diluted weighted average common and potential common shares outstanding</w:t>
            </w:r>
          </w:p>
        </w:tc>
        <w:tc>
          <w:tcPr>
            <w:tcW w:w="600" w:type="dxa"/>
            <w:vAlign w:val="bottom"/>
          </w:tcPr>
          <w:p>
            <w:pPr>
              <w:jc w:val="right"/>
              <w:spacing w:after="0"/>
              <w:rPr>
                <w:sz w:val="20"/>
                <w:szCs w:val="20"/>
                <w:color w:val="auto"/>
              </w:rPr>
            </w:pPr>
            <w:r>
              <w:rPr>
                <w:rFonts w:ascii="Arial" w:cs="Arial" w:eastAsia="Arial" w:hAnsi="Arial"/>
                <w:sz w:val="18"/>
                <w:szCs w:val="18"/>
                <w:color w:val="auto"/>
              </w:rPr>
              <w:t>30,233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30,212</w:t>
            </w:r>
          </w:p>
        </w:tc>
        <w:tc>
          <w:tcPr>
            <w:tcW w:w="62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29,461</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30,247</w:t>
            </w:r>
          </w:p>
        </w:tc>
      </w:tr>
      <w:tr>
        <w:trPr>
          <w:trHeight w:val="20"/>
        </w:trPr>
        <w:tc>
          <w:tcPr>
            <w:tcW w:w="87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Weighted average options and warrants to purchase a total of 4,324,762 and 5,079,528 shares of common stock for the three and six months ended June 30, 2006, respectively, and 3,493,449 and 3,426,914 shares of common stock for the three and six months ended June 30, 2005, respectively, were outstanding but not included in the computation of diluted earnings per share as their effect was anti-dilutive.</w:t>
      </w:r>
    </w:p>
    <w:p>
      <w:pPr>
        <w:spacing w:after="0" w:line="256" w:lineRule="exact"/>
        <w:rPr>
          <w:sz w:val="20"/>
          <w:szCs w:val="20"/>
          <w:color w:val="auto"/>
        </w:rPr>
      </w:pPr>
    </w:p>
    <w:p>
      <w:pPr>
        <w:ind w:left="460" w:right="8480" w:hanging="452"/>
        <w:spacing w:after="0" w:line="347" w:lineRule="auto"/>
        <w:tabs>
          <w:tab w:leader="none" w:pos="449"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Royalties</w:t>
      </w:r>
    </w:p>
    <w:p>
      <w:pPr>
        <w:spacing w:after="0" w:line="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Company has license agreements which commit it to royalty payments generally based on a percentage of the sales price of its products using certain technologies. The Company recognizes royalty obligations in accordance with the terms of the respective royalty agreements. The Company has also</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3" w:name="page14"/>
    <w:bookmarkEnd w:id="13"/>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accrued for royalty costs in cases where it does not have agreements by using its current best estimate of its royalty obligation. These estimates are based on various market data information and other relevant information. If the Company enters into such agreements, or when additional market data becomes available, it will revise its estimates accordingly, if necessary.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Legal Matters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is, from time to time, party to various legal proceedings arising in the ordinary course of business. Based on evaluation of these matters and discussions with Company counsel, the Company currently believes that liabilities arising from or sums paid in settlement of these existing matters would not have a material adverse effect on the consolidated results of operations or financial position.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following information should be read in conjunction with the consolidated financial statements and the accompanying notes included in Item 1 of this quarterly report, as well as the audited consolidated financial statements and accompanying notes and Management’s Discussion and Analysis of Financial Condition and Results of Operations for the year ended December 31, 2005 contained in our 2005 annual report on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provider of wireless broadband access solutions for the worldwide mobile communications market. Our broad range of products includes 3G wireless PC card modems, embedded modems, communications software and Fixed Mobile Convergence solutions for wireless network operators, infrastructure providers, distributors, OEMs and vertical markets worldwide. Through the integration of our hardware and software, our products are designed to operate on a majority of global wireless networks and provide mobile subscribers with secure and convenient high speed access to corporate, public and personal information through the Internet and enterprise networks. We also offer software engineering, integration and design services to our customers to facilitate the use of our products.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have entered into and expect to continue to enter into new customer contracts for the development and supply of our products and this may place significant demands on our resources.</w:t>
      </w:r>
    </w:p>
    <w:p>
      <w:pPr>
        <w:spacing w:after="0" w:line="132"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believe that our revenue growth will be influenced largely by the speed and breadth of the increase in demand for wireless access to data</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 use of next generation networks including demand for 3G products and 3G data access services, particularly in Europe, North America and Asia; customer acceptance for our new products that address these markets; and our ability to meet customer demand. Factors that could potentially affect customer demand for our products include the following:</w:t>
      </w:r>
    </w:p>
    <w:p>
      <w:pPr>
        <w:spacing w:after="0" w:line="62"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use of the Internet;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a significant customer;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in competition;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of deployment of 3G networks by carriers;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drop in demand for CDMA, EVDO, UMTS and HSDPA products;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began shipping our first 3G products in December 2003. We have shipped seventeen new 3G products since then and anticipate introducing additional 3G products during 2006. We continue to develop and maintain strategic relationships with wireless and computing industry leaders like Siemens, Alcatel, Dell, Qualcomm, Sprint PCS, Verizon Wireless and Vodafone and major software vendors. Through strategic relationships, we have been able to increase market penetration by leveraging the resources of our channel partners, including their access to distribution resources, increased sales opportunities and market opportunities.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strategic relationships include technology and marketing relationships with wireless operators, OEM customers that integrate our products into other devices, distributors and leading hardware and software technology providers. For example, we are partnered with both Alcatel and Siemens on the roll-out of HSDPA technology.</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280" w:right="339" w:bottom="1440" w:gutter="0" w:footer="0" w:header="0"/>
        </w:sectPr>
      </w:pPr>
    </w:p>
    <w:bookmarkStart w:id="14" w:name="page15"/>
    <w:bookmarkEnd w:id="14"/>
    <w:p>
      <w:pPr>
        <w:ind w:right="60" w:firstLine="456"/>
        <w:spacing w:after="0" w:line="29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Cost of Revenue. </w:t>
      </w:r>
      <w:r>
        <w:rPr>
          <w:rFonts w:ascii="Arial" w:cs="Arial" w:eastAsia="Arial" w:hAnsi="Arial"/>
          <w:sz w:val="16"/>
          <w:szCs w:val="16"/>
          <w:color w:val="auto"/>
        </w:rPr>
        <w:t>We currently outsource our manufacturing operations to LG Innotek. In addition, we currently outsource certain distribution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fulfillment services related to our business in EMEA to Mobiltron. All costs associated with these manufacturers and Mobiltron are included in our cost of revenue. Cost of revenue also includes warranty costs, amortization of intangible licenses, royalties based on a percentage of revenue, operations group expenses, costs related to development services and costs related to inventory adjustments, including allowances for excess and obsolete inventory. Inventory adjustments are impacted primarily by demand for our products, which is influenced by the factors discussed above. During the three months ended June 30, 2006, we recorded a provision for excess and obsolete inventory in the amount of $127,000. We expect to continue to outsource our manufacturing operations, and as our business grows we expect our manufacturing activity to increase.</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Many of our products target wireless operators and other customers in Europe, North America and Asia. If these markets continue to</w:t>
      </w:r>
      <w:r>
        <w:rPr>
          <w:rFonts w:ascii="Arial" w:cs="Arial" w:eastAsia="Arial" w:hAnsi="Arial"/>
          <w:sz w:val="16"/>
          <w:szCs w:val="16"/>
          <w:i w:val="1"/>
          <w:iCs w:val="1"/>
          <w:color w:val="auto"/>
        </w:rPr>
        <w:t xml:space="preserve"> </w:t>
      </w:r>
      <w:r>
        <w:rPr>
          <w:rFonts w:ascii="Arial" w:cs="Arial" w:eastAsia="Arial" w:hAnsi="Arial"/>
          <w:sz w:val="16"/>
          <w:szCs w:val="16"/>
          <w:color w:val="auto"/>
        </w:rPr>
        <w:t>grow, we will likely develop new products to serve these markets, resulting in increased research and development expenses associated with such new product development. We have in the past and expect to continue to incur these expenses in future periods prior to recognizing revenue from these markets. In addition, the accounting for stock options requires us to use the fair value method to account for all stock-based compensation pursuant to Statement of Financial Accounting Standard, (“SFAS, No. 123(R)”), which significantly increased our operating expenses in the three and six months ended June 30, 2006.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These estimates and assumptions affect the reported amounts of assets, liabilities, revenues, expenses and disclosures of contingent assets and liabilities. Actual results could differ from these estimates. Significant estimates include revenue recognition, allowance for doubtful accounts receivable, allowance for excess and obsolete inventory, provisions for warranty and price protection costs, useful lives of long-lived assets, valuation of intangible and long-lived assets, estimates for costs recorded in royalty accruals, deferred tax asset valuation allowance, foreign currency translation, foreign exchange forward contracts, and the use of option pricing models to establish values of equity instruments.</w:t>
      </w:r>
    </w:p>
    <w:p>
      <w:pPr>
        <w:spacing w:after="0" w:line="12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Our revenue is generated from the sale of wireless modems to wireless operators, OEM customers and distributors. Revenue from</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sales is recognized upon the latest of transfer of title or shipment of the product to the customer. For product sales with acceptance provisions, revenue is recognized at such time that the acceptance provisions are satisfied. We grant price protection provisions to certain customers and track pricing and other terms offered to customers buying similar products to assess compliance with these provisions. We establish allowances for estimated product returns and price protection in the period in which revenue is recognized. In estimating future product returns, we consider various relevant factors, including our stated return policies and practices and historical trends. We recognize revenue in accordance with Staff Accounting Bulletin, or SAB, No. 101, “Revenue Recognition in Financial Statements,” as amended by SAB No. 104, which provides guidance on the application of generally accepted accounting principles to selected revenue recognition issues.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During 2003, we amended a joint development agreement containing multiple elements with one of our customers including development services and product shipments. Accordingly, we separated the deliverables into units of accounting and allocated arrangement consideration to these deliverables in accordance with the provisions of Emerging Issues Task Force, or EITF, Issue No. 00-21, “Accounting for Revenue Arrangements with Multiple Deliverables.” In accordance with EITF Issue No. 00-21, $6.2 million in cash payments received in 2003 was deferred and was being recognized as revenue when products were shipped or as development services were performed. During 2004, we recognized approximately $5.7 million of this deferred revenue and the remaining $531,000 was recognized during the first quarter of 2005.</w:t>
      </w:r>
    </w:p>
    <w:p>
      <w:pPr>
        <w:spacing w:after="0" w:line="144" w:lineRule="exact"/>
        <w:rPr>
          <w:sz w:val="20"/>
          <w:szCs w:val="20"/>
          <w:color w:val="auto"/>
        </w:rPr>
      </w:pPr>
    </w:p>
    <w:p>
      <w:pPr>
        <w:ind w:right="520" w:firstLine="456"/>
        <w:spacing w:after="0" w:line="294" w:lineRule="auto"/>
        <w:rPr>
          <w:sz w:val="20"/>
          <w:szCs w:val="20"/>
          <w:color w:val="auto"/>
        </w:rPr>
      </w:pPr>
      <w:r>
        <w:rPr>
          <w:rFonts w:ascii="Arial" w:cs="Arial" w:eastAsia="Arial" w:hAnsi="Arial"/>
          <w:sz w:val="16"/>
          <w:szCs w:val="16"/>
          <w:i w:val="1"/>
          <w:iCs w:val="1"/>
          <w:color w:val="auto"/>
        </w:rPr>
        <w:t xml:space="preserve">Allowance for Doubtful Accounts Receivable. </w:t>
      </w:r>
      <w:r>
        <w:rPr>
          <w:rFonts w:ascii="Arial" w:cs="Arial" w:eastAsia="Arial" w:hAnsi="Arial"/>
          <w:sz w:val="16"/>
          <w:szCs w:val="16"/>
          <w:color w:val="auto"/>
        </w:rPr>
        <w:t>We provide an allowance for our accounts receivable for estimated losses that may result from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inability to pay. We determine the amount of the allowance by analyzing known uncollectible accounts, aged receivables, economic conditions, historical losses, and changes in customer payment cycles and our customers’ credit-worthiness. Amounts later determined and specifically identified to be uncollectible are charged or written off against this allowance. To minimize the likelihood of uncollectibility, we review our customers’ credit-worthiness periodically based on credit scores generated by independent credit reporting services, our experience with our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5" w:name="page16"/>
    <w:bookmarkEnd w:id="15"/>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customers and the economic condition of our customers’ industries. Material differences may result in the amount and timing of expense for any period if we were to make different judgments or utilize different estimates. If the financial condition of our customers deteriorates resulting in an impairment of their ability to make payments, additional allowances may be required. We have not experienced significant variances in the past between our estimated and actual allowance for doubtful accounts and anticipate that we will be able to continue to make reasonable estimates in the future.</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Write down of Excess and Obsolete Inventory. </w:t>
      </w:r>
      <w:r>
        <w:rPr>
          <w:rFonts w:ascii="Arial" w:cs="Arial" w:eastAsia="Arial" w:hAnsi="Arial"/>
          <w:sz w:val="16"/>
          <w:szCs w:val="16"/>
          <w:color w:val="auto"/>
        </w:rPr>
        <w:t>Inventories are stated at the lower of cost (first-in, first-out method) or market. We review the components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inventory and our inventory purchase commitments on a regular basis for excess and obsolete inventory based on estimated future usage and sales. Write-downs in inventory value depend on various items, including factors related to customer demand as discussed under “Revenue” above, economic and competitive conditions, technological advances or new product introductions by us or our customers that vary from our current expectations. Whenever inventory is written down, a new cost basis is established and the inventory is not subsequently written up if market conditions improve.</w:t>
      </w:r>
    </w:p>
    <w:p>
      <w:pPr>
        <w:spacing w:after="0" w:line="11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believe that, when made, the estimates we use in calculating the inventory write-downs are reasonable and properly reflect the risk of excess and obsolete inventory. If customer demand for our inventory is substantially less than our estimates, inventory write-downs may be required, which could have a material adverse effect on our consolidated financial statements.</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Warranty Costs. </w:t>
      </w:r>
      <w:r>
        <w:rPr>
          <w:rFonts w:ascii="Arial" w:cs="Arial" w:eastAsia="Arial" w:hAnsi="Arial"/>
          <w:sz w:val="18"/>
          <w:szCs w:val="18"/>
          <w:color w:val="auto"/>
        </w:rPr>
        <w:t>We accrue warranty costs based on estimates of future warranty related repairs or rework of products. Our warranty policy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one-year to three-year coverage for products following the date of purchase. Our policy is to accrue the estimated cost of warranty coverage at the time the sale is recorded. In estimating our future warranty obligations we consider various relevant factors, including the historical frequency of claims and the cost to replace or repair products under warranty. We have not experienced significant variances in the past between our estimated and actual warranty costs and have not experienced significant warranty expenses to date. Future warranty expenses could be materially different, depending on the quality of our product design and manufacturing.</w:t>
      </w:r>
    </w:p>
    <w:p>
      <w:pPr>
        <w:spacing w:after="0" w:line="144"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i w:val="1"/>
          <w:iCs w:val="1"/>
          <w:color w:val="auto"/>
        </w:rPr>
        <w:t xml:space="preserve">Valuation of Intangible and Long-Lived Assets. </w:t>
      </w:r>
      <w:r>
        <w:rPr>
          <w:rFonts w:ascii="Arial" w:cs="Arial" w:eastAsia="Arial" w:hAnsi="Arial"/>
          <w:sz w:val="18"/>
          <w:szCs w:val="18"/>
          <w:color w:val="auto"/>
        </w:rPr>
        <w:t>We periodically assess the valuation of intangible and long-lived assets, which requires us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and judgments regarding the carrying value of these assets. We consider assets to be impaired if the carrying value may not be recoverable based upon our assessment of the following events or changes in circumstances: the asset’s ability to continue to generate income from operations and positive cash flow in future periods; loss of legal ownership or title to the asset; significant changes in our strategic business objectives and utilization of the asset; or significant negative industry or economic trends.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assessment includes comparing the carrying amounts of intangible and long-lived assets to their fair values, which are determined using a discounted cash flow model. This model requires estimates of our future revenues, profits, capital expenditures, working capital and other relevant factors. We estimate these amounts by evaluating our historical trends, current budgets, operating plans and other industry data. If the assets are considered to be impaired, the impairment charge recognized is the amount by which the asset’s carrying value exceeds its estimated fair value.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timing and frequency of our impairment test is based on an ongoing assessment of triggering events that could reduce the fair value of our long-lived assets below their carrying value. We monitor our intangible and long-lived asset balances and conduct formal tests on at least an annual basis or earlier when impairment indicators are present. We believe that the assumptions and estimates we used to value intangible and long-lived assets are appropriate based on the information available to management. The majority of our long-lived assets are being amortized or depreciated over relatively short periods, typically three to five years. This reduces the risk of large impairment charges in any given period. However, most of these assets are associated with technology that changes rapidly and such changes could have an immediate impact on our impairment analysis.</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Royalty Costs. </w:t>
      </w:r>
      <w:r>
        <w:rPr>
          <w:rFonts w:ascii="Arial" w:cs="Arial" w:eastAsia="Arial" w:hAnsi="Arial"/>
          <w:sz w:val="16"/>
          <w:szCs w:val="16"/>
          <w:color w:val="auto"/>
        </w:rPr>
        <w:t>We have intellectual property license agreements which generally require us to make royalty payments based on a percentage of the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generated by sales of products incorporating the licensed technology. We recognize royalty obligations in accordance with the terms of the respective royalty agreements. We have also accrued for estimated royalty costs in situations where we do not have agreements based upon our current best estimate of the royalty obligation. These estimates are based on various market data information and other relevant information. If we enter into such agreements, or if additional market data becomes available, we will revise our estimates, if necessary.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6" w:name="page17"/>
    <w:bookmarkEnd w:id="16"/>
    <w:p>
      <w:pPr>
        <w:ind w:right="20" w:firstLine="456"/>
        <w:spacing w:after="0" w:line="25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Income Taxes. </w:t>
      </w:r>
      <w:r>
        <w:rPr>
          <w:rFonts w:ascii="Arial" w:cs="Arial" w:eastAsia="Arial" w:hAnsi="Arial"/>
          <w:sz w:val="18"/>
          <w:szCs w:val="18"/>
          <w:color w:val="auto"/>
        </w:rPr>
        <w:t>We recognize federal, state and foreign current tax liabilities or assets based on our estimate of taxes payable to or refundable by tax</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authorities in the current fiscal year. We also recognize federal, state and foreign deferred tax liabilities or assets based on our estimate of future tax effects attributable to temporary differences and carry forwards and record a valuation allowance to reduce any deferred tax assets by the amount of any tax benefits that, based on available evidence and judgment, are not expected to be realized.</w:t>
      </w:r>
    </w:p>
    <w:p>
      <w:pPr>
        <w:spacing w:after="0" w:line="143"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In accordance with SFAS No. 123(R), we recognize tax benefits upon expensing certain share-based awards associated with our share-based compensation plans, including nonqualified stock options and restricted stock, but under current accounting standards we cannot currently recognize a tax benefit for those share-based compensation expenses associated with incentive stock options and employee stock purchase plan shares (qualified stock options). For qualified stock options that vest after our adoption of SFAS No. 123(R), we recognize a tax benefit only in the period when disqualifying dispositions of the underlying stock occur, and for qualified stock options that vested prior to our adoption of SFAS No. 123(R), the tax benefit realized upon exercise is recorded directly to additional paid-in capital. For the three months ended June 30, 2006, the effective tax rate was increased as a result of the impact of compensation expense for qualified stock options on forecasted pre-tax income accounting required for share-based compensation as determined in accordance with SFAS No. 123(R).</w:t>
      </w:r>
    </w:p>
    <w:p>
      <w:pPr>
        <w:spacing w:after="0" w:line="1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November 10, 2005, the FASB issued FASB Staff Position No. SFAS 123(R)-3, “Transition Election Related to Accounting for Tax Effects of Share-Based Payment Awards” (“FSP 123(R)-3”). The alternative transition method includes simplified methods to establish the beginning balance of the additional paid-in capital pool (“APIC pool”) related to the tax effects of employee share-based compensation, and to determine the subsequent impact on the APIC pool and Consolidated Statements of Cash Flows of the tax effects of employee share-based compensation awards that are outstanding upon adoption of SFAS 123(R). The Company has until November 2006 to make a one-time election to adopt the transition method described in FSP 123(R)-3. The Company is currently evaluating FSP 123(R)-3; however, the one-time election is not expected to affect operating income.</w:t>
      </w:r>
    </w:p>
    <w:p>
      <w:pPr>
        <w:spacing w:after="0" w:line="12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i w:val="1"/>
          <w:iCs w:val="1"/>
          <w:color w:val="auto"/>
        </w:rPr>
        <w:t xml:space="preserve">Foreign Currency Translation. </w:t>
      </w:r>
      <w:r>
        <w:rPr>
          <w:rFonts w:ascii="Arial" w:cs="Arial" w:eastAsia="Arial" w:hAnsi="Arial"/>
          <w:sz w:val="16"/>
          <w:szCs w:val="16"/>
          <w:color w:val="auto"/>
        </w:rPr>
        <w:t>The functional currency of our principal foreign subsidiary is the U.S. dollar. Assets and liabilities denominated in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currencies are translated using the exchange rate in effect at the relevant balance sheet date. Revenues and expenses are translated using average exchange rates during the year. Translation adjustments are recorded in the Consolidated Statements of Operations.</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Foreign Exchange Forward Contracts. </w:t>
      </w:r>
      <w:r>
        <w:rPr>
          <w:rFonts w:ascii="Arial" w:cs="Arial" w:eastAsia="Arial" w:hAnsi="Arial"/>
          <w:sz w:val="16"/>
          <w:szCs w:val="16"/>
          <w:color w:val="auto"/>
        </w:rPr>
        <w:t>We use foreign exchange forward contracts to hedge the economic exposure associated with accounts receivable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balances denominated in Euros. Our forward contracts do not qualify as accounting hedges under SFAS No. 133, “Accounting for Derivative Instruments and Hedging Activities”. We mark-to-market the forward contracts and include unrealized gains and losses in the current period as a component of other income and expense, net. As of June 30, 2006, the total amount of outstanding forward contracts amounted to approximately 15 million Euros, or approximately $19 million.</w:t>
      </w:r>
    </w:p>
    <w:p>
      <w:pPr>
        <w:spacing w:after="0" w:line="113"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i w:val="1"/>
          <w:iCs w:val="1"/>
          <w:color w:val="auto"/>
        </w:rPr>
        <w:t xml:space="preserve">Share-based Compensation. </w:t>
      </w:r>
      <w:r>
        <w:rPr>
          <w:rFonts w:ascii="Arial" w:cs="Arial" w:eastAsia="Arial" w:hAnsi="Arial"/>
          <w:sz w:val="15"/>
          <w:szCs w:val="15"/>
          <w:color w:val="auto"/>
        </w:rPr>
        <w:t>We grant stock options and restricted stock to our employees and non-employee directors under our current stock plan. The</w:t>
      </w:r>
      <w:r>
        <w:rPr>
          <w:rFonts w:ascii="Arial" w:cs="Arial" w:eastAsia="Arial" w:hAnsi="Arial"/>
          <w:sz w:val="15"/>
          <w:szCs w:val="15"/>
          <w:i w:val="1"/>
          <w:iCs w:val="1"/>
          <w:color w:val="auto"/>
        </w:rPr>
        <w:t xml:space="preserve"> </w:t>
      </w:r>
      <w:r>
        <w:rPr>
          <w:rFonts w:ascii="Arial" w:cs="Arial" w:eastAsia="Arial" w:hAnsi="Arial"/>
          <w:sz w:val="15"/>
          <w:szCs w:val="15"/>
          <w:color w:val="auto"/>
        </w:rPr>
        <w:t>benefits provided under this plan are share-based payments subject to the provisions of SFAS No. 123(R). Effective January 1, 2006, we adopted the requirements of SFAS No. 123(R) which addresses the accounting for share-based payment transactions in which an enterprise receives employee services in exchange for</w:t>
      </w:r>
    </w:p>
    <w:p>
      <w:pPr>
        <w:spacing w:after="0" w:line="1" w:lineRule="exact"/>
        <w:rPr>
          <w:sz w:val="20"/>
          <w:szCs w:val="20"/>
          <w:color w:val="auto"/>
        </w:rPr>
      </w:pPr>
    </w:p>
    <w:p>
      <w:pPr>
        <w:ind w:firstLine="8"/>
        <w:spacing w:after="0" w:line="287" w:lineRule="auto"/>
        <w:tabs>
          <w:tab w:leader="none" w:pos="239" w:val="left"/>
        </w:tabs>
        <w:numPr>
          <w:ilvl w:val="0"/>
          <w:numId w:val="11"/>
        </w:numPr>
        <w:rPr>
          <w:rFonts w:ascii="Arial" w:cs="Arial" w:eastAsia="Arial" w:hAnsi="Arial"/>
          <w:sz w:val="16"/>
          <w:szCs w:val="16"/>
          <w:color w:val="auto"/>
        </w:rPr>
      </w:pPr>
      <w:r>
        <w:rPr>
          <w:rFonts w:ascii="Arial" w:cs="Arial" w:eastAsia="Arial" w:hAnsi="Arial"/>
          <w:sz w:val="16"/>
          <w:szCs w:val="16"/>
          <w:color w:val="auto"/>
        </w:rPr>
        <w:t>equity instruments of the enterprise or (b) liabilities that are based on the fair value of the enterprise’s equity instruments or that may be settled by the issuance of such equity instruments. As a result of this new accounting requirement, our consolidated financial statements for the three and six months ended June 30, 2006 include compensation expense as calculated per the provisions of SFAS No. 123(R). In adopting SFAS No. 123(R), we elected to use the modified prospective transition method, thus our consolidated financial statements for periods prior to January 1, 2006 do not include any impact of SFAS No. 123(R). We also elected to attribute the value of share-based compensation to expense using the straight-line method for awards granted after December 31, 2005 upon our adoption of SFAS No. 123(R). Share-based compensation expense for awards outstanding as of December 31, 2005 are being recognized over the remaining service period using the compensation expense calculated according to the pro forma disclosure provisions under SFAS No. 123, which uses the straight-line expense recognition method for those awards with a graded vesting schedule. Share-based compensation expense related to stock options, our ESPP and restricted stock was $2.4 million and $4.7 million before taxes for the three and six months ended June 30, 2006, respectively.</w:t>
      </w:r>
    </w:p>
    <w:p>
      <w:pPr>
        <w:spacing w:after="0" w:line="12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Upon adoption of SFAS No. 123(R) on January 1, 2006, we elected to value our share-based payment option awards using the Black-Scholes option pricing model as we had under the pro forma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7" w:name="page18"/>
    <w:bookmarkEnd w:id="1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provisions of SFAS No. 123. The determination of fair value of share-based awards on the date of grant is affected by our stock price as well as assumptions regarding a number of complex and subjective variables. These significant assumptions include our expected stock price volatility over the term of the awards and the expected term of stock options.</w:t>
      </w:r>
    </w:p>
    <w:p>
      <w:pPr>
        <w:spacing w:after="0" w:line="14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determined our expected volatility by using a combination of historical and implied volatility, or blended volatility, to derive our expected volatility assumption as allowed under SFAS No. 123(R) and SAB No. 107. Implied volatility was based on three-month traded options of our common stock. We determined that the volatility calculated using a blend of implied volatility and our historical volatility was more reflective of expected volatility than using only historical volatility. The expected term of stock options represents the weighted-average period the stock options are expected to remain outstanding. The expected term of options granted is estimated using the average of the vesting date and the contractual term and projected and historical experience.</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Other assumptions required for estimating fair value under the Black-Scholes option pricing model are the expected risk-free interest rate and expected dividend yield of our stock. Our risk-free interest rate assumption is based upon currently available rates on zero coupon U.S. Government issues for the expected term of our stock options. The expected dividend rate is not applicable to us as we have not historically declared or paid dividends nor do we currently anticipate paying cash dividends in the foreseeable future.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SFAS No. 123(R) also requires forfeitures to be estimated at the time of grant and we have estimated our forfeitures based on historical experience. We will revise this estimate, if necessary, in subsequent periods if actual forfeiture rates differ from our estimates. In our pro forma information required under SFAS No. 123 for periods prior to January 1, 2006, we accounted for forfeitures as they occurred.</w:t>
      </w:r>
    </w:p>
    <w:p>
      <w:pPr>
        <w:spacing w:after="0" w:line="14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If we change any of the critical assumptions that we use in the Black-Scholes option pricing model such as expected volatility or expected term or if we decide to use a different valuation model in the future, the compensation expense that we record under SFAS No. 123(R) may differ significantly in the future from what we have recorded in the current period. In addition, as the guidance by regulators for SFAS No. 123(R) is relatively new, the application of these principles may be subject to further interpretation and refinement over time.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2006 Compared to Three Months Ended June 30, 2005</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three months ended June 30, 2006 increased $7.1 million, or 18.3%, to $45.7 million compared to $38.6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2005. The overall increase in revenue is primarily attributable to an increase in product sales related to increased demand for our EV-DO PC Cards. The overall increase in CDMA / EV-DO product sales for the three months ended June 30, 2006 compared to 2005 was approximately $16.5 million. Our UMTS / HSDPA product sales, which include our Fixed Mobile Convergence products that were introduced during the first quarter of 2005, decreased by approximately $9.7 million during the three months ended June 30, 2006 compared to the same period in 2005. The remaining $300,000 increase in revenue is attributed to other products that were sold during the same period in 2005.</w:t>
      </w:r>
    </w:p>
    <w:p>
      <w:pPr>
        <w:spacing w:after="0" w:line="12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Cost of revenue. </w:t>
      </w:r>
      <w:r>
        <w:rPr>
          <w:rFonts w:ascii="Arial" w:cs="Arial" w:eastAsia="Arial" w:hAnsi="Arial"/>
          <w:sz w:val="18"/>
          <w:szCs w:val="18"/>
          <w:color w:val="auto"/>
        </w:rPr>
        <w:t>Cost of revenue for the three months ended June 30, 2006 increased $7.3 million, or 27.2%, to $34.1 million compared to $26.8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same period in 2005. The increase in cost of revenue was primarily related to an increase in product cost of $6.8 million due to the increase in product sales as discussed above. The remaining increase in cost of revenue primarily consists of an increase in freight and distribution costs of approximately $500,000 due to additional costs associated with our European product sales, and an increase of approximately $100,000 related to provisions for excess and obsolete inventory as compared to the same period in 2005.</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three months ended June 30, 2006 decreased by $300,000, or 2.4% to $11.5 million compared to $11.8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2005. The decrease was primarily attributable to the increase in the cost of revenue as discussed above. Gross margin as a percent of revenue decreased to 25.3% for the three months ended June 30, 2006 compared to 30.6% for same period in 2005. The decrease in gross margin as a percentage of revenue was primarily attributable to sales of products with lower margins in 2006 as compared to 2005 as discussed above.</w:t>
      </w:r>
    </w:p>
    <w:p>
      <w:pPr>
        <w:spacing w:after="0" w:line="113"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b w:val="1"/>
          <w:bCs w:val="1"/>
          <w:i w:val="1"/>
          <w:iCs w:val="1"/>
          <w:color w:val="auto"/>
        </w:rPr>
        <w:t xml:space="preserve">Research and development expenses. </w:t>
      </w:r>
      <w:r>
        <w:rPr>
          <w:rFonts w:ascii="Arial" w:cs="Arial" w:eastAsia="Arial" w:hAnsi="Arial"/>
          <w:sz w:val="15"/>
          <w:szCs w:val="15"/>
          <w:color w:val="auto"/>
        </w:rPr>
        <w:t>Research and development expenses for the three months ended June 30, 2006 increased $2.7 million, or 61.3%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$7.1 million compared to $4.4 million for the same period in 2005. The increase was primarily attributable to an increase in salary and related expenses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8" w:name="page19"/>
    <w:bookmarkEnd w:id="18"/>
    <w:p>
      <w:pPr>
        <w:ind w:right="4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approximately $1.9 million which included share-based compensation of $600,000 in connection with the adoption of SFAS No. 123(R). Other increases consist of approximately $600,000 in consulting fees and services, and $200,000 related to an increase in facility overhead costs charged to research and development in 2006 as compared to the same period in 2005.</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three months ended June 30, 2006 increased approximately $1.9 million, or 118.8%,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$3.5 million compared to approximately $1.6 million for the same period in 2005. The increase was primarily a result of an increase in sales and marketing efforts which included hiring new personnel during the second quarter of 2006 that increased salary and related expenses by approximately $1.1 million, including share-based compensation of $500,000 in connection with the adoption of SFAS No. 123(R). In addition to the increases in personnel, product marketing and advertising expenses increased by approximately $600,000, and travel expenditures increased by approximately $200,000 for the second quarter of 2006 as compared to the same period in 2005.</w:t>
      </w:r>
    </w:p>
    <w:p>
      <w:pPr>
        <w:spacing w:after="0" w:line="14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three months ended June 30, 2006 increased approximately $2.3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135.3%, to $4.0 million compared to $1.7 million for the same period in 2005. The increase was primarily attributable to an increase in salary and related expenses of approximately $1.6 million, including share-based compensation of approximately $1.2 million in connection with the adoption of SFAS No. 123(R). General and administrative expenses also include an increase in allowance for bad debts of approximately $300,000, an increase in professional service and legal fees of approximately $200,000, and an increase in leasehold expense of approximately $200,000 during the second quarter of 2006 compared to the same period in 2005.</w:t>
      </w:r>
    </w:p>
    <w:p>
      <w:pPr>
        <w:spacing w:after="0" w:line="14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Other income (expense). </w:t>
      </w:r>
      <w:r>
        <w:rPr>
          <w:rFonts w:ascii="Arial" w:cs="Arial" w:eastAsia="Arial" w:hAnsi="Arial"/>
          <w:sz w:val="16"/>
          <w:szCs w:val="16"/>
          <w:color w:val="auto"/>
        </w:rPr>
        <w:t>Other income (expense) increased by approximately $1.2 million for the three months ended June 30, 2006 compared to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2005 primarily due to the increase in our foreign exchange gains on our Euro denominated receivable and cash balances.</w:t>
      </w:r>
    </w:p>
    <w:p>
      <w:pPr>
        <w:spacing w:after="0" w:line="85"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b w:val="1"/>
          <w:bCs w:val="1"/>
          <w:i w:val="1"/>
          <w:iCs w:val="1"/>
          <w:color w:val="auto"/>
        </w:rPr>
        <w:t>Provision for Income Taxes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recorded an income tax benefit of $1.6 million in the second quarter of 2006 compared to an income tax expense of $1.6</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in the second quarter of 2005. The income tax benefit and related deferred tax asset recorded during the second quarter of 2006 was based on our expected annualized effective tax rate and we anticipate utilizing this deferred tax asset during the remainder of 2006. Income taxes represent estimated federal, foreign, and state taxes for the three months ended June 30, 2006 and 2005. The effective tax rate for the three months ended June 30, 2006 was approximately 106%. The difference between the federal and state statutory combined rate of 40% and our effective tax rate for 2006 is primarily due to the impact of accounting for share-based compensation, for which certain share-based awards are treated as permanent differences. The effective tax rate was also impacted by the increase in our estimated 2006 tax rate to 73% during the second quarter as compared to our initial estimated 2006 tax rate of 56%. As a result of this change, the tax benefit recorded during the second quarter was impacted by this estimate revision. Provision for income taxes of approximately $1.6 million for the three months ended June 30, 2005 consists of federal and state taxes at our estimated effective tax rate of 35%. The difference between the federal and state statutory rate of 40% and our effective tax rate for 2005 is due primarily to research and development credits generated in 2005 and a low effective state tax rate.</w:t>
      </w:r>
    </w:p>
    <w:p>
      <w:pPr>
        <w:spacing w:after="0" w:line="109"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accordance with SFAS No. 123(R), we recognize a tax benefit upon expensing certain share-based awards associated with our share-based compensation plans, including nonqualified stock options and restricted stock, but under current accounting standards we cannot recognize a tax benefit currently for those share-based compensation expenses associated with incentive stock options and employee stock purchase plan shares (qualified stock options). For qualified stock options that vested after our adoption of SFAS No. 123(R), we recognize a tax benefit only in the period when disqualifying dispositions of the underlying stock occur, and for qualified stock options that vested prior to our adoption of SFAS No. 123(R), the tax benefit is recorded directly to additional paid-in capital. No tax benefit associated with total share-based compensation was recorded during the three months ended June 30, 2006. The impact of share-based compensation permanent items resulted in a increase of 40 percentage points to the annual effective tax rate. Because we cannot recognize the tax benefit for share-based compensation expense associated with qualified stock options until the occurrence of future disqualifying dispositions of the underlying stock and because a portion of that tax benefit may be recorded directly to additional paid-in capital, our future quarterly and annual effective tax rates will be subject to greater volatility and, consequently, our ability to reasonably estimate our future quarterly and annual effective tax rates is diminished.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9" w:name="page20"/>
    <w:bookmarkEnd w:id="19"/>
    <w:p>
      <w:pPr>
        <w:ind w:right="740" w:firstLine="456"/>
        <w:spacing w:after="0" w:line="332"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Net income. </w:t>
      </w:r>
      <w:r>
        <w:rPr>
          <w:rFonts w:ascii="Arial" w:cs="Arial" w:eastAsia="Arial" w:hAnsi="Arial"/>
          <w:sz w:val="16"/>
          <w:szCs w:val="16"/>
          <w:color w:val="auto"/>
        </w:rPr>
        <w:t>For the three months ended June 30, 2006, we reported net income of approximately $100,000 which includes non-cash share-based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expense of approximately $500,000 after tax, as compared to net income of $2.9 million for the same period in 2005.</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2006 Compared to Six Months Ended June 30, 2005</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six months ended June 30, 2006 increased $14.9 million, or 21.0%, to $85.8 million compared to $70.9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2005. The overall increase in revenue is primarily attributable to an increase in product sales of approximately $15.4 million, offset by a decrease of approximately $500,000 in development service revenue. The increase in product sales was primarily due to increased demand for our EV-DO PC Cards. The overall increase in CDMA / EV-DO product sales for the six months ended June 30, 2006 compared to 2005 was approximately $31.0 million. Our UMTS / HSDPA product sales, which include our Fixed Mobile Convergence products that were introduced during the first quarter of 2005, decreased by approximately $15.8 million during the six months ended June 30, 2006 compared to the same period in 2005. There was approximately $100,000 recognized from development services during the six months ended June 30, 2006 compared to approximately $500,000 for the same period in 2005.</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Cost of revenue. </w:t>
      </w:r>
      <w:r>
        <w:rPr>
          <w:rFonts w:ascii="Arial" w:cs="Arial" w:eastAsia="Arial" w:hAnsi="Arial"/>
          <w:sz w:val="18"/>
          <w:szCs w:val="18"/>
          <w:color w:val="auto"/>
        </w:rPr>
        <w:t>Cost of revenue for the six months ended June 30, 2006 increased $17.0 million, or 35.1%, to $65.4 million compared to $48.4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2005. The increase in cost of revenue was primarily related to an increase in product cost of $14.6 million due to the increase in product sales as discussed above. In addition, freight and distribution costs increased by approximately $1.2 million due to additional costs associated with our European product sales. The remaining increase in costs of revenue primarily consist of manufacturing overhead costs of approximately $1.1 million and an increase of approximately $700,000 related to the write down of excess and obsolete inventory during the six months ended June 30, 2006 as compared to the same period in 2005.</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six months ended June 30, 2006 decreased by $2.1 million, or 9.3% to $20.4 million compared to $22.5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2005. The decrease was primarily attributable to the increase in revenue and the cost of revenue as discussed above. Gross margin as a percent of revenue decreased to 23.8% for the six months ended June 30, 2006 compared to 31.7% for the same period in 2005. The decrease in gross margin as a percentage of revenue was primarily attributable to sales of products with lower margins in 2006 as compared to 2005 as discussed above.</w:t>
      </w:r>
    </w:p>
    <w:p>
      <w:pPr>
        <w:spacing w:after="0" w:line="11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six months ended June 30, 2006 increased $5.8 million, or 72.5%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$13.8 million compared to $8.0 million for the same period in 2005. The increase was primarily attributable to an increase in salary and related expenses of approximately $4.0 million which included share-based compensation of $1.1 million. Other increases consist of approximately $900,000 in consulting fees and services, $500,000 in amortization of capital equipment procured to support increased product development activities, and approximately $300,000 related to an increase in facilities overhead cost charged to research and development in 2006 as compared to the same period in 2005. In addition, customer funded development services decreased by approximately $200,000 for the six months June 30, 2006 compared to the same period in 2005.</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six months ended June 30, 2006 increased approximately $2.9 million, or 87.9%,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$6.2 million compared to approximately $3.3 million for the same period in 2005. The increase was primarily a result of an increase in sales and marketing efforts which included hiring new personnel during the six months ended June 30, 2006, primarily to expand our European sales team resulting in increased salary and related expenses of approximately $1.9 million, including share-based compensation of approximately $1.0 million. The expansion of our sales team in Europe also resulted in an increase to our office rent and utilities of approximately $100,000. In addition to the increases in personnel, product marketing and advertising expenses increased by approximately $600,000, and travel expenditures increased by approximately $300,000 for the six months ended June 30, 2006 as compared to the same period in 2005.</w:t>
      </w:r>
    </w:p>
    <w:p>
      <w:pPr>
        <w:spacing w:after="0" w:line="118"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b w:val="1"/>
          <w:bCs w:val="1"/>
          <w:i w:val="1"/>
          <w:iCs w:val="1"/>
          <w:color w:val="auto"/>
        </w:rPr>
        <w:t xml:space="preserve">General and administrative expenses. </w:t>
      </w:r>
      <w:r>
        <w:rPr>
          <w:rFonts w:ascii="Arial" w:cs="Arial" w:eastAsia="Arial" w:hAnsi="Arial"/>
          <w:sz w:val="15"/>
          <w:szCs w:val="15"/>
          <w:color w:val="auto"/>
        </w:rPr>
        <w:t>General and administrative expenses for the six months ended June 30, 2006 increased approximately $4.1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113.9%, to $7.7 million compared to $3.6 million for the same period in 2005. The increase was primarily attributable to an increase in salary and related expenses of approximately $2.9 million, including share-based compensation of approximately $2.4 million. General and administrative expenses also include an increase in professional service and legal fees of approximately $700,000, an increase in allowance for bad debts of approximately $300,000, an increase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0" w:name="page21"/>
    <w:bookmarkEnd w:id="20"/>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insurance costs of $100,000, and an increase in state and local taxes of approximately $100,000 during the six months ended June 30, 2006 as compared to the same period in 2005.</w:t>
      </w:r>
    </w:p>
    <w:p>
      <w:pPr>
        <w:spacing w:after="0" w:line="13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Other income (expense). </w:t>
      </w:r>
      <w:r>
        <w:rPr>
          <w:rFonts w:ascii="Arial" w:cs="Arial" w:eastAsia="Arial" w:hAnsi="Arial"/>
          <w:sz w:val="16"/>
          <w:szCs w:val="16"/>
          <w:color w:val="auto"/>
        </w:rPr>
        <w:t>Other income (expense) increased by approximately $1.8 million for the six months ended June 30, 2006 compared to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2005 primarily due to the increase in our foreign exchange gains on our Euro denominated receivable and cash balances.</w:t>
      </w:r>
    </w:p>
    <w:p>
      <w:pPr>
        <w:spacing w:after="0" w:line="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Provision for Income Taxes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recorded an income tax benefit of $3.4 million for the six months ended June 30, 2006 compared to an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of $3.0 million for the six months ended June 30, 2005. The income tax benefit and related deferred tax asset recorded during the second quarter of 2006 was based on our expected annualized effective tax rate and we anticipate utilizing this deferred tax asset during the remainder of 2006. Income taxes represent estimated federal, foreign, and state taxes for the six months ended June 30, 2006 and 2005. The effective tax rate for the six months ended June 30, 2006 was approximately 73%. The difference between the federal and state statutory combined rate of 40% and our effective tax rate for 2006 is primarily due to the impact of accounting for share-based compensation, for which certain share-based awards are treated as permanent differences. Provision for income taxes of approximately $3.0 million for the six months ended June 30, 2005 consists of federal and state taxes at our estimated effective tax rate of 35%. The difference between the federal and state statutory rate of 40% and our effective tax rate for 2005 is due primarily to research and development credits generated in 2005 and a low effective state tax rate.</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accordance with SFAS No. 123(R), we recognize a tax benefit upon expensing certain share-based awards associated with our share-based compensation plans, including nonqualified stock options and restricted stock, but under current accounting standards we cannot recognize a tax benefit currently for those share-based compensation expenses associated with incentive stock options and employee stock purchase plan shares (qualified stock options). For qualified stock options that vested after our adoption of SFAS No. 123(R), we recognize a tax benefit only in the period when disqualifying dispositions of the underlying stock occur, and for qualified stock options that vested prior to our adoption of SFAS No. 123(R), the tax benefit is recorded directly to additional paid-in capital. No tax benefit associated with total share-based compensation was recorded during the six months ended June 30, 2006. The impact of share-based compensation permanent items resulted in an increase of 40 percentage points to the annual effective tax rate. Because we cannot recognize the tax benefit for share-based compensation expense associated with qualified stock options until the occurrence of future disqualifying dispositions of the underlying stock and because a portion of that tax benefit may be recorded directly to additional paid-in capital, our future quarterly and annual effective tax rates will be subject to greater volatility and, consequently, our ability to reasonably estimate our future quarterly and annual effective tax rates is diminished.</w:t>
      </w:r>
    </w:p>
    <w:p>
      <w:pPr>
        <w:spacing w:after="0" w:line="12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For the six months ended June 30, 2006, we reported a net loss of $1.3 million, which includes non-cash share-based compensation expense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$1.4 million after tax, as compared to net income of $5.5 million for the same period in 2005.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June 30, 2006, we had working capital of $103.3 million and approximately $76.8 million in cash and cash equivalents and short-term and long-term marketable securities, which is a decrease of approximately $13.5 million from $90.3 million at December 31, 2005.</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Net cash provided by (used in) operating activities. </w:t>
      </w:r>
      <w:r>
        <w:rPr>
          <w:rFonts w:ascii="Arial" w:cs="Arial" w:eastAsia="Arial" w:hAnsi="Arial"/>
          <w:sz w:val="16"/>
          <w:szCs w:val="16"/>
          <w:color w:val="auto"/>
        </w:rPr>
        <w:t>Net cash used in operating activities was approximately $3.3 million for the six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2006 compared to net cash provided by operating activities of $14.8 million for the same period in 2005. The decrease of $18.1 million was primarily attributable to the net loss of $1.3 million, a $7.3 million increase in our accounts receivable balance, a $11.8 million decrease in our accounts payable balance and $3.4 million in non-cash income tax benefit, primarily offset by a $5.7 million decrease in inventory, $3.6 million of non-cash depreciation and amortization expense, $4.7 million in share-based compensation expense, and a $1.1 million increase in accrued liabilities.</w:t>
      </w:r>
    </w:p>
    <w:p>
      <w:pPr>
        <w:spacing w:after="0" w:line="11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Net cash provided by investing activities. </w:t>
      </w:r>
      <w:r>
        <w:rPr>
          <w:rFonts w:ascii="Arial" w:cs="Arial" w:eastAsia="Arial" w:hAnsi="Arial"/>
          <w:sz w:val="18"/>
          <w:szCs w:val="18"/>
          <w:color w:val="auto"/>
        </w:rPr>
        <w:t>Net cash provided by investing activities for the six months ended June 30, 2006 was approximately $4.5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net cash provided by investing activities of $1.0 million during the same period in 2005. Cash provided by investing activities in 2006 was primarily due to the net maturities/sales of marketable securities of $7.7 million offset by purchases of property and equipment of $3.2 million. Cash provided by investing activities in 2005 was primarily due to net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1" w:name="page22"/>
    <w:bookmarkEnd w:id="21"/>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maturities/sales of marketable securities of $4.2 million offset by purchases of property and equipment of $3.0 million, and purchases of intangible assets of approximately $200,000.</w:t>
      </w:r>
    </w:p>
    <w:p>
      <w:pPr>
        <w:spacing w:after="0" w:line="13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i w:val="1"/>
          <w:iCs w:val="1"/>
          <w:color w:val="auto"/>
        </w:rPr>
        <w:t xml:space="preserve">Net cash used in financing activities. </w:t>
      </w:r>
      <w:r>
        <w:rPr>
          <w:rFonts w:ascii="Arial" w:cs="Arial" w:eastAsia="Arial" w:hAnsi="Arial"/>
          <w:sz w:val="18"/>
          <w:szCs w:val="18"/>
          <w:color w:val="auto"/>
        </w:rPr>
        <w:t>Net cash used in financing activities for the six months ended June 30, 2006 was approximately $7.2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approximately $400,000 used in financing activities during the same period in 2005. Cash used in financing activities in 2006 was due to payments on our revolving credit facility of approximately $5.0 million, and payments on the capital lease obligations of approximately $3.9 million, offset by $1.1 million of proceeds received from the exercise of common stock options and $600,000 of excess tax benefits from stock options exercised. Cash used in financing activities in 2005 was due to the payments on capital lease obligations of approximately $1.0 million, offset by approximately $600,000 of proceeds received from the exercise of common stock options.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Contractual Obligations and Commercial Commitments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and other commitments at June 30, 2006, and the effect such obligations could have on our liquidity and cash flow in future periods: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10"/>
          </w:tcPr>
          <w:p>
            <w:pPr>
              <w:ind w:left="480"/>
              <w:spacing w:after="0"/>
              <w:rPr>
                <w:sz w:val="20"/>
                <w:szCs w:val="20"/>
                <w:color w:val="auto"/>
              </w:rPr>
            </w:pPr>
            <w:r>
              <w:rPr>
                <w:rFonts w:ascii="Arial" w:cs="Arial" w:eastAsia="Arial" w:hAnsi="Arial"/>
                <w:sz w:val="14"/>
                <w:szCs w:val="14"/>
                <w:b w:val="1"/>
                <w:bCs w:val="1"/>
                <w:color w:val="auto"/>
              </w:rPr>
              <w:t>Payments Due by Fiscal Year</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2006</w:t>
            </w:r>
          </w:p>
        </w:tc>
        <w:tc>
          <w:tcPr>
            <w:tcW w:w="22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2007</w:t>
            </w:r>
          </w:p>
        </w:tc>
        <w:tc>
          <w:tcPr>
            <w:tcW w:w="22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7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0"/>
              </w:rPr>
              <w:t>$1,844</w:t>
            </w:r>
          </w:p>
        </w:tc>
        <w:tc>
          <w:tcPr>
            <w:tcW w:w="82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90"/>
              </w:rPr>
              <w:t>$1,387</w:t>
            </w:r>
          </w:p>
        </w:tc>
        <w:tc>
          <w:tcPr>
            <w:tcW w:w="7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$1,429</w:t>
            </w:r>
          </w:p>
        </w:tc>
        <w:tc>
          <w:tcPr>
            <w:tcW w:w="7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$1,472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Committed purchase orders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55,031</w:t>
            </w:r>
          </w:p>
        </w:tc>
        <w:tc>
          <w:tcPr>
            <w:tcW w:w="22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55,031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55,949</w:t>
            </w:r>
          </w:p>
        </w:tc>
        <w:tc>
          <w:tcPr>
            <w:tcW w:w="7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1,844</w:t>
            </w:r>
          </w:p>
        </w:tc>
        <w:tc>
          <w:tcPr>
            <w:tcW w:w="82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1,387</w:t>
            </w:r>
          </w:p>
        </w:tc>
        <w:tc>
          <w:tcPr>
            <w:tcW w:w="7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1,429</w:t>
            </w:r>
          </w:p>
        </w:tc>
        <w:tc>
          <w:tcPr>
            <w:tcW w:w="7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1,472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62,081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Liquidity Needs</w:t>
      </w:r>
    </w:p>
    <w:p>
      <w:pPr>
        <w:spacing w:after="0" w:line="9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During the next twelve months we plan to expend approximately $12.0 million to $15.0 million for the acquisition of additional licenses and for capital expenditures. In addition, certain of our operating leases related to consolidated facilities obligate us to pay an aggregate of approximately $200,000, net of sublease income, over the next 15 months. This obligation is included in the operating lease commitments in the above table.</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believe that our available cash and investments together with our operating cash flows and available borrowings under our line of credit facility, will be sufficient to fund operations, including the continued expansion of our sales and marketing team, the further development of our new products and the related increase in our general and administrative expenses, and to satisfy our working capital requirements and anticipated capital expenditures for the next twelve months. We expect that a significant source of funds in the future will be our operating cash flow. Our future revenue is dependent on us fulfilling our commitments under agreements with a small number of major customers. Our liquidity could be impaired if there is any interruption in our business operations, a material failure to satisfy these contractual commitments or a failure to generate additional revenue from new or existing products.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Before deciding to purchase, hold or sell our common stock, you should carefully consider the risks described below in addition to the other cautionary statements and risks described elsewhere, and the other information contained, in this Report and in our other filings with the SEC, including our Annual Report on Form 10-K for the year ended December 31, 2005 and subsequent reports on Forms 8-K. The risks and uncertainties described below are not the only ones we face. Additional risks and uncertainties not presently known to us or that we currently deem immaterial may also affect our business. If any of these known or unknown risks or uncertainties actually occurs with material adverse effects on Novatel Wireless, our business, financial condition and results of operations could be seriously harmed. In that event, the market price for our common stock could decline and you may lose all or part of your investment.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wireless broadband data access products is highly competitive, and we may be unable to compete effectively.</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market for wireless broadband data access products is highly competitive, and we expect competition to continue to increase and intensify. Many of our competitors or potential competitors have significantly greater financial, technical, operational and marketing resources than we do. These competitors, for example, may be able to respond more rapidly or more effectively than we can to new or emerging technologies, changes in customer requirements, supplier related developments, or a shift in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2" w:name="page23"/>
    <w:bookmarkEnd w:id="22"/>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landscape. They also may devote greater resources than we do to the development, promotion, sale, and post- sale support of their respective products.</w:t>
      </w:r>
    </w:p>
    <w:p>
      <w:pPr>
        <w:spacing w:after="0" w:line="20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Many of our current or potential competitors have more extensive customer bases and broader customer, supplier and other industry relationships that they can leverage to establish competitive dealings with many of our current and potential customers. Some of these companies also have more established and larger customer support organizations than we do. In addition, these companies may adopt more aggressive pricing policies or offer more attractive terms to customers than they currently do or than we are able to, may bundle their competitive products with broader product offerings and may introduce new products and enhancements. Current and potential competitors might merge or otherwise establish cooperative relationships among themselves or with third parties to enhance their products or market position. As a result, it is possible that new competitors or new relationships among existing competitors may emerge and rapidly acquire significant market share to the detriment of our business.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wireless communications products currently compete with a variety of devices, including other wireless modems, wireless handsets, wireless handheld computing devices and other wireless devices. Our current and potential competitors include:</w:t>
      </w:r>
    </w:p>
    <w:p>
      <w:pPr>
        <w:spacing w:after="0" w:line="51"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wireless data modem providers, such as Huawei, Option, Sierra Wireless, Kyocera, Pantech-Curitel and Sony-Ericsson;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wireless computing device manufacturers, such as palmOne and Research in Motion;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wireless handset and infrastructure manufacturers, such as Motorola, Nokia, Siemens and Sony-Ericsson.</w:t>
      </w:r>
    </w:p>
    <w:p>
      <w:pPr>
        <w:spacing w:after="0" w:line="17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expect our competitors to continue to improve the features and performance of their current products and to introduce new products, services and technologies. Successful new product introductions or enhancements by our competitors could reduce our sales and the market acceptance of our products, cause intense price competition and make our products obsolete. To be competitive, we must continue to invest significant resources in, among other things, research and development, sales and marketing, and customer support. We cannot be sure that we will have sufficient resources to make these investments or that we will be able to make the technological advances necessary for our products to remain competitive. Increased competition could result in price reductions, fewer or smaller customer orders, reduced margins and loss of our market share. Our failure to compete successfully could seriously harm our business, financial condition and results of operations.</w:t>
      </w:r>
    </w:p>
    <w:p>
      <w:pPr>
        <w:spacing w:after="0" w:line="228"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Our failure to predict and comply with evolving wireless industry standards, including 3G standards, could hurt our ability to introduce and sell new products.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our industry, it is critical to our success that we accurately anticipate evolving wireless technology standards and that our products comply with such standards in relevant respects. We are currently focused on engineering and manufacturing products that comply with several different 3G wireless standards. Any failure of our products to comply with any one of these or future applicable standards could prevent or delay their introduction and require costly and time-consuming engineering changes. Additionally, if an insufficient number of wireless operators or subscribers adopt the standards to which we engineer our products, then sales of our new products designed to those standards could be materially harmed.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develop and introduce new products successfully, we may lose key customers or product orders and our business could be harmed.</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development of new wireless data products requires technological innovation and can be difficult, lengthy and costly. In addition, wireless operators require that wireless data systems deployed on their networks comply with their own technical and product performance standards, which may differ from the standards our products are required to meet for other operators. This increases the complexity of the product development process. In addition, as we introduce new versions of our existing products or new products altogether, our current customers may not require or desire the technological innovations of these products and may not purchase them or might purchase them in smaller quantities than we had expected.</w:t>
      </w:r>
    </w:p>
    <w:p>
      <w:pPr>
        <w:spacing w:after="0" w:line="1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Further, as part of our strategy, we enter into contracts with some customers pursuant to which we develop products for later sale to the customer. Our ability to generate future revenue and operating income under any such contracts depends upon, among other factors, our ability to timely develop products that are suitable for manufacturing and in a cost effective manner and that meet defined product design, technical and performance specifications. Our ability to maximize the benefits of these contracts depends in part on the following:</w:t>
      </w:r>
    </w:p>
    <w:p>
      <w:pPr>
        <w:spacing w:after="0" w:line="62" w:lineRule="exact"/>
        <w:rPr>
          <w:sz w:val="20"/>
          <w:szCs w:val="20"/>
          <w:color w:val="auto"/>
        </w:rPr>
      </w:pPr>
    </w:p>
    <w:p>
      <w:pPr>
        <w:jc w:val="both"/>
        <w:ind w:left="780" w:right="200" w:hanging="326"/>
        <w:spacing w:after="0" w:line="259"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priced the products to be sold under these contracts based on our estimated development, production and post-production warranty costs. If these or other related development and production costs are actually higher than our estimated costs, our gross margins and operating margins on the corresponding contracts will be less than anticipated.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3" w:name="page24"/>
    <w:bookmarkEnd w:id="23"/>
    <w:p>
      <w:pPr>
        <w:ind w:left="780" w:right="200" w:hanging="326"/>
        <w:spacing w:after="0" w:line="256"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we are unable to commit the necessary engineering, program management and other resources or are otherwise unable to successfully develop products as required by the terms of these contracts, our customers may cancel the related contracts, we may not be entitled to recover any costs that we incurred for research and development, sales and marketing, production and otherwise, and we may be subject to additional costs such as contractual penalties.</w:t>
      </w:r>
    </w:p>
    <w:p>
      <w:pPr>
        <w:spacing w:after="0" w:line="62" w:lineRule="exact"/>
        <w:rPr>
          <w:rFonts w:ascii="Arial" w:cs="Arial" w:eastAsia="Arial" w:hAnsi="Arial"/>
          <w:sz w:val="18"/>
          <w:szCs w:val="18"/>
          <w:color w:val="auto"/>
        </w:rPr>
      </w:pPr>
    </w:p>
    <w:p>
      <w:pPr>
        <w:ind w:left="780" w:right="200" w:hanging="326"/>
        <w:spacing w:after="0" w:line="259"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deliver in a timely manner a product that is suitable for manufacture or if a customer determines that a prototype product we delivered does not meet the agreed-upon specifications, we may be unable to commercially launch the product, we may have to reduce the price we charge for such product if it launches, or we may be required to pay damages to the customer.</w:t>
      </w:r>
    </w:p>
    <w:p>
      <w:pPr>
        <w:spacing w:after="0" w:line="14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If we are unable to successfully manage these risks or meet required delivery specifications or deadlines in connection with one or more of our key contracts, we may lose key customers or orders and our business could be harmed.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strategic relationships, we may not be able to penetrate new markets.</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 key element of our business strategy is to penetrate new markets by developing new products through strategic relationships with industry leaders in wireless communications. We are currently investing, and plan to continue to invest, significant resources to develop these relationships. We believe that our success in penetrating new markets for our products will depend, in part, on our ability to develop and maintain these relationships and to cultivate additional or alternative relationships. There can be no assurance, however, that we will be able to develop additional strategic relationships, that existing relationships will survive and successfully achieve their purposes or that the companies with whom we have strategic relationships will not form competing arrangements with others or determine to compete unilaterally with us.</w:t>
      </w:r>
    </w:p>
    <w:p>
      <w:pPr>
        <w:spacing w:after="0" w:line="20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Since we have historically depended, and continue to depend, upon only a small number of our customers for a substantial portion of our revenue and upon only a few of our key customers to make contractual minimum volume purchases, our business could be negatively affected by an adverse change in our dealings with only a few customers.</w:t>
      </w:r>
    </w:p>
    <w:p>
      <w:pPr>
        <w:spacing w:after="0" w:line="5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significant portion of our revenue comes from a small number of customers. Our top ten customers for the six months ended June 30, 2006 and 2005 accounted for approximately 85.5% and 89.9% of our revenue, respectively. Similarly, our revenue could be adversely affected if we are unable to retain the level of business of any of our significant customers or if we are unable to diversify our customer base. We expect that a small number of customers will combine to account for a substantial amount of our revenue for the foreseeable future.</w:t>
      </w:r>
    </w:p>
    <w:p>
      <w:pPr>
        <w:spacing w:after="0" w:line="14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addition, a majority of our current customers purchase our products pursuant to contracts that do not require them to purchase any specific minimum quantity of units. Such customers have no contractual obligation to continue to purchase our products and if they do not continue to make purchases consistent with their historical purchase levels, our revenue and our share price may decline.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sale of our products depends on the demand for broadband wireless access to enterprise networks and the Internet.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markets for broadband wireless access solutions are relatively new and rapidly evolving, both technologically and competitively, and the successful sale of related products and services depends in part on the strength of the demand for wireless access to both enterprise networks and the Internet. At times in the past, market demand for both wireless products and wireless access services for the transmission of data developed at a slower rate than we had anticipated and as a result our product sales did not generate sufficient revenue to cover our corresponding operating costs. The failure of these markets to continue to grow at the rate that we currently anticipate may adversely impact the growth in the demand for our products and our concomitant rate of growth, and as a result, our business, financial condition and results of operations may be harmed.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marketability of our products may suffer if wireless telecommunications operators do not deliver acceptable wireless services.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4" w:name="page25"/>
    <w:bookmarkEnd w:id="24"/>
    <w:p>
      <w:pPr>
        <w:ind w:right="20"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success of our business depends, in part, on the capacity, affordability, reliability and prevalence of wireless data networks provided by wireless telecommunications operators and on which our products operate. Currently, various wireless telecommunications operators, either individually or jointly with us, sell our products in connection with the sale of their wireless data services to their customers. Growth in demand for wireless data access may be limited if, for example, wireless telecommunications operators cease or materially curtail operations, fail to offer services which customers consider valuable, fail to maintain sufficient capacity to meet demand for wireless data access, delay the expansion of their wireless networks and services, fail to offer and maintain reliable wireless network services or fail to market their services effectively. In addition, our future growth depends on the successful deployment of next generation wireless data networks provided by third parties, including those networks for which we are currently developing products. If these next generation networks are not deployed or widely accepted, or if deployment is delayed, there will be no market for the products we are developing to operate on these networks. If any of these events occur, or if for any other reason the demand for wireless data access fails to grow, sales of our products will decline and our business could be harmed.</w:t>
      </w:r>
    </w:p>
    <w:p>
      <w:pPr>
        <w:spacing w:after="0" w:line="20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we do not properly manage the growth of our business, we may experience significant strains on our management and operations and disruptions in our business.</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Various risks arise when companies and industries grow quickly. If our business or industry grows too quickly, our ability to meet customer demand in a timely and efficient manner could be challenged. We may also experience development or production delays as we seek to meet increased demand for our products.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currently rely on third parties to manufacture our products, which exposes us to a number of risks and uncertainties outside our control.</w:t>
      </w:r>
    </w:p>
    <w:p>
      <w:pPr>
        <w:spacing w:after="0" w:line="113"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During 2005, we outsourced our manufacturing to LG Innotek, Celestica and SerComm. During 2006, we anticipate that LG Innotek will be responsible for the majority of our manufacturing. If a third-party manufacturer were to experience delays, disruptions, capacity constraints or quality control problems in its manufacturing operations, product shipments to our customers could be delayed or our customers could consequently elect to cancel the underlying order, which would negatively impact our revenues and our competitive position and reputation. Further, if we are unable to manage successfully our relationship with a manufacturer, the quality and availability of our products may be harmed. Historically, none of our third-party manufacturers has been obligated to supply us with a specific quantity of products, except as may be provided in particular purchase orders which we submit to them from time to time. Therefore, such a third-party manufacturer could at any time and at its sole election decline to accept new purchase orders from us or otherwise reduce its respective business with us. If such a manufacturer stopped manufacturing our products for any reason or reduced manufacturing capacity, we may be unable to replace the lost manufacturing capacity on a timely basis, which would adversely impact our operations. In addition, if a third-party manufacturer were to negatively change the payment and other terms under which it agrees to manufacture for us and we are unable to locate a suitable alternative manufacturer, our manufacturing costs could significantly increase.</w:t>
      </w:r>
    </w:p>
    <w:p>
      <w:pPr>
        <w:spacing w:after="0" w:line="10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Because we outsource the manufacture of all of our products, the cost, quality and availability of third-party manufacturing operations are essential to the successful production and sale of our products. Our reliance on third-party manufacturers exposes us to a number of risks which are outside our control, including:</w:t>
      </w:r>
    </w:p>
    <w:p>
      <w:pPr>
        <w:spacing w:after="0" w:line="59"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increases in manufacturing costs;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interruptions in shipments if a third-party manufacturer is unable to complete production in a timely manner;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control quality of finished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control delivery schedules;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control production levels and to meet minimum volume commitments to our customers;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control manufacturing yield;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maintain adequate manufacturing capacity;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secure adequate volumes of acceptable components, at suitable prices or in a timely manner.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5" w:name="page26"/>
    <w:bookmarkEnd w:id="25"/>
    <w:p>
      <w:pPr>
        <w:ind w:right="4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Although we promote ethical business practices and our operations personnel periodically visit and monitor the operations of our manufacturers, we do not control the manufacturers or their labor practices. If our current manufacturers, or any other third-party manufacturer which we use in the future, violate United States or foreign laws or regulations, we may be subjected to extra duties, significant monetary penalties, adverse publicity, the seizure and forfeiture of products that we are attempting to import or the loss of our import privileges. The effects of these factors could render the conduct of our business in a particular country undesirable or impractical and have a negative impact on our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forecast customer demand incorrectly and order the manufacture of excess or insufficient quantities of particular products.</w:t>
      </w:r>
    </w:p>
    <w:p>
      <w:pPr>
        <w:spacing w:after="0" w:line="11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We have historically placed purchase orders with our manufacturer at least three months prior to the scheduled delivery of the finished goods to our customer. In some instances, due to the length of component lead times, we might need to place manufacturing orders on the basis of our receipt of a good-faith but non-binding customer forecast of the quantity and timing of the customer’s expected purchases from us. Accordingly, if we inaccurately anticipate customer demand for our products, we might be unable to obtain adequate quantities of components to meet our customers’ delivery requirements or, alternatively, we might accumulate excess inventory. Our operating results and financial condition have been in the past and may in the future be materially adversely affected by our ability to manage our inventory levels and respond to short-term or unexpected shifts in customer demand as to quantities or the customer’s product delivery schedule.</w:t>
      </w:r>
    </w:p>
    <w:p>
      <w:pPr>
        <w:spacing w:after="0" w:line="22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We depend on sole source suppliers for some components used in our products, and therefore the availability and sale of those finished products would be harmed if any of these suppliers is not able to meet our demand and in accordance with our production schedule and alternative suitable components are not available.</w:t>
      </w:r>
    </w:p>
    <w:p>
      <w:pPr>
        <w:spacing w:after="0" w:line="5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products contain a variety of components, many of which are procured from single suppliers. These components include both tooled parts and industry-standard parts, many of which are also used in cellular telephone handsets. From time to time, certain components used in our products have been in short supply worldwide or their anticipated commercial introduction has been delayed. If there is a shortage of any such components, and we cannot obtain a suitable substitute or make sufficient and timely design or other product modifications to permit the use of such a substitute, we may not be able to timely deliver sufficient quantities of our products to satisfy demand. Moreover, if we locate a substitute and its price is prohibitive, our ability to maintain cost-effective production of our products would be seriously harmed.</w:t>
      </w:r>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Others might claim that our products infringe on their respective intellectual property rights, which may result in substantial costs, diversion of resources and management attention, harm to our reputation or interference with our current or prospective customer relations.</w:t>
      </w:r>
    </w:p>
    <w:p>
      <w:pPr>
        <w:spacing w:after="0" w:line="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It is possible that other parties may claim that we have violated their respective intellectual property rights. An infringement claim, regardless of the merits or success of the claim, could result in substantial costs, diversion of resources and management attention and harm to our reputation. Infringement claims can be difficult and costly to verify and assess. A successful infringement claim against us could cause us to be liable for damages and litigation costs. In addition, a successful infringement claim could have other negative consequences, including prohibiting us from further use of the intellectual property or causing us to have to license the intellectual property, thereby incurring licensing fees, some of which could be retroactive. Upon the occurrence of a successful infringement claim, we may also have to develop a non-infringing alternative, which if available could be costly, and delay or prevent sales of our products.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license necessary third-party technology or it may be expensive to do so.</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license technology from third parties for the development of our products. We have licensed from third parties, such as QUALCOMM, software and other intellectual property for use in our products and from time to time we may elect or be required to license additional intellectual property. The license from QUALCOMM, for example, does not have a specified term and may be terminated by us or by QUALCOMM for cause or upon the occurrence of other specified events. There can be no assurance that we will be able to maintain our third-party licenses or that additional third-party licenses will be available to us on commercially reasonable terms, if at all. The inability to maintain or obtain third-party licenses required for our products or to develop new products and product enhancements could require us to seek to</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6" w:name="page27"/>
    <w:bookmarkEnd w:id="26"/>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obtain substitute technology of lower quality or performance standards, if such exists, or at greater cost which could seriously harm our competitive position, revenue and growth prospects.</w:t>
      </w:r>
    </w:p>
    <w:p>
      <w:pPr>
        <w:spacing w:after="0" w:line="21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are subject to the risks of doing business abroad, which could negatively affect our international sales activities and our ability to obtain products from our foreign manufacturers.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to our manufacturing activities in Asia, a significant portion of our sales activity takes place in Europe. In addition, a significant portion of our research and development staff is located in Canada. Our international sales accounted for approximately 30% and 60% of our revenue for the three months ended June 30, 2006 and June 30, 2005, respectively, and 31% and 66% for the six months ended June 30, 2006 and June 30, 2005, respectively. Although our experience in marketing, selling, distributing and manufacturing our products and services internationally is limited, we expect to further expand our international sales and marketing activities in the future. Consequently, we are subject to certain risks associated with doing business abroad, including:</w:t>
      </w:r>
    </w:p>
    <w:p>
      <w:pPr>
        <w:spacing w:after="0" w:line="35"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 managing widespread sales, research and development operations and post sales logistics and support;</w:t>
      </w:r>
    </w:p>
    <w:p>
      <w:pPr>
        <w:spacing w:after="0" w:line="90"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 particularly in emerging markets, and changes in diplomatic and trade relationships;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less effective protection of intellectual property and general exposure to different legal standards;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trade protection measures and import or export licensing requirements;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tax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expenses associated with customizing products for different countries;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unexpected changes in regulatory requirements resulting in unanticipated costs and delays;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collection cycles and difficulties in collecting accounts receivable;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international terrorism;</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or damage to products in transit;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international dock strikes or other transportation delays.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 disruption in our ability to obtain products from our foreign manufacturers or in our ability to conduct international operations and sales could have a material adverse effect on our business, financial condition and results of operations.</w:t>
      </w:r>
    </w:p>
    <w:p>
      <w:pPr>
        <w:spacing w:after="0" w:line="21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To the extent we enter into contracts that are denominated in foreign currencies and do not adequately hedge that exposure, fluctuations in exchange rates between the United States dollar and foreign currencies may affect our operating results.</w:t>
      </w:r>
    </w:p>
    <w:p>
      <w:pPr>
        <w:spacing w:after="0" w:line="5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 significant amount of our revenues are generated from sales agreements denominated in foreign currencies, particularly the Euro, and we expect to enter into additional such agreements as we expand our international customer base. As a result, we transact some of our business in foreign currencies, which exposes us to changes in foreign currency exchange rates and we currently expect the absolute value of this exposure may increase in the future. We attempt to manage this risk, in part, by minimizing the effects of volatility on cash flows by identifying forecasted transactions exposed to these risks and using foreign exchange forward contracts. There can be no assurance that we will not incur foreign currency losses or that foreign exchange forward contracts we may enter into to reduce the risk of such losses will be successful.</w:t>
      </w:r>
    </w:p>
    <w:p>
      <w:pPr>
        <w:spacing w:after="0" w:line="20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Our products may contain errors or defects, which could prevent or decrease their market acceptance and lead to unanticipated costs or other adverse business consequences.</w:t>
      </w:r>
    </w:p>
    <w:p>
      <w:pPr>
        <w:spacing w:after="0" w:line="51" w:lineRule="exact"/>
        <w:rPr>
          <w:sz w:val="20"/>
          <w:szCs w:val="20"/>
          <w:color w:val="auto"/>
        </w:rPr>
      </w:pPr>
    </w:p>
    <w:p>
      <w:pPr>
        <w:ind w:right="280" w:firstLine="456"/>
        <w:spacing w:after="0" w:line="323" w:lineRule="auto"/>
        <w:rPr>
          <w:sz w:val="20"/>
          <w:szCs w:val="20"/>
          <w:color w:val="auto"/>
        </w:rPr>
      </w:pPr>
      <w:r>
        <w:rPr>
          <w:rFonts w:ascii="Arial" w:cs="Arial" w:eastAsia="Arial" w:hAnsi="Arial"/>
          <w:sz w:val="15"/>
          <w:szCs w:val="15"/>
          <w:color w:val="auto"/>
        </w:rPr>
        <w:t>Our products are technologically complex and must meet stringent user requirements. We must develop our software and hardware products quickly to keep pace with the rapidly changing and technologically advanced wireless communications market. Products as sophisticated as ours may contain undetected errors or defects, especially when first introduced or when new models or versions are released. Our products may not be free from errors or defects after commercial shipments have begun, which could result in the rejection of our products, the loss of a customer or the failure to obtain one, damage to our</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7" w:name="page28"/>
    <w:bookmarkEnd w:id="27"/>
    <w:p>
      <w:pPr>
        <w:ind w:right="5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reputation, lost revenue, diverted development resources, increased customer service and support costs, unanticipated warranty claims, and the payment of monetary damages to our customers.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vary significantly from quarter to quarter and may cause our stock price to fluctuate.</w:t>
      </w:r>
    </w:p>
    <w:p>
      <w:pPr>
        <w:spacing w:after="0" w:line="90"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Our future quarterly operating results may fluctuate significantly and may fall short of or exceed the expectations of securities analysts, investors or management. If this occurs, the market price of our stock could fluctuate, in some cases materially. The following are some of the factors that may cause fluctuations in our operating results:</w:t>
      </w:r>
    </w:p>
    <w:p>
      <w:pPr>
        <w:spacing w:after="0" w:line="59" w:lineRule="exact"/>
        <w:rPr>
          <w:sz w:val="20"/>
          <w:szCs w:val="20"/>
          <w:color w:val="auto"/>
        </w:rPr>
      </w:pPr>
    </w:p>
    <w:p>
      <w:pPr>
        <w:ind w:left="780" w:right="40" w:hanging="326"/>
        <w:spacing w:after="0" w:line="256"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Decreases in revenue or increases in operating expenses</w:t>
      </w:r>
      <w:r>
        <w:rPr>
          <w:rFonts w:ascii="Arial" w:cs="Arial" w:eastAsia="Arial" w:hAnsi="Arial"/>
          <w:sz w:val="18"/>
          <w:szCs w:val="18"/>
          <w:color w:val="auto"/>
        </w:rPr>
        <w:t>. We budget our operating expenses based on anticipated sales, and a significant portion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marketing, research and development and general and administrative costs are fixed, at least in the short term. If revenue decreases or does not grow as planned and we are unable to reduce our operating costs quickly and sufficiently, our operating results could be materially adversely affected.</w:t>
      </w:r>
    </w:p>
    <w:p>
      <w:pPr>
        <w:spacing w:after="0" w:line="62"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Product mix. </w:t>
      </w:r>
      <w:r>
        <w:rPr>
          <w:rFonts w:ascii="Arial" w:cs="Arial" w:eastAsia="Arial" w:hAnsi="Arial"/>
          <w:sz w:val="18"/>
          <w:szCs w:val="18"/>
          <w:color w:val="auto"/>
        </w:rPr>
        <w:t>The product mix of our sales affects profit margins in any given quarter. As our business evolves and the revenue from the product mix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sales varies from quarter to quarter, our operating results will likely fluctuate.</w:t>
      </w:r>
    </w:p>
    <w:p>
      <w:pPr>
        <w:spacing w:after="0" w:line="50" w:lineRule="exact"/>
        <w:rPr>
          <w:rFonts w:ascii="Arial" w:cs="Arial" w:eastAsia="Arial" w:hAnsi="Arial"/>
          <w:sz w:val="18"/>
          <w:szCs w:val="18"/>
          <w:color w:val="auto"/>
        </w:rPr>
      </w:pPr>
    </w:p>
    <w:p>
      <w:pPr>
        <w:ind w:left="780" w:hanging="326"/>
        <w:spacing w:after="0" w:line="256"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New product introductions. </w:t>
      </w:r>
      <w:r>
        <w:rPr>
          <w:rFonts w:ascii="Arial" w:cs="Arial" w:eastAsia="Arial" w:hAnsi="Arial"/>
          <w:sz w:val="18"/>
          <w:szCs w:val="18"/>
          <w:color w:val="auto"/>
        </w:rPr>
        <w:t>As we introduce new products, the timing of these introductions within any given quarter will affect our quarterly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We may have difficulty predicting the timing of new product introductions and the market acceptance of these new products. If products and services are introduced earlier or later than anticipated, or if market acceptance is unexpectedly high or low, our quarterly operating results may fluctuate unexpectedly.</w:t>
      </w:r>
    </w:p>
    <w:p>
      <w:pPr>
        <w:spacing w:after="0" w:line="62" w:lineRule="exact"/>
        <w:rPr>
          <w:rFonts w:ascii="Arial" w:cs="Arial" w:eastAsia="Arial" w:hAnsi="Arial"/>
          <w:sz w:val="18"/>
          <w:szCs w:val="18"/>
          <w:color w:val="auto"/>
        </w:rPr>
      </w:pPr>
    </w:p>
    <w:p>
      <w:pPr>
        <w:ind w:left="780" w:right="20" w:hanging="326"/>
        <w:spacing w:after="0" w:line="291"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Lengthy sales cycle. </w:t>
      </w:r>
      <w:r>
        <w:rPr>
          <w:rFonts w:ascii="Arial" w:cs="Arial" w:eastAsia="Arial" w:hAnsi="Arial"/>
          <w:sz w:val="16"/>
          <w:szCs w:val="16"/>
          <w:color w:val="auto"/>
        </w:rPr>
        <w:t>The length of time between the date of initial contact with a potential customer and the execution of and product delivery under a</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may take several months, or longer, and is subject to delays or permanent interruptions over which we have little or no control. The sale of our products is subject to delays from, among other things, our customers’ budgeting, product testing and vendor approval mechanics, and competitive evaluation processes that typically accompany significant information technology purchasing decisions. As a result, our ability to anticipate the timing and volume of sales to specific customers is limited, and the delay or failure to complete one or more large transactions could cause our operating results to vary significantly from quarter to quarter.</w:t>
      </w:r>
    </w:p>
    <w:p>
      <w:pPr>
        <w:spacing w:after="0" w:line="39" w:lineRule="exact"/>
        <w:rPr>
          <w:rFonts w:ascii="Arial" w:cs="Arial" w:eastAsia="Arial" w:hAnsi="Arial"/>
          <w:sz w:val="16"/>
          <w:szCs w:val="16"/>
          <w:color w:val="auto"/>
        </w:rPr>
      </w:pPr>
    </w:p>
    <w:p>
      <w:pPr>
        <w:ind w:left="780" w:right="200" w:hanging="326"/>
        <w:spacing w:after="0" w:line="291"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Foreign currency</w:t>
      </w:r>
      <w:r>
        <w:rPr>
          <w:rFonts w:ascii="Arial" w:cs="Arial" w:eastAsia="Arial" w:hAnsi="Arial"/>
          <w:sz w:val="16"/>
          <w:szCs w:val="16"/>
          <w:color w:val="auto"/>
        </w:rPr>
        <w:t>. We are exposed to market risk from changes in foreign currency exchange rates. As a significant amount of our revenues are</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generated in the Euro currency, we use foreign exchange forward contracts to minimize exposure to the risk of loss on changes in foreign currency exchange rates upon the eventual net cash inflows from foreign currency denominated sales with our customers. Since there is a high correlation between the hedging instruments and the underlying exposures, the gains and losses on these underlying exposures are generally offset by reciprocal changes in the value of the hedging instruments. We use derivative financial instruments as risk management tools and not for trading or speculative purposes. Fluctuations in the Euro currency may have a material impact on our future operating results and gross margins.</w:t>
      </w:r>
    </w:p>
    <w:p>
      <w:pPr>
        <w:spacing w:after="0" w:line="12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Due to these and other factors, our results of operations may fluctuate substantially in the future and quarter-to-quarter comparisons may not be reliable indicators of future operating or share price performance.</w:t>
      </w:r>
    </w:p>
    <w:p>
      <w:pPr>
        <w:spacing w:after="0" w:line="21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b w:val="1"/>
          <w:bCs w:val="1"/>
          <w:i w:val="1"/>
          <w:iCs w:val="1"/>
          <w:color w:val="auto"/>
        </w:rPr>
        <w:t>We incurred significant operating losses and negative cash flows between the date of our inception and the beginning of 2004 and if our revenue and gross margins decline or we are unable to increase our revenue and gross margins relative to our corresponding operating expenses, we may incur significant net losses and negative cash flow from operations.</w:t>
      </w:r>
    </w:p>
    <w:p>
      <w:pPr>
        <w:spacing w:after="0" w:line="59"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We incurred significant operating losses and net losses in each annual period between the date of our inception until the beginning of 2004. In 2004, we reached profitability for the first time since our inception and recorded net income applicable to common stockholders of $13.7 million for the year ended December 31, 2004. We incurred net losses applicable to common stockholders of $16.7 million for the fiscal year ending 2003 and $53.5 million for the fiscal year ending 2002. We had positive cash flows from operations of $5.6 million for the year ended December 31, 2004, while we had negative cash flows from operations of $400,000 for the fiscal year ending December 31, 2003 and $28.7 million for the fiscal year ending December 31, 2002. As of June 30, 2006, we had an accumulated deficit of $223.6 million. If we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8" w:name="page29"/>
    <w:bookmarkEnd w:id="28"/>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are unable to generate revenue and gross margins to sufficiently offset our increasing expenses, we may not maintain profitability and may incur operating losses, net losses and negative cash flow from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and expand our business if we are not able to hire, retain and manage additional qualified personnel.</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Our success in the future depends in part on the continued contribution of our executive, technical, engineering, sales, marketing, operations and administrative personnel. Recruiting and retaining skilled personnel in the wireless communications industry, including software and hardware engineers, is highly competitive.</w:t>
      </w:r>
    </w:p>
    <w:p>
      <w:pPr>
        <w:spacing w:after="0" w:line="14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Although we may enter into employment agreements with members of our senior management in the future, currently none of our senior management or other key personnel is bound by an employment agreement. If we are not able to attract or retain qualified personnel in the future, or if we experience delays in hiring required personnel, particularly qualified engineers, we will not be able to maintain and expand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acquisitions we make could disrupt our business and harm our financial condition and results of operations.</w:t>
      </w:r>
    </w:p>
    <w:p>
      <w:pPr>
        <w:spacing w:after="0" w:line="9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As part of our business strategy, we review and intend to continue to review, on an ongoing basis, acquisition opportunities that we believe would be advantageous or complementary to the development of our business. While we have no current agreements or plans with respect to any acquisitions, we may acquire businesses, assets, or technologies in the future. If we make any acquisitions, we could take any or all of the following actions, any one of which could adversely affect our business, financial condition, results of operations or share price:</w:t>
      </w:r>
    </w:p>
    <w:p>
      <w:pPr>
        <w:spacing w:after="0" w:line="32"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equity or equity-based securities that would dilute existing stockholders’ percentage ownership;</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 a substantial portion of our available cash;</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substantial debt, which may not be available to us on favorable terms and may adversely affect our liquidity;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assume contingent liabilities;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take substantial charges in connection with acquired assets.</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Acquisitions also entail numerous other risks, including: difficulties in assimilating acquired operations, products, technologies and personnel; unanticipated costs; diversion of management’s attention from other business concerns; adverse effects on existing business relationships with suppliers and customers; risks of entering markets in which we have limited or no prior experience; and potential loss of key employees from either our preexisting business or the acquired organization. We may not be able to successfully integrate any businesses, products, technologies or personnel that we might acquire in the future, and our failure to do so could harm our business and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changing regulation of corporate governance and public disclosure may result in additional expenses.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Changing laws, regulations and standards relating to corporate governance and public disclosure, including the Sarbanes-Oxley Act of 2002, new SEC regulations and Nasdaq rules, continue to create uncertainty for many companies, including ours. These new or changed laws, regulations and standards are subject to varying interpretations in many cases due to their lack of specificity, and as a result, their application in practice may evolve over time as new guidance is provided by regulatory and governing bodies or in legal interpretations rendered in judicial opinions, which could result in continuing uncertainty regarding compliance matters and higher costs necessitated by ongoing revisions to disclosure and governance practices. We are committed to maintaining high standards of corporate governance and public disclosure. As a result, we intend to invest resources to comply with evolving laws, regulations and standards, and this investment may result in increased general and administrative expenses and a diversion of management time and attention from revenue or profit generating activities to compliance activities. If our efforts to comply with new or changed laws, regulations and standards do not meet the activities intended by regulatory or governing bodies due to ambiguities related to practice, our reputation may be harmed.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29" w:name="page30"/>
    <w:bookmarkEnd w:id="29"/>
    <w:p>
      <w:pPr>
        <w:ind w:right="30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changes to existing accounting pronouncements or taxation rules or practices may cause adverse fluctuations in our reported results of operations or affect how we conduct our business.</w:t>
      </w:r>
    </w:p>
    <w:p>
      <w:pPr>
        <w:spacing w:after="0" w:line="51" w:lineRule="exact"/>
        <w:rPr>
          <w:sz w:val="20"/>
          <w:szCs w:val="20"/>
          <w:color w:val="auto"/>
        </w:rPr>
      </w:pPr>
    </w:p>
    <w:p>
      <w:pPr>
        <w:ind w:right="660" w:firstLine="456"/>
        <w:spacing w:after="0" w:line="298" w:lineRule="auto"/>
        <w:rPr>
          <w:sz w:val="20"/>
          <w:szCs w:val="20"/>
          <w:color w:val="auto"/>
        </w:rPr>
      </w:pPr>
      <w:r>
        <w:rPr>
          <w:rFonts w:ascii="Arial" w:cs="Arial" w:eastAsia="Arial" w:hAnsi="Arial"/>
          <w:sz w:val="16"/>
          <w:szCs w:val="16"/>
          <w:color w:val="auto"/>
        </w:rPr>
        <w:t>A change in accounting pronouncements or taxation rules or practices can have a significant effect on our reported results and may even affect our reporting of transactions completed before the change is effective. Other new accounting pronouncements or taxation rules and varying interpretations of accounting pronouncements or taxation practices have occurred and may occur in the future. The change to existing rules, future changes, if any, or the questioning of current practices may adversely affect our reported financial results or the way we conduct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products that comply with applicable government regulations.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products must comply with government regulations. For example, in the United States, the Federal Communications Commission, or FCC, regulates many aspects of communications devices, including radiation of electromagnetic energy, biological safety and rules for devices to be connected to telephone networks. In addition to the federal government, some states have adopted regulations applicable to our products. Radio frequency devices, which include our modems, must be approved under the above regulations by obtaining equipment authorization from the FCC prior to being offered for sale. Regulatory requirements in Canada, Europe, Asia and other jurisdictions must also be met. Additionally, we cannot anticipate the effect that changes in domestic or foreign government regulations may have on our ability to develop and sell products in the future. Failure to comply with existing or evolving government regulations or to obtain timely regulatory approvals or certificates for our products could materially adversely affect our business, financial condition and results of operations.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Our investment portfolio is maintained in accordance with our investment policy that defines allowable investments, specifies credit quality standards and limits our credit exposure to any single issuer. The fair value of our cash equivalents and marketable securities is subject to change as a result of changes in market interest rates and investment risk related to the issuers’ credit worthiness. We do not utilize financial contracts to manage our exposure in our investment portfolio to changes in interest rates. At June 30, 2006, we had $76.8 million in cash, cash equivalents and marketable securities, all of which are stated at fair value. Changes in market interest rates would not be expected to have a material impact on the fair value of $30.8 million of our cash and cash equivalents at June 30, 2006, as these consisted of securities with maturities of less than three months. A 100 basis point increase or decrease in interest rates would, however, decrease or increase, respectively, the remaining $46.1 million of our investments by approximately $500,000. While changes in interest rates may affect the fair value of our investment portfolio, any gains or losses will not be recognized in our Consolidated Statements of Operations until the investment is sold or if the reduction in fair value was determined to be other than temporary.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six months ended June 30, 2006, approximately $27.3 million of our sales transactions were denominated in Euros. In order to hedge against the short-term impact of foreign currency fluctuations on our accounts receivable balances we have entered into forward foreign exchange contracts. The effect of exchange rate changes on forward foreign exchange contracts is expected to offset the effect of exchange rate changes on the underlying hedged items. We believe these financial instruments do not subject us to speculative risk that would otherwise result from changes in currency exchange rates. If foreign currency rates were to fluctuate by 10% from rates at June 30, 2006, our financial position, results of operations and cash flows would not be materially affected. We do not use foreign currency forward exchange contracts for speculative or trading purposes.</w:t>
      </w:r>
    </w:p>
    <w:p>
      <w:pPr>
        <w:spacing w:after="0" w:line="12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All of our outstanding foreign currency contracts are marked-to-market, with unrealized gains and losses included as a component of other income and expense. As of June 30, 2006 the total amount of outstanding forward contracts amounted to approximately 15 million Euros. During six months ended June 30, 2006 we recorded an unrealized loss of approximately $700,000 on our forward contracts. This unrealized loss was offset by a foreign currency gain of approximately $2.2 million recorded in other income and expense related to our foreign currency receivable and cash balances denominated in Euros during the six months ended June 30, 2006.</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0" w:name="page31"/>
    <w:bookmarkEnd w:id="30"/>
    <w:p>
      <w:pPr>
        <w:ind w:right="10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Revenues generated outside the United States (denominated in U.S. dollars), as a percentage of total revenues were approximately 31% for the six months ended June 30, 2006 and 66% for the same period in 2005. Fluctuations in foreign exchange rates could impact future operating results.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We maintain disclosure controls and procedures that are designed to ensure that information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to be disclosed in our reports to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including internal control over financial reporting, management recognizes that any controls and procedures, no matter how well designed and operated, can provide only reasonable assurance of achieving the desired control objectives. For example, a company’s operations may change over time, such as the result of new or discontinued lines of business and management must periodically modify a company’s internal controls and procedures to timely match these changes in its business. And, in the end, all controls and procedures are necessarily subject to the judgment of management in evaluating the design and cost benefit relationship of possible controls and procedures, and the judgment of company personnel in their application.</w:t>
      </w:r>
    </w:p>
    <w:p>
      <w:pPr>
        <w:spacing w:after="0" w:line="11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June 30, 2006,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Based on the foregoing, our chief executive officer and chief financial officer concluded that our disclosure controls and procedures were effective at the reasonable assurance level.</w:t>
      </w:r>
    </w:p>
    <w:p>
      <w:pPr>
        <w:spacing w:after="0" w:line="137" w:lineRule="exact"/>
        <w:rPr>
          <w:sz w:val="20"/>
          <w:szCs w:val="20"/>
          <w:color w:val="auto"/>
        </w:rPr>
      </w:pPr>
    </w:p>
    <w:p>
      <w:pPr>
        <w:ind w:right="360" w:firstLine="456"/>
        <w:spacing w:after="0" w:line="262" w:lineRule="auto"/>
        <w:rPr>
          <w:sz w:val="20"/>
          <w:szCs w:val="20"/>
          <w:color w:val="auto"/>
        </w:rPr>
      </w:pPr>
      <w:r>
        <w:rPr>
          <w:rFonts w:ascii="Arial" w:cs="Arial" w:eastAsia="Arial" w:hAnsi="Arial"/>
          <w:sz w:val="18"/>
          <w:szCs w:val="18"/>
          <w:b w:val="1"/>
          <w:bCs w:val="1"/>
          <w:color w:val="auto"/>
        </w:rPr>
        <w:t xml:space="preserve">Changes in Internal Controls Over Financial Reporting: </w:t>
      </w:r>
      <w:r>
        <w:rPr>
          <w:rFonts w:ascii="Arial" w:cs="Arial" w:eastAsia="Arial" w:hAnsi="Arial"/>
          <w:sz w:val="18"/>
          <w:szCs w:val="18"/>
          <w:color w:val="auto"/>
        </w:rPr>
        <w:t>There have been no changes in our internal control over financial reporting identified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evaluation referenced above that occurred during our last fiscal quarter that have materially affected, or is reasonably likely to materially affect, our internal control over financial reporting.</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Part I, Item 2 “Management’s Discussion and Analysis of Financial Condition and Results of Operations.”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On May 25, 2006, we held our annual meeting of stockholders at which our stockholders voted upon (i) the election of two nominees to our board of directors to serve until the annual meeting of stockholders in 2009 and until their respective successors are duly elected and qualified, and (ii) the ratification of the appointment of KPMG as our Independent Registered Public Accountants for the fiscal year ending December 31, 2006. The directors sitting for re-election were Messrs. Peter Leparulo and Horst Pudwill. The directors whose terms of office continued after our annual meeting are John Davis, Robert Getz, Peng Lim and David Werner.</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stockholders elected both Messrs. Leparulo and Pudwill to three-year terms as members of our board of directors, and the other proposals passed. The number of votes cast for, against or withheld, abstentions and broker non-votes with respect to each matter voted upon is set forth below. Additional information regarding the matters submitted to a vote of our security holders at our 2006 annual meeting may be found in our definitive proxy statement filed with the Securities and Exchange Commission on April 19, 2006.</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Against/</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8"/>
              </w:rPr>
              <w:t>Broker</w:t>
            </w:r>
          </w:p>
        </w:tc>
      </w:tr>
      <w:tr>
        <w:trPr>
          <w:trHeight w:val="175"/>
        </w:trPr>
        <w:tc>
          <w:tcPr>
            <w:tcW w:w="1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For</w:t>
            </w:r>
          </w:p>
        </w:tc>
        <w:tc>
          <w:tcPr>
            <w:tcW w:w="340" w:type="dxa"/>
            <w:vAlign w:val="bottom"/>
          </w:tcPr>
          <w:p>
            <w:pPr>
              <w:spacing w:after="0"/>
              <w:rPr>
                <w:sz w:val="15"/>
                <w:szCs w:val="15"/>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Withheld</w:t>
            </w: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Abstentions</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3"/>
              </w:rPr>
              <w:t>non-votes</w:t>
            </w:r>
          </w:p>
        </w:tc>
      </w:tr>
      <w:tr>
        <w:trPr>
          <w:trHeight w:val="210"/>
        </w:trPr>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w:t>
            </w:r>
          </w:p>
        </w:tc>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Election of Directors:</w:t>
            </w: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440" w:type="dxa"/>
            <w:vAlign w:val="bottom"/>
          </w:tcPr>
          <w:p>
            <w:pPr>
              <w:ind w:left="320"/>
              <w:spacing w:after="0"/>
              <w:rPr>
                <w:sz w:val="20"/>
                <w:szCs w:val="20"/>
                <w:color w:val="auto"/>
              </w:rPr>
            </w:pPr>
            <w:r>
              <w:rPr>
                <w:rFonts w:ascii="Arial" w:cs="Arial" w:eastAsia="Arial" w:hAnsi="Arial"/>
                <w:sz w:val="18"/>
                <w:szCs w:val="18"/>
                <w:color w:val="auto"/>
              </w:rPr>
              <w:t>Peter Leparulo</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23,203,918</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167,224</w:t>
            </w:r>
          </w:p>
        </w:tc>
        <w:tc>
          <w:tcPr>
            <w:tcW w:w="10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shd w:val="clear" w:color="auto" w:fill="CCEEFF"/>
          </w:tcPr>
          <w:p>
            <w:pPr>
              <w:spacing w:after="0"/>
              <w:rPr>
                <w:sz w:val="18"/>
                <w:szCs w:val="18"/>
                <w:color w:val="auto"/>
              </w:rPr>
            </w:pPr>
          </w:p>
        </w:tc>
        <w:tc>
          <w:tcPr>
            <w:tcW w:w="7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Horst Pudwill</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13,218,698</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10,152,444</w:t>
            </w: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22"/>
        </w:trPr>
        <w:tc>
          <w:tcPr>
            <w:tcW w:w="12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7440" w:type="dxa"/>
            <w:vAlign w:val="bottom"/>
          </w:tcPr>
          <w:p>
            <w:pPr>
              <w:ind w:left="20"/>
              <w:spacing w:after="0"/>
              <w:rPr>
                <w:sz w:val="20"/>
                <w:szCs w:val="20"/>
                <w:color w:val="auto"/>
              </w:rPr>
            </w:pPr>
            <w:r>
              <w:rPr>
                <w:rFonts w:ascii="Arial" w:cs="Arial" w:eastAsia="Arial" w:hAnsi="Arial"/>
                <w:sz w:val="18"/>
                <w:szCs w:val="18"/>
                <w:color w:val="auto"/>
              </w:rPr>
              <w:t>Ratification of Appointment of Registered Independent Public Accountants</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23,274,000</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90,601</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6,541</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r>
    </w:tbl>
    <w:p>
      <w:pPr>
        <w:spacing w:after="0" w:line="2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63"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8"/>
        </w:trPr>
        <w:tc>
          <w:tcPr>
            <w:tcW w:w="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Item 6.</w:t>
            </w:r>
          </w:p>
        </w:tc>
        <w:tc>
          <w:tcPr>
            <w:tcW w:w="1064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rPr>
              <w:t>Exhibits.</w:t>
            </w:r>
          </w:p>
        </w:tc>
        <w:tc>
          <w:tcPr>
            <w:tcW w:w="0" w:type="dxa"/>
            <w:vAlign w:val="bottom"/>
          </w:tcPr>
          <w:p>
            <w:pPr>
              <w:spacing w:after="0"/>
              <w:rPr>
                <w:sz w:val="1"/>
                <w:szCs w:val="1"/>
                <w:color w:val="auto"/>
              </w:rPr>
            </w:pPr>
          </w:p>
        </w:tc>
      </w:tr>
      <w:tr>
        <w:trPr>
          <w:trHeight w:val="340"/>
        </w:trPr>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Exhibit</w:t>
            </w:r>
          </w:p>
        </w:tc>
        <w:tc>
          <w:tcPr>
            <w:tcW w:w="360" w:type="dxa"/>
            <w:vAlign w:val="bottom"/>
            <w:vMerge w:val="restart"/>
          </w:tcPr>
          <w:p>
            <w:pPr>
              <w:spacing w:after="0"/>
              <w:rPr>
                <w:sz w:val="24"/>
                <w:szCs w:val="24"/>
                <w:color w:val="auto"/>
              </w:rPr>
            </w:pPr>
          </w:p>
        </w:tc>
        <w:tc>
          <w:tcPr>
            <w:tcW w:w="102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02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5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w w:val="90"/>
              </w:rPr>
              <w:t>Amended and Restated Certificate of Incorporation (incorporated by reference to Exhibit 3.1 to the Company’s Annual Report on Form 10-K for</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rPr>
              <w:t>the year ended December 31, 2000, filed on March 27, 2001).</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w w:val="92"/>
              </w:rPr>
              <w:t>Certificate of Amendment to Amended and Restated Certificate of Incorporation (incorporated by reference to Exhibit 3.1 to the Company’s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rPr>
              <w:t>Quarterly Report on Form 10-Q for the period ended September 30, 2002, filed on November 14, 2002).</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w w:val="92"/>
              </w:rPr>
              <w:t>Certificate of Amendment to Amended and Restated Certificate of Incorporation (incorporated by reference to Exhibit 3.2 to the Company’s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rPr>
              <w:t>Amendment No. 1 to Form 10-K on Form 10-K/A for the year ended December 31, 2003, filed March 31, 2004).</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w w:val="89"/>
              </w:rPr>
              <w:t>Bylaws (incorporated by reference to Exhibit 3.2 to the Company’s Annual Report on Form 10-K for the year ended December 31, 2000, filed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rPr>
              <w:t>March 27, 2001).</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w w:val="94"/>
              </w:rPr>
              <w:t>Amended and Restated Certificate of Designation of Series A Convertible Preferred Stock (incorporated by reference to Exhibit 3.4 to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rPr>
              <w:t>Company’s Amendment No. 1 to Form 10-K on Form 10-K/A for the year ended December 31, 2003, filed March 31, 2004).</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w w:val="89"/>
              </w:rPr>
              <w:t>Certificate of Designation of Series B Convertible Preferred Stock (incorporated by reference to Exhibit 3.5 to the Company’s Amendment No. 1</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rPr>
              <w:t>to Form 10-K on Form 10-K/A for the year ended December 31, 2003, filed March 31, 2004).</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w w:val="90"/>
              </w:rPr>
              <w:t>Amended and Restated Registration Rights Agreement, dated as of June 15, 1999, by and among the Company and certain of its stockholders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w w:val="90"/>
              </w:rPr>
              <w:t>(incorporated by reference to Exhibit 10.4 to the Company’s Registration Statement on Form S-1 (No. 333-42570), filed November 14, 2000, as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rPr>
              <w:t>amended).</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w w:val="91"/>
              </w:rPr>
              <w:t>Amended and Restated Investors’ Rights Agreement, dated as of June 30, 2000, by and among the Company and certain of its stockholders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w w:val="90"/>
              </w:rPr>
              <w:t>(incorporated by reference to Exhibit 10.5 to the Company’s Registration Statement on Form S-1 (No. 333-42570), filed November 14, 2000, as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rPr>
              <w:t>amended).</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w w:val="90"/>
              </w:rPr>
              <w:t>Specimen Common Stock Certificate (incorporated by reference to Exhibit 4.1 to the Company’s Registration Statement on Form S-1 (No. 333-</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rPr>
              <w:t>42570), filed November 14, 2000, as amended).</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w w:val="90"/>
              </w:rPr>
              <w:t>Form of Preferred Stock and Warrant Purchase Agreement entered into in connection with the Company’s 2001 Series A Convertible Preferred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rPr>
              <w:t>Stock Financing (incorporated by reference to Exhibit 4.1 to the Company’s Current Report on Form 8-K filed January 18, 2002.</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w w:val="91"/>
              </w:rPr>
              <w:t>Registration Rights Agreement dated as of September 12, 2002 by and among the Company and certain of its stockholders (incorporated by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rPr>
              <w:t>reference to Exhibit 4.1 to the Company’s Current Report on Form 8-K, filed October 21, 2002).</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w w:val="91"/>
              </w:rPr>
              <w:t>Form of Securities Purchase Agreement entered into in connection with the Company’s 2003 Series B Convertible Preferred Stock Financing</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rPr>
              <w:t>(incorporated by reference to Exhibit 4.1 to the Company’s Current Report on Form 8-K, filed March 28, 2003).</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w w:val="98"/>
              </w:rPr>
              <w:t>Registration Rights Agreement entered into in connection with the Company’s 2003 Series B Convertible Preferred Stock Financing</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rPr>
              <w:t>(incorporated by reference to Exhibit 4.8 to the Company’s Current Report on Form 8-K, filed March 28, 2003).</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3" w:name="page34"/>
    <w:bookmarkEnd w:id="33"/>
    <w:tbl>
      <w:tblPr>
        <w:tblLayout w:type="fixed"/>
        <w:tblInd w:w="0"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10500" w:type="dxa"/>
            <w:vAlign w:val="bottom"/>
          </w:tcPr>
          <w:p>
            <w:pPr>
              <w:spacing w:after="0"/>
              <w:rPr>
                <w:sz w:val="14"/>
                <w:szCs w:val="14"/>
                <w:color w:val="auto"/>
              </w:rPr>
            </w:pPr>
          </w:p>
        </w:tc>
      </w:tr>
      <w:tr>
        <w:trPr>
          <w:trHeight w:val="175"/>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5"/>
                <w:szCs w:val="15"/>
                <w:color w:val="auto"/>
              </w:rPr>
            </w:pPr>
          </w:p>
        </w:tc>
        <w:tc>
          <w:tcPr>
            <w:tcW w:w="10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10"/>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Securities Purchase Agreement entered into in connection with the Company’s January 2004 Common Stock and Warrant Financing Transaction</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(incorporated by reference to Exhibit 10.20 to the Company’s Annual Report on Form 10-K for the year ended December 31, 2003, filed March 15,</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20"/>
              <w:spacing w:after="0"/>
              <w:rPr>
                <w:sz w:val="20"/>
                <w:szCs w:val="20"/>
                <w:color w:val="auto"/>
              </w:rPr>
            </w:pPr>
            <w:r>
              <w:rPr>
                <w:rFonts w:ascii="Arial" w:cs="Arial" w:eastAsia="Arial" w:hAnsi="Arial"/>
                <w:sz w:val="18"/>
                <w:szCs w:val="18"/>
                <w:color w:val="auto"/>
              </w:rPr>
              <w:t>2004).</w:t>
            </w:r>
          </w:p>
        </w:tc>
      </w:tr>
      <w:tr>
        <w:trPr>
          <w:trHeight w:val="318"/>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Registration Rights Agreement entered into in connection with the Company’s January 2004 Common Stock and Warrant Financing Transaction</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(incorporated by reference to Exhibit 10.21 to the Company’s Annual Report on Form 10-K for the year ended December 31, 2003, filed March 15,</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20"/>
              <w:spacing w:after="0"/>
              <w:rPr>
                <w:sz w:val="20"/>
                <w:szCs w:val="20"/>
                <w:color w:val="auto"/>
              </w:rPr>
            </w:pPr>
            <w:r>
              <w:rPr>
                <w:rFonts w:ascii="Arial" w:cs="Arial" w:eastAsia="Arial" w:hAnsi="Arial"/>
                <w:sz w:val="18"/>
                <w:szCs w:val="18"/>
                <w:color w:val="auto"/>
              </w:rPr>
              <w:t>2004).</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4.10</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5"/>
              </w:rPr>
              <w:t>Form of Common Stock Purchase Warrant issued in connection with the Company’s January 2004 Common Stock and Warrant Financing</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Transaction (incorporated by reference to Exhibit 10.22 to the Company’s Annual Report on Form 10-K for the year ended December 31, 2003, filed</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March 15, 2004).</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Amended and Restated 1997 Employee Stock Option Plan (incorporated by reference to Exhibit 10.1 to the Company’s Registration Statement on</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S-1 (No. 333-42570), filed November 14, 2000, as amended).</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Amended and Restated Novatel Wireless, Inc. 2000 Stock Incentive Plan (incorporated by reference to the Company’s annual repot on Form 10-K</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 the year ended December 31, 2005, filed March 16, 2006).</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7"/>
              </w:rPr>
              <w:t>Form of Executive Officer Stock Option Agreement under the Amended and Restated Novatel Wireless, Inc. 2000 Stock Incentive Plan</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7"/>
              </w:rPr>
              <w:t>(incorporated by reference to the Company’s annual repot on Form 10-K for the year ended December 31, 2005, filed March 16, 2006).</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Form of Director Stock Option Agreement under the Amended and Restated Novatel Wireless, Inc. 2000 Stock Incentive Plan (incorporated by</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reference to the Company’s annual repot on Form 10-K for the year ended December 31, 2005, filed March 16, 2006).</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Amended and Restated Novatel Wireless, Inc. 2000 Employee Stock Purchase Plan (incorporated by reference to the Company’s annual repot on</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10-K for the year ended December 31, 2005, filed March 16, 2006).</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Form of Indemnification Agreement by and between the Company and each of its executive officers and directors (incorporated by reference to</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Exhibit 10.6 to the Company’s Registration Statement on Form S-1 (No. 333-42570), filed November 14, 2000, as amended).</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3"/>
              </w:rPr>
              <w:t>Form of Change of Control Letter Agreement by and between the Company and certain of its executive officers (incorporated by reference to</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Exhibit 10.1 to the Company’s Quarterly Report on Form 10-Q for the period ended June 30, 2004, filed August 16, 2004).</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Form of Executive Officer Bonus Plan (incorporated by reference to Exhibit 10.6 to the Company’s Quarterly Report on Form 10-Q for the period</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ended March 31, 2005, filed May 10, 2005).</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6"/>
              </w:rPr>
              <w:t>Credit Agreement, dated December 29, 2005, by and between Bank of America, N.A. and the Company (incorporated by reference to the</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Company’s annual repot on Form 10-K for the year ended December 31, 2005, filed March 16, 2006).</w:t>
            </w: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4"/>
              </w:rPr>
              <w:t>10.10</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Restricted Share Award agreement for restricted stock granted to non-employee Directors.</w:t>
            </w: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4"/>
              </w:rPr>
              <w:t>10.11</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Restricted Share Award agreement for restricted stock granted to executive officers.</w:t>
            </w: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4"/>
              </w:rPr>
              <w:t>10.12</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2006 Management Bonus Plan.</w:t>
            </w: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Certification of our Chief Executive Officer adopted pursuant to Section 302 of the Sarbanes-Oxley Act of 2002.</w:t>
            </w:r>
          </w:p>
        </w:tc>
      </w:tr>
    </w:tbl>
    <w:p>
      <w:pPr>
        <w:spacing w:after="0"/>
        <w:rPr>
          <w:sz w:val="20"/>
          <w:szCs w:val="20"/>
          <w:color w:val="auto"/>
        </w:rPr>
        <w:sectPr>
          <w:pgSz w:w="11900" w:h="16838" w:orient="portrait"/>
          <w:cols w:equalWidth="0" w:num="1">
            <w:col w:w="11420"/>
          </w:cols>
          <w:pgMar w:left="240" w:top="263"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4" w:name="page35"/>
    <w:bookmarkEnd w:id="34"/>
    <w:tbl>
      <w:tblPr>
        <w:tblLayout w:type="fixed"/>
        <w:tblInd w:w="0"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40" w:type="dxa"/>
            <w:vAlign w:val="bottom"/>
          </w:tcPr>
          <w:p>
            <w:pPr>
              <w:spacing w:after="0"/>
              <w:rPr>
                <w:sz w:val="14"/>
                <w:szCs w:val="14"/>
                <w:color w:val="auto"/>
              </w:rPr>
            </w:pPr>
          </w:p>
        </w:tc>
        <w:tc>
          <w:tcPr>
            <w:tcW w:w="10380" w:type="dxa"/>
            <w:vAlign w:val="bottom"/>
          </w:tcPr>
          <w:p>
            <w:pPr>
              <w:spacing w:after="0"/>
              <w:rPr>
                <w:sz w:val="14"/>
                <w:szCs w:val="14"/>
                <w:color w:val="auto"/>
              </w:rPr>
            </w:pPr>
          </w:p>
        </w:tc>
      </w:tr>
      <w:tr>
        <w:trPr>
          <w:trHeight w:val="175"/>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5"/>
                <w:szCs w:val="15"/>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16"/>
        </w:trPr>
        <w:tc>
          <w:tcPr>
            <w:tcW w:w="50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our Chief Financial Officer adopted pursuant to Section 302 of the Sarbanes-Oxley Act of 2002.</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Certification of Chief Executive Officer and Chief Financial Officer adopted pursuant to 18 U.S.C. Section 1350, as adopted pursuant to Section</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906 of the Sarbanes-Oxley Act of 2002.</w:t>
            </w:r>
          </w:p>
        </w:tc>
      </w:tr>
    </w:tbl>
    <w:p>
      <w:pPr>
        <w:spacing w:after="0"/>
        <w:rPr>
          <w:sz w:val="20"/>
          <w:szCs w:val="20"/>
          <w:color w:val="auto"/>
        </w:rPr>
        <w:sectPr>
          <w:pgSz w:w="11900" w:h="16838" w:orient="portrait"/>
          <w:cols w:equalWidth="0" w:num="1">
            <w:col w:w="11420"/>
          </w:cols>
          <w:pgMar w:left="240" w:top="263"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10-Q to be signed on its behalf by the undersigned, thereunto duly authorized.</w:t>
      </w:r>
    </w:p>
    <w:p>
      <w:pPr>
        <w:spacing w:after="0" w:line="172" w:lineRule="exact"/>
        <w:rPr>
          <w:sz w:val="20"/>
          <w:szCs w:val="20"/>
          <w:color w:val="auto"/>
        </w:rPr>
      </w:pPr>
    </w:p>
    <w:p>
      <w:pPr>
        <w:spacing w:after="0"/>
        <w:tabs>
          <w:tab w:leader="none" w:pos="6020" w:val="left"/>
        </w:tabs>
        <w:rPr>
          <w:sz w:val="20"/>
          <w:szCs w:val="20"/>
          <w:color w:val="auto"/>
        </w:rPr>
      </w:pPr>
      <w:r>
        <w:rPr>
          <w:rFonts w:ascii="Arial" w:cs="Arial" w:eastAsia="Arial" w:hAnsi="Arial"/>
          <w:sz w:val="18"/>
          <w:szCs w:val="18"/>
          <w:color w:val="auto"/>
        </w:rPr>
        <w:t>Date: August 8, 2006</w:t>
      </w:r>
      <w:r>
        <w:rPr>
          <w:sz w:val="20"/>
          <w:szCs w:val="20"/>
          <w:color w:val="auto"/>
        </w:rPr>
        <w:tab/>
      </w:r>
      <w:r>
        <w:rPr>
          <w:rFonts w:ascii="Arial" w:cs="Arial" w:eastAsia="Arial" w:hAnsi="Arial"/>
          <w:sz w:val="16"/>
          <w:szCs w:val="16"/>
          <w:color w:val="auto"/>
        </w:rPr>
        <w:t>Novatel Wireless, Inc.</w:t>
      </w:r>
    </w:p>
    <w:p>
      <w:pPr>
        <w:spacing w:after="0" w:line="225" w:lineRule="exact"/>
        <w:rPr>
          <w:sz w:val="20"/>
          <w:szCs w:val="20"/>
          <w:color w:val="auto"/>
        </w:rPr>
      </w:pPr>
    </w:p>
    <w:tbl>
      <w:tblPr>
        <w:tblLayout w:type="fixed"/>
        <w:tblInd w:w="6040" w:type="dxa"/>
        <w:tblCellMar>
          <w:top w:w="0" w:type="dxa"/>
          <w:left w:w="0" w:type="dxa"/>
          <w:bottom w:w="0" w:type="dxa"/>
          <w:right w:w="0" w:type="dxa"/>
        </w:tblCellMar>
      </w:tblPr>
      <w:tr>
        <w:trPr>
          <w:trHeight w:val="223"/>
        </w:trPr>
        <w:tc>
          <w:tcPr>
            <w:tcW w:w="780" w:type="dxa"/>
            <w:vAlign w:val="bottom"/>
            <w:gridSpan w:val="2"/>
          </w:tcPr>
          <w:p>
            <w:pPr>
              <w:spacing w:after="0"/>
              <w:rPr>
                <w:sz w:val="20"/>
                <w:szCs w:val="20"/>
                <w:color w:val="auto"/>
              </w:rPr>
            </w:pPr>
            <w:r>
              <w:rPr>
                <w:rFonts w:ascii="Arial" w:cs="Arial" w:eastAsia="Arial" w:hAnsi="Arial"/>
                <w:sz w:val="18"/>
                <w:szCs w:val="18"/>
                <w:color w:val="auto"/>
              </w:rPr>
              <w:t>By:</w:t>
            </w:r>
          </w:p>
        </w:tc>
        <w:tc>
          <w:tcPr>
            <w:tcW w:w="4600" w:type="dxa"/>
            <w:vAlign w:val="bottom"/>
          </w:tcPr>
          <w:p>
            <w:pPr>
              <w:ind w:left="900"/>
              <w:spacing w:after="0"/>
              <w:rPr>
                <w:sz w:val="20"/>
                <w:szCs w:val="20"/>
                <w:color w:val="auto"/>
              </w:rPr>
            </w:pPr>
            <w:r>
              <w:rPr>
                <w:rFonts w:ascii="Arial" w:cs="Arial" w:eastAsia="Arial" w:hAnsi="Arial"/>
                <w:sz w:val="18"/>
                <w:szCs w:val="18"/>
                <w:color w:val="auto"/>
              </w:rPr>
              <w:t>/s/  DAN L. HALVORSON</w:t>
            </w:r>
          </w:p>
        </w:tc>
      </w:tr>
      <w:tr>
        <w:trPr>
          <w:trHeight w:val="202"/>
        </w:trPr>
        <w:tc>
          <w:tcPr>
            <w:tcW w:w="2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600" w:type="dxa"/>
            <w:vAlign w:val="bottom"/>
            <w:tcBorders>
              <w:top w:val="single" w:sz="8" w:color="auto"/>
            </w:tcBorders>
          </w:tcPr>
          <w:p>
            <w:pPr>
              <w:jc w:val="center"/>
              <w:ind w:right="332"/>
              <w:spacing w:after="0" w:line="202" w:lineRule="exact"/>
              <w:rPr>
                <w:sz w:val="20"/>
                <w:szCs w:val="20"/>
                <w:color w:val="auto"/>
              </w:rPr>
            </w:pPr>
            <w:r>
              <w:rPr>
                <w:rFonts w:ascii="Arial" w:cs="Arial" w:eastAsia="Arial" w:hAnsi="Arial"/>
                <w:sz w:val="18"/>
                <w:szCs w:val="18"/>
                <w:color w:val="auto"/>
                <w:w w:val="90"/>
              </w:rPr>
              <w:t>Dan L. Halvorson</w:t>
            </w:r>
          </w:p>
        </w:tc>
      </w:tr>
      <w:tr>
        <w:trPr>
          <w:trHeight w:val="216"/>
        </w:trPr>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0" w:type="dxa"/>
            <w:vAlign w:val="bottom"/>
          </w:tcPr>
          <w:p>
            <w:pPr>
              <w:jc w:val="center"/>
              <w:ind w:right="312"/>
              <w:spacing w:after="0"/>
              <w:rPr>
                <w:sz w:val="20"/>
                <w:szCs w:val="20"/>
                <w:color w:val="auto"/>
              </w:rPr>
            </w:pPr>
            <w:r>
              <w:rPr>
                <w:rFonts w:ascii="Arial" w:cs="Arial" w:eastAsia="Arial" w:hAnsi="Arial"/>
                <w:sz w:val="18"/>
                <w:szCs w:val="18"/>
                <w:color w:val="auto"/>
                <w:w w:val="89"/>
              </w:rPr>
              <w:t>Chief Financial Officer and Treasurer</w:t>
            </w:r>
          </w:p>
        </w:tc>
      </w:tr>
      <w:tr>
        <w:trPr>
          <w:trHeight w:val="222"/>
        </w:trPr>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0" w:type="dxa"/>
            <w:vAlign w:val="bottom"/>
          </w:tcPr>
          <w:p>
            <w:pPr>
              <w:jc w:val="center"/>
              <w:ind w:right="312"/>
              <w:spacing w:after="0"/>
              <w:rPr>
                <w:sz w:val="20"/>
                <w:szCs w:val="20"/>
                <w:color w:val="auto"/>
              </w:rPr>
            </w:pPr>
            <w:r>
              <w:rPr>
                <w:rFonts w:ascii="Arial" w:cs="Arial" w:eastAsia="Arial" w:hAnsi="Arial"/>
                <w:sz w:val="18"/>
                <w:szCs w:val="18"/>
                <w:color w:val="auto"/>
                <w:w w:val="91"/>
              </w:rPr>
              <w:t>(Principal Financial and Accounting Officer)</w:t>
            </w:r>
          </w:p>
        </w:tc>
      </w:tr>
    </w:tbl>
    <w:p>
      <w:pPr>
        <w:sectPr>
          <w:pgSz w:w="11900" w:h="16838" w:orient="portrait"/>
          <w:cols w:equalWidth="0" w:num="1">
            <w:col w:w="11420"/>
          </w:cols>
          <w:pgMar w:left="240" w:top="274"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127000</wp:posOffset>
            </wp:positionV>
            <wp:extent cx="12433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135255</wp:posOffset>
            </wp:positionV>
            <wp:extent cx="12433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4000" w:type="dxa"/>
        <w:tblCellMar>
          <w:top w:w="0" w:type="dxa"/>
          <w:left w:w="0" w:type="dxa"/>
          <w:bottom w:w="0" w:type="dxa"/>
          <w:right w:w="0" w:type="dxa"/>
        </w:tblCellMar>
      </w:tblPr>
      <w:tr>
        <w:trPr>
          <w:trHeight w:val="228"/>
        </w:trPr>
        <w:tc>
          <w:tcPr>
            <w:tcW w:w="1560" w:type="dxa"/>
            <w:vAlign w:val="bottom"/>
          </w:tcPr>
          <w:p>
            <w:pPr>
              <w:spacing w:after="0"/>
              <w:rPr>
                <w:sz w:val="20"/>
                <w:szCs w:val="20"/>
                <w:color w:val="auto"/>
              </w:rPr>
            </w:pPr>
            <w:r>
              <w:rPr>
                <w:rFonts w:ascii="Arial" w:cs="Arial" w:eastAsia="Arial" w:hAnsi="Arial"/>
                <w:sz w:val="18"/>
                <w:szCs w:val="18"/>
                <w:b w:val="1"/>
                <w:bCs w:val="1"/>
                <w:color w:val="auto"/>
              </w:rPr>
              <w:t>Award No.</w:t>
            </w:r>
          </w:p>
        </w:tc>
        <w:tc>
          <w:tcPr>
            <w:tcW w:w="1500" w:type="dxa"/>
            <w:vAlign w:val="bottom"/>
          </w:tcPr>
          <w:p>
            <w:pPr>
              <w:spacing w:after="0"/>
              <w:rPr>
                <w:sz w:val="19"/>
                <w:szCs w:val="19"/>
                <w:color w:val="auto"/>
              </w:rPr>
            </w:pPr>
          </w:p>
        </w:tc>
      </w:tr>
      <w:tr>
        <w:trPr>
          <w:trHeight w:val="257"/>
        </w:trPr>
        <w:tc>
          <w:tcPr>
            <w:tcW w:w="1560" w:type="dxa"/>
            <w:vAlign w:val="bottom"/>
          </w:tcPr>
          <w:p>
            <w:pPr>
              <w:spacing w:after="0"/>
              <w:rPr>
                <w:sz w:val="20"/>
                <w:szCs w:val="20"/>
                <w:color w:val="auto"/>
              </w:rPr>
            </w:pPr>
            <w:r>
              <w:rPr>
                <w:rFonts w:ascii="Arial" w:cs="Arial" w:eastAsia="Arial" w:hAnsi="Arial"/>
                <w:sz w:val="18"/>
                <w:szCs w:val="18"/>
                <w:b w:val="1"/>
                <w:bCs w:val="1"/>
                <w:color w:val="auto"/>
              </w:rPr>
              <w:t>Effective Date</w:t>
            </w:r>
          </w:p>
        </w:tc>
        <w:tc>
          <w:tcPr>
            <w:tcW w:w="1500" w:type="dxa"/>
            <w:vAlign w:val="bottom"/>
          </w:tcPr>
          <w:p>
            <w:pPr>
              <w:ind w:left="500"/>
              <w:spacing w:after="0"/>
              <w:rPr>
                <w:sz w:val="20"/>
                <w:szCs w:val="20"/>
                <w:color w:val="auto"/>
              </w:rPr>
            </w:pPr>
            <w:r>
              <w:rPr>
                <w:rFonts w:ascii="Arial" w:cs="Arial" w:eastAsia="Arial" w:hAnsi="Arial"/>
                <w:sz w:val="18"/>
                <w:szCs w:val="18"/>
                <w:b w:val="1"/>
                <w:bCs w:val="1"/>
                <w:color w:val="auto"/>
                <w:w w:val="88"/>
              </w:rPr>
              <w:t>May 17, 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-144145</wp:posOffset>
            </wp:positionV>
            <wp:extent cx="11836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83640" cy="8890"/>
                    </a:xfrm>
                    <a:prstGeom prst="rect">
                      <a:avLst/>
                    </a:prstGeom>
                    <a:noFill/>
                  </pic:spPr>
                </pic:pic>
              </a:graphicData>
            </a:graphic>
          </wp:anchor>
        </w:drawing>
        <w:drawing>
          <wp:anchor simplePos="0" relativeHeight="251657728" behindDoc="1" locked="0" layoutInCell="0" allowOverlap="1">
            <wp:simplePos x="0" y="0"/>
            <wp:positionH relativeFrom="column">
              <wp:posOffset>3529965</wp:posOffset>
            </wp:positionH>
            <wp:positionV relativeFrom="paragraph">
              <wp:posOffset>1270</wp:posOffset>
            </wp:positionV>
            <wp:extent cx="11836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14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You are hereby awarded restricted shares of the common stock, $0.001 par value per share (“</w:t>
      </w:r>
      <w:r>
        <w:rPr>
          <w:rFonts w:ascii="Arial" w:cs="Arial" w:eastAsia="Arial" w:hAnsi="Arial"/>
          <w:sz w:val="18"/>
          <w:szCs w:val="18"/>
          <w:u w:val="single" w:color="auto"/>
          <w:color w:val="auto"/>
        </w:rPr>
        <w:t>Restricted Shares</w:t>
      </w:r>
      <w:r>
        <w:rPr>
          <w:rFonts w:ascii="Arial" w:cs="Arial" w:eastAsia="Arial" w:hAnsi="Arial"/>
          <w:sz w:val="18"/>
          <w:szCs w:val="18"/>
          <w:color w:val="auto"/>
        </w:rPr>
        <w:t>”), of Novatel Wireless, Inc., a Delaware corporation (together with its parents, subsidiaries and affiliates, the “</w:t>
      </w:r>
      <w:r>
        <w:rPr>
          <w:rFonts w:ascii="Arial" w:cs="Arial" w:eastAsia="Arial" w:hAnsi="Arial"/>
          <w:sz w:val="18"/>
          <w:szCs w:val="18"/>
          <w:u w:val="single" w:color="auto"/>
          <w:color w:val="auto"/>
        </w:rPr>
        <w:t>Company</w:t>
      </w:r>
      <w:r>
        <w:rPr>
          <w:rFonts w:ascii="Arial" w:cs="Arial" w:eastAsia="Arial" w:hAnsi="Arial"/>
          <w:sz w:val="18"/>
          <w:szCs w:val="18"/>
          <w:color w:val="auto"/>
        </w:rPr>
        <w:t>”), subject to the terms and conditions set forth in this Restricted Share Award Agreement (“</w:t>
      </w:r>
      <w:r>
        <w:rPr>
          <w:rFonts w:ascii="Arial" w:cs="Arial" w:eastAsia="Arial" w:hAnsi="Arial"/>
          <w:sz w:val="18"/>
          <w:szCs w:val="18"/>
          <w:u w:val="single" w:color="auto"/>
          <w:color w:val="auto"/>
        </w:rPr>
        <w:t>Award Agreement</w:t>
      </w:r>
      <w:r>
        <w:rPr>
          <w:rFonts w:ascii="Arial" w:cs="Arial" w:eastAsia="Arial" w:hAnsi="Arial"/>
          <w:sz w:val="18"/>
          <w:szCs w:val="18"/>
          <w:color w:val="auto"/>
        </w:rPr>
        <w:t>” or “</w:t>
      </w:r>
      <w:r>
        <w:rPr>
          <w:rFonts w:ascii="Arial" w:cs="Arial" w:eastAsia="Arial" w:hAnsi="Arial"/>
          <w:sz w:val="18"/>
          <w:szCs w:val="18"/>
          <w:u w:val="single" w:color="auto"/>
          <w:color w:val="auto"/>
        </w:rPr>
        <w:t>Award</w:t>
      </w:r>
      <w:r>
        <w:rPr>
          <w:rFonts w:ascii="Arial" w:cs="Arial" w:eastAsia="Arial" w:hAnsi="Arial"/>
          <w:sz w:val="18"/>
          <w:szCs w:val="18"/>
          <w:color w:val="auto"/>
        </w:rPr>
        <w:t>”), and in the Novatel Wireless, Inc. 2000 Stock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By executing this Award Agreement, you agree to be bound by all the Plan’s terms and conditions as if they had been set out verbatim below. Capitalized terms used but not otherwise defined herein are defined in the Plan.</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u w:val="single" w:color="auto"/>
          <w:color w:val="auto"/>
        </w:rPr>
        <w:t>Specific Terms</w:t>
      </w:r>
      <w:r>
        <w:rPr>
          <w:rFonts w:ascii="Arial" w:cs="Arial" w:eastAsia="Arial" w:hAnsi="Arial"/>
          <w:sz w:val="18"/>
          <w:szCs w:val="18"/>
          <w:b w:val="1"/>
          <w:bCs w:val="1"/>
          <w:color w:val="auto"/>
        </w:rPr>
        <w:t>.</w:t>
      </w:r>
      <w:r>
        <w:rPr>
          <w:rFonts w:ascii="Arial" w:cs="Arial" w:eastAsia="Arial" w:hAnsi="Arial"/>
          <w:sz w:val="18"/>
          <w:szCs w:val="18"/>
          <w:color w:val="auto"/>
        </w:rPr>
        <w:t xml:space="preserve"> Your Restricted Shares have the following terms: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Name of Recipient</w:t>
            </w:r>
          </w:p>
        </w:tc>
        <w:tc>
          <w:tcPr>
            <w:tcW w:w="9800" w:type="dxa"/>
            <w:vAlign w:val="bottom"/>
          </w:tcPr>
          <w:p>
            <w:pPr>
              <w:spacing w:after="0"/>
              <w:rPr>
                <w:sz w:val="14"/>
                <w:szCs w:val="14"/>
                <w:color w:val="auto"/>
              </w:rPr>
            </w:pPr>
          </w:p>
        </w:tc>
      </w:tr>
      <w:tr>
        <w:trPr>
          <w:trHeight w:val="215"/>
        </w:trPr>
        <w:tc>
          <w:tcPr>
            <w:tcW w:w="1620" w:type="dxa"/>
            <w:vAlign w:val="bottom"/>
            <w:gridSpan w:val="3"/>
          </w:tcPr>
          <w:p>
            <w:pPr>
              <w:spacing w:after="0"/>
              <w:rPr>
                <w:sz w:val="20"/>
                <w:szCs w:val="20"/>
                <w:color w:val="auto"/>
              </w:rPr>
            </w:pPr>
            <w:r>
              <w:rPr>
                <w:rFonts w:ascii="Arial" w:cs="Arial" w:eastAsia="Arial" w:hAnsi="Arial"/>
                <w:sz w:val="18"/>
                <w:szCs w:val="18"/>
                <w:color w:val="auto"/>
              </w:rPr>
              <w:t>Number of Shares</w:t>
            </w:r>
          </w:p>
        </w:tc>
        <w:tc>
          <w:tcPr>
            <w:tcW w:w="9800" w:type="dxa"/>
            <w:vAlign w:val="bottom"/>
          </w:tcPr>
          <w:p>
            <w:pPr>
              <w:ind w:left="220"/>
              <w:spacing w:after="0"/>
              <w:rPr>
                <w:sz w:val="20"/>
                <w:szCs w:val="20"/>
                <w:color w:val="auto"/>
              </w:rPr>
            </w:pPr>
            <w:r>
              <w:rPr>
                <w:rFonts w:ascii="Arial" w:cs="Arial" w:eastAsia="Arial" w:hAnsi="Arial"/>
                <w:sz w:val="18"/>
                <w:szCs w:val="18"/>
                <w:color w:val="auto"/>
              </w:rPr>
              <w:t>7,500</w:t>
            </w:r>
          </w:p>
        </w:tc>
      </w:tr>
      <w:tr>
        <w:trPr>
          <w:trHeight w:val="222"/>
        </w:trPr>
        <w:tc>
          <w:tcPr>
            <w:tcW w:w="1620" w:type="dxa"/>
            <w:vAlign w:val="bottom"/>
            <w:gridSpan w:val="3"/>
          </w:tcPr>
          <w:p>
            <w:pPr>
              <w:spacing w:after="0"/>
              <w:rPr>
                <w:sz w:val="20"/>
                <w:szCs w:val="20"/>
                <w:color w:val="auto"/>
              </w:rPr>
            </w:pPr>
            <w:r>
              <w:rPr>
                <w:rFonts w:ascii="Arial" w:cs="Arial" w:eastAsia="Arial" w:hAnsi="Arial"/>
                <w:sz w:val="18"/>
                <w:szCs w:val="18"/>
                <w:color w:val="auto"/>
              </w:rPr>
              <w:t>Awarded</w:t>
            </w:r>
          </w:p>
        </w:tc>
        <w:tc>
          <w:tcPr>
            <w:tcW w:w="9800" w:type="dxa"/>
            <w:vAlign w:val="bottom"/>
          </w:tcPr>
          <w:p>
            <w:pPr>
              <w:spacing w:after="0"/>
              <w:rPr>
                <w:sz w:val="19"/>
                <w:szCs w:val="19"/>
                <w:color w:val="auto"/>
              </w:rPr>
            </w:pPr>
          </w:p>
        </w:tc>
      </w:tr>
      <w:tr>
        <w:trPr>
          <w:trHeight w:val="223"/>
        </w:trPr>
        <w:tc>
          <w:tcPr>
            <w:tcW w:w="1620" w:type="dxa"/>
            <w:vAlign w:val="bottom"/>
            <w:gridSpan w:val="3"/>
          </w:tcPr>
          <w:p>
            <w:pPr>
              <w:spacing w:after="0"/>
              <w:rPr>
                <w:sz w:val="20"/>
                <w:szCs w:val="20"/>
                <w:color w:val="auto"/>
              </w:rPr>
            </w:pPr>
            <w:r>
              <w:rPr>
                <w:rFonts w:ascii="Arial" w:cs="Arial" w:eastAsia="Arial" w:hAnsi="Arial"/>
                <w:sz w:val="18"/>
                <w:szCs w:val="18"/>
                <w:color w:val="auto"/>
              </w:rPr>
              <w:t>Award Date</w:t>
            </w:r>
          </w:p>
        </w:tc>
        <w:tc>
          <w:tcPr>
            <w:tcW w:w="9800" w:type="dxa"/>
            <w:vAlign w:val="bottom"/>
          </w:tcPr>
          <w:p>
            <w:pPr>
              <w:ind w:left="220"/>
              <w:spacing w:after="0"/>
              <w:rPr>
                <w:sz w:val="20"/>
                <w:szCs w:val="20"/>
                <w:color w:val="auto"/>
              </w:rPr>
            </w:pPr>
            <w:r>
              <w:rPr>
                <w:rFonts w:ascii="Arial" w:cs="Arial" w:eastAsia="Arial" w:hAnsi="Arial"/>
                <w:sz w:val="18"/>
                <w:szCs w:val="18"/>
                <w:color w:val="auto"/>
              </w:rPr>
              <w:t>May 17, 2006</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Vesting (each, a</w:t>
            </w:r>
          </w:p>
        </w:tc>
        <w:tc>
          <w:tcPr>
            <w:tcW w:w="9800" w:type="dxa"/>
            <w:vAlign w:val="bottom"/>
          </w:tcPr>
          <w:p>
            <w:pPr>
              <w:ind w:left="220"/>
              <w:spacing w:after="0"/>
              <w:rPr>
                <w:sz w:val="20"/>
                <w:szCs w:val="20"/>
                <w:color w:val="auto"/>
              </w:rPr>
            </w:pPr>
            <w:r>
              <w:rPr>
                <w:rFonts w:ascii="Arial" w:cs="Arial" w:eastAsia="Arial" w:hAnsi="Arial"/>
                <w:sz w:val="18"/>
                <w:szCs w:val="18"/>
                <w:color w:val="auto"/>
                <w:w w:val="89"/>
              </w:rPr>
              <w:t>The Restricted Shares shall vest in three equal annual installments, beginning on May 17, 2007. In the event that you are no longer in</w:t>
            </w:r>
          </w:p>
        </w:tc>
      </w:tr>
      <w:tr>
        <w:trPr>
          <w:trHeight w:val="184"/>
        </w:trPr>
        <w:tc>
          <w:tcPr>
            <w:tcW w:w="1620" w:type="dxa"/>
            <w:vAlign w:val="bottom"/>
            <w:gridSpan w:val="3"/>
          </w:tcPr>
          <w:p>
            <w:pPr>
              <w:spacing w:after="0" w:line="184" w:lineRule="exact"/>
              <w:rPr>
                <w:sz w:val="20"/>
                <w:szCs w:val="20"/>
                <w:color w:val="auto"/>
              </w:rPr>
            </w:pPr>
            <w:r>
              <w:rPr>
                <w:rFonts w:ascii="Arial" w:cs="Arial" w:eastAsia="Arial" w:hAnsi="Arial"/>
                <w:sz w:val="18"/>
                <w:szCs w:val="18"/>
                <w:color w:val="auto"/>
              </w:rPr>
              <w:t>“Vesting Date”)</w:t>
            </w:r>
          </w:p>
        </w:tc>
        <w:tc>
          <w:tcPr>
            <w:tcW w:w="9800" w:type="dxa"/>
            <w:vAlign w:val="bottom"/>
          </w:tcPr>
          <w:p>
            <w:pPr>
              <w:ind w:left="220"/>
              <w:spacing w:after="0" w:line="184" w:lineRule="exact"/>
              <w:rPr>
                <w:sz w:val="20"/>
                <w:szCs w:val="20"/>
                <w:color w:val="auto"/>
              </w:rPr>
            </w:pPr>
            <w:r>
              <w:rPr>
                <w:rFonts w:ascii="Arial" w:cs="Arial" w:eastAsia="Arial" w:hAnsi="Arial"/>
                <w:sz w:val="18"/>
                <w:szCs w:val="18"/>
                <w:color w:val="auto"/>
                <w:w w:val="87"/>
              </w:rPr>
              <w:t>Service to the Company in any capacity (e.g. as an employee, consultant, or member of the Board of Directors), any unvested Restricted</w:t>
            </w:r>
          </w:p>
        </w:tc>
      </w:tr>
      <w:tr>
        <w:trPr>
          <w:trHeight w:val="228"/>
        </w:trPr>
        <w:tc>
          <w:tcPr>
            <w:tcW w:w="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w w:val="93"/>
              </w:rPr>
              <w:t>Shares (including dividends paid thereon), shall be automatically forfeited and returned to the Company for cancellation upon the</w:t>
            </w:r>
          </w:p>
        </w:tc>
      </w:tr>
      <w:tr>
        <w:trPr>
          <w:trHeight w:val="222"/>
        </w:trPr>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rPr>
              <w:t>effective day of the end of your Service.</w:t>
            </w:r>
          </w:p>
        </w:tc>
      </w:tr>
    </w:tbl>
    <w:p>
      <w:pPr>
        <w:spacing w:after="0" w:line="150" w:lineRule="exact"/>
        <w:rPr>
          <w:sz w:val="20"/>
          <w:szCs w:val="20"/>
          <w:color w:val="auto"/>
        </w:rPr>
      </w:pPr>
    </w:p>
    <w:p>
      <w:pPr>
        <w:ind w:right="80" w:firstLine="8"/>
        <w:spacing w:after="0" w:line="262" w:lineRule="auto"/>
        <w:tabs>
          <w:tab w:leader="none" w:pos="176"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You hereby represent and warrant to the Company that you have no present intention of distributing or selling the Restricted Shares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under applicable securities laws. You further acknowledge and agree that your ability to sell the Restricted Shares may be limited by applicable securities laws and the Company’s Insider Trading Policy then in effect.</w:t>
      </w:r>
    </w:p>
    <w:p>
      <w:pPr>
        <w:spacing w:after="0" w:line="132" w:lineRule="exact"/>
        <w:rPr>
          <w:rFonts w:ascii="Arial" w:cs="Arial" w:eastAsia="Arial" w:hAnsi="Arial"/>
          <w:sz w:val="18"/>
          <w:szCs w:val="18"/>
          <w:color w:val="auto"/>
        </w:rPr>
      </w:pPr>
    </w:p>
    <w:p>
      <w:pPr>
        <w:ind w:right="60" w:firstLine="8"/>
        <w:spacing w:after="0" w:line="310" w:lineRule="auto"/>
        <w:tabs>
          <w:tab w:leader="none" w:pos="176" w:val="left"/>
        </w:tabs>
        <w:numPr>
          <w:ilvl w:val="0"/>
          <w:numId w:val="19"/>
        </w:numPr>
        <w:rPr>
          <w:rFonts w:ascii="Arial" w:cs="Arial" w:eastAsia="Arial" w:hAnsi="Arial"/>
          <w:sz w:val="16"/>
          <w:szCs w:val="16"/>
          <w:color w:val="auto"/>
        </w:rPr>
      </w:pPr>
      <w:r>
        <w:rPr>
          <w:rFonts w:ascii="Arial" w:cs="Arial" w:eastAsia="Arial" w:hAnsi="Arial"/>
          <w:sz w:val="16"/>
          <w:szCs w:val="16"/>
          <w:b w:val="1"/>
          <w:bCs w:val="1"/>
          <w:u w:val="single" w:color="auto"/>
          <w:color w:val="auto"/>
        </w:rPr>
        <w:t>Issuance of Restricted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On or about the effective date of this Award Agreement, the Company shall cause its transfer agent to reflect the issuance in</w:t>
      </w:r>
      <w:r>
        <w:rPr>
          <w:rFonts w:ascii="Arial" w:cs="Arial" w:eastAsia="Arial" w:hAnsi="Arial"/>
          <w:sz w:val="16"/>
          <w:szCs w:val="16"/>
          <w:b w:val="1"/>
          <w:bCs w:val="1"/>
          <w:color w:val="auto"/>
        </w:rPr>
        <w:t xml:space="preserve"> </w:t>
      </w:r>
      <w:r>
        <w:rPr>
          <w:rFonts w:ascii="Arial" w:cs="Arial" w:eastAsia="Arial" w:hAnsi="Arial"/>
          <w:sz w:val="16"/>
          <w:szCs w:val="16"/>
          <w:color w:val="auto"/>
        </w:rPr>
        <w:t>your name of all the Restricted Shares subject to this Award. Such Restricted Shares shall be held in the custody of the Company or its designee for your account. The Restricted Shares shall be subject to the restrictions set forth herein. Until applicable vesting restrictions lapse, any certificates that you</w:t>
      </w:r>
    </w:p>
    <w:p>
      <w:pPr>
        <w:sectPr>
          <w:pgSz w:w="11900" w:h="16838" w:orient="portrait"/>
          <w:cols w:equalWidth="0" w:num="1">
            <w:col w:w="11420"/>
          </w:cols>
          <w:pgMar w:left="240" w:top="125" w:right="23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receive for Restricted Shares will include a legend stating that they are subject to the restrictions set forth in the Plan and this Award Agreement.</w:t>
      </w:r>
    </w:p>
    <w:p>
      <w:pPr>
        <w:spacing w:after="0" w:line="188" w:lineRule="exact"/>
        <w:rPr>
          <w:sz w:val="20"/>
          <w:szCs w:val="20"/>
          <w:color w:val="auto"/>
        </w:rPr>
      </w:pPr>
    </w:p>
    <w:p>
      <w:pPr>
        <w:ind w:firstLine="8"/>
        <w:spacing w:after="0" w:line="290" w:lineRule="auto"/>
        <w:tabs>
          <w:tab w:leader="none" w:pos="176" w:val="left"/>
        </w:tabs>
        <w:numPr>
          <w:ilvl w:val="0"/>
          <w:numId w:val="20"/>
        </w:numPr>
        <w:rPr>
          <w:rFonts w:ascii="Arial" w:cs="Arial" w:eastAsia="Arial" w:hAnsi="Arial"/>
          <w:sz w:val="16"/>
          <w:szCs w:val="16"/>
          <w:color w:val="auto"/>
        </w:rPr>
      </w:pPr>
      <w:r>
        <w:rPr>
          <w:rFonts w:ascii="Arial" w:cs="Arial" w:eastAsia="Arial" w:hAnsi="Arial"/>
          <w:sz w:val="16"/>
          <w:szCs w:val="16"/>
          <w:b w:val="1"/>
          <w:bCs w:val="1"/>
          <w:u w:val="single" w:color="auto"/>
          <w:color w:val="auto"/>
        </w:rPr>
        <w:t>Stockholder Rights; Unvested Restricted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will hold the Restricted Shares in escrow until applicable vesting occurs, if ever. You must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deliver to the Company, coincident with the execution and delivery of this Award Agreement, three (3) stock powers, endorsed in blank, with respect to such shares for the Company’s use pursuant to this Award Agreement. If an event causes you to forfeit any Restricted Shares, the stock powers will be used to return the certificates for the forfeited Restricted Shares to the transfer agent for cancellation. Subject to this Award Agreement, as the owner of record of the Restricted Shares, your name will be reflected as such on the Company’s books and records, and you will be entitled to all rights of a Company stockholder, including voting and dividend rights with respect to the Restricted Shares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dividends paid with respect to those Restricted Shares, whether in cash or stock, that have not vested at the time of the dividend payment shall themselves be subject to the same restrictions, vesting and forfeiture conditions that apply to the corresponding Restricted Shares.</w:t>
      </w:r>
    </w:p>
    <w:p>
      <w:pPr>
        <w:spacing w:after="0" w:line="112" w:lineRule="exact"/>
        <w:rPr>
          <w:rFonts w:ascii="Arial" w:cs="Arial" w:eastAsia="Arial" w:hAnsi="Arial"/>
          <w:sz w:val="16"/>
          <w:szCs w:val="16"/>
          <w:color w:val="auto"/>
        </w:rPr>
      </w:pPr>
    </w:p>
    <w:p>
      <w:pPr>
        <w:jc w:val="both"/>
        <w:ind w:right="200" w:firstLine="8"/>
        <w:spacing w:after="0" w:line="296" w:lineRule="auto"/>
        <w:tabs>
          <w:tab w:leader="none" w:pos="176" w:val="left"/>
        </w:tabs>
        <w:numPr>
          <w:ilvl w:val="0"/>
          <w:numId w:val="20"/>
        </w:numPr>
        <w:rPr>
          <w:rFonts w:ascii="Arial" w:cs="Arial" w:eastAsia="Arial" w:hAnsi="Arial"/>
          <w:sz w:val="16"/>
          <w:szCs w:val="16"/>
          <w:color w:val="auto"/>
        </w:rPr>
      </w:pPr>
      <w:r>
        <w:rPr>
          <w:rFonts w:ascii="Arial" w:cs="Arial" w:eastAsia="Arial" w:hAnsi="Arial"/>
          <w:sz w:val="16"/>
          <w:szCs w:val="16"/>
          <w:b w:val="1"/>
          <w:bCs w:val="1"/>
          <w:u w:val="single" w:color="auto"/>
          <w:color w:val="auto"/>
        </w:rPr>
        <w:t>Transfer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No portion of the Restricted Shares may be sold, transferred, assigned, pledged or otherwise encumbered or disposed of by you until</w:t>
      </w:r>
      <w:r>
        <w:rPr>
          <w:rFonts w:ascii="Arial" w:cs="Arial" w:eastAsia="Arial" w:hAnsi="Arial"/>
          <w:sz w:val="16"/>
          <w:szCs w:val="16"/>
          <w:b w:val="1"/>
          <w:bCs w:val="1"/>
          <w:color w:val="auto"/>
        </w:rPr>
        <w:t xml:space="preserve"> </w:t>
      </w:r>
      <w:r>
        <w:rPr>
          <w:rFonts w:ascii="Arial" w:cs="Arial" w:eastAsia="Arial" w:hAnsi="Arial"/>
          <w:sz w:val="16"/>
          <w:szCs w:val="16"/>
          <w:color w:val="auto"/>
        </w:rPr>
        <w:t>the applicable Vesting Date in accordance with Section 1 hereof and then only in accordance with applicable securities laws and the Company’s Insider Trading Policy then in effect should such policy then apply to you. The Company shall not be required (i) to transfer on its books any Restricted Shares that have been sold or otherwise transferred in violation of any provision of this Award Agreement, or (ii) to treat as owner of such shares or to accord the right to vote or pay dividends to any purchaser or other transferee to whom you have attempted to transfer such shares.</w:t>
      </w:r>
    </w:p>
    <w:p>
      <w:pPr>
        <w:spacing w:after="0" w:line="107" w:lineRule="exact"/>
        <w:rPr>
          <w:rFonts w:ascii="Arial" w:cs="Arial" w:eastAsia="Arial" w:hAnsi="Arial"/>
          <w:sz w:val="16"/>
          <w:szCs w:val="16"/>
          <w:color w:val="auto"/>
        </w:rPr>
      </w:pPr>
    </w:p>
    <w:p>
      <w:pPr>
        <w:ind w:right="280" w:firstLine="8"/>
        <w:spacing w:after="0" w:line="301" w:lineRule="auto"/>
        <w:tabs>
          <w:tab w:leader="none" w:pos="176" w:val="left"/>
        </w:tabs>
        <w:numPr>
          <w:ilvl w:val="0"/>
          <w:numId w:val="20"/>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or communication required or permitted by any provision of this Award Agreement to be given to you shall be in writing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electronically, personally, or sent by certified mail, return receipt requested, addressed to you at the last address that the Company had for you on its records. Each party may, from time to time, by notice to the other party hereto, specify a new address for delivery of notices relating to this Award Agreement. Any such notice shall be deemed to be given as of the date such notice is personally delivered or properly mailed.</w:t>
      </w:r>
    </w:p>
    <w:p>
      <w:pPr>
        <w:spacing w:after="0" w:line="103" w:lineRule="exact"/>
        <w:rPr>
          <w:rFonts w:ascii="Arial" w:cs="Arial" w:eastAsia="Arial" w:hAnsi="Arial"/>
          <w:sz w:val="16"/>
          <w:szCs w:val="16"/>
          <w:color w:val="auto"/>
        </w:rPr>
      </w:pPr>
    </w:p>
    <w:p>
      <w:pPr>
        <w:ind w:right="180" w:firstLine="8"/>
        <w:spacing w:after="0" w:line="262" w:lineRule="auto"/>
        <w:tabs>
          <w:tab w:leader="none" w:pos="176"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in this Award Agreement or in the Plan, every covenant, term, and provision of this Award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binding upon and inure to the benefit of the parties hereto and their respective heirs, legatees, legal representatives, successors, and permitted transferees and assigns.</w:t>
      </w:r>
    </w:p>
    <w:p>
      <w:pPr>
        <w:spacing w:after="0" w:line="132" w:lineRule="exact"/>
        <w:rPr>
          <w:rFonts w:ascii="Arial" w:cs="Arial" w:eastAsia="Arial" w:hAnsi="Arial"/>
          <w:sz w:val="18"/>
          <w:szCs w:val="18"/>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Modifications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Agreement may not be modified or amended without your prior written consent.</w:t>
      </w:r>
    </w:p>
    <w:p>
      <w:pPr>
        <w:spacing w:after="0" w:line="171" w:lineRule="exact"/>
        <w:rPr>
          <w:rFonts w:ascii="Arial" w:cs="Arial" w:eastAsia="Arial" w:hAnsi="Arial"/>
          <w:sz w:val="18"/>
          <w:szCs w:val="18"/>
          <w:color w:val="auto"/>
        </w:rPr>
      </w:pPr>
    </w:p>
    <w:p>
      <w:pPr>
        <w:ind w:right="100" w:firstLine="8"/>
        <w:spacing w:after="0" w:line="275" w:lineRule="auto"/>
        <w:tabs>
          <w:tab w:leader="none" w:pos="176"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and other headings contained in this Award Agreement are for reference purposes only and are not intended to describe, interpret, define or</w:t>
      </w:r>
      <w:r>
        <w:rPr>
          <w:rFonts w:ascii="Arial" w:cs="Arial" w:eastAsia="Arial" w:hAnsi="Arial"/>
          <w:sz w:val="18"/>
          <w:szCs w:val="18"/>
          <w:b w:val="1"/>
          <w:bCs w:val="1"/>
          <w:color w:val="auto"/>
        </w:rPr>
        <w:t xml:space="preserve"> </w:t>
      </w:r>
      <w:r>
        <w:rPr>
          <w:rFonts w:ascii="Arial" w:cs="Arial" w:eastAsia="Arial" w:hAnsi="Arial"/>
          <w:sz w:val="18"/>
          <w:szCs w:val="18"/>
          <w:color w:val="auto"/>
        </w:rPr>
        <w:t>limit the scope or intent of this Award Agreement or any provision hereof.</w:t>
      </w:r>
    </w:p>
    <w:p>
      <w:pPr>
        <w:sectPr>
          <w:pgSz w:w="11900" w:h="16838" w:orient="portrait"/>
          <w:cols w:equalWidth="0" w:num="1">
            <w:col w:w="11420"/>
          </w:cols>
          <w:pgMar w:left="240" w:top="280" w:right="239" w:bottom="1440" w:gutter="0" w:footer="0" w:header="0"/>
        </w:sectPr>
      </w:pPr>
    </w:p>
    <w:bookmarkStart w:id="38" w:name="page39"/>
    <w:bookmarkEnd w:id="38"/>
    <w:p>
      <w:pPr>
        <w:ind w:right="280" w:firstLine="8"/>
        <w:spacing w:after="0" w:line="275" w:lineRule="auto"/>
        <w:tabs>
          <w:tab w:leader="none" w:pos="263"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Every provision of this Award Agreement is intended to be severable. If any term hereof is illegal or invalid for any reason, such illegality or</w:t>
      </w:r>
      <w:r>
        <w:rPr>
          <w:rFonts w:ascii="Arial" w:cs="Arial" w:eastAsia="Arial" w:hAnsi="Arial"/>
          <w:sz w:val="18"/>
          <w:szCs w:val="18"/>
          <w:b w:val="1"/>
          <w:bCs w:val="1"/>
          <w:color w:val="auto"/>
        </w:rPr>
        <w:t xml:space="preserve"> </w:t>
      </w:r>
      <w:r>
        <w:rPr>
          <w:rFonts w:ascii="Arial" w:cs="Arial" w:eastAsia="Arial" w:hAnsi="Arial"/>
          <w:sz w:val="18"/>
          <w:szCs w:val="18"/>
          <w:color w:val="auto"/>
        </w:rPr>
        <w:t>invalidity shall not affect the validity or legality of the remaining terms of this Award Agreement.</w:t>
      </w:r>
    </w:p>
    <w:p>
      <w:pPr>
        <w:spacing w:after="0" w:line="119" w:lineRule="exact"/>
        <w:rPr>
          <w:rFonts w:ascii="Arial" w:cs="Arial" w:eastAsia="Arial" w:hAnsi="Arial"/>
          <w:sz w:val="18"/>
          <w:szCs w:val="18"/>
          <w:color w:val="auto"/>
        </w:rPr>
      </w:pPr>
    </w:p>
    <w:p>
      <w:pPr>
        <w:ind w:right="60" w:firstLine="8"/>
        <w:spacing w:after="0" w:line="339" w:lineRule="auto"/>
        <w:tabs>
          <w:tab w:leader="none" w:pos="257" w:val="left"/>
        </w:tabs>
        <w:numPr>
          <w:ilvl w:val="0"/>
          <w:numId w:val="21"/>
        </w:numPr>
        <w:rPr>
          <w:rFonts w:ascii="Arial" w:cs="Arial" w:eastAsia="Arial" w:hAnsi="Arial"/>
          <w:sz w:val="16"/>
          <w:szCs w:val="16"/>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Award Agreement may be executed by the parties hereto in separate counterparts, each of which when so executed and delivered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an original, but all such counterparts shall together constitute one and the same instrument.</w:t>
      </w:r>
    </w:p>
    <w:p>
      <w:pPr>
        <w:spacing w:after="0" w:line="74" w:lineRule="exact"/>
        <w:rPr>
          <w:rFonts w:ascii="Arial" w:cs="Arial" w:eastAsia="Arial" w:hAnsi="Arial"/>
          <w:sz w:val="16"/>
          <w:szCs w:val="16"/>
          <w:color w:val="auto"/>
        </w:rPr>
      </w:pPr>
    </w:p>
    <w:p>
      <w:pPr>
        <w:ind w:left="280" w:hanging="272"/>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Plan</w:t>
      </w:r>
      <w:r>
        <w:rPr>
          <w:rFonts w:ascii="Arial" w:cs="Arial" w:eastAsia="Arial" w:hAnsi="Arial"/>
          <w:sz w:val="18"/>
          <w:szCs w:val="18"/>
          <w:b w:val="1"/>
          <w:bCs w:val="1"/>
          <w:color w:val="auto"/>
        </w:rPr>
        <w:t xml:space="preserve">. </w:t>
      </w:r>
      <w:r>
        <w:rPr>
          <w:rFonts w:ascii="Arial" w:cs="Arial" w:eastAsia="Arial" w:hAnsi="Arial"/>
          <w:sz w:val="18"/>
          <w:szCs w:val="18"/>
          <w:color w:val="auto"/>
        </w:rPr>
        <w:t>By signing this Award Agreement, you acknowledge that you have received a copy of the Plan.</w:t>
      </w:r>
    </w:p>
    <w:p>
      <w:pPr>
        <w:spacing w:after="0" w:line="171" w:lineRule="exact"/>
        <w:rPr>
          <w:rFonts w:ascii="Arial" w:cs="Arial" w:eastAsia="Arial" w:hAnsi="Arial"/>
          <w:sz w:val="18"/>
          <w:szCs w:val="18"/>
          <w:color w:val="auto"/>
        </w:rPr>
      </w:pPr>
    </w:p>
    <w:p>
      <w:pPr>
        <w:ind w:firstLine="8"/>
        <w:spacing w:after="0" w:line="275" w:lineRule="auto"/>
        <w:tabs>
          <w:tab w:leader="none" w:pos="263"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The State of California shall govern the validity of this Award Agreement, the construction of its terms, and the interpretation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rights and duties of the parties hereto.</w:t>
      </w:r>
    </w:p>
    <w:p>
      <w:pPr>
        <w:spacing w:after="0" w:line="12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BY YOUR SIGNATURE BELOW, along with the signature of the Company’s authorized representative, you and the Company agree that the Restricted Shares are awarded under and governed by the terms and conditions of this Award Agreement and the Plan.</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NOVATEL WIRELESS,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27940</wp:posOffset>
            </wp:positionV>
            <wp:extent cx="26930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Peter V. Leparulo</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Executive Officer</w:t>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RECIPIENT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27940</wp:posOffset>
            </wp:positionV>
            <wp:extent cx="26930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of Recipient:</w:t>
      </w:r>
    </w:p>
    <w:p>
      <w:pPr>
        <w:sectPr>
          <w:pgSz w:w="11900" w:h="16838" w:orient="portrait"/>
          <w:cols w:equalWidth="0" w:num="1">
            <w:col w:w="11420"/>
          </w:cols>
          <w:pgMar w:left="240" w:top="27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127000</wp:posOffset>
            </wp:positionV>
            <wp:extent cx="12433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135255</wp:posOffset>
            </wp:positionV>
            <wp:extent cx="12433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4000" w:type="dxa"/>
        <w:tblCellMar>
          <w:top w:w="0" w:type="dxa"/>
          <w:left w:w="0" w:type="dxa"/>
          <w:bottom w:w="0" w:type="dxa"/>
          <w:right w:w="0" w:type="dxa"/>
        </w:tblCellMar>
      </w:tblPr>
      <w:tr>
        <w:trPr>
          <w:trHeight w:val="228"/>
        </w:trPr>
        <w:tc>
          <w:tcPr>
            <w:tcW w:w="1560" w:type="dxa"/>
            <w:vAlign w:val="bottom"/>
          </w:tcPr>
          <w:p>
            <w:pPr>
              <w:spacing w:after="0"/>
              <w:rPr>
                <w:sz w:val="20"/>
                <w:szCs w:val="20"/>
                <w:color w:val="auto"/>
              </w:rPr>
            </w:pPr>
            <w:r>
              <w:rPr>
                <w:rFonts w:ascii="Arial" w:cs="Arial" w:eastAsia="Arial" w:hAnsi="Arial"/>
                <w:sz w:val="18"/>
                <w:szCs w:val="18"/>
                <w:b w:val="1"/>
                <w:bCs w:val="1"/>
                <w:color w:val="auto"/>
              </w:rPr>
              <w:t>Award No.</w:t>
            </w:r>
          </w:p>
        </w:tc>
        <w:tc>
          <w:tcPr>
            <w:tcW w:w="1500" w:type="dxa"/>
            <w:vAlign w:val="bottom"/>
          </w:tcPr>
          <w:p>
            <w:pPr>
              <w:spacing w:after="0"/>
              <w:rPr>
                <w:sz w:val="19"/>
                <w:szCs w:val="19"/>
                <w:color w:val="auto"/>
              </w:rPr>
            </w:pPr>
          </w:p>
        </w:tc>
      </w:tr>
      <w:tr>
        <w:trPr>
          <w:trHeight w:val="257"/>
        </w:trPr>
        <w:tc>
          <w:tcPr>
            <w:tcW w:w="1560" w:type="dxa"/>
            <w:vAlign w:val="bottom"/>
          </w:tcPr>
          <w:p>
            <w:pPr>
              <w:spacing w:after="0"/>
              <w:rPr>
                <w:sz w:val="20"/>
                <w:szCs w:val="20"/>
                <w:color w:val="auto"/>
              </w:rPr>
            </w:pPr>
            <w:r>
              <w:rPr>
                <w:rFonts w:ascii="Arial" w:cs="Arial" w:eastAsia="Arial" w:hAnsi="Arial"/>
                <w:sz w:val="18"/>
                <w:szCs w:val="18"/>
                <w:b w:val="1"/>
                <w:bCs w:val="1"/>
                <w:color w:val="auto"/>
              </w:rPr>
              <w:t>Effective Date</w:t>
            </w:r>
          </w:p>
        </w:tc>
        <w:tc>
          <w:tcPr>
            <w:tcW w:w="1500" w:type="dxa"/>
            <w:vAlign w:val="bottom"/>
          </w:tcPr>
          <w:p>
            <w:pPr>
              <w:ind w:left="500"/>
              <w:spacing w:after="0"/>
              <w:rPr>
                <w:sz w:val="20"/>
                <w:szCs w:val="20"/>
                <w:color w:val="auto"/>
              </w:rPr>
            </w:pPr>
            <w:r>
              <w:rPr>
                <w:rFonts w:ascii="Arial" w:cs="Arial" w:eastAsia="Arial" w:hAnsi="Arial"/>
                <w:sz w:val="18"/>
                <w:szCs w:val="18"/>
                <w:b w:val="1"/>
                <w:bCs w:val="1"/>
                <w:color w:val="auto"/>
                <w:w w:val="88"/>
              </w:rPr>
              <w:t>May 17, 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-144145</wp:posOffset>
            </wp:positionV>
            <wp:extent cx="11836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83640" cy="8890"/>
                    </a:xfrm>
                    <a:prstGeom prst="rect">
                      <a:avLst/>
                    </a:prstGeom>
                    <a:noFill/>
                  </pic:spPr>
                </pic:pic>
              </a:graphicData>
            </a:graphic>
          </wp:anchor>
        </w:drawing>
        <w:drawing>
          <wp:anchor simplePos="0" relativeHeight="251657728" behindDoc="1" locked="0" layoutInCell="0" allowOverlap="1">
            <wp:simplePos x="0" y="0"/>
            <wp:positionH relativeFrom="column">
              <wp:posOffset>3529965</wp:posOffset>
            </wp:positionH>
            <wp:positionV relativeFrom="paragraph">
              <wp:posOffset>1270</wp:posOffset>
            </wp:positionV>
            <wp:extent cx="11836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14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You are hereby awarded restricted shares of the common stock, $0.001 par value per share (“</w:t>
      </w:r>
      <w:r>
        <w:rPr>
          <w:rFonts w:ascii="Arial" w:cs="Arial" w:eastAsia="Arial" w:hAnsi="Arial"/>
          <w:sz w:val="18"/>
          <w:szCs w:val="18"/>
          <w:u w:val="single" w:color="auto"/>
          <w:color w:val="auto"/>
        </w:rPr>
        <w:t>Restricted Shares</w:t>
      </w:r>
      <w:r>
        <w:rPr>
          <w:rFonts w:ascii="Arial" w:cs="Arial" w:eastAsia="Arial" w:hAnsi="Arial"/>
          <w:sz w:val="18"/>
          <w:szCs w:val="18"/>
          <w:color w:val="auto"/>
        </w:rPr>
        <w:t>”), of Novatel Wireless, Inc., a Delaware corporation (together with its parents, subsidiaries and affiliates, the “</w:t>
      </w:r>
      <w:r>
        <w:rPr>
          <w:rFonts w:ascii="Arial" w:cs="Arial" w:eastAsia="Arial" w:hAnsi="Arial"/>
          <w:sz w:val="18"/>
          <w:szCs w:val="18"/>
          <w:u w:val="single" w:color="auto"/>
          <w:color w:val="auto"/>
        </w:rPr>
        <w:t>Company</w:t>
      </w:r>
      <w:r>
        <w:rPr>
          <w:rFonts w:ascii="Arial" w:cs="Arial" w:eastAsia="Arial" w:hAnsi="Arial"/>
          <w:sz w:val="18"/>
          <w:szCs w:val="18"/>
          <w:color w:val="auto"/>
        </w:rPr>
        <w:t>”), subject to the terms and conditions set forth in this Restricted Share Award Agreement (“</w:t>
      </w:r>
      <w:r>
        <w:rPr>
          <w:rFonts w:ascii="Arial" w:cs="Arial" w:eastAsia="Arial" w:hAnsi="Arial"/>
          <w:sz w:val="18"/>
          <w:szCs w:val="18"/>
          <w:u w:val="single" w:color="auto"/>
          <w:color w:val="auto"/>
        </w:rPr>
        <w:t>Award Agreement</w:t>
      </w:r>
      <w:r>
        <w:rPr>
          <w:rFonts w:ascii="Arial" w:cs="Arial" w:eastAsia="Arial" w:hAnsi="Arial"/>
          <w:sz w:val="18"/>
          <w:szCs w:val="18"/>
          <w:color w:val="auto"/>
        </w:rPr>
        <w:t>” or “</w:t>
      </w:r>
      <w:r>
        <w:rPr>
          <w:rFonts w:ascii="Arial" w:cs="Arial" w:eastAsia="Arial" w:hAnsi="Arial"/>
          <w:sz w:val="18"/>
          <w:szCs w:val="18"/>
          <w:u w:val="single" w:color="auto"/>
          <w:color w:val="auto"/>
        </w:rPr>
        <w:t>Award</w:t>
      </w:r>
      <w:r>
        <w:rPr>
          <w:rFonts w:ascii="Arial" w:cs="Arial" w:eastAsia="Arial" w:hAnsi="Arial"/>
          <w:sz w:val="18"/>
          <w:szCs w:val="18"/>
          <w:color w:val="auto"/>
        </w:rPr>
        <w:t>”), and in the Novatel Wireless, Inc. 2000 Stock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By executing this Award Agreement, you agree to be bound by all the Plan’s terms and conditions as if they had been set out verbatim below. Capitalized terms used but not otherwise defined herein are defined in the Plan.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u w:val="single" w:color="auto"/>
          <w:color w:val="auto"/>
        </w:rPr>
        <w:t>Specific Terms</w:t>
      </w:r>
      <w:r>
        <w:rPr>
          <w:rFonts w:ascii="Arial" w:cs="Arial" w:eastAsia="Arial" w:hAnsi="Arial"/>
          <w:sz w:val="18"/>
          <w:szCs w:val="18"/>
          <w:b w:val="1"/>
          <w:bCs w:val="1"/>
          <w:color w:val="auto"/>
        </w:rPr>
        <w:t>.</w:t>
      </w:r>
      <w:r>
        <w:rPr>
          <w:rFonts w:ascii="Arial" w:cs="Arial" w:eastAsia="Arial" w:hAnsi="Arial"/>
          <w:sz w:val="18"/>
          <w:szCs w:val="18"/>
          <w:color w:val="auto"/>
        </w:rPr>
        <w:t xml:space="preserve"> Your Restricted Shares have the following terms: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Name of Recipient</w:t>
            </w:r>
          </w:p>
        </w:tc>
        <w:tc>
          <w:tcPr>
            <w:tcW w:w="9800" w:type="dxa"/>
            <w:vAlign w:val="bottom"/>
          </w:tcPr>
          <w:p>
            <w:pPr>
              <w:spacing w:after="0"/>
              <w:rPr>
                <w:sz w:val="14"/>
                <w:szCs w:val="14"/>
                <w:color w:val="auto"/>
              </w:rPr>
            </w:pPr>
          </w:p>
        </w:tc>
      </w:tr>
      <w:tr>
        <w:trPr>
          <w:trHeight w:val="215"/>
        </w:trPr>
        <w:tc>
          <w:tcPr>
            <w:tcW w:w="1620" w:type="dxa"/>
            <w:vAlign w:val="bottom"/>
            <w:gridSpan w:val="3"/>
          </w:tcPr>
          <w:p>
            <w:pPr>
              <w:spacing w:after="0"/>
              <w:rPr>
                <w:sz w:val="20"/>
                <w:szCs w:val="20"/>
                <w:color w:val="auto"/>
              </w:rPr>
            </w:pPr>
            <w:r>
              <w:rPr>
                <w:rFonts w:ascii="Arial" w:cs="Arial" w:eastAsia="Arial" w:hAnsi="Arial"/>
                <w:sz w:val="18"/>
                <w:szCs w:val="18"/>
                <w:color w:val="auto"/>
              </w:rPr>
              <w:t>Number of Shares</w:t>
            </w:r>
          </w:p>
        </w:tc>
        <w:tc>
          <w:tcPr>
            <w:tcW w:w="9800" w:type="dxa"/>
            <w:vAlign w:val="bottom"/>
          </w:tcPr>
          <w:p>
            <w:pPr>
              <w:spacing w:after="0"/>
              <w:rPr>
                <w:sz w:val="18"/>
                <w:szCs w:val="18"/>
                <w:color w:val="auto"/>
              </w:rPr>
            </w:pPr>
          </w:p>
        </w:tc>
      </w:tr>
      <w:tr>
        <w:trPr>
          <w:trHeight w:val="222"/>
        </w:trPr>
        <w:tc>
          <w:tcPr>
            <w:tcW w:w="1620" w:type="dxa"/>
            <w:vAlign w:val="bottom"/>
            <w:gridSpan w:val="3"/>
          </w:tcPr>
          <w:p>
            <w:pPr>
              <w:spacing w:after="0"/>
              <w:rPr>
                <w:sz w:val="20"/>
                <w:szCs w:val="20"/>
                <w:color w:val="auto"/>
              </w:rPr>
            </w:pPr>
            <w:r>
              <w:rPr>
                <w:rFonts w:ascii="Arial" w:cs="Arial" w:eastAsia="Arial" w:hAnsi="Arial"/>
                <w:sz w:val="18"/>
                <w:szCs w:val="18"/>
                <w:color w:val="auto"/>
              </w:rPr>
              <w:t>Awarded</w:t>
            </w:r>
          </w:p>
        </w:tc>
        <w:tc>
          <w:tcPr>
            <w:tcW w:w="9800" w:type="dxa"/>
            <w:vAlign w:val="bottom"/>
          </w:tcPr>
          <w:p>
            <w:pPr>
              <w:spacing w:after="0"/>
              <w:rPr>
                <w:sz w:val="19"/>
                <w:szCs w:val="19"/>
                <w:color w:val="auto"/>
              </w:rPr>
            </w:pPr>
          </w:p>
        </w:tc>
      </w:tr>
      <w:tr>
        <w:trPr>
          <w:trHeight w:val="223"/>
        </w:trPr>
        <w:tc>
          <w:tcPr>
            <w:tcW w:w="1620" w:type="dxa"/>
            <w:vAlign w:val="bottom"/>
            <w:gridSpan w:val="3"/>
          </w:tcPr>
          <w:p>
            <w:pPr>
              <w:spacing w:after="0"/>
              <w:rPr>
                <w:sz w:val="20"/>
                <w:szCs w:val="20"/>
                <w:color w:val="auto"/>
              </w:rPr>
            </w:pPr>
            <w:r>
              <w:rPr>
                <w:rFonts w:ascii="Arial" w:cs="Arial" w:eastAsia="Arial" w:hAnsi="Arial"/>
                <w:sz w:val="18"/>
                <w:szCs w:val="18"/>
                <w:color w:val="auto"/>
              </w:rPr>
              <w:t>Award Date</w:t>
            </w:r>
          </w:p>
        </w:tc>
        <w:tc>
          <w:tcPr>
            <w:tcW w:w="9800" w:type="dxa"/>
            <w:vAlign w:val="bottom"/>
          </w:tcPr>
          <w:p>
            <w:pPr>
              <w:ind w:left="220"/>
              <w:spacing w:after="0"/>
              <w:rPr>
                <w:sz w:val="20"/>
                <w:szCs w:val="20"/>
                <w:color w:val="auto"/>
              </w:rPr>
            </w:pPr>
            <w:r>
              <w:rPr>
                <w:rFonts w:ascii="Arial" w:cs="Arial" w:eastAsia="Arial" w:hAnsi="Arial"/>
                <w:sz w:val="18"/>
                <w:szCs w:val="18"/>
                <w:color w:val="auto"/>
              </w:rPr>
              <w:t>May 17, 2006</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Vesting (each, a</w:t>
            </w:r>
          </w:p>
        </w:tc>
        <w:tc>
          <w:tcPr>
            <w:tcW w:w="9800" w:type="dxa"/>
            <w:vAlign w:val="bottom"/>
          </w:tcPr>
          <w:p>
            <w:pPr>
              <w:ind w:left="220"/>
              <w:spacing w:after="0"/>
              <w:rPr>
                <w:sz w:val="20"/>
                <w:szCs w:val="20"/>
                <w:color w:val="auto"/>
              </w:rPr>
            </w:pPr>
            <w:r>
              <w:rPr>
                <w:rFonts w:ascii="Arial" w:cs="Arial" w:eastAsia="Arial" w:hAnsi="Arial"/>
                <w:sz w:val="18"/>
                <w:szCs w:val="18"/>
                <w:color w:val="auto"/>
                <w:w w:val="88"/>
              </w:rPr>
              <w:t>a. In the event that the closing price of the Company’s common stock as reported on The Nasdaq Stock Market shall equal or exceed a</w:t>
            </w:r>
          </w:p>
        </w:tc>
      </w:tr>
      <w:tr>
        <w:trPr>
          <w:trHeight w:val="184"/>
        </w:trPr>
        <w:tc>
          <w:tcPr>
            <w:tcW w:w="1620" w:type="dxa"/>
            <w:vAlign w:val="bottom"/>
            <w:gridSpan w:val="3"/>
          </w:tcPr>
          <w:p>
            <w:pPr>
              <w:spacing w:after="0" w:line="184" w:lineRule="exact"/>
              <w:rPr>
                <w:sz w:val="20"/>
                <w:szCs w:val="20"/>
                <w:color w:val="auto"/>
              </w:rPr>
            </w:pPr>
            <w:r>
              <w:rPr>
                <w:rFonts w:ascii="Arial" w:cs="Arial" w:eastAsia="Arial" w:hAnsi="Arial"/>
                <w:sz w:val="18"/>
                <w:szCs w:val="18"/>
                <w:color w:val="auto"/>
              </w:rPr>
              <w:t>“Vesting Date”)</w:t>
            </w:r>
          </w:p>
        </w:tc>
        <w:tc>
          <w:tcPr>
            <w:tcW w:w="9800" w:type="dxa"/>
            <w:vAlign w:val="bottom"/>
          </w:tcPr>
          <w:p>
            <w:pPr>
              <w:ind w:left="220"/>
              <w:spacing w:after="0" w:line="184" w:lineRule="exact"/>
              <w:rPr>
                <w:sz w:val="20"/>
                <w:szCs w:val="20"/>
                <w:color w:val="auto"/>
              </w:rPr>
            </w:pPr>
            <w:r>
              <w:rPr>
                <w:rFonts w:ascii="Arial" w:cs="Arial" w:eastAsia="Arial" w:hAnsi="Arial"/>
                <w:sz w:val="18"/>
                <w:szCs w:val="18"/>
                <w:color w:val="auto"/>
                <w:w w:val="88"/>
              </w:rPr>
              <w:t>per share price immediately below for each of at least 10 consecutive trading days, then 1/3 of the Restricted Shares shall automatically</w:t>
            </w:r>
          </w:p>
        </w:tc>
      </w:tr>
      <w:tr>
        <w:trPr>
          <w:trHeight w:val="309"/>
        </w:trPr>
        <w:tc>
          <w:tcPr>
            <w:tcW w:w="8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rPr>
              <w:t>vest on such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w:t>
            </w:r>
          </w:p>
        </w:tc>
      </w:tr>
      <w:tr>
        <w:trPr>
          <w:trHeight w:val="216"/>
        </w:trPr>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rPr>
              <w:t>$13.26</w:t>
            </w:r>
          </w:p>
        </w:tc>
      </w:tr>
      <w:tr>
        <w:trPr>
          <w:trHeight w:val="216"/>
        </w:trPr>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rPr>
              <w:t>$15.92</w:t>
            </w:r>
          </w:p>
        </w:tc>
      </w:tr>
      <w:tr>
        <w:trPr>
          <w:trHeight w:val="222"/>
        </w:trPr>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rPr>
              <w:t>$18.57</w:t>
            </w:r>
          </w:p>
        </w:tc>
      </w:tr>
      <w:tr>
        <w:trPr>
          <w:trHeight w:val="291"/>
        </w:trPr>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w w:val="92"/>
              </w:rPr>
              <w:t>b. Notwithstanding the foregoing, (i) in no event shall more than 50% of the Restricted Shares vest prior to May 1, 2007, (ii) in any</w:t>
            </w:r>
          </w:p>
        </w:tc>
      </w:tr>
      <w:tr>
        <w:trPr>
          <w:trHeight w:val="216"/>
        </w:trPr>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w w:val="88"/>
              </w:rPr>
              <w:t>event, any Restricted Shares that remain unvested on May 17, 2011 shall automatically vest in full as of such date, (iii) all the Restricted</w:t>
            </w:r>
          </w:p>
        </w:tc>
      </w:tr>
      <w:tr>
        <w:trPr>
          <w:trHeight w:val="216"/>
        </w:trPr>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w w:val="87"/>
              </w:rPr>
              <w:t>Shares are subject to accelerated vesting as contemplated by Section 2 hereof, and (iv) subject to Section 2 hereof, in the event that you</w:t>
            </w:r>
          </w:p>
        </w:tc>
      </w:tr>
      <w:tr>
        <w:trPr>
          <w:trHeight w:val="216"/>
        </w:trPr>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w w:val="90"/>
              </w:rPr>
              <w:t>are no longer in Service to the Company in any capacity (e.g., as an employee, consultant or member of the Board of Directors), any</w:t>
            </w:r>
          </w:p>
        </w:tc>
      </w:tr>
      <w:tr>
        <w:trPr>
          <w:trHeight w:val="216"/>
        </w:trPr>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w w:val="94"/>
              </w:rPr>
              <w:t>unvested Restricted Shares (including dividends paid thereon) shall be automatically forfeited and returned to the Company for</w:t>
            </w:r>
          </w:p>
        </w:tc>
      </w:tr>
      <w:tr>
        <w:trPr>
          <w:trHeight w:val="216"/>
        </w:trPr>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w w:val="96"/>
              </w:rPr>
              <w:t>cancellation upon the effective date of the end of your Service. Notwithstanding anything to the contrary in the Plan or in any</w:t>
            </w:r>
          </w:p>
        </w:tc>
      </w:tr>
      <w:tr>
        <w:trPr>
          <w:trHeight w:val="216"/>
        </w:trPr>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w w:val="91"/>
              </w:rPr>
              <w:t>agreement between the Company and you, so long as you are in Service to the Company in some or any of these capacities (as an</w:t>
            </w:r>
          </w:p>
        </w:tc>
      </w:tr>
      <w:tr>
        <w:trPr>
          <w:trHeight w:val="216"/>
        </w:trPr>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w w:val="88"/>
              </w:rPr>
              <w:t>employee, consultant or member of the Board of Directors), then the Restricted Shares shall continue to be eligible to vest as set forth in</w:t>
            </w:r>
          </w:p>
        </w:tc>
      </w:tr>
      <w:tr>
        <w:trPr>
          <w:trHeight w:val="216"/>
        </w:trPr>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w w:val="90"/>
              </w:rPr>
              <w:t>paragraphs a. above and c. below and, in any event any Restricted Shares that remain unvested on May 17, 2011 shall automatically</w:t>
            </w:r>
          </w:p>
        </w:tc>
      </w:tr>
      <w:tr>
        <w:trPr>
          <w:trHeight w:val="222"/>
        </w:trPr>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rPr>
              <w:t>vest in full as of such date.</w:t>
            </w:r>
          </w:p>
        </w:tc>
      </w:tr>
      <w:tr>
        <w:trPr>
          <w:trHeight w:val="291"/>
        </w:trPr>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w w:val="90"/>
              </w:rPr>
              <w:t>c. In the event that greater than 50% of the Restricted Shares would vest prior to May 1, 2007 but for the provisions of Section 1(b)(i)</w:t>
            </w:r>
          </w:p>
        </w:tc>
      </w:tr>
      <w:tr>
        <w:trPr>
          <w:trHeight w:val="222"/>
        </w:trPr>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rPr>
              <w:t>hereof, then such Restricted Shares that otherwise would have vested shall vest on May 1, 2007.</w:t>
            </w:r>
          </w:p>
        </w:tc>
      </w:tr>
    </w:tbl>
    <w:p>
      <w:pPr>
        <w:sectPr>
          <w:pgSz w:w="11900" w:h="16838" w:orient="portrait"/>
          <w:cols w:equalWidth="0" w:num="1">
            <w:col w:w="11420"/>
          </w:cols>
          <w:pgMar w:left="240" w:top="125" w:right="239" w:bottom="1440" w:gutter="0" w:footer="0" w:header="0"/>
        </w:sectPr>
      </w:pPr>
    </w:p>
    <w:bookmarkStart w:id="40" w:name="page41"/>
    <w:bookmarkEnd w:id="40"/>
    <w:p>
      <w:pPr>
        <w:ind w:left="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Restricted Share Award Agreement</w:t>
      </w:r>
    </w:p>
    <w:p>
      <w:pPr>
        <w:spacing w:after="0" w:line="15" w:lineRule="exact"/>
        <w:rPr>
          <w:sz w:val="20"/>
          <w:szCs w:val="20"/>
          <w:color w:val="auto"/>
        </w:rPr>
      </w:pPr>
    </w:p>
    <w:p>
      <w:pPr>
        <w:ind w:left="12"/>
        <w:spacing w:after="0"/>
        <w:rPr>
          <w:sz w:val="20"/>
          <w:szCs w:val="20"/>
          <w:color w:val="auto"/>
        </w:rPr>
      </w:pPr>
      <w:r>
        <w:rPr>
          <w:rFonts w:ascii="Arial" w:cs="Arial" w:eastAsia="Arial" w:hAnsi="Arial"/>
          <w:sz w:val="18"/>
          <w:szCs w:val="18"/>
          <w:color w:val="auto"/>
        </w:rPr>
        <w:t>Novatel Wireless, Inc.</w:t>
      </w:r>
    </w:p>
    <w:p>
      <w:pPr>
        <w:spacing w:after="0" w:line="9" w:lineRule="exact"/>
        <w:rPr>
          <w:sz w:val="20"/>
          <w:szCs w:val="20"/>
          <w:color w:val="auto"/>
        </w:rPr>
      </w:pPr>
    </w:p>
    <w:p>
      <w:pPr>
        <w:ind w:left="12"/>
        <w:spacing w:after="0"/>
        <w:rPr>
          <w:sz w:val="20"/>
          <w:szCs w:val="20"/>
          <w:color w:val="auto"/>
        </w:rPr>
      </w:pPr>
      <w:r>
        <w:rPr>
          <w:rFonts w:ascii="Arial" w:cs="Arial" w:eastAsia="Arial" w:hAnsi="Arial"/>
          <w:sz w:val="18"/>
          <w:szCs w:val="18"/>
          <w:color w:val="auto"/>
        </w:rPr>
        <w:t>Page 2</w:t>
      </w:r>
    </w:p>
    <w:p>
      <w:pPr>
        <w:spacing w:after="0" w:line="145" w:lineRule="exact"/>
        <w:rPr>
          <w:sz w:val="20"/>
          <w:szCs w:val="20"/>
          <w:color w:val="auto"/>
        </w:rPr>
      </w:pPr>
    </w:p>
    <w:p>
      <w:pPr>
        <w:ind w:left="-8" w:right="40" w:firstLine="8"/>
        <w:spacing w:after="0" w:line="275" w:lineRule="auto"/>
        <w:tabs>
          <w:tab w:leader="none" w:pos="168"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in Corporate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you have not previously vested in your rights with respect to this Award, your Award shall become automatically</w:t>
      </w:r>
      <w:r>
        <w:rPr>
          <w:rFonts w:ascii="Arial" w:cs="Arial" w:eastAsia="Arial" w:hAnsi="Arial"/>
          <w:sz w:val="18"/>
          <w:szCs w:val="18"/>
          <w:b w:val="1"/>
          <w:bCs w:val="1"/>
          <w:color w:val="auto"/>
        </w:rPr>
        <w:t xml:space="preserve"> </w:t>
      </w:r>
      <w:r>
        <w:rPr>
          <w:rFonts w:ascii="Arial" w:cs="Arial" w:eastAsia="Arial" w:hAnsi="Arial"/>
          <w:sz w:val="18"/>
          <w:szCs w:val="18"/>
          <w:color w:val="auto"/>
        </w:rPr>
        <w:t>and fully vested in the event of a Change in Control, as defined in Exhibit A, anything to the contrary notwithstanding.</w:t>
      </w:r>
    </w:p>
    <w:p>
      <w:pPr>
        <w:spacing w:after="0" w:line="119" w:lineRule="exact"/>
        <w:rPr>
          <w:rFonts w:ascii="Arial" w:cs="Arial" w:eastAsia="Arial" w:hAnsi="Arial"/>
          <w:sz w:val="18"/>
          <w:szCs w:val="18"/>
          <w:color w:val="auto"/>
        </w:rPr>
      </w:pPr>
    </w:p>
    <w:p>
      <w:pPr>
        <w:ind w:left="-8" w:right="80" w:firstLine="8"/>
        <w:spacing w:after="0" w:line="262" w:lineRule="auto"/>
        <w:tabs>
          <w:tab w:leader="none" w:pos="168"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You hereby represent and warrant to the Company that you have no present intention of distributing or selling the Restricted Shares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under applicable securities laws and as provided herein. You further acknowledge and agree that your ability to sell the Restricted Shares may be limited by applicable securities laws and the Company’s Insider Trading Policy then in effect.</w:t>
      </w:r>
    </w:p>
    <w:p>
      <w:pPr>
        <w:spacing w:after="0" w:line="132" w:lineRule="exact"/>
        <w:rPr>
          <w:rFonts w:ascii="Arial" w:cs="Arial" w:eastAsia="Arial" w:hAnsi="Arial"/>
          <w:sz w:val="18"/>
          <w:szCs w:val="18"/>
          <w:color w:val="auto"/>
        </w:rPr>
      </w:pPr>
    </w:p>
    <w:p>
      <w:pPr>
        <w:ind w:left="-8" w:right="60" w:firstLine="8"/>
        <w:spacing w:after="0" w:line="301" w:lineRule="auto"/>
        <w:tabs>
          <w:tab w:leader="none" w:pos="168" w:val="left"/>
        </w:tabs>
        <w:numPr>
          <w:ilvl w:val="0"/>
          <w:numId w:val="22"/>
        </w:numPr>
        <w:rPr>
          <w:rFonts w:ascii="Arial" w:cs="Arial" w:eastAsia="Arial" w:hAnsi="Arial"/>
          <w:sz w:val="16"/>
          <w:szCs w:val="16"/>
          <w:color w:val="auto"/>
        </w:rPr>
      </w:pPr>
      <w:r>
        <w:rPr>
          <w:rFonts w:ascii="Arial" w:cs="Arial" w:eastAsia="Arial" w:hAnsi="Arial"/>
          <w:sz w:val="16"/>
          <w:szCs w:val="16"/>
          <w:b w:val="1"/>
          <w:bCs w:val="1"/>
          <w:u w:val="single" w:color="auto"/>
          <w:color w:val="auto"/>
        </w:rPr>
        <w:t>Issuance of Restricted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On or about the effective date of this Award Agreement, the Company shall cause its transfer agent to reflect the issuance in</w:t>
      </w:r>
      <w:r>
        <w:rPr>
          <w:rFonts w:ascii="Arial" w:cs="Arial" w:eastAsia="Arial" w:hAnsi="Arial"/>
          <w:sz w:val="16"/>
          <w:szCs w:val="16"/>
          <w:b w:val="1"/>
          <w:bCs w:val="1"/>
          <w:color w:val="auto"/>
        </w:rPr>
        <w:t xml:space="preserve"> </w:t>
      </w:r>
      <w:r>
        <w:rPr>
          <w:rFonts w:ascii="Arial" w:cs="Arial" w:eastAsia="Arial" w:hAnsi="Arial"/>
          <w:sz w:val="16"/>
          <w:szCs w:val="16"/>
          <w:color w:val="auto"/>
        </w:rPr>
        <w:t>your name of all the Restricted Shares subject to this Award. Such Restricted Shares shall be held in the custody of the Company or its designee for your account. The Restricted Shares shall be subject to the restrictions set forth herein. Until applicable vesting restrictions lapse, any certificates that you receive for Restricted Shares will include a legend stating that they are subject to the restrictions set forth in the Plan and this Award Agreement.</w:t>
      </w:r>
    </w:p>
    <w:p>
      <w:pPr>
        <w:spacing w:after="0" w:line="103" w:lineRule="exact"/>
        <w:rPr>
          <w:rFonts w:ascii="Arial" w:cs="Arial" w:eastAsia="Arial" w:hAnsi="Arial"/>
          <w:sz w:val="16"/>
          <w:szCs w:val="16"/>
          <w:color w:val="auto"/>
        </w:rPr>
      </w:pPr>
    </w:p>
    <w:p>
      <w:pPr>
        <w:ind w:left="-8" w:firstLine="8"/>
        <w:spacing w:after="0" w:line="290" w:lineRule="auto"/>
        <w:tabs>
          <w:tab w:leader="none" w:pos="168" w:val="left"/>
        </w:tabs>
        <w:numPr>
          <w:ilvl w:val="0"/>
          <w:numId w:val="22"/>
        </w:numPr>
        <w:rPr>
          <w:rFonts w:ascii="Arial" w:cs="Arial" w:eastAsia="Arial" w:hAnsi="Arial"/>
          <w:sz w:val="16"/>
          <w:szCs w:val="16"/>
          <w:color w:val="auto"/>
        </w:rPr>
      </w:pPr>
      <w:r>
        <w:rPr>
          <w:rFonts w:ascii="Arial" w:cs="Arial" w:eastAsia="Arial" w:hAnsi="Arial"/>
          <w:sz w:val="16"/>
          <w:szCs w:val="16"/>
          <w:b w:val="1"/>
          <w:bCs w:val="1"/>
          <w:u w:val="single" w:color="auto"/>
          <w:color w:val="auto"/>
        </w:rPr>
        <w:t>Stockholder Rights; Unvested Restricted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will hold the Restricted Shares in escrow until applicable vesting occurs, if ever. You must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deliver to the Company, coincident with the execution and delivery of this Award Agreement, three (3) stock powers, endorsed in blank, with respect to such shares for the Company’s use pursuant to this Award Agreement. If an event causes you to forfeit any Restricted Shares, the stock powers will be used to return the certificates for the forfeited Restricted Shares to the transfer agent for cancellation. Subject to this Award Agreement, as the owner of record of the Restricted Shares, your name will be reflected as such on the Company’s books and records, and you will be entitled to all rights of a Company stockholder, including voting and dividend rights with respect to the Restricted Shares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dividends paid with respect to those Restricted Shares, whether in cash or stock, that have not vested at the time of the dividend payment shall themselves be subject to the same restrictions, vesting and forfeiture conditions that apply to the corresponding Restricted Shares.</w:t>
      </w:r>
    </w:p>
    <w:p>
      <w:pPr>
        <w:spacing w:after="0" w:line="112" w:lineRule="exact"/>
        <w:rPr>
          <w:rFonts w:ascii="Arial" w:cs="Arial" w:eastAsia="Arial" w:hAnsi="Arial"/>
          <w:sz w:val="16"/>
          <w:szCs w:val="16"/>
          <w:color w:val="auto"/>
        </w:rPr>
      </w:pPr>
    </w:p>
    <w:p>
      <w:pPr>
        <w:jc w:val="both"/>
        <w:ind w:left="-8" w:right="200" w:firstLine="8"/>
        <w:spacing w:after="0" w:line="296" w:lineRule="auto"/>
        <w:tabs>
          <w:tab w:leader="none" w:pos="168" w:val="left"/>
        </w:tabs>
        <w:numPr>
          <w:ilvl w:val="0"/>
          <w:numId w:val="22"/>
        </w:numPr>
        <w:rPr>
          <w:rFonts w:ascii="Arial" w:cs="Arial" w:eastAsia="Arial" w:hAnsi="Arial"/>
          <w:sz w:val="16"/>
          <w:szCs w:val="16"/>
          <w:color w:val="auto"/>
        </w:rPr>
      </w:pPr>
      <w:r>
        <w:rPr>
          <w:rFonts w:ascii="Arial" w:cs="Arial" w:eastAsia="Arial" w:hAnsi="Arial"/>
          <w:sz w:val="16"/>
          <w:szCs w:val="16"/>
          <w:b w:val="1"/>
          <w:bCs w:val="1"/>
          <w:u w:val="single" w:color="auto"/>
          <w:color w:val="auto"/>
        </w:rPr>
        <w:t>Transfer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No portion of the Restricted Shares may be sold, transferred, assigned, pledged or otherwise encumbered or disposed of by you until</w:t>
      </w:r>
      <w:r>
        <w:rPr>
          <w:rFonts w:ascii="Arial" w:cs="Arial" w:eastAsia="Arial" w:hAnsi="Arial"/>
          <w:sz w:val="16"/>
          <w:szCs w:val="16"/>
          <w:b w:val="1"/>
          <w:bCs w:val="1"/>
          <w:color w:val="auto"/>
        </w:rPr>
        <w:t xml:space="preserve"> </w:t>
      </w:r>
      <w:r>
        <w:rPr>
          <w:rFonts w:ascii="Arial" w:cs="Arial" w:eastAsia="Arial" w:hAnsi="Arial"/>
          <w:sz w:val="16"/>
          <w:szCs w:val="16"/>
          <w:color w:val="auto"/>
        </w:rPr>
        <w:t>the applicable Vesting Date in accordance with Section 1 hereof and then only in accordance with applicable securities laws and the Company’s Insider Trading Policy then in effect should such policy then apply to you. The Company shall not be required (i) to transfer on its books any Restricted Shares that have been sold or otherwise transferred in violation of any provision of this Award Agreement, or (ii) to treat as owner of such shares or to accord the right to vote or pay dividends to any purchaser or other transferee to whom you have attempted to transfer such shares.</w:t>
      </w:r>
    </w:p>
    <w:p>
      <w:pPr>
        <w:spacing w:after="0" w:line="107" w:lineRule="exact"/>
        <w:rPr>
          <w:rFonts w:ascii="Arial" w:cs="Arial" w:eastAsia="Arial" w:hAnsi="Arial"/>
          <w:sz w:val="16"/>
          <w:szCs w:val="16"/>
          <w:color w:val="auto"/>
        </w:rPr>
      </w:pPr>
    </w:p>
    <w:p>
      <w:pPr>
        <w:ind w:left="-8" w:right="220" w:firstLine="8"/>
        <w:spacing w:after="0" w:line="275" w:lineRule="auto"/>
        <w:tabs>
          <w:tab w:leader="none" w:pos="168"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Mandatory Sale of Vested Restricted Shares for Tax Purposes</w:t>
      </w:r>
      <w:r>
        <w:rPr>
          <w:rFonts w:ascii="Arial" w:cs="Arial" w:eastAsia="Arial" w:hAnsi="Arial"/>
          <w:sz w:val="18"/>
          <w:szCs w:val="18"/>
          <w:b w:val="1"/>
          <w:bCs w:val="1"/>
          <w:color w:val="auto"/>
        </w:rPr>
        <w:t xml:space="preserve">. </w:t>
      </w:r>
      <w:r>
        <w:rPr>
          <w:rFonts w:ascii="Arial" w:cs="Arial" w:eastAsia="Arial" w:hAnsi="Arial"/>
          <w:sz w:val="18"/>
          <w:szCs w:val="18"/>
          <w:color w:val="auto"/>
        </w:rPr>
        <w:t>Solely in order to satisfy any tax withholding obligations of the Company triggered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of your Restricted Shares</w:t>
      </w:r>
    </w:p>
    <w:p>
      <w:pPr>
        <w:sectPr>
          <w:pgSz w:w="11900" w:h="16838" w:orient="portrait"/>
          <w:cols w:equalWidth="0" w:num="1">
            <w:col w:w="11412"/>
          </w:cols>
          <w:pgMar w:left="248" w:top="280" w:right="239" w:bottom="1440" w:gutter="0" w:footer="0" w:header="0"/>
        </w:sectPr>
      </w:pPr>
    </w:p>
    <w:bookmarkStart w:id="41" w:name="page42"/>
    <w:bookmarkEnd w:id="4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Restricted Share Award Agreement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Novatel Wireless,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pursuant to Section 1 hereof, you hereby authorize the Company (a) to sell a number of Restricted Shares equal to the Share Sale Amount (as defined below) on the first trading day immediately following each Vesting Date (each such sale date, a “</w:t>
      </w:r>
      <w:r>
        <w:rPr>
          <w:rFonts w:ascii="Arial" w:cs="Arial" w:eastAsia="Arial" w:hAnsi="Arial"/>
          <w:sz w:val="18"/>
          <w:szCs w:val="18"/>
          <w:u w:val="single" w:color="auto"/>
          <w:color w:val="auto"/>
        </w:rPr>
        <w:t>Sale Date</w:t>
      </w:r>
      <w:r>
        <w:rPr>
          <w:rFonts w:ascii="Arial" w:cs="Arial" w:eastAsia="Arial" w:hAnsi="Arial"/>
          <w:sz w:val="18"/>
          <w:szCs w:val="18"/>
          <w:color w:val="auto"/>
        </w:rPr>
        <w:t>”) for the account of the Company (a “</w:t>
      </w:r>
      <w:r>
        <w:rPr>
          <w:rFonts w:ascii="Arial" w:cs="Arial" w:eastAsia="Arial" w:hAnsi="Arial"/>
          <w:sz w:val="18"/>
          <w:szCs w:val="18"/>
          <w:u w:val="single" w:color="auto"/>
          <w:color w:val="auto"/>
        </w:rPr>
        <w:t>Tax Trade</w:t>
      </w:r>
      <w:r>
        <w:rPr>
          <w:rFonts w:ascii="Arial" w:cs="Arial" w:eastAsia="Arial" w:hAnsi="Arial"/>
          <w:sz w:val="18"/>
          <w:szCs w:val="18"/>
          <w:color w:val="auto"/>
        </w:rPr>
        <w:t xml:space="preserve">”), and (b) to withdraw a number of Restricted Shares equal to the Share Sale Amount from escrow following each Vesting Date as needed to settle the aforementioned sales;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provision shall be suspended if:</w:t>
      </w:r>
    </w:p>
    <w:p>
      <w:pPr>
        <w:spacing w:after="0" w:line="143" w:lineRule="exact"/>
        <w:rPr>
          <w:sz w:val="20"/>
          <w:szCs w:val="20"/>
          <w:color w:val="auto"/>
        </w:rPr>
      </w:pPr>
    </w:p>
    <w:p>
      <w:pPr>
        <w:ind w:right="180" w:firstLine="464"/>
        <w:spacing w:after="0" w:line="305" w:lineRule="auto"/>
        <w:tabs>
          <w:tab w:leader="none" w:pos="666" w:val="left"/>
        </w:tabs>
        <w:numPr>
          <w:ilvl w:val="1"/>
          <w:numId w:val="23"/>
        </w:numPr>
        <w:rPr>
          <w:rFonts w:ascii="Arial" w:cs="Arial" w:eastAsia="Arial" w:hAnsi="Arial"/>
          <w:sz w:val="15"/>
          <w:szCs w:val="15"/>
          <w:color w:val="auto"/>
        </w:rPr>
      </w:pPr>
      <w:r>
        <w:rPr>
          <w:rFonts w:ascii="Arial" w:cs="Arial" w:eastAsia="Arial" w:hAnsi="Arial"/>
          <w:sz w:val="15"/>
          <w:szCs w:val="15"/>
          <w:color w:val="auto"/>
        </w:rPr>
        <w:t>you have in effect a written securities trading plan reasonably acceptable to the Company for satisfying its withholding obligation with respect to the Restricted Shares, and such plan (x) complies with the requirements of Rule 10b5-1 of the Securities Exchange Act of 1934, as amended (the “</w:t>
      </w:r>
      <w:r>
        <w:rPr>
          <w:rFonts w:ascii="Arial" w:cs="Arial" w:eastAsia="Arial" w:hAnsi="Arial"/>
          <w:sz w:val="15"/>
          <w:szCs w:val="15"/>
          <w:u w:val="single" w:color="auto"/>
          <w:color w:val="auto"/>
        </w:rPr>
        <w:t>Exchange Act</w:t>
      </w:r>
      <w:r>
        <w:rPr>
          <w:rFonts w:ascii="Arial" w:cs="Arial" w:eastAsia="Arial" w:hAnsi="Arial"/>
          <w:sz w:val="15"/>
          <w:szCs w:val="15"/>
          <w:color w:val="auto"/>
        </w:rPr>
        <w:t>”),</w:t>
      </w:r>
    </w:p>
    <w:p>
      <w:pPr>
        <w:ind w:firstLine="8"/>
        <w:spacing w:after="0" w:line="261" w:lineRule="auto"/>
        <w:tabs>
          <w:tab w:leader="none" w:pos="2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has been adopted in accordance with the Company’s Insider Trading Policy as then in effect, and (z) was adopted prior to the calendar quarter in which trading commences pursuant to such plan (herein, a “</w:t>
      </w:r>
      <w:r>
        <w:rPr>
          <w:rFonts w:ascii="Arial" w:cs="Arial" w:eastAsia="Arial" w:hAnsi="Arial"/>
          <w:sz w:val="18"/>
          <w:szCs w:val="18"/>
          <w:u w:val="single" w:color="auto"/>
          <w:color w:val="auto"/>
        </w:rPr>
        <w:t>10b5-1 Plan</w:t>
      </w:r>
      <w:r>
        <w:rPr>
          <w:rFonts w:ascii="Arial" w:cs="Arial" w:eastAsia="Arial" w:hAnsi="Arial"/>
          <w:sz w:val="18"/>
          <w:szCs w:val="18"/>
          <w:color w:val="auto"/>
        </w:rPr>
        <w:t>”) or</w:t>
      </w:r>
    </w:p>
    <w:p>
      <w:pPr>
        <w:spacing w:after="0" w:line="137" w:lineRule="exact"/>
        <w:rPr>
          <w:rFonts w:ascii="Arial" w:cs="Arial" w:eastAsia="Arial" w:hAnsi="Arial"/>
          <w:sz w:val="18"/>
          <w:szCs w:val="18"/>
          <w:color w:val="auto"/>
        </w:rPr>
      </w:pPr>
    </w:p>
    <w:p>
      <w:pPr>
        <w:ind w:right="60" w:firstLine="464"/>
        <w:spacing w:after="0" w:line="259" w:lineRule="auto"/>
        <w:tabs>
          <w:tab w:leader="none" w:pos="715" w:val="left"/>
        </w:tabs>
        <w:numPr>
          <w:ilvl w:val="1"/>
          <w:numId w:val="24"/>
        </w:numPr>
        <w:rPr>
          <w:rFonts w:ascii="Arial" w:cs="Arial" w:eastAsia="Arial" w:hAnsi="Arial"/>
          <w:sz w:val="18"/>
          <w:szCs w:val="18"/>
          <w:color w:val="auto"/>
        </w:rPr>
      </w:pPr>
      <w:r>
        <w:rPr>
          <w:rFonts w:ascii="Arial" w:cs="Arial" w:eastAsia="Arial" w:hAnsi="Arial"/>
          <w:sz w:val="18"/>
          <w:szCs w:val="18"/>
          <w:color w:val="auto"/>
        </w:rPr>
        <w:t>you complete the statement set forth in Exhibit B in which you agree to deliver cash to the Company in amount sufficient to pay the tax withholding obligations triggered by the vesting of your Restricted Shares (the “</w:t>
      </w:r>
      <w:r>
        <w:rPr>
          <w:rFonts w:ascii="Arial" w:cs="Arial" w:eastAsia="Arial" w:hAnsi="Arial"/>
          <w:sz w:val="18"/>
          <w:szCs w:val="18"/>
          <w:u w:val="single" w:color="auto"/>
          <w:color w:val="auto"/>
        </w:rPr>
        <w:t>Cash Delivery Statement</w:t>
      </w:r>
      <w:r>
        <w:rPr>
          <w:rFonts w:ascii="Arial" w:cs="Arial" w:eastAsia="Arial" w:hAnsi="Arial"/>
          <w:sz w:val="18"/>
          <w:szCs w:val="18"/>
          <w:color w:val="auto"/>
        </w:rPr>
        <w:t>”) and deliver such statement to the Company’s counsel no later than 2 business days prior to a potential Vest Date.</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so long as your 10b5-1 Plan or Cash Delivery Statement, if any, is in effect, you hereby agree to remit to the Company in immediately available funds a dollar amount equal to the statutorily required minimum federal and state withholding taxes within one (1) business day following each Vesting Date. In the event that the Company does not timely receive the foregoing sum of money, if required, you hereby authorize the Company to reactivate the mandatory sales in accordance with above Clauses (a) and (b) of this Section 7.</w:t>
      </w:r>
    </w:p>
    <w:p>
      <w:pPr>
        <w:spacing w:after="0" w:line="14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Share Sale Amount</w:t>
      </w:r>
      <w:r>
        <w:rPr>
          <w:rFonts w:ascii="Arial" w:cs="Arial" w:eastAsia="Arial" w:hAnsi="Arial"/>
          <w:sz w:val="18"/>
          <w:szCs w:val="18"/>
          <w:color w:val="auto"/>
        </w:rPr>
        <w:t xml:space="preserve">” shall mean a number of Restricted Shares (rounded down to the nearest whole share) equal to the quotient of (1) the tax withholding obligation of the Company triggered by the vesting of your Restricted Shares on the relevant Vesting Date,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(2) the closing price of one share of Company common stock as quoted on The Nasdaq Stock Market on the applicable Vesting Date.</w:t>
      </w:r>
    </w:p>
    <w:p>
      <w:pPr>
        <w:spacing w:after="0" w:line="14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connection with each Tax Trade, you hereby agree to timely execute and deliver such documents and instruments as the Company may determine are reasonably necessary or desirable. You further acknowledge and agree that (A) you have no authority, influence or control over a Tax Trade, and will not attempt to exercise any authority, influence or control over such sales, and (B) each Tax Trade may be deemed to be sales of securities by you for purposes of Section 16 of the Exchange Act. Promptly following any Tax Sale, the Company shall inform you or your designee of the number of shares that the Company caused to be sold for such purpose.</w:t>
      </w:r>
    </w:p>
    <w:p>
      <w:pPr>
        <w:spacing w:after="0" w:line="137" w:lineRule="exact"/>
        <w:rPr>
          <w:sz w:val="20"/>
          <w:szCs w:val="20"/>
          <w:color w:val="auto"/>
        </w:rPr>
      </w:pPr>
    </w:p>
    <w:p>
      <w:pPr>
        <w:ind w:firstLine="8"/>
        <w:spacing w:after="0" w:line="339" w:lineRule="auto"/>
        <w:tabs>
          <w:tab w:leader="none" w:pos="176" w:val="left"/>
        </w:tabs>
        <w:numPr>
          <w:ilvl w:val="0"/>
          <w:numId w:val="25"/>
        </w:numPr>
        <w:rPr>
          <w:rFonts w:ascii="Arial" w:cs="Arial" w:eastAsia="Arial" w:hAnsi="Arial"/>
          <w:sz w:val="16"/>
          <w:szCs w:val="16"/>
          <w:color w:val="auto"/>
        </w:rPr>
      </w:pPr>
      <w:r>
        <w:rPr>
          <w:rFonts w:ascii="Arial" w:cs="Arial" w:eastAsia="Arial" w:hAnsi="Arial"/>
          <w:sz w:val="16"/>
          <w:szCs w:val="16"/>
          <w:b w:val="1"/>
          <w:bCs w:val="1"/>
          <w:u w:val="single" w:color="auto"/>
          <w:color w:val="auto"/>
        </w:rPr>
        <w:t>Leaves of Absence</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the Restricted Shares, your status as an employee does not terminate when you go on a</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bone fide</w:t>
      </w:r>
      <w:r>
        <w:rPr>
          <w:rFonts w:ascii="Arial" w:cs="Arial" w:eastAsia="Arial" w:hAnsi="Arial"/>
          <w:sz w:val="16"/>
          <w:szCs w:val="16"/>
          <w:b w:val="1"/>
          <w:bCs w:val="1"/>
          <w:color w:val="auto"/>
        </w:rPr>
        <w:t xml:space="preserve"> </w:t>
      </w:r>
      <w:r>
        <w:rPr>
          <w:rFonts w:ascii="Arial" w:cs="Arial" w:eastAsia="Arial" w:hAnsi="Arial"/>
          <w:sz w:val="16"/>
          <w:szCs w:val="16"/>
          <w:color w:val="auto"/>
        </w:rPr>
        <w:t>leave of absence that was</w:t>
      </w:r>
      <w:r>
        <w:rPr>
          <w:rFonts w:ascii="Arial" w:cs="Arial" w:eastAsia="Arial" w:hAnsi="Arial"/>
          <w:sz w:val="16"/>
          <w:szCs w:val="16"/>
          <w:b w:val="1"/>
          <w:bCs w:val="1"/>
          <w:color w:val="auto"/>
        </w:rPr>
        <w:t xml:space="preserve"> </w:t>
      </w:r>
      <w:r>
        <w:rPr>
          <w:rFonts w:ascii="Arial" w:cs="Arial" w:eastAsia="Arial" w:hAnsi="Arial"/>
          <w:sz w:val="16"/>
          <w:szCs w:val="16"/>
          <w:color w:val="auto"/>
        </w:rPr>
        <w:t>approved by the Company in writing, if the terms of the leave provide for continued Service crediting or when continued Service</w:t>
      </w:r>
    </w:p>
    <w:p>
      <w:pPr>
        <w:sectPr>
          <w:pgSz w:w="11900" w:h="16838" w:orient="portrait"/>
          <w:cols w:equalWidth="0" w:num="1">
            <w:col w:w="11400"/>
          </w:cols>
          <w:pgMar w:left="240" w:top="280" w:right="259" w:bottom="1440" w:gutter="0" w:footer="0" w:header="0"/>
        </w:sectPr>
      </w:pPr>
    </w:p>
    <w:bookmarkStart w:id="42" w:name="page43"/>
    <w:bookmarkEnd w:id="42"/>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Restricted Share Award Agreement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Novatel Wireless,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crediting is required by applicable law. Your Service terminates in any event when the approved leave ends unless you immediately return to active work at the Company.</w:t>
      </w:r>
    </w:p>
    <w:p>
      <w:pPr>
        <w:spacing w:after="0" w:line="126" w:lineRule="exact"/>
        <w:rPr>
          <w:sz w:val="20"/>
          <w:szCs w:val="20"/>
          <w:color w:val="auto"/>
        </w:rPr>
      </w:pPr>
    </w:p>
    <w:p>
      <w:pPr>
        <w:ind w:right="280" w:firstLine="8"/>
        <w:spacing w:after="0" w:line="301" w:lineRule="auto"/>
        <w:tabs>
          <w:tab w:leader="none" w:pos="176" w:val="left"/>
        </w:tabs>
        <w:numPr>
          <w:ilvl w:val="0"/>
          <w:numId w:val="26"/>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or communication required or permitted by any provision of this Award Agreement to be given to you shall be in writing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electronically, personally, or sent by certified mail, return receipt requested, addressed to you at the last address that the Company had for you on its records. Each party may, from time to time, by notice to the other party hereto, specify a new address for delivery of notices relating to this Award Agreement. Any such notice shall be deemed to be given as of the date such notice is personally delivered or properly mailed.</w:t>
      </w:r>
    </w:p>
    <w:p>
      <w:pPr>
        <w:spacing w:after="0" w:line="103" w:lineRule="exact"/>
        <w:rPr>
          <w:rFonts w:ascii="Arial" w:cs="Arial" w:eastAsia="Arial" w:hAnsi="Arial"/>
          <w:sz w:val="16"/>
          <w:szCs w:val="16"/>
          <w:color w:val="auto"/>
        </w:rPr>
      </w:pPr>
    </w:p>
    <w:p>
      <w:pPr>
        <w:ind w:right="100" w:firstLine="8"/>
        <w:spacing w:after="0" w:line="262" w:lineRule="auto"/>
        <w:tabs>
          <w:tab w:leader="none" w:pos="263"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in this Award Agreement or in the Plan, every covenant, term, and provision of this Award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binding upon and inure to the benefit of the parties hereto and their respective heirs, legatees, legal representatives, successors, and permitted transferees and assigns.</w:t>
      </w:r>
    </w:p>
    <w:p>
      <w:pPr>
        <w:spacing w:after="0" w:line="132"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Modifications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Agreement may not be modified or amended without your prior written consent.</w:t>
      </w:r>
    </w:p>
    <w:p>
      <w:pPr>
        <w:spacing w:after="0" w:line="171" w:lineRule="exact"/>
        <w:rPr>
          <w:rFonts w:ascii="Arial" w:cs="Arial" w:eastAsia="Arial" w:hAnsi="Arial"/>
          <w:sz w:val="18"/>
          <w:szCs w:val="18"/>
          <w:color w:val="auto"/>
        </w:rPr>
      </w:pPr>
    </w:p>
    <w:p>
      <w:pPr>
        <w:ind w:right="280" w:firstLine="8"/>
        <w:spacing w:after="0" w:line="275" w:lineRule="auto"/>
        <w:tabs>
          <w:tab w:leader="none" w:pos="263"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Every provision of this Award Agreement is intended to be severable. If any term hereof is illegal or invalid for any reason, such illegality or</w:t>
      </w:r>
      <w:r>
        <w:rPr>
          <w:rFonts w:ascii="Arial" w:cs="Arial" w:eastAsia="Arial" w:hAnsi="Arial"/>
          <w:sz w:val="18"/>
          <w:szCs w:val="18"/>
          <w:b w:val="1"/>
          <w:bCs w:val="1"/>
          <w:color w:val="auto"/>
        </w:rPr>
        <w:t xml:space="preserve"> </w:t>
      </w:r>
      <w:r>
        <w:rPr>
          <w:rFonts w:ascii="Arial" w:cs="Arial" w:eastAsia="Arial" w:hAnsi="Arial"/>
          <w:sz w:val="18"/>
          <w:szCs w:val="18"/>
          <w:color w:val="auto"/>
        </w:rPr>
        <w:t>invalidity shall not affect the validity or legality of the remaining terms of this Award Agreement.</w:t>
      </w:r>
    </w:p>
    <w:p>
      <w:pPr>
        <w:spacing w:after="0" w:line="119" w:lineRule="exact"/>
        <w:rPr>
          <w:rFonts w:ascii="Arial" w:cs="Arial" w:eastAsia="Arial" w:hAnsi="Arial"/>
          <w:sz w:val="18"/>
          <w:szCs w:val="18"/>
          <w:color w:val="auto"/>
        </w:rPr>
      </w:pPr>
    </w:p>
    <w:p>
      <w:pPr>
        <w:ind w:right="60" w:firstLine="8"/>
        <w:spacing w:after="0" w:line="275" w:lineRule="auto"/>
        <w:tabs>
          <w:tab w:leader="none" w:pos="263"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Agreement may be executed by the parties hereto in separate counterparts, each of which when so executed and delivered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an original, but all such counterparts shall together constitute one and the same instrument.</w:t>
      </w:r>
    </w:p>
    <w:p>
      <w:pPr>
        <w:spacing w:after="0" w:line="119" w:lineRule="exact"/>
        <w:rPr>
          <w:rFonts w:ascii="Arial" w:cs="Arial" w:eastAsia="Arial" w:hAnsi="Arial"/>
          <w:sz w:val="18"/>
          <w:szCs w:val="18"/>
          <w:color w:val="auto"/>
        </w:rPr>
      </w:pPr>
    </w:p>
    <w:p>
      <w:pPr>
        <w:ind w:left="280" w:hanging="272"/>
        <w:spacing w:after="0"/>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Plan</w:t>
      </w:r>
      <w:r>
        <w:rPr>
          <w:rFonts w:ascii="Arial" w:cs="Arial" w:eastAsia="Arial" w:hAnsi="Arial"/>
          <w:sz w:val="18"/>
          <w:szCs w:val="18"/>
          <w:b w:val="1"/>
          <w:bCs w:val="1"/>
          <w:color w:val="auto"/>
        </w:rPr>
        <w:t xml:space="preserve">. </w:t>
      </w:r>
      <w:r>
        <w:rPr>
          <w:rFonts w:ascii="Arial" w:cs="Arial" w:eastAsia="Arial" w:hAnsi="Arial"/>
          <w:sz w:val="18"/>
          <w:szCs w:val="18"/>
          <w:color w:val="auto"/>
        </w:rPr>
        <w:t>By signing this Award Agreement, you acknowledge that you have received a copy of the Plan.</w:t>
      </w:r>
    </w:p>
    <w:p>
      <w:pPr>
        <w:spacing w:after="0" w:line="171" w:lineRule="exact"/>
        <w:rPr>
          <w:rFonts w:ascii="Arial" w:cs="Arial" w:eastAsia="Arial" w:hAnsi="Arial"/>
          <w:sz w:val="18"/>
          <w:szCs w:val="18"/>
          <w:color w:val="auto"/>
        </w:rPr>
      </w:pPr>
    </w:p>
    <w:p>
      <w:pPr>
        <w:ind w:right="80" w:firstLine="8"/>
        <w:spacing w:after="0" w:line="262" w:lineRule="auto"/>
        <w:tabs>
          <w:tab w:leader="none" w:pos="263"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Not a Contract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Award Agreement or the Plan confers on you any right to continue an employment or other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 with the Company, nor shall it affect in any way your right or the Company’s right to terminate your employment or other Service relationship at any time, with or without cause.</w:t>
      </w:r>
    </w:p>
    <w:p>
      <w:pPr>
        <w:spacing w:after="0" w:line="132" w:lineRule="exact"/>
        <w:rPr>
          <w:rFonts w:ascii="Arial" w:cs="Arial" w:eastAsia="Arial" w:hAnsi="Arial"/>
          <w:sz w:val="18"/>
          <w:szCs w:val="18"/>
          <w:color w:val="auto"/>
        </w:rPr>
      </w:pPr>
    </w:p>
    <w:p>
      <w:pPr>
        <w:ind w:firstLine="8"/>
        <w:spacing w:after="0" w:line="275" w:lineRule="auto"/>
        <w:tabs>
          <w:tab w:leader="none" w:pos="263"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The State of California shall govern the validity of this Award Agreement, the construction of its terms, and the interpretation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rights and duties of the parties hereto.</w:t>
      </w:r>
    </w:p>
    <w:p>
      <w:pPr>
        <w:sectPr>
          <w:pgSz w:w="11900" w:h="16838" w:orient="portrait"/>
          <w:cols w:equalWidth="0" w:num="1">
            <w:col w:w="11420"/>
          </w:cols>
          <w:pgMar w:left="240" w:top="280" w:right="239" w:bottom="1440" w:gutter="0" w:footer="0" w:header="0"/>
        </w:sectPr>
      </w:pPr>
    </w:p>
    <w:bookmarkStart w:id="43" w:name="page44"/>
    <w:bookmarkEnd w:id="43"/>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Restricted Share Award Agreement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Novatel Wireless,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5</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BY YOUR SIGNATURE BELOW, along with the signature of the Company’s authorized representative, you and the Company agree that the Restricted Shares are awarded under and governed by the terms and conditions of this Award Agreement and the Plan.</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NOVATEL WIRELESS,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27940</wp:posOffset>
            </wp:positionV>
            <wp:extent cx="26930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Peter V. Leparulo</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Executive Officer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RECIPIENT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27940</wp:posOffset>
            </wp:positionV>
            <wp:extent cx="26930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of Recipient:</w:t>
      </w:r>
    </w:p>
    <w:p>
      <w:pPr>
        <w:sectPr>
          <w:pgSz w:w="11900" w:h="16838" w:orient="portrait"/>
          <w:cols w:equalWidth="0" w:num="1">
            <w:col w:w="11180"/>
          </w:cols>
          <w:pgMar w:left="240" w:top="280" w:right="479" w:bottom="1440" w:gutter="0" w:footer="0" w:header="0"/>
        </w:sectPr>
      </w:pPr>
    </w:p>
    <w:bookmarkStart w:id="44" w:name="page45"/>
    <w:bookmarkEnd w:id="44"/>
    <w:p>
      <w:pPr>
        <w:jc w:val="center"/>
        <w:ind w:right="-5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“Change of Control” occurs in the event of a Payment Termination (as such term is defined in that certain Change of Control Agreement by and between Recipient and the Company) to the extent such Agreement remains in effect.</w:t>
      </w:r>
    </w:p>
    <w:p>
      <w:pPr>
        <w:sectPr>
          <w:pgSz w:w="11900" w:h="16838" w:orient="portrait"/>
          <w:cols w:equalWidth="0" w:num="1">
            <w:col w:w="10920"/>
          </w:cols>
          <w:pgMar w:left="240" w:top="274" w:right="7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B</w:t>
            </w:r>
          </w:p>
        </w:tc>
        <w:tc>
          <w:tcPr>
            <w:tcW w:w="5060" w:type="dxa"/>
            <w:vAlign w:val="bottom"/>
            <w:gridSpan w:val="2"/>
          </w:tcPr>
          <w:p>
            <w:pPr>
              <w:spacing w:after="0"/>
              <w:rPr>
                <w:sz w:val="17"/>
                <w:szCs w:val="17"/>
                <w:color w:val="auto"/>
              </w:rPr>
            </w:pPr>
          </w:p>
        </w:tc>
      </w:tr>
      <w:tr>
        <w:trPr>
          <w:trHeight w:val="196"/>
        </w:trPr>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6540" w:type="dxa"/>
            <w:vAlign w:val="bottom"/>
            <w:gridSpan w:val="4"/>
          </w:tcPr>
          <w:p>
            <w:pPr>
              <w:jc w:val="center"/>
              <w:ind w:right="4520"/>
              <w:spacing w:after="0" w:line="196" w:lineRule="exact"/>
              <w:rPr>
                <w:sz w:val="20"/>
                <w:szCs w:val="20"/>
                <w:color w:val="auto"/>
              </w:rPr>
            </w:pPr>
            <w:r>
              <w:rPr>
                <w:rFonts w:ascii="Arial" w:cs="Arial" w:eastAsia="Arial" w:hAnsi="Arial"/>
                <w:sz w:val="18"/>
                <w:szCs w:val="18"/>
                <w:b w:val="1"/>
                <w:bCs w:val="1"/>
                <w:color w:val="auto"/>
                <w:w w:val="87"/>
              </w:rPr>
              <w:t>Agreement to Deliver Cash</w:t>
            </w:r>
          </w:p>
        </w:tc>
      </w:tr>
      <w:tr>
        <w:trPr>
          <w:trHeight w:val="20"/>
        </w:trPr>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20" w:type="dxa"/>
            <w:vAlign w:val="bottom"/>
            <w:gridSpan w:val="3"/>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358"/>
        </w:trPr>
        <w:tc>
          <w:tcPr>
            <w:tcW w:w="160" w:type="dxa"/>
            <w:vAlign w:val="bottom"/>
          </w:tcPr>
          <w:p>
            <w:pPr>
              <w:spacing w:after="0"/>
              <w:rPr>
                <w:sz w:val="20"/>
                <w:szCs w:val="20"/>
                <w:color w:val="auto"/>
              </w:rPr>
            </w:pPr>
            <w:r>
              <w:rPr>
                <w:rFonts w:ascii="Arial" w:cs="Arial" w:eastAsia="Arial" w:hAnsi="Arial"/>
                <w:sz w:val="18"/>
                <w:szCs w:val="18"/>
                <w:color w:val="auto"/>
              </w:rPr>
              <w:t>I,</w:t>
            </w:r>
          </w:p>
        </w:tc>
        <w:tc>
          <w:tcPr>
            <w:tcW w:w="1740" w:type="dxa"/>
            <w:vAlign w:val="bottom"/>
            <w:tcBorders>
              <w:bottom w:val="single" w:sz="8" w:color="auto"/>
            </w:tcBorders>
          </w:tcPr>
          <w:p>
            <w:pPr>
              <w:spacing w:after="0"/>
              <w:rPr>
                <w:sz w:val="24"/>
                <w:szCs w:val="24"/>
                <w:color w:val="auto"/>
              </w:rPr>
            </w:pPr>
          </w:p>
        </w:tc>
        <w:tc>
          <w:tcPr>
            <w:tcW w:w="9340" w:type="dxa"/>
            <w:vAlign w:val="bottom"/>
            <w:gridSpan w:val="5"/>
          </w:tcPr>
          <w:p>
            <w:pPr>
              <w:ind w:left="20"/>
              <w:spacing w:after="0"/>
              <w:rPr>
                <w:sz w:val="20"/>
                <w:szCs w:val="20"/>
                <w:color w:val="auto"/>
              </w:rPr>
            </w:pPr>
            <w:r>
              <w:rPr>
                <w:rFonts w:ascii="Arial" w:cs="Arial" w:eastAsia="Arial" w:hAnsi="Arial"/>
                <w:sz w:val="18"/>
                <w:szCs w:val="18"/>
                <w:color w:val="auto"/>
                <w:w w:val="87"/>
              </w:rPr>
              <w:t>, acknowledge and agree that I am the Recipient of the Restricted Shares as defined in the Award Agreement by and between me and</w:t>
            </w: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240"/>
        <w:spacing w:after="0" w:line="268" w:lineRule="auto"/>
        <w:rPr>
          <w:sz w:val="20"/>
          <w:szCs w:val="20"/>
          <w:color w:val="auto"/>
        </w:rPr>
      </w:pPr>
      <w:r>
        <w:rPr>
          <w:rFonts w:ascii="Arial" w:cs="Arial" w:eastAsia="Arial" w:hAnsi="Arial"/>
          <w:sz w:val="18"/>
          <w:szCs w:val="18"/>
          <w:color w:val="auto"/>
        </w:rPr>
        <w:t>the Company of May 17, 2006 and I execute and deliver this Agreement to Deliver Cash (“Cash Agreement”) subject to the terms and conditions of the Award Agreement. All capitalized terms used herein but not otherwise defined are defined in the Award Agreement.</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acknowledge and agree that:</w:t>
      </w:r>
    </w:p>
    <w:p>
      <w:pPr>
        <w:spacing w:after="0" w:line="171" w:lineRule="exact"/>
        <w:rPr>
          <w:sz w:val="20"/>
          <w:szCs w:val="20"/>
          <w:color w:val="auto"/>
        </w:rPr>
      </w:pPr>
    </w:p>
    <w:p>
      <w:pPr>
        <w:ind w:right="500" w:firstLine="8"/>
        <w:spacing w:after="0" w:line="268" w:lineRule="auto"/>
        <w:tabs>
          <w:tab w:leader="none" w:pos="176"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am electing to execute and deliver this Cash Agreement to meet my personal obligations to provide funds to the Company to pay certain mandatory tax withholding obligations related to the vesting of my Restricted Shares.</w:t>
      </w:r>
    </w:p>
    <w:p>
      <w:pPr>
        <w:spacing w:after="0" w:line="131" w:lineRule="exact"/>
        <w:rPr>
          <w:rFonts w:ascii="Arial" w:cs="Arial" w:eastAsia="Arial" w:hAnsi="Arial"/>
          <w:sz w:val="18"/>
          <w:szCs w:val="18"/>
          <w:color w:val="auto"/>
        </w:rPr>
      </w:pPr>
    </w:p>
    <w:p>
      <w:pPr>
        <w:ind w:right="60" w:firstLine="8"/>
        <w:spacing w:after="0" w:line="259" w:lineRule="auto"/>
        <w:tabs>
          <w:tab w:leader="none" w:pos="176"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event that a Vest Date occurs within 10 business days hereof, I shall to deliver to the Company, in immediately available funds (wire transfer, cashier’s check or equivalent) within one business day of the Vest Date, funds sufficient to satisfy any tax withholding obligations of the Company related to the vesting of my Restricted Shares on the Vest Date (“Mandatory Funds”).</w:t>
      </w:r>
    </w:p>
    <w:p>
      <w:pPr>
        <w:spacing w:after="0" w:line="140" w:lineRule="exact"/>
        <w:rPr>
          <w:rFonts w:ascii="Arial" w:cs="Arial" w:eastAsia="Arial" w:hAnsi="Arial"/>
          <w:sz w:val="18"/>
          <w:szCs w:val="18"/>
          <w:color w:val="auto"/>
        </w:rPr>
      </w:pPr>
    </w:p>
    <w:p>
      <w:pPr>
        <w:ind w:firstLine="8"/>
        <w:spacing w:after="0" w:line="259" w:lineRule="auto"/>
        <w:tabs>
          <w:tab w:leader="none" w:pos="176"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Notwithstanding my execution and delivery of this Cash Agreement, in the event I do not deliver the Mandatory Funds to the Company within one business day of the Vest Date, the Company shall execute a Tax Trade in accordance with the Award Agreement to satisfy the withholding obligations related to the vesting of my Restricted Shares.</w:t>
      </w:r>
    </w:p>
    <w:p>
      <w:pPr>
        <w:spacing w:after="0" w:line="140" w:lineRule="exact"/>
        <w:rPr>
          <w:sz w:val="20"/>
          <w:szCs w:val="20"/>
          <w:color w:val="auto"/>
        </w:rPr>
      </w:pPr>
    </w:p>
    <w:p>
      <w:pPr>
        <w:ind w:left="20"/>
        <w:spacing w:after="0"/>
        <w:tabs>
          <w:tab w:leader="none" w:pos="2180" w:val="left"/>
        </w:tabs>
        <w:rPr>
          <w:sz w:val="20"/>
          <w:szCs w:val="20"/>
          <w:color w:val="auto"/>
        </w:rPr>
      </w:pPr>
      <w:r>
        <w:rPr>
          <w:rFonts w:ascii="Arial" w:cs="Arial" w:eastAsia="Arial" w:hAnsi="Arial"/>
          <w:sz w:val="18"/>
          <w:szCs w:val="18"/>
          <w:color w:val="auto"/>
        </w:rPr>
        <w:t>Dated: _________________</w:t>
      </w:r>
      <w:r>
        <w:rPr>
          <w:sz w:val="20"/>
          <w:szCs w:val="20"/>
          <w:color w:val="auto"/>
        </w:rPr>
        <w:tab/>
      </w:r>
      <w:r>
        <w:rPr>
          <w:rFonts w:ascii="Arial" w:cs="Arial" w:eastAsia="Arial" w:hAnsi="Arial"/>
          <w:sz w:val="15"/>
          <w:szCs w:val="15"/>
          <w:color w:val="auto"/>
        </w:rPr>
        <w:t>by: ________________________________</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Acknowledged and received by: ____________________________________</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__________________</w:t>
      </w:r>
    </w:p>
    <w:p>
      <w:pPr>
        <w:sectPr>
          <w:pgSz w:w="11900" w:h="16838" w:orient="portrait"/>
          <w:cols w:equalWidth="0" w:num="1">
            <w:col w:w="11420"/>
          </w:cols>
          <w:pgMar w:left="240" w:top="257"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MANAGEMENT BONUS TARGETS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2006</w:t>
      </w:r>
    </w:p>
    <w:p>
      <w:pPr>
        <w:spacing w:after="0" w:line="212"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90" w:lineRule="exact"/>
        <w:rPr>
          <w:rFonts w:ascii="Arial" w:cs="Arial" w:eastAsia="Arial" w:hAnsi="Arial"/>
          <w:sz w:val="18"/>
          <w:szCs w:val="18"/>
          <w:b w:val="1"/>
          <w:bCs w:val="1"/>
          <w:color w:val="auto"/>
        </w:rPr>
      </w:pPr>
    </w:p>
    <w:p>
      <w:pPr>
        <w:ind w:left="900" w:right="180" w:hanging="446"/>
        <w:spacing w:after="0" w:line="310" w:lineRule="auto"/>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The Objective of the Bonus Targets </w:t>
      </w:r>
      <w:r>
        <w:rPr>
          <w:rFonts w:ascii="Arial" w:cs="Arial" w:eastAsia="Arial" w:hAnsi="Arial"/>
          <w:sz w:val="16"/>
          <w:szCs w:val="16"/>
          <w:color w:val="auto"/>
        </w:rPr>
        <w:t>is to provide eligible senior management of Novatel Wireless, Inc. and its subsidiaries (the “Company”)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target metrics in connection with their respective bonus opportunity related to their contributions to the success and strategic growth of the Company. Participation in the Plan and the payment of any sums hereunder shall be at the sole and absolute discretion of the Company.</w:t>
      </w:r>
    </w:p>
    <w:p>
      <w:pPr>
        <w:spacing w:after="0" w:line="16" w:lineRule="exact"/>
        <w:rPr>
          <w:rFonts w:ascii="Arial" w:cs="Arial" w:eastAsia="Arial" w:hAnsi="Arial"/>
          <w:sz w:val="16"/>
          <w:szCs w:val="16"/>
          <w:color w:val="auto"/>
        </w:rPr>
      </w:pPr>
    </w:p>
    <w:p>
      <w:pPr>
        <w:ind w:left="900" w:right="40" w:hanging="446"/>
        <w:spacing w:after="0" w:line="301" w:lineRule="auto"/>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Participants: </w:t>
      </w:r>
      <w:r>
        <w:rPr>
          <w:rFonts w:ascii="Arial" w:cs="Arial" w:eastAsia="Arial" w:hAnsi="Arial"/>
          <w:sz w:val="16"/>
          <w:szCs w:val="16"/>
          <w:color w:val="auto"/>
        </w:rPr>
        <w:t>This Plan, as determined by the Company on a fully discretionary basis, applies solely to regular employees of the Company who are</w:t>
      </w:r>
      <w:r>
        <w:rPr>
          <w:rFonts w:ascii="Arial" w:cs="Arial" w:eastAsia="Arial" w:hAnsi="Arial"/>
          <w:sz w:val="16"/>
          <w:szCs w:val="16"/>
          <w:b w:val="1"/>
          <w:bCs w:val="1"/>
          <w:color w:val="auto"/>
        </w:rPr>
        <w:t xml:space="preserve"> </w:t>
      </w:r>
      <w:r>
        <w:rPr>
          <w:rFonts w:ascii="Arial" w:cs="Arial" w:eastAsia="Arial" w:hAnsi="Arial"/>
          <w:sz w:val="16"/>
          <w:szCs w:val="16"/>
          <w:color w:val="auto"/>
        </w:rPr>
        <w:t>senior executive officers (“Plan Participants”), whom the Company determines meet the eligibility requirements set forth in Section III. For purposes of this Plan and unless otherwise prohibited by applicable law, the term “regular employee” means an individual who is deemed by the Company to be both an employee of the Company and employed for an unspecified or indefinite period of time.</w:t>
      </w:r>
    </w:p>
    <w:p>
      <w:pPr>
        <w:spacing w:after="0" w:line="22" w:lineRule="exact"/>
        <w:rPr>
          <w:rFonts w:ascii="Arial" w:cs="Arial" w:eastAsia="Arial" w:hAnsi="Arial"/>
          <w:sz w:val="16"/>
          <w:szCs w:val="16"/>
          <w:color w:val="auto"/>
        </w:rPr>
      </w:pPr>
    </w:p>
    <w:p>
      <w:pPr>
        <w:ind w:left="900" w:hanging="446"/>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Fiscal Year 2006 (January 1, 2006 – December 31, 2006).</w:t>
      </w:r>
    </w:p>
    <w:p>
      <w:pPr>
        <w:spacing w:after="0" w:line="90" w:lineRule="exact"/>
        <w:rPr>
          <w:rFonts w:ascii="Arial" w:cs="Arial" w:eastAsia="Arial" w:hAnsi="Arial"/>
          <w:sz w:val="18"/>
          <w:szCs w:val="18"/>
          <w:color w:val="auto"/>
        </w:rPr>
      </w:pPr>
    </w:p>
    <w:p>
      <w:pPr>
        <w:ind w:left="900" w:right="180" w:hanging="446"/>
        <w:spacing w:after="0" w:line="262"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Changes in Targets: </w:t>
      </w:r>
      <w:r>
        <w:rPr>
          <w:rFonts w:ascii="Arial" w:cs="Arial" w:eastAsia="Arial" w:hAnsi="Arial"/>
          <w:sz w:val="18"/>
          <w:szCs w:val="18"/>
          <w:color w:val="auto"/>
        </w:rPr>
        <w:t>The Company reserves the right to modify the targets in whole or in part, at any time. Any such modification or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must be approved in writing by either (i) the CEO, except with respect to his own targets or bonus payments, or (ii) resolution of the Compensation Committee.</w:t>
      </w:r>
    </w:p>
    <w:p>
      <w:pPr>
        <w:spacing w:after="0" w:line="51" w:lineRule="exact"/>
        <w:rPr>
          <w:rFonts w:ascii="Arial" w:cs="Arial" w:eastAsia="Arial" w:hAnsi="Arial"/>
          <w:sz w:val="18"/>
          <w:szCs w:val="18"/>
          <w:color w:val="auto"/>
        </w:rPr>
      </w:pPr>
    </w:p>
    <w:p>
      <w:pPr>
        <w:ind w:left="900" w:right="340" w:hanging="446"/>
        <w:spacing w:after="0" w:line="339" w:lineRule="auto"/>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Authority: </w:t>
      </w:r>
      <w:r>
        <w:rPr>
          <w:rFonts w:ascii="Arial" w:cs="Arial" w:eastAsia="Arial" w:hAnsi="Arial"/>
          <w:sz w:val="16"/>
          <w:szCs w:val="16"/>
          <w:color w:val="auto"/>
        </w:rPr>
        <w:t>The Company reserves the right to interpret this document on a fully discretionary basis. Nothing in this Plan is intended to create an</w:t>
      </w:r>
      <w:r>
        <w:rPr>
          <w:rFonts w:ascii="Arial" w:cs="Arial" w:eastAsia="Arial" w:hAnsi="Arial"/>
          <w:sz w:val="16"/>
          <w:szCs w:val="16"/>
          <w:b w:val="1"/>
          <w:bCs w:val="1"/>
          <w:color w:val="auto"/>
        </w:rPr>
        <w:t xml:space="preserve"> </w:t>
      </w:r>
      <w:r>
        <w:rPr>
          <w:rFonts w:ascii="Arial" w:cs="Arial" w:eastAsia="Arial" w:hAnsi="Arial"/>
          <w:sz w:val="16"/>
          <w:szCs w:val="16"/>
          <w:color w:val="auto"/>
        </w:rPr>
        <w:t>entitlement to any employee for any incentive payment hereunder except as the Company may determine in its discretion.</w:t>
      </w:r>
    </w:p>
    <w:p>
      <w:pPr>
        <w:spacing w:after="0" w:line="196"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BONUS TARGET FACTOR</w:t>
      </w:r>
    </w:p>
    <w:p>
      <w:pPr>
        <w:spacing w:after="0" w:line="90" w:lineRule="exact"/>
        <w:rPr>
          <w:rFonts w:ascii="Arial" w:cs="Arial" w:eastAsia="Arial" w:hAnsi="Arial"/>
          <w:sz w:val="18"/>
          <w:szCs w:val="18"/>
          <w:b w:val="1"/>
          <w:bCs w:val="1"/>
          <w:color w:val="auto"/>
        </w:rPr>
      </w:pPr>
    </w:p>
    <w:p>
      <w:pPr>
        <w:ind w:left="900" w:right="40" w:hanging="446"/>
        <w:spacing w:after="0" w:line="258"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Bonus Target Factor </w:t>
      </w:r>
      <w:r>
        <w:rPr>
          <w:rFonts w:ascii="Arial" w:cs="Arial" w:eastAsia="Arial" w:hAnsi="Arial"/>
          <w:sz w:val="18"/>
          <w:szCs w:val="18"/>
          <w:color w:val="auto"/>
        </w:rPr>
        <w:t>will be determined by reference to Corporate Targets and Individual Targets. Corporate Targets will be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assigning a weight of between 0 and 0.50 based on achievement of Corporate Targets. Individual Targets will be determined by assigning a weight of between 0 and 0.50 based on achievement of Individual Targets. The Bonus Target Factor will be the sum of the Corporate Target Factor and the Individual Target Factor.</w:t>
      </w:r>
    </w:p>
    <w:p>
      <w:pPr>
        <w:spacing w:after="0" w:line="55" w:lineRule="exact"/>
        <w:rPr>
          <w:rFonts w:ascii="Arial" w:cs="Arial" w:eastAsia="Arial" w:hAnsi="Arial"/>
          <w:sz w:val="18"/>
          <w:szCs w:val="18"/>
          <w:color w:val="auto"/>
        </w:rPr>
      </w:pPr>
    </w:p>
    <w:p>
      <w:pPr>
        <w:ind w:left="900" w:hanging="446"/>
        <w:spacing w:after="0"/>
        <w:tabs>
          <w:tab w:leader="none" w:pos="900" w:val="left"/>
        </w:tabs>
        <w:numPr>
          <w:ilvl w:val="1"/>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Corporate Targets </w:t>
      </w:r>
      <w:r>
        <w:rPr>
          <w:rFonts w:ascii="Arial" w:cs="Arial" w:eastAsia="Arial" w:hAnsi="Arial"/>
          <w:sz w:val="16"/>
          <w:szCs w:val="16"/>
          <w:color w:val="auto"/>
        </w:rPr>
        <w:t>are based on an evaluation of a Plan Participant’s performance and contribution for the Fiscal Year of the following criteria.</w:t>
      </w:r>
    </w:p>
    <w:p>
      <w:pPr>
        <w:spacing w:after="0" w:line="119" w:lineRule="exact"/>
        <w:rPr>
          <w:sz w:val="20"/>
          <w:szCs w:val="20"/>
          <w:color w:val="auto"/>
        </w:rPr>
      </w:pPr>
    </w:p>
    <w:p>
      <w:pPr>
        <w:ind w:left="920" w:right="100"/>
        <w:spacing w:after="0" w:line="268" w:lineRule="auto"/>
        <w:rPr>
          <w:sz w:val="20"/>
          <w:szCs w:val="20"/>
          <w:color w:val="auto"/>
        </w:rPr>
      </w:pPr>
      <w:r>
        <w:rPr>
          <w:rFonts w:ascii="Arial" w:cs="Arial" w:eastAsia="Arial" w:hAnsi="Arial"/>
          <w:sz w:val="18"/>
          <w:szCs w:val="18"/>
          <w:color w:val="auto"/>
        </w:rPr>
        <w:t>The Company’s financial performance, including achievement of the Company’s 2006 Operating Plan, achievement of sequential growth, operating leverage, positive operating income and EPS</w:t>
      </w:r>
    </w:p>
    <w:p>
      <w:pPr>
        <w:spacing w:after="0" w:line="51" w:lineRule="exact"/>
        <w:rPr>
          <w:sz w:val="20"/>
          <w:szCs w:val="20"/>
          <w:color w:val="auto"/>
        </w:rPr>
      </w:pPr>
    </w:p>
    <w:p>
      <w:pPr>
        <w:ind w:left="920" w:right="3920"/>
        <w:spacing w:after="0" w:line="387" w:lineRule="auto"/>
        <w:rPr>
          <w:sz w:val="20"/>
          <w:szCs w:val="20"/>
          <w:color w:val="auto"/>
        </w:rPr>
      </w:pPr>
      <w:r>
        <w:rPr>
          <w:rFonts w:ascii="Arial" w:cs="Arial" w:eastAsia="Arial" w:hAnsi="Arial"/>
          <w:sz w:val="16"/>
          <w:szCs w:val="16"/>
          <w:color w:val="auto"/>
        </w:rPr>
        <w:t>Achievement of and contribution to the Company’s success, strategic objectives and direction Achievement of the Company’s 2006 execution plan and 2006 strategic plan</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Ability to work as a team player and collaborate with others across the company, suppliers, partners and/or customers.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Interaction with Other Teams (e.g., to achieve other team goals)</w:t>
      </w:r>
    </w:p>
    <w:p>
      <w:pPr>
        <w:sectPr>
          <w:pgSz w:w="11900" w:h="16838" w:orient="portrait"/>
          <w:cols w:equalWidth="0" w:num="1">
            <w:col w:w="11420"/>
          </w:cols>
          <w:pgMar w:left="240" w:top="125" w:right="239" w:bottom="1440" w:gutter="0" w:footer="0" w:header="0"/>
        </w:sectPr>
      </w:pPr>
    </w:p>
    <w:bookmarkStart w:id="47" w:name="page48"/>
    <w:bookmarkEnd w:id="47"/>
    <w:p>
      <w:pPr>
        <w:ind w:left="900" w:right="340" w:hanging="446"/>
        <w:spacing w:after="0" w:line="275"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INDIVIDUAL TARGETS </w:t>
      </w:r>
      <w:r>
        <w:rPr>
          <w:rFonts w:ascii="Arial" w:cs="Arial" w:eastAsia="Arial" w:hAnsi="Arial"/>
          <w:sz w:val="18"/>
          <w:szCs w:val="18"/>
          <w:color w:val="auto"/>
        </w:rPr>
        <w:t>are based on an evaluation of a Plan Participant’s performance and contribution for the Fiscal Year of the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criteria for his respective group as set forth in Annex A hereto.</w:t>
      </w:r>
    </w:p>
    <w:p>
      <w:pPr>
        <w:spacing w:after="0" w:line="24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III.  ELIGIBILITY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Eligibility: </w:t>
      </w:r>
      <w:r>
        <w:rPr>
          <w:rFonts w:ascii="Arial" w:cs="Arial" w:eastAsia="Arial" w:hAnsi="Arial"/>
          <w:sz w:val="16"/>
          <w:szCs w:val="16"/>
          <w:color w:val="auto"/>
        </w:rPr>
        <w:t>A Plan Participant must satisfy each of the following eligibility requirements to be considered for the Incentive Payment hereunder.</w:t>
      </w:r>
    </w:p>
    <w:p>
      <w:pPr>
        <w:spacing w:after="0" w:line="119" w:lineRule="exact"/>
        <w:rPr>
          <w:rFonts w:ascii="Arial" w:cs="Arial" w:eastAsia="Arial" w:hAnsi="Arial"/>
          <w:sz w:val="16"/>
          <w:szCs w:val="16"/>
          <w:color w:val="auto"/>
        </w:rPr>
      </w:pPr>
    </w:p>
    <w:p>
      <w:pPr>
        <w:ind w:left="1480" w:right="280" w:hanging="567"/>
        <w:spacing w:after="0" w:line="259" w:lineRule="auto"/>
        <w:tabs>
          <w:tab w:leader="none" w:pos="1480" w:val="left"/>
        </w:tabs>
        <w:numPr>
          <w:ilvl w:val="2"/>
          <w:numId w:val="31"/>
        </w:numPr>
        <w:rPr>
          <w:rFonts w:ascii="Arial" w:cs="Arial" w:eastAsia="Arial" w:hAnsi="Arial"/>
          <w:sz w:val="18"/>
          <w:szCs w:val="18"/>
          <w:color w:val="auto"/>
        </w:rPr>
      </w:pPr>
      <w:r>
        <w:rPr>
          <w:rFonts w:ascii="Arial" w:cs="Arial" w:eastAsia="Arial" w:hAnsi="Arial"/>
          <w:sz w:val="18"/>
          <w:szCs w:val="18"/>
          <w:color w:val="auto"/>
        </w:rPr>
        <w:t>The Plan Participant must be deemed by the Company to be employed by the Company as a regular employee in an incentive-eligible position on or before the first working day of the last fiscal quarter of the Fiscal Year, and must be employed as a regular employee in an incentive-eligible position on the last working day of the Fiscal Year;</w:t>
      </w:r>
    </w:p>
    <w:p>
      <w:pPr>
        <w:spacing w:after="0" w:line="59" w:lineRule="exact"/>
        <w:rPr>
          <w:rFonts w:ascii="Arial" w:cs="Arial" w:eastAsia="Arial" w:hAnsi="Arial"/>
          <w:sz w:val="18"/>
          <w:szCs w:val="18"/>
          <w:color w:val="auto"/>
        </w:rPr>
      </w:pPr>
    </w:p>
    <w:p>
      <w:pPr>
        <w:ind w:left="1480" w:right="420" w:hanging="567"/>
        <w:spacing w:after="0" w:line="335" w:lineRule="auto"/>
        <w:tabs>
          <w:tab w:leader="none" w:pos="1480" w:val="left"/>
        </w:tabs>
        <w:numPr>
          <w:ilvl w:val="2"/>
          <w:numId w:val="31"/>
        </w:numPr>
        <w:rPr>
          <w:rFonts w:ascii="Arial" w:cs="Arial" w:eastAsia="Arial" w:hAnsi="Arial"/>
          <w:sz w:val="15"/>
          <w:szCs w:val="15"/>
          <w:color w:val="auto"/>
        </w:rPr>
      </w:pPr>
      <w:r>
        <w:rPr>
          <w:rFonts w:ascii="Arial" w:cs="Arial" w:eastAsia="Arial" w:hAnsi="Arial"/>
          <w:sz w:val="15"/>
          <w:szCs w:val="15"/>
          <w:color w:val="auto"/>
        </w:rPr>
        <w:t>The Plan Participant must not be providing services to the Company as a temporary employee, intern or as an independent contractor, consultant, or agent under a written or oral contract, and must not be classified by the Company as a temporary employee, independent contractor, consultant, or agent (whether or not such classification is upheld upon review by a governmental, judicial or other agency);</w:t>
      </w:r>
    </w:p>
    <w:p>
      <w:pPr>
        <w:spacing w:after="0" w:line="7" w:lineRule="exact"/>
        <w:rPr>
          <w:rFonts w:ascii="Arial" w:cs="Arial" w:eastAsia="Arial" w:hAnsi="Arial"/>
          <w:sz w:val="15"/>
          <w:szCs w:val="15"/>
          <w:color w:val="auto"/>
        </w:rPr>
      </w:pPr>
    </w:p>
    <w:p>
      <w:pPr>
        <w:ind w:left="1480" w:right="180" w:hanging="567"/>
        <w:spacing w:after="0" w:line="332" w:lineRule="auto"/>
        <w:tabs>
          <w:tab w:leader="none" w:pos="1480" w:val="left"/>
        </w:tabs>
        <w:numPr>
          <w:ilvl w:val="2"/>
          <w:numId w:val="31"/>
        </w:numPr>
        <w:rPr>
          <w:rFonts w:ascii="Arial" w:cs="Arial" w:eastAsia="Arial" w:hAnsi="Arial"/>
          <w:sz w:val="16"/>
          <w:szCs w:val="16"/>
          <w:color w:val="auto"/>
        </w:rPr>
      </w:pPr>
      <w:r>
        <w:rPr>
          <w:rFonts w:ascii="Arial" w:cs="Arial" w:eastAsia="Arial" w:hAnsi="Arial"/>
          <w:sz w:val="16"/>
          <w:szCs w:val="16"/>
          <w:color w:val="auto"/>
        </w:rPr>
        <w:t>Unless otherwise required by law, in no event will an employee be eligible to receive an incentive hereunder unless he/she is employed on the last working day of the Fiscal Year in the capacity, or comparable capacity, such Plan Participant is employed on the date hereof.</w:t>
      </w:r>
    </w:p>
    <w:p>
      <w:pPr>
        <w:spacing w:after="0" w:line="4" w:lineRule="exact"/>
        <w:rPr>
          <w:rFonts w:ascii="Arial" w:cs="Arial" w:eastAsia="Arial" w:hAnsi="Arial"/>
          <w:sz w:val="16"/>
          <w:szCs w:val="16"/>
          <w:color w:val="auto"/>
        </w:rPr>
      </w:pPr>
    </w:p>
    <w:p>
      <w:pPr>
        <w:ind w:left="1480" w:right="140" w:hanging="567"/>
        <w:spacing w:after="0" w:line="298" w:lineRule="auto"/>
        <w:tabs>
          <w:tab w:leader="none" w:pos="1480" w:val="left"/>
        </w:tabs>
        <w:numPr>
          <w:ilvl w:val="2"/>
          <w:numId w:val="31"/>
        </w:numPr>
        <w:rPr>
          <w:rFonts w:ascii="Arial" w:cs="Arial" w:eastAsia="Arial" w:hAnsi="Arial"/>
          <w:sz w:val="16"/>
          <w:szCs w:val="16"/>
          <w:color w:val="auto"/>
        </w:rPr>
      </w:pPr>
      <w:r>
        <w:rPr>
          <w:rFonts w:ascii="Arial" w:cs="Arial" w:eastAsia="Arial" w:hAnsi="Arial"/>
          <w:sz w:val="16"/>
          <w:szCs w:val="16"/>
          <w:color w:val="auto"/>
        </w:rPr>
        <w:t>Plan Participants meeting all eligibility requirements hereunder who have less than one year of service will be eligible to receive a discretionary incentive that is pro-rated from the effective date of participation in the plan up to and including the Expiration Date. Unless otherwise required by law, in no event will an employee be eligible to receive an incentive hereunder unless he/she is employed on the last working day of the Fiscal Year in the capacity, or comparable capacity, such Plan Participant is employed on the date hereof.</w:t>
      </w:r>
    </w:p>
    <w:p>
      <w:pPr>
        <w:spacing w:after="0" w:line="22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IV.</w:t>
        <w:tab/>
        <w:t>PARTICIPANTS AND INCENTIVE TARGET PERCENTAGE</w:t>
      </w:r>
    </w:p>
    <w:p>
      <w:pPr>
        <w:spacing w:after="0" w:line="90" w:lineRule="exact"/>
        <w:rPr>
          <w:sz w:val="20"/>
          <w:szCs w:val="20"/>
          <w:color w:val="auto"/>
        </w:rPr>
      </w:pPr>
    </w:p>
    <w:p>
      <w:pPr>
        <w:ind w:left="900" w:hanging="446"/>
        <w:spacing w:after="0" w:line="262"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Participants and Incentive Target Percentage. </w:t>
      </w:r>
      <w:r>
        <w:rPr>
          <w:rFonts w:ascii="Arial" w:cs="Arial" w:eastAsia="Arial" w:hAnsi="Arial"/>
          <w:sz w:val="18"/>
          <w:szCs w:val="18"/>
          <w:color w:val="auto"/>
        </w:rPr>
        <w:t>The sole Plan Participants in the Plan are those set forth below. The Incentive Target Percentage for</w:t>
      </w:r>
      <w:r>
        <w:rPr>
          <w:rFonts w:ascii="Arial" w:cs="Arial" w:eastAsia="Arial" w:hAnsi="Arial"/>
          <w:sz w:val="18"/>
          <w:szCs w:val="18"/>
          <w:b w:val="1"/>
          <w:bCs w:val="1"/>
          <w:color w:val="auto"/>
        </w:rPr>
        <w:t xml:space="preserve"> </w:t>
      </w:r>
      <w:r>
        <w:rPr>
          <w:rFonts w:ascii="Arial" w:cs="Arial" w:eastAsia="Arial" w:hAnsi="Arial"/>
          <w:sz w:val="18"/>
          <w:szCs w:val="18"/>
          <w:color w:val="auto"/>
        </w:rPr>
        <w:t>each such Participant is a percentage of each Participant’s base salary as follows and may be changed at the discretion of the Company at any time during the Fiscal Year.</w:t>
      </w:r>
    </w:p>
    <w:p>
      <w:pPr>
        <w:spacing w:after="0" w:line="175" w:lineRule="exact"/>
        <w:rPr>
          <w:sz w:val="20"/>
          <w:szCs w:val="20"/>
          <w:color w:val="auto"/>
        </w:rPr>
      </w:pPr>
    </w:p>
    <w:tbl>
      <w:tblPr>
        <w:tblLayout w:type="fixed"/>
        <w:tblInd w:w="3440" w:type="dxa"/>
        <w:tblCellMar>
          <w:top w:w="0" w:type="dxa"/>
          <w:left w:w="0" w:type="dxa"/>
          <w:bottom w:w="0" w:type="dxa"/>
          <w:right w:w="0" w:type="dxa"/>
        </w:tblCellMar>
      </w:tblPr>
      <w:tr>
        <w:trPr>
          <w:trHeight w:val="181"/>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Participant</w:t>
            </w:r>
          </w:p>
        </w:tc>
        <w:tc>
          <w:tcPr>
            <w:tcW w:w="80" w:type="dxa"/>
            <w:vAlign w:val="bottom"/>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Incentive Target Percentage</w:t>
            </w:r>
          </w:p>
        </w:tc>
      </w:tr>
      <w:tr>
        <w:trPr>
          <w:trHeight w:val="195"/>
        </w:trPr>
        <w:tc>
          <w:tcPr>
            <w:tcW w:w="2300" w:type="dxa"/>
            <w:vAlign w:val="bottom"/>
          </w:tcPr>
          <w:p>
            <w:pPr>
              <w:jc w:val="center"/>
              <w:spacing w:after="0" w:line="195" w:lineRule="exact"/>
              <w:rPr>
                <w:sz w:val="20"/>
                <w:szCs w:val="20"/>
                <w:color w:val="auto"/>
              </w:rPr>
            </w:pPr>
            <w:r>
              <w:rPr>
                <w:rFonts w:ascii="Arial" w:cs="Arial" w:eastAsia="Arial" w:hAnsi="Arial"/>
                <w:sz w:val="18"/>
                <w:szCs w:val="18"/>
                <w:color w:val="auto"/>
                <w:w w:val="87"/>
              </w:rPr>
              <w:t>CEO</w:t>
            </w:r>
          </w:p>
        </w:tc>
        <w:tc>
          <w:tcPr>
            <w:tcW w:w="80" w:type="dxa"/>
            <w:vAlign w:val="bottom"/>
          </w:tcPr>
          <w:p>
            <w:pPr>
              <w:spacing w:after="0"/>
              <w:rPr>
                <w:sz w:val="16"/>
                <w:szCs w:val="16"/>
                <w:color w:val="auto"/>
              </w:rPr>
            </w:pPr>
          </w:p>
        </w:tc>
        <w:tc>
          <w:tcPr>
            <w:tcW w:w="2180" w:type="dxa"/>
            <w:vAlign w:val="bottom"/>
          </w:tcPr>
          <w:p>
            <w:pPr>
              <w:jc w:val="center"/>
              <w:spacing w:after="0" w:line="195" w:lineRule="exact"/>
              <w:rPr>
                <w:sz w:val="20"/>
                <w:szCs w:val="20"/>
                <w:color w:val="auto"/>
              </w:rPr>
            </w:pPr>
            <w:r>
              <w:rPr>
                <w:rFonts w:ascii="Arial" w:cs="Arial" w:eastAsia="Arial" w:hAnsi="Arial"/>
                <w:sz w:val="18"/>
                <w:szCs w:val="18"/>
                <w:color w:val="auto"/>
                <w:w w:val="88"/>
              </w:rPr>
              <w:t>75%</w:t>
            </w: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92"/>
              </w:rPr>
              <w:t>COO</w:t>
            </w: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89"/>
              </w:rPr>
              <w:t>CFO</w:t>
            </w: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89"/>
              </w:rPr>
              <w:t>VP Business Affairs</w:t>
            </w: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87"/>
              </w:rPr>
              <w:t>VP Research and Development</w:t>
            </w: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88"/>
              </w:rPr>
              <w:t>VP Sales and Marketing</w:t>
            </w: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88"/>
              </w:rPr>
              <w:t>70%</w:t>
            </w:r>
          </w:p>
        </w:tc>
      </w:tr>
      <w:tr>
        <w:trPr>
          <w:trHeight w:val="222"/>
        </w:trPr>
        <w:tc>
          <w:tcPr>
            <w:tcW w:w="2300" w:type="dxa"/>
            <w:vAlign w:val="bottom"/>
          </w:tcPr>
          <w:p>
            <w:pPr>
              <w:jc w:val="center"/>
              <w:spacing w:after="0"/>
              <w:rPr>
                <w:sz w:val="20"/>
                <w:szCs w:val="20"/>
                <w:color w:val="auto"/>
              </w:rPr>
            </w:pPr>
            <w:r>
              <w:rPr>
                <w:rFonts w:ascii="Arial" w:cs="Arial" w:eastAsia="Arial" w:hAnsi="Arial"/>
                <w:sz w:val="18"/>
                <w:szCs w:val="18"/>
                <w:color w:val="auto"/>
                <w:w w:val="88"/>
              </w:rPr>
              <w:t>VP Operations</w:t>
            </w: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88"/>
              </w:rPr>
              <w:t>70%</w:t>
            </w:r>
          </w:p>
        </w:tc>
      </w:tr>
    </w:tbl>
    <w:p>
      <w:pPr>
        <w:sectPr>
          <w:pgSz w:w="11900" w:h="16838" w:orient="portrait"/>
          <w:cols w:equalWidth="0" w:num="1">
            <w:col w:w="11360"/>
          </w:cols>
          <w:pgMar w:left="240" w:top="274" w:right="299" w:bottom="1440" w:gutter="0" w:footer="0" w:header="0"/>
        </w:sectPr>
      </w:pPr>
    </w:p>
    <w:bookmarkStart w:id="48" w:name="page49"/>
    <w:bookmarkEnd w:id="48"/>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Elements of Calculation:</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Incentives under this Plan are calculated on a fully discretionary basis, in accordance with the following formula:</w:t>
      </w:r>
    </w:p>
    <w:p>
      <w:pPr>
        <w:spacing w:after="0" w:line="206"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Incentive</w:t>
            </w:r>
          </w:p>
        </w:tc>
        <w:tc>
          <w:tcPr>
            <w:tcW w:w="880" w:type="dxa"/>
            <w:vAlign w:val="bottom"/>
          </w:tcPr>
          <w:p>
            <w:pPr>
              <w:spacing w:after="0"/>
              <w:rPr>
                <w:sz w:val="18"/>
                <w:szCs w:val="18"/>
                <w:color w:val="auto"/>
              </w:rPr>
            </w:pPr>
          </w:p>
        </w:tc>
        <w:tc>
          <w:tcPr>
            <w:tcW w:w="1340" w:type="dxa"/>
            <w:vAlign w:val="bottom"/>
          </w:tcPr>
          <w:p>
            <w:pPr>
              <w:ind w:left="440"/>
              <w:spacing w:after="0"/>
              <w:rPr>
                <w:sz w:val="20"/>
                <w:szCs w:val="20"/>
                <w:color w:val="auto"/>
              </w:rPr>
            </w:pPr>
            <w:r>
              <w:rPr>
                <w:rFonts w:ascii="Arial" w:cs="Arial" w:eastAsia="Arial" w:hAnsi="Arial"/>
                <w:sz w:val="18"/>
                <w:szCs w:val="18"/>
                <w:b w:val="1"/>
                <w:bCs w:val="1"/>
                <w:color w:val="auto"/>
              </w:rPr>
              <w:t>Bonus</w:t>
            </w:r>
          </w:p>
        </w:tc>
        <w:tc>
          <w:tcPr>
            <w:tcW w:w="9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4"/>
              </w:rPr>
              <w:t>Pro-</w:t>
            </w:r>
          </w:p>
        </w:tc>
        <w:tc>
          <w:tcPr>
            <w:tcW w:w="238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b w:val="1"/>
                <w:bCs w:val="1"/>
                <w:color w:val="auto"/>
              </w:rPr>
              <w:t>Base Salary</w:t>
            </w:r>
          </w:p>
        </w:tc>
        <w:tc>
          <w:tcPr>
            <w:tcW w:w="920" w:type="dxa"/>
            <w:vAlign w:val="bottom"/>
          </w:tcPr>
          <w:p>
            <w:pPr>
              <w:ind w:left="460"/>
              <w:spacing w:after="0"/>
              <w:rPr>
                <w:sz w:val="20"/>
                <w:szCs w:val="20"/>
                <w:color w:val="auto"/>
              </w:rPr>
            </w:pPr>
            <w:r>
              <w:rPr>
                <w:rFonts w:ascii="Arial" w:cs="Arial" w:eastAsia="Arial" w:hAnsi="Arial"/>
                <w:sz w:val="18"/>
                <w:szCs w:val="18"/>
                <w:b w:val="1"/>
                <w:bCs w:val="1"/>
                <w:color w:val="auto"/>
              </w:rPr>
              <w:t>X</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Target</w:t>
            </w:r>
          </w:p>
        </w:tc>
        <w:tc>
          <w:tcPr>
            <w:tcW w:w="880" w:type="dxa"/>
            <w:vAlign w:val="bottom"/>
          </w:tcPr>
          <w:p>
            <w:pPr>
              <w:ind w:left="340"/>
              <w:spacing w:after="0"/>
              <w:rPr>
                <w:sz w:val="20"/>
                <w:szCs w:val="20"/>
                <w:color w:val="auto"/>
              </w:rPr>
            </w:pPr>
            <w:r>
              <w:rPr>
                <w:rFonts w:ascii="Arial" w:cs="Arial" w:eastAsia="Arial" w:hAnsi="Arial"/>
                <w:sz w:val="18"/>
                <w:szCs w:val="18"/>
                <w:b w:val="1"/>
                <w:bCs w:val="1"/>
                <w:color w:val="auto"/>
              </w:rPr>
              <w:t>X</w:t>
            </w:r>
          </w:p>
        </w:tc>
        <w:tc>
          <w:tcPr>
            <w:tcW w:w="1340" w:type="dxa"/>
            <w:vAlign w:val="bottom"/>
          </w:tcPr>
          <w:p>
            <w:pPr>
              <w:ind w:left="420"/>
              <w:spacing w:after="0"/>
              <w:rPr>
                <w:sz w:val="20"/>
                <w:szCs w:val="20"/>
                <w:color w:val="auto"/>
              </w:rPr>
            </w:pPr>
            <w:r>
              <w:rPr>
                <w:rFonts w:ascii="Arial" w:cs="Arial" w:eastAsia="Arial" w:hAnsi="Arial"/>
                <w:sz w:val="18"/>
                <w:szCs w:val="18"/>
                <w:b w:val="1"/>
                <w:bCs w:val="1"/>
                <w:color w:val="auto"/>
              </w:rPr>
              <w:t>Target</w:t>
            </w:r>
          </w:p>
        </w:tc>
        <w:tc>
          <w:tcPr>
            <w:tcW w:w="920" w:type="dxa"/>
            <w:vAlign w:val="bottom"/>
          </w:tcPr>
          <w:p>
            <w:pPr>
              <w:ind w:left="420"/>
              <w:spacing w:after="0"/>
              <w:rPr>
                <w:sz w:val="20"/>
                <w:szCs w:val="20"/>
                <w:color w:val="auto"/>
              </w:rPr>
            </w:pPr>
            <w:r>
              <w:rPr>
                <w:rFonts w:ascii="Arial" w:cs="Arial" w:eastAsia="Arial" w:hAnsi="Arial"/>
                <w:sz w:val="18"/>
                <w:szCs w:val="18"/>
                <w:b w:val="1"/>
                <w:bCs w:val="1"/>
                <w:color w:val="auto"/>
              </w:rPr>
              <w:t>X</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ration</w:t>
            </w:r>
          </w:p>
        </w:tc>
        <w:tc>
          <w:tcPr>
            <w:tcW w:w="2380" w:type="dxa"/>
            <w:vAlign w:val="bottom"/>
          </w:tcPr>
          <w:p>
            <w:pPr>
              <w:ind w:left="400"/>
              <w:spacing w:after="0"/>
              <w:rPr>
                <w:sz w:val="20"/>
                <w:szCs w:val="20"/>
                <w:color w:val="auto"/>
              </w:rPr>
            </w:pPr>
            <w:r>
              <w:rPr>
                <w:rFonts w:ascii="Arial" w:cs="Arial" w:eastAsia="Arial" w:hAnsi="Arial"/>
                <w:sz w:val="18"/>
                <w:szCs w:val="18"/>
                <w:b w:val="1"/>
                <w:bCs w:val="1"/>
                <w:color w:val="auto"/>
                <w:w w:val="92"/>
              </w:rPr>
              <w:t>=  Total Annual Incentive</w:t>
            </w:r>
          </w:p>
        </w:tc>
      </w:tr>
      <w:tr>
        <w:trPr>
          <w:trHeight w:val="228"/>
        </w:trPr>
        <w:tc>
          <w:tcPr>
            <w:tcW w:w="1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4"/>
              </w:rPr>
              <w:t>Percentage</w:t>
            </w:r>
          </w:p>
        </w:tc>
        <w:tc>
          <w:tcPr>
            <w:tcW w:w="880" w:type="dxa"/>
            <w:vAlign w:val="bottom"/>
          </w:tcPr>
          <w:p>
            <w:pPr>
              <w:spacing w:after="0"/>
              <w:rPr>
                <w:sz w:val="19"/>
                <w:szCs w:val="19"/>
                <w:color w:val="auto"/>
              </w:rPr>
            </w:pPr>
          </w:p>
        </w:tc>
        <w:tc>
          <w:tcPr>
            <w:tcW w:w="1340" w:type="dxa"/>
            <w:vAlign w:val="bottom"/>
          </w:tcPr>
          <w:p>
            <w:pPr>
              <w:ind w:left="420"/>
              <w:spacing w:after="0"/>
              <w:rPr>
                <w:sz w:val="20"/>
                <w:szCs w:val="20"/>
                <w:color w:val="auto"/>
              </w:rPr>
            </w:pPr>
            <w:r>
              <w:rPr>
                <w:rFonts w:ascii="Arial" w:cs="Arial" w:eastAsia="Arial" w:hAnsi="Arial"/>
                <w:sz w:val="18"/>
                <w:szCs w:val="18"/>
                <w:b w:val="1"/>
                <w:bCs w:val="1"/>
                <w:color w:val="auto"/>
              </w:rPr>
              <w:t>Factor</w:t>
            </w:r>
          </w:p>
        </w:tc>
        <w:tc>
          <w:tcPr>
            <w:tcW w:w="9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Factor</w:t>
            </w:r>
          </w:p>
        </w:tc>
        <w:tc>
          <w:tcPr>
            <w:tcW w:w="2380" w:type="dxa"/>
            <w:vAlign w:val="bottom"/>
          </w:tcPr>
          <w:p>
            <w:pPr>
              <w:spacing w:after="0"/>
              <w:rPr>
                <w:sz w:val="19"/>
                <w:szCs w:val="19"/>
                <w:color w:val="auto"/>
              </w:rPr>
            </w:pPr>
          </w:p>
        </w:tc>
      </w:tr>
    </w:tbl>
    <w:p>
      <w:pPr>
        <w:spacing w:after="0" w:line="82" w:lineRule="exact"/>
        <w:rPr>
          <w:sz w:val="20"/>
          <w:szCs w:val="20"/>
          <w:color w:val="auto"/>
        </w:rPr>
      </w:pPr>
    </w:p>
    <w:p>
      <w:pPr>
        <w:ind w:left="1480" w:hanging="567"/>
        <w:spacing w:after="0"/>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shall mean the annual base salary for each Plan Participant set forth above in effect at the end of Q4 2006.</w:t>
      </w:r>
    </w:p>
    <w:p>
      <w:pPr>
        <w:spacing w:after="0" w:line="90" w:lineRule="exact"/>
        <w:rPr>
          <w:rFonts w:ascii="Arial" w:cs="Arial" w:eastAsia="Arial" w:hAnsi="Arial"/>
          <w:sz w:val="18"/>
          <w:szCs w:val="18"/>
          <w:color w:val="auto"/>
        </w:rPr>
      </w:pPr>
    </w:p>
    <w:p>
      <w:pPr>
        <w:ind w:left="1480" w:right="220" w:hanging="567"/>
        <w:spacing w:after="0" w:line="262" w:lineRule="auto"/>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Pro-ration Factor </w:t>
      </w:r>
      <w:r>
        <w:rPr>
          <w:rFonts w:ascii="Arial" w:cs="Arial" w:eastAsia="Arial" w:hAnsi="Arial"/>
          <w:sz w:val="18"/>
          <w:szCs w:val="18"/>
          <w:color w:val="auto"/>
        </w:rPr>
        <w:t>accounts for the number of calendar days during the Fiscal Year that such Plan Participant was in an incentive-eligible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 For example, the Pro-ration Factor for a Plan Participant who has been in the Plan the entire year will be 1.00. For a Plan Participant who has been in the Plan for 6 months, this factor will be 0.50.</w:t>
      </w:r>
    </w:p>
    <w:p>
      <w:pPr>
        <w:spacing w:after="0" w:line="51" w:lineRule="exact"/>
        <w:rPr>
          <w:rFonts w:ascii="Arial" w:cs="Arial" w:eastAsia="Arial" w:hAnsi="Arial"/>
          <w:sz w:val="18"/>
          <w:szCs w:val="18"/>
          <w:color w:val="auto"/>
        </w:rPr>
      </w:pPr>
    </w:p>
    <w:p>
      <w:pPr>
        <w:ind w:left="900" w:right="140" w:hanging="446"/>
        <w:spacing w:after="0" w:line="262"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Incentive Formula and Calculation Example: </w:t>
      </w:r>
      <w:r>
        <w:rPr>
          <w:rFonts w:ascii="Arial" w:cs="Arial" w:eastAsia="Arial" w:hAnsi="Arial"/>
          <w:sz w:val="18"/>
          <w:szCs w:val="18"/>
          <w:color w:val="auto"/>
        </w:rPr>
        <w:t>Assuming a base salary of $200,000, Incentive Target Percentage of 50%, Corporate Target Factor</w:t>
      </w:r>
      <w:r>
        <w:rPr>
          <w:rFonts w:ascii="Arial" w:cs="Arial" w:eastAsia="Arial" w:hAnsi="Arial"/>
          <w:sz w:val="18"/>
          <w:szCs w:val="18"/>
          <w:b w:val="1"/>
          <w:bCs w:val="1"/>
          <w:color w:val="auto"/>
        </w:rPr>
        <w:t xml:space="preserve"> </w:t>
      </w:r>
      <w:r>
        <w:rPr>
          <w:rFonts w:ascii="Arial" w:cs="Arial" w:eastAsia="Arial" w:hAnsi="Arial"/>
          <w:sz w:val="18"/>
          <w:szCs w:val="18"/>
          <w:color w:val="auto"/>
        </w:rPr>
        <w:t>of 0.50 and Individual Target Factor of 0.40, and a Pro-ration Factor of 1.00, the Total Annual Incentive for such a Plan Participant meeting all eligibility requirements, would be calculated as follows:</w:t>
      </w:r>
    </w:p>
    <w:p>
      <w:pPr>
        <w:spacing w:after="0" w:line="213" w:lineRule="exact"/>
        <w:rPr>
          <w:sz w:val="20"/>
          <w:szCs w:val="20"/>
          <w:color w:val="auto"/>
        </w:rPr>
      </w:pPr>
    </w:p>
    <w:tbl>
      <w:tblPr>
        <w:tblLayout w:type="fixed"/>
        <w:tblInd w:w="820" w:type="dxa"/>
        <w:tblCellMar>
          <w:top w:w="0" w:type="dxa"/>
          <w:left w:w="0" w:type="dxa"/>
          <w:bottom w:w="0" w:type="dxa"/>
          <w:right w:w="0" w:type="dxa"/>
        </w:tblCellMar>
      </w:tblPr>
      <w:tr>
        <w:trPr>
          <w:trHeight w:val="228"/>
        </w:trPr>
        <w:tc>
          <w:tcPr>
            <w:tcW w:w="1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60" w:type="dxa"/>
            <w:vAlign w:val="bottom"/>
            <w:gridSpan w:val="2"/>
          </w:tcPr>
          <w:p>
            <w:pPr>
              <w:ind w:left="400"/>
              <w:spacing w:after="0"/>
              <w:rPr>
                <w:sz w:val="20"/>
                <w:szCs w:val="20"/>
                <w:color w:val="auto"/>
              </w:rPr>
            </w:pPr>
            <w:r>
              <w:rPr>
                <w:rFonts w:ascii="Arial" w:cs="Arial" w:eastAsia="Arial" w:hAnsi="Arial"/>
                <w:sz w:val="18"/>
                <w:szCs w:val="18"/>
                <w:b w:val="1"/>
                <w:bCs w:val="1"/>
                <w:color w:val="auto"/>
              </w:rPr>
              <w:t>Sample Calculation</w:t>
            </w:r>
          </w:p>
        </w:tc>
        <w:tc>
          <w:tcPr>
            <w:tcW w:w="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06"/>
        </w:trPr>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7"/>
              </w:rPr>
              <w:t>Incentive</w:t>
            </w:r>
          </w:p>
        </w:tc>
        <w:tc>
          <w:tcPr>
            <w:tcW w:w="88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2"/>
              </w:rPr>
              <w:t>Bonus</w:t>
            </w:r>
          </w:p>
        </w:tc>
        <w:tc>
          <w:tcPr>
            <w:tcW w:w="8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4"/>
              </w:rPr>
              <w:t>Pro-</w:t>
            </w:r>
          </w:p>
        </w:tc>
        <w:tc>
          <w:tcPr>
            <w:tcW w:w="5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16"/>
        </w:trPr>
        <w:tc>
          <w:tcPr>
            <w:tcW w:w="1340" w:type="dxa"/>
            <w:vAlign w:val="bottom"/>
          </w:tcPr>
          <w:p>
            <w:pPr>
              <w:jc w:val="center"/>
              <w:ind w:right="372"/>
              <w:spacing w:after="0"/>
              <w:rPr>
                <w:sz w:val="20"/>
                <w:szCs w:val="20"/>
                <w:color w:val="auto"/>
              </w:rPr>
            </w:pPr>
            <w:r>
              <w:rPr>
                <w:rFonts w:ascii="Arial" w:cs="Arial" w:eastAsia="Arial" w:hAnsi="Arial"/>
                <w:sz w:val="18"/>
                <w:szCs w:val="18"/>
                <w:b w:val="1"/>
                <w:bCs w:val="1"/>
                <w:color w:val="auto"/>
                <w:w w:val="86"/>
              </w:rPr>
              <w:t>Base Salary</w:t>
            </w:r>
          </w:p>
        </w:tc>
        <w:tc>
          <w:tcPr>
            <w:tcW w:w="9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7"/>
              </w:rPr>
              <w:t>Target</w:t>
            </w:r>
          </w:p>
        </w:tc>
        <w:tc>
          <w:tcPr>
            <w:tcW w:w="8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Target</w:t>
            </w:r>
          </w:p>
        </w:tc>
        <w:tc>
          <w:tcPr>
            <w:tcW w:w="8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ration</w:t>
            </w:r>
          </w:p>
        </w:tc>
        <w:tc>
          <w:tcPr>
            <w:tcW w:w="580" w:type="dxa"/>
            <w:vAlign w:val="bottom"/>
          </w:tcPr>
          <w:p>
            <w:pPr>
              <w:spacing w:after="0"/>
              <w:rPr>
                <w:sz w:val="18"/>
                <w:szCs w:val="18"/>
                <w:color w:val="auto"/>
              </w:rPr>
            </w:pPr>
          </w:p>
        </w:tc>
        <w:tc>
          <w:tcPr>
            <w:tcW w:w="1800" w:type="dxa"/>
            <w:vAlign w:val="bottom"/>
          </w:tcPr>
          <w:p>
            <w:pPr>
              <w:jc w:val="center"/>
              <w:ind w:left="12"/>
              <w:spacing w:after="0"/>
              <w:rPr>
                <w:sz w:val="20"/>
                <w:szCs w:val="20"/>
                <w:color w:val="auto"/>
              </w:rPr>
            </w:pPr>
            <w:r>
              <w:rPr>
                <w:rFonts w:ascii="Arial" w:cs="Arial" w:eastAsia="Arial" w:hAnsi="Arial"/>
                <w:sz w:val="18"/>
                <w:szCs w:val="18"/>
                <w:b w:val="1"/>
                <w:bCs w:val="1"/>
                <w:color w:val="auto"/>
                <w:w w:val="88"/>
              </w:rPr>
              <w:t>Total Annual Incentive</w:t>
            </w:r>
          </w:p>
        </w:tc>
      </w:tr>
      <w:tr>
        <w:trPr>
          <w:trHeight w:val="228"/>
        </w:trPr>
        <w:tc>
          <w:tcPr>
            <w:tcW w:w="1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4"/>
              </w:rPr>
              <w:t>Percentage</w:t>
            </w:r>
          </w:p>
        </w:tc>
        <w:tc>
          <w:tcPr>
            <w:tcW w:w="88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Factor</w:t>
            </w:r>
          </w:p>
        </w:tc>
        <w:tc>
          <w:tcPr>
            <w:tcW w:w="8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Factor</w:t>
            </w:r>
          </w:p>
        </w:tc>
        <w:tc>
          <w:tcPr>
            <w:tcW w:w="5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1340" w:type="dxa"/>
            <w:vAlign w:val="bottom"/>
          </w:tcPr>
          <w:p>
            <w:pPr>
              <w:jc w:val="right"/>
              <w:ind w:right="492"/>
              <w:spacing w:after="0"/>
              <w:rPr>
                <w:sz w:val="20"/>
                <w:szCs w:val="20"/>
                <w:color w:val="auto"/>
              </w:rPr>
            </w:pPr>
            <w:r>
              <w:rPr>
                <w:rFonts w:ascii="Arial" w:cs="Arial" w:eastAsia="Arial" w:hAnsi="Arial"/>
                <w:sz w:val="18"/>
                <w:szCs w:val="18"/>
                <w:b w:val="1"/>
                <w:bCs w:val="1"/>
                <w:color w:val="auto"/>
                <w:w w:val="98"/>
              </w:rPr>
              <w:t>$200,000</w:t>
            </w:r>
          </w:p>
        </w:tc>
        <w:tc>
          <w:tcPr>
            <w:tcW w:w="920" w:type="dxa"/>
            <w:vAlign w:val="bottom"/>
          </w:tcPr>
          <w:p>
            <w:pPr>
              <w:ind w:left="460"/>
              <w:spacing w:after="0"/>
              <w:rPr>
                <w:sz w:val="20"/>
                <w:szCs w:val="20"/>
                <w:color w:val="auto"/>
              </w:rPr>
            </w:pPr>
            <w:r>
              <w:rPr>
                <w:rFonts w:ascii="Arial" w:cs="Arial" w:eastAsia="Arial" w:hAnsi="Arial"/>
                <w:sz w:val="18"/>
                <w:szCs w:val="18"/>
                <w:b w:val="1"/>
                <w:bCs w:val="1"/>
                <w:color w:val="auto"/>
              </w:rPr>
              <w:t>X</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0.50</w:t>
            </w:r>
          </w:p>
        </w:tc>
        <w:tc>
          <w:tcPr>
            <w:tcW w:w="880" w:type="dxa"/>
            <w:vAlign w:val="bottom"/>
          </w:tcPr>
          <w:p>
            <w:pPr>
              <w:ind w:left="340"/>
              <w:spacing w:after="0"/>
              <w:rPr>
                <w:sz w:val="20"/>
                <w:szCs w:val="20"/>
                <w:color w:val="auto"/>
              </w:rPr>
            </w:pPr>
            <w:r>
              <w:rPr>
                <w:rFonts w:ascii="Arial" w:cs="Arial" w:eastAsia="Arial" w:hAnsi="Arial"/>
                <w:sz w:val="18"/>
                <w:szCs w:val="18"/>
                <w:b w:val="1"/>
                <w:bCs w:val="1"/>
                <w:color w:val="auto"/>
              </w:rPr>
              <w:t>X</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5"/>
              </w:rPr>
              <w:t>0.90</w:t>
            </w:r>
          </w:p>
        </w:tc>
        <w:tc>
          <w:tcPr>
            <w:tcW w:w="86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1.0</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0" w:type="dxa"/>
            <w:vAlign w:val="bottom"/>
          </w:tcPr>
          <w:p>
            <w:pPr>
              <w:jc w:val="right"/>
              <w:ind w:right="432"/>
              <w:spacing w:after="0"/>
              <w:rPr>
                <w:sz w:val="20"/>
                <w:szCs w:val="20"/>
                <w:color w:val="auto"/>
              </w:rPr>
            </w:pPr>
            <w:r>
              <w:rPr>
                <w:rFonts w:ascii="Arial" w:cs="Arial" w:eastAsia="Arial" w:hAnsi="Arial"/>
                <w:sz w:val="18"/>
                <w:szCs w:val="18"/>
                <w:b w:val="1"/>
                <w:bCs w:val="1"/>
                <w:color w:val="auto"/>
              </w:rPr>
              <w:t>$90,000*</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  less any appropriate withholdings.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this example, the total incentive equals 45% of base salary.</w:t>
      </w:r>
    </w:p>
    <w:p>
      <w:pPr>
        <w:spacing w:after="0" w:line="90" w:lineRule="exact"/>
        <w:rPr>
          <w:sz w:val="20"/>
          <w:szCs w:val="20"/>
          <w:color w:val="auto"/>
        </w:rPr>
      </w:pPr>
    </w:p>
    <w:p>
      <w:pPr>
        <w:ind w:left="900" w:hanging="446"/>
        <w:spacing w:after="0" w:line="255"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Will Employment. The Company is an at-will employer, which means that an employee’s employment can be terminated by an employee or the Company at any time with or without cause. The Company reserves the right to modify an employee’s duties, title or other terms and conditions of employment with or without cause. This Plan cannot and should not be interpreted to alter the at-will nature of the employment relationship between the Company and any Plan Participant. The at-will nature of the employment relationship cannot be modified except in a written document signed by the Company’s CEO.</w:t>
      </w:r>
    </w:p>
    <w:p>
      <w:pPr>
        <w:sectPr>
          <w:pgSz w:w="11900" w:h="16838" w:orient="portrait"/>
          <w:cols w:equalWidth="0" w:num="1">
            <w:col w:w="11380"/>
          </w:cols>
          <w:pgMar w:left="240" w:top="274" w:right="2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302 Certifications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Each of the undersigned, in his capacity as the Chief Executive Officer and Chief Financial Officer of Novatel Wireless Inc., as the case may be, provides the following certifications required by 18 U.S.C. Section 1350, as adopted pursuant to Section 302 of The Sarbanes-Oxley Act of 2002, and 17 C.F.R. § 240.13a-14.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Peter Leparulo, certify that:</w:t>
      </w:r>
    </w:p>
    <w:p>
      <w:pPr>
        <w:spacing w:after="0" w:line="90" w:lineRule="exact"/>
        <w:rPr>
          <w:sz w:val="20"/>
          <w:szCs w:val="20"/>
          <w:color w:val="auto"/>
        </w:rPr>
      </w:pPr>
    </w:p>
    <w:p>
      <w:pPr>
        <w:ind w:left="640" w:hanging="17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second fiscal quarter in the case of this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/S/ PETER V. LEPARULO</w:t>
      </w:r>
    </w:p>
    <w:p>
      <w:pPr>
        <w:spacing w:after="0" w:line="17" w:lineRule="exact"/>
        <w:rPr>
          <w:sz w:val="20"/>
          <w:szCs w:val="20"/>
          <w:color w:val="auto"/>
        </w:rPr>
      </w:pPr>
    </w:p>
    <w:p>
      <w:pPr>
        <w:ind w:left="8480"/>
        <w:spacing w:after="0"/>
        <w:rPr>
          <w:sz w:val="20"/>
          <w:szCs w:val="20"/>
          <w:color w:val="auto"/>
        </w:rPr>
      </w:pPr>
      <w:r>
        <w:rPr>
          <w:rFonts w:ascii="Arial" w:cs="Arial" w:eastAsia="Arial" w:hAnsi="Arial"/>
          <w:sz w:val="18"/>
          <w:szCs w:val="18"/>
          <w:b w:val="1"/>
          <w:bCs w:val="1"/>
          <w:color w:val="auto"/>
        </w:rPr>
        <w:t>Peter V. Leparulo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Chief Executive Officer</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8, 2006</w:t>
      </w:r>
    </w:p>
    <w:p>
      <w:pPr>
        <w:sectPr>
          <w:pgSz w:w="11900" w:h="16838" w:orient="portrait"/>
          <w:cols w:equalWidth="0" w:num="1">
            <w:col w:w="11420"/>
          </w:cols>
          <w:pgMar w:left="240" w:top="12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Dan L. Halvorson, certify that:</w:t>
      </w:r>
    </w:p>
    <w:p>
      <w:pPr>
        <w:spacing w:after="0" w:line="90" w:lineRule="exact"/>
        <w:rPr>
          <w:sz w:val="20"/>
          <w:szCs w:val="20"/>
          <w:color w:val="auto"/>
        </w:rPr>
      </w:pPr>
    </w:p>
    <w:p>
      <w:pPr>
        <w:ind w:left="640" w:hanging="17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second fiscal quarter in the case of this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/S/ DAN L. HALVORSON</w:t>
      </w:r>
    </w:p>
    <w:p>
      <w:pPr>
        <w:spacing w:after="0" w:line="17" w:lineRule="exact"/>
        <w:rPr>
          <w:sz w:val="20"/>
          <w:szCs w:val="20"/>
          <w:color w:val="auto"/>
        </w:rPr>
      </w:pPr>
    </w:p>
    <w:p>
      <w:pPr>
        <w:ind w:left="8460"/>
        <w:spacing w:after="0"/>
        <w:rPr>
          <w:sz w:val="20"/>
          <w:szCs w:val="20"/>
          <w:color w:val="auto"/>
        </w:rPr>
      </w:pPr>
      <w:r>
        <w:rPr>
          <w:rFonts w:ascii="Arial" w:cs="Arial" w:eastAsia="Arial" w:hAnsi="Arial"/>
          <w:sz w:val="18"/>
          <w:szCs w:val="18"/>
          <w:b w:val="1"/>
          <w:bCs w:val="1"/>
          <w:color w:val="auto"/>
        </w:rPr>
        <w:t>Dan L. Halvorson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8, 2006</w:t>
      </w:r>
    </w:p>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Each of the undersigned, in his capacity as the Chief Executive Officer and Chief Financial Officer of Novatel Wireless, Inc., as the case may be, provides the following certifications required by 18 U.S.C. Section 1350, as adopted pursuant to Section 906 of the Sarbanes-Oxley Act of 2002:</w:t>
      </w:r>
    </w:p>
    <w:p>
      <w:pPr>
        <w:spacing w:after="0" w:line="85"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This Report on Form 10-Q fully complies with the requirements of Section 13(a) or 15(d) of the Securities Exchange Act of 1934, as amended; and</w:t>
      </w:r>
    </w:p>
    <w:p>
      <w:pPr>
        <w:spacing w:after="0" w:line="194" w:lineRule="exact"/>
        <w:rPr>
          <w:rFonts w:ascii="Arial" w:cs="Arial" w:eastAsia="Arial" w:hAnsi="Arial"/>
          <w:sz w:val="16"/>
          <w:szCs w:val="16"/>
          <w:b w:val="1"/>
          <w:bCs w:val="1"/>
          <w:color w:val="auto"/>
        </w:rPr>
      </w:pPr>
    </w:p>
    <w:p>
      <w:pPr>
        <w:ind w:left="460" w:right="1100" w:hanging="452"/>
        <w:spacing w:after="0" w:line="456" w:lineRule="auto"/>
        <w:tabs>
          <w:tab w:leader="none" w:pos="179"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 xml:space="preserve">The information contained in the report fairly presents, in all material respects, the financial condition and results of operations of the Company. </w:t>
      </w: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set their hands hereto as of the 8th day of August, 2006.</w:t>
      </w:r>
    </w:p>
    <w:p>
      <w:pPr>
        <w:spacing w:after="0" w:line="10"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/s/ Peter V. Leparulo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Peter V. Leparulo</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 Dan L. Halvorson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Dan L. Halvorson</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lowerLetter"/>
      <w:start w:val="1"/>
    </w:lvl>
  </w:abstractNum>
  <w:abstractNum w:abstractNumId="4">
    <w:nsid w:val="79838CB2"/>
    <w:multiLevelType w:val="hybridMultilevel"/>
    <w:lvl w:ilvl="0">
      <w:lvlJc w:val="left"/>
      <w:lvlText w:val="%1."/>
      <w:numFmt w:val="decimal"/>
      <w:start w:val="2"/>
    </w:lvl>
  </w:abstractNum>
  <w:abstractNum w:abstractNumId="5">
    <w:nsid w:val="4353D0CD"/>
    <w:multiLevelType w:val="hybridMultilevel"/>
    <w:lvl w:ilvl="0">
      <w:lvlJc w:val="left"/>
      <w:lvlText w:val="%1."/>
      <w:numFmt w:val="decimal"/>
      <w:start w:val="3"/>
    </w:lvl>
  </w:abstractNum>
  <w:abstractNum w:abstractNumId="6">
    <w:nsid w:val="B03E0C6"/>
    <w:multiLevelType w:val="hybridMultilevel"/>
    <w:lvl w:ilvl="0">
      <w:lvlJc w:val="left"/>
      <w:lvlText w:val="%1."/>
      <w:numFmt w:val="decimal"/>
      <w:start w:val="4"/>
    </w:lvl>
  </w:abstractNum>
  <w:abstractNum w:abstractNumId="7">
    <w:nsid w:val="189A769B"/>
    <w:multiLevelType w:val="hybridMultilevel"/>
    <w:lvl w:ilvl="0">
      <w:lvlJc w:val="left"/>
      <w:lvlText w:val="%1."/>
      <w:numFmt w:val="decimal"/>
      <w:start w:val="5"/>
    </w:lvl>
  </w:abstractNum>
  <w:abstractNum w:abstractNumId="8">
    <w:nsid w:val="54E49EB4"/>
    <w:multiLevelType w:val="hybridMultilevel"/>
    <w:lvl w:ilvl="0">
      <w:lvlJc w:val="left"/>
      <w:lvlText w:val="%1."/>
      <w:numFmt w:val="decimal"/>
      <w:start w:val="6"/>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lowerLetter"/>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1."/>
      <w:numFmt w:val="decimal"/>
      <w:start w:val="2"/>
    </w:lvl>
  </w:abstractNum>
  <w:abstractNum w:abstractNumId="19">
    <w:nsid w:val="22221A70"/>
    <w:multiLevelType w:val="hybridMultilevel"/>
    <w:lvl w:ilvl="0">
      <w:lvlJc w:val="left"/>
      <w:lvlText w:val="%1."/>
      <w:numFmt w:val="decimal"/>
      <w:start w:val="4"/>
    </w:lvl>
  </w:abstractNum>
  <w:abstractNum w:abstractNumId="20">
    <w:nsid w:val="4516DDE9"/>
    <w:multiLevelType w:val="hybridMultilevel"/>
    <w:lvl w:ilvl="0">
      <w:lvlJc w:val="left"/>
      <w:lvlText w:val="%1."/>
      <w:numFmt w:val="decimal"/>
      <w:start w:val="10"/>
    </w:lvl>
  </w:abstractNum>
  <w:abstractNum w:abstractNumId="21">
    <w:nsid w:val="3006C83E"/>
    <w:multiLevelType w:val="hybridMultilevel"/>
    <w:lvl w:ilvl="0">
      <w:lvlJc w:val="left"/>
      <w:lvlText w:val="%1."/>
      <w:numFmt w:val="decimal"/>
      <w:start w:val="2"/>
    </w:lvl>
  </w:abstractNum>
  <w:abstractNum w:abstractNumId="22">
    <w:nsid w:val="614FD4A1"/>
    <w:multiLevelType w:val="hybridMultilevel"/>
    <w:lvl w:ilvl="0">
      <w:lvlJc w:val="left"/>
      <w:lvlText w:val="%1"/>
      <w:numFmt w:val="lowerLetter"/>
      <w:start w:val="1"/>
    </w:lvl>
    <w:lvl w:ilvl="1">
      <w:lvlJc w:val="left"/>
      <w:lvlText w:val="(%2)"/>
      <w:numFmt w:val="lowerLetter"/>
      <w:start w:val="9"/>
    </w:lvl>
  </w:abstractNum>
  <w:abstractNum w:abstractNumId="23">
    <w:nsid w:val="419AC241"/>
    <w:multiLevelType w:val="hybridMultilevel"/>
    <w:lvl w:ilvl="0">
      <w:lvlJc w:val="left"/>
      <w:lvlText w:val="(%1)"/>
      <w:numFmt w:val="lowerLetter"/>
      <w:start w:val="25"/>
    </w:lvl>
    <w:lvl w:ilvl="1">
      <w:lvlJc w:val="left"/>
      <w:lvlText w:val="(%2)"/>
      <w:numFmt w:val="lowerLetter"/>
      <w:start w:val="35"/>
    </w:lvl>
  </w:abstractNum>
  <w:abstractNum w:abstractNumId="24">
    <w:nsid w:val="5577F8E1"/>
    <w:multiLevelType w:val="hybridMultilevel"/>
    <w:lvl w:ilvl="0">
      <w:lvlJc w:val="left"/>
      <w:lvlText w:val="%1."/>
      <w:numFmt w:val="decimal"/>
      <w:start w:val="8"/>
    </w:lvl>
  </w:abstractNum>
  <w:abstractNum w:abstractNumId="25">
    <w:nsid w:val="440BADFC"/>
    <w:multiLevelType w:val="hybridMultilevel"/>
    <w:lvl w:ilvl="0">
      <w:lvlJc w:val="left"/>
      <w:lvlText w:val="%1."/>
      <w:numFmt w:val="decimal"/>
      <w:start w:val="9"/>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upperLetter"/>
      <w:start w:val="9"/>
    </w:lvl>
    <w:lvl w:ilvl="1">
      <w:lvlJc w:val="left"/>
      <w:lvlText w:val="%2."/>
      <w:numFmt w:val="upperLetter"/>
      <w:start w:val="1"/>
    </w:lvl>
  </w:abstractNum>
  <w:abstractNum w:abstractNumId="28">
    <w:nsid w:val="77465F01"/>
    <w:multiLevelType w:val="hybridMultilevel"/>
    <w:lvl w:ilvl="0">
      <w:lvlJc w:val="left"/>
      <w:lvlText w:val="%1."/>
      <w:numFmt w:val="upperLetter"/>
      <w:start w:val="35"/>
    </w:lvl>
    <w:lvl w:ilvl="1">
      <w:lvlJc w:val="left"/>
      <w:lvlText w:val="%2."/>
      <w:numFmt w:val="upperLetter"/>
      <w:start w:val="1"/>
    </w:lvl>
  </w:abstractNum>
  <w:abstractNum w:abstractNumId="29">
    <w:nsid w:val="7724C67E"/>
    <w:multiLevelType w:val="hybridMultilevel"/>
    <w:lvl w:ilvl="0">
      <w:lvlJc w:val="left"/>
      <w:lvlText w:val="%1"/>
      <w:numFmt w:val="upperLetter"/>
      <w:start w:val="1"/>
    </w:lvl>
    <w:lvl w:ilvl="1">
      <w:lvlJc w:val="left"/>
      <w:lvlText w:val="%2."/>
      <w:numFmt w:val="upperLetter"/>
      <w:start w:val="3"/>
    </w:lvl>
    <w:lvl w:ilvl="2">
      <w:lvlJc w:val="left"/>
      <w:lvlText w:val="%3"/>
      <w:numFmt w:val="decimal"/>
      <w:start w:val="1"/>
    </w:lvl>
  </w:abstractNum>
  <w:abstractNum w:abstractNumId="30">
    <w:nsid w:val="5C482A97"/>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abstractNum w:abstractNumId="31">
    <w:nsid w:val="2463B9EA"/>
    <w:multiLevelType w:val="hybridMultilevel"/>
    <w:lvl w:ilvl="0">
      <w:lvlJc w:val="left"/>
      <w:lvlText w:val="%1."/>
      <w:numFmt w:val="upperLetter"/>
      <w:start w:val="1"/>
    </w:lvl>
  </w:abstractNum>
  <w:abstractNum w:abstractNumId="32">
    <w:nsid w:val="5E884ADC"/>
    <w:multiLevelType w:val="hybridMultilevel"/>
    <w:lvl w:ilvl="0">
      <w:lvlJc w:val="left"/>
      <w:lvlText w:val="%1."/>
      <w:numFmt w:val="upperLetter"/>
      <w:start w:val="2"/>
    </w:lvl>
  </w:abstractNum>
  <w:abstractNum w:abstractNumId="33">
    <w:nsid w:val="51EAD36B"/>
    <w:multiLevelType w:val="hybridMultilevel"/>
    <w:lvl w:ilvl="0">
      <w:lvlJc w:val="left"/>
      <w:lvlText w:val="%1"/>
      <w:numFmt w:val="upperLetter"/>
      <w:start w:val="1"/>
    </w:lvl>
    <w:lvl w:ilvl="1">
      <w:lvlJc w:val="left"/>
      <w:lvlText w:val="%2."/>
      <w:numFmt w:val="decimal"/>
      <w:start w:val="1"/>
    </w:lvl>
  </w:abstractNum>
  <w:abstractNum w:abstractNumId="34">
    <w:nsid w:val="2D517796"/>
    <w:multiLevelType w:val="hybridMultilevel"/>
    <w:lvl w:ilvl="0">
      <w:lvlJc w:val="left"/>
      <w:lvlText w:val="%1."/>
      <w:numFmt w:val="upperLetter"/>
      <w:start w:val="3"/>
    </w:lvl>
    <w:lvl w:ilvl="1">
      <w:lvlJc w:val="left"/>
      <w:lvlText w:val="%2"/>
      <w:numFmt w:val="decimal"/>
      <w:start w:val="1"/>
    </w:lvl>
  </w:abstractNum>
  <w:abstractNum w:abstractNumId="35">
    <w:nsid w:val="580BD78F"/>
    <w:multiLevelType w:val="hybridMultilevel"/>
    <w:lvl w:ilvl="0">
      <w:lvlJc w:val="left"/>
      <w:lvlText w:val="%1."/>
      <w:numFmt w:val="upperLetter"/>
      <w:start w:val="4"/>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1)"/>
      <w:numFmt w:val="lowerLetter"/>
      <w:start w:val="1"/>
    </w:lvl>
  </w:abstractNum>
  <w:abstractNum w:abstractNumId="38">
    <w:nsid w:val="70A64E2A"/>
    <w:multiLevelType w:val="hybridMultilevel"/>
    <w:lvl w:ilvl="0">
      <w:lvlJc w:val="left"/>
      <w:lvlText w:val="%1."/>
      <w:numFmt w:val="decimal"/>
      <w:start w:val="5"/>
    </w:lvl>
  </w:abstractNum>
  <w:abstractNum w:abstractNumId="39">
    <w:nsid w:val="6A2342EC"/>
    <w:multiLevelType w:val="hybridMultilevel"/>
    <w:lvl w:ilvl="0">
      <w:lvlJc w:val="left"/>
      <w:lvlText w:val="(%1)"/>
      <w:numFmt w:val="lowerLetter"/>
      <w:start w:val="1"/>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lowerLetter"/>
      <w:start w:val="1"/>
    </w:lvl>
  </w:abstractNum>
  <w:abstractNum w:abstractNumId="42">
    <w:nsid w:val="725A06FB"/>
    <w:multiLevelType w:val="hybridMultilevel"/>
    <w:lvl w:ilvl="0">
      <w:lvlJc w:val="left"/>
      <w:lvlText w:val="%1."/>
      <w:numFmt w:val="decimal"/>
      <w:start w:val="5"/>
    </w:lvl>
  </w:abstractNum>
  <w:abstractNum w:abstractNumId="43">
    <w:nsid w:val="2CD89A32"/>
    <w:multiLevelType w:val="hybridMultilevel"/>
    <w:lvl w:ilvl="0">
      <w:lvlJc w:val="left"/>
      <w:lvlText w:val="(%1)"/>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2019-12-14T09:41:45Z</dcterms:created>
  <dcterms:modified xsi:type="dcterms:W3CDTF">2019-12-14T09:41:45Z</dcterms:modified>
</cp:coreProperties>
</file>