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 August 23, 2017</w:t>
      </w:r>
    </w:p>
    <w:p>
      <w:pPr>
        <w:spacing w:after="0" w:line="26"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ectPr>
          <w:pgSz w:w="11900" w:h="16838" w:orient="portrait"/>
          <w:cols w:equalWidth="0" w:num="1">
            <w:col w:w="11400"/>
          </w:cols>
          <w:pgMar w:left="240" w:top="679" w:right="259" w:bottom="1440" w:gutter="0" w:footer="0" w:header="0"/>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000-31659</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86" w:lineRule="exact"/>
        <w:rPr>
          <w:sz w:val="24"/>
          <w:szCs w:val="24"/>
          <w:color w:val="auto"/>
        </w:rPr>
      </w:pPr>
    </w:p>
    <w:p>
      <w:pPr>
        <w:sectPr>
          <w:pgSz w:w="11900" w:h="16838" w:orient="portrait"/>
          <w:cols w:equalWidth="0" w:num="3">
            <w:col w:w="4660" w:space="720"/>
            <w:col w:w="2680" w:space="720"/>
            <w:col w:w="2620"/>
          </w:cols>
          <w:pgMar w:left="240" w:top="679" w:right="259" w:bottom="1440" w:gutter="0" w:footer="0" w:header="0"/>
          <w:type w:val="continuous"/>
        </w:sectPr>
      </w:pPr>
    </w:p>
    <w:p>
      <w:pPr>
        <w:jc w:val="center"/>
        <w:ind w:left="200"/>
        <w:spacing w:after="0"/>
        <w:rPr>
          <w:sz w:val="20"/>
          <w:szCs w:val="20"/>
          <w:color w:val="auto"/>
        </w:rPr>
      </w:pPr>
      <w:r>
        <w:rPr>
          <w:rFonts w:ascii="Arial" w:cs="Arial" w:eastAsia="Arial" w:hAnsi="Arial"/>
          <w:sz w:val="11"/>
          <w:szCs w:val="11"/>
          <w:b w:val="1"/>
          <w:bCs w:val="1"/>
          <w:color w:val="auto"/>
        </w:rPr>
        <w:t>(State or other jurisdiction</w:t>
      </w:r>
    </w:p>
    <w:p>
      <w:pPr>
        <w:spacing w:after="0" w:line="36" w:lineRule="exact"/>
        <w:rPr>
          <w:sz w:val="24"/>
          <w:szCs w:val="24"/>
          <w:color w:val="auto"/>
        </w:rPr>
      </w:pPr>
    </w:p>
    <w:p>
      <w:pPr>
        <w:jc w:val="center"/>
        <w:ind w:left="20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3"/>
          <w:szCs w:val="13"/>
          <w:b w:val="1"/>
          <w:bCs w:val="1"/>
          <w:color w:val="auto"/>
        </w:rPr>
        <w:t>(I.R.S. Employer</w:t>
      </w:r>
    </w:p>
    <w:p>
      <w:pPr>
        <w:spacing w:after="0" w:line="13" w:lineRule="exact"/>
        <w:rPr>
          <w:sz w:val="24"/>
          <w:szCs w:val="24"/>
          <w:color w:val="auto"/>
        </w:rPr>
      </w:pPr>
    </w:p>
    <w:p>
      <w:pPr>
        <w:jc w:val="center"/>
        <w:ind w:right="1580"/>
        <w:spacing w:after="0"/>
        <w:rPr>
          <w:sz w:val="20"/>
          <w:szCs w:val="20"/>
          <w:color w:val="auto"/>
        </w:rPr>
      </w:pPr>
      <w:r>
        <w:rPr>
          <w:rFonts w:ascii="Arial" w:cs="Arial" w:eastAsia="Arial" w:hAnsi="Arial"/>
          <w:sz w:val="11"/>
          <w:szCs w:val="11"/>
          <w:b w:val="1"/>
          <w:bCs w:val="1"/>
          <w:color w:val="auto"/>
        </w:rPr>
        <w:t>identification number)</w:t>
      </w:r>
    </w:p>
    <w:p>
      <w:pPr>
        <w:spacing w:after="0" w:line="197" w:lineRule="exact"/>
        <w:rPr>
          <w:sz w:val="24"/>
          <w:szCs w:val="24"/>
          <w:color w:val="auto"/>
        </w:rPr>
      </w:pPr>
    </w:p>
    <w:p>
      <w:pPr>
        <w:sectPr>
          <w:pgSz w:w="11900" w:h="16838" w:orient="portrait"/>
          <w:cols w:equalWidth="0" w:num="3">
            <w:col w:w="4360" w:space="720"/>
            <w:col w:w="2800" w:space="720"/>
            <w:col w:w="2800"/>
          </w:cols>
          <w:pgMar w:left="240" w:top="67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9605 Scranton Road, Suite 300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(858) 812-3400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400"/>
          </w:cols>
          <w:pgMar w:left="240" w:top="679" w:right="259" w:bottom="1440" w:gutter="0" w:footer="0" w:header="0"/>
          <w:type w:val="continuous"/>
        </w:sectPr>
      </w:pPr>
    </w:p>
    <w:p>
      <w:pPr>
        <w:spacing w:after="0" w:line="293"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60" w:lineRule="exact"/>
        <w:rPr>
          <w:sz w:val="24"/>
          <w:szCs w:val="24"/>
          <w:color w:val="auto"/>
        </w:rPr>
      </w:pPr>
    </w:p>
    <w:p>
      <w:pPr>
        <w:ind w:left="1300"/>
        <w:spacing w:after="0"/>
        <w:tabs>
          <w:tab w:leader="none" w:pos="3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o</w:t>
      </w:r>
    </w:p>
    <w:p>
      <w:pPr>
        <w:sectPr>
          <w:pgSz w:w="11900" w:h="16838" w:orient="portrait"/>
          <w:cols w:equalWidth="0" w:num="1">
            <w:col w:w="11400"/>
          </w:cols>
          <w:pgMar w:left="240" w:top="679" w:right="2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23, 2017, Inseego Corp., a Delaware corporation (the “Company”), and certain of its direct and indirect subsidiaries (the “Guarantors”) entered into a Credit Agreement (the “Credit Agreement”) with Cantor Fitzgerald Securities, as administrative agent and collateral agent (the “Agent”), and certain funds managed by Highbridge Capital Management, LLC, as lenders (the “Lenders”). Pursuant to the Credit Agreement, the Lenders provided the Company with a term loan in the principal amount of $48.0 million (the “Loan”), $36.1 million of which was funded to the Company in cash on the closing date, with an original issue discount of 2.0%, and the remaining $11.9 million of which was funded through the Company’s repurchase and cancellation of approximately $14.9 million of the Company’s 5.50% Convertible Senior Notes due 2022 held by the Lenders pursuant to the terms of the Note Purchase Agreement (as defined below), as described below in further detail.</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Loan has a maturity date of August 23, 2020 (the “Maturity Date”). The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as well as customary reporting and financial covenants. The Credit Agreement requires that the net cash proceeds from certain dispositions of assets of the Company and its subsidiaries must be used to repay the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paid a $361,000 commitment fee in conjunction with the closing of the Loan.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on the Loan will be payable on the last business day of each calendar month and on the Maturity Date. The Loan will initially be a “LIBOR Rate Loan” bearing interest at a rate per annum equal to the London Interbank Offered Rate for Dollar deposits with a term equivalent to the applicable three-month interest period (“LIBOR”), but in no event less than 1.00%, plus 7.625%. If a default occurs, the Lenders may convert the Loan into a “Base Rate Loan,” in which case, the Loan will bear interest at a fluctuating rate of interest per annum equal to 6.625% plus the highest of (a) the Federal Funds Rate plus 0.50%; (b) the rate last quoted by The Wall Street Journal (or another national publication selected by the Agent and approved by Lenders holding a majority of the then outstanding principal amount of the Loan (the “Required Lenders”)) as the U.S. “Prime Rate”; and (c) LIBOR (but in no event less than 1.00%), plus 1.00%; provided that in no event shall the interest rate applicable to a Base Rate Loan be less than 8.625%.</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principal amount of the Loan is not paid when due, such amount will incur interest as a LIBOR Rate Loan or as a Base Rate Loan, as applicable, at the applicable default rate. If any other event of default occurs, at the election of the Required Lenders, all outstanding obligations may bear interest at the applicable default rate for a LIBOR Rate Loan or a Base Rate Loan, as applicable. The applicable default rate for the Loan and any other obligations under the Credit Agreement will be (i) if on or prior to the Maturity Date, a rate per annum equal to 5.00% in excess of the interest rate otherwise applicable to the Loan or such other obligation and (ii) if after the Maturity Date, a rate per annum equal to 12.50% in excess of the interest rate otherwise applicable to the Loan or such other obligation. Upon the occurrence and during the continuation of an event of default, which includes, among other things, the failure of the Company or any Guarantor to pay, when due and payable, all or any portion of the obligations under the Credit Agreement, the Lenders may declare such obligations immediately due and payable.</w:t>
      </w:r>
    </w:p>
    <w:p>
      <w:pPr>
        <w:spacing w:after="0" w:line="1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foregoing description of the Credit Agreement does not purport to be complete and is subject to, and qualified in its entirety by, the full text of the Credit Agreement, a copy of which will be filed as an exhibit to the Company’s Quarterly Report on Form 10-Q for the period ending September 30,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Pledge Agreement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23, 2017, the Company and the Guarantors entered into a Security and Pledge Agreement (the “Security Agreement”) with the Agent, as collateral agent for the Lenders, pursuant to which the Company and the Guarantors pledged substantially all of their assets, including the equity interests of certain of their direct and indirect subsidiaries, as collateral to secure the obligations under the Credit Agreement.</w:t>
      </w:r>
    </w:p>
    <w:p>
      <w:pPr>
        <w:spacing w:after="0" w:line="1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foregoing description of the Security Agreement does not purport to be complete and is subject to, and qualified in its entirety by, the full text of the Security Agreement, a copy of which will be filed as an exhibit to the Company’s Quarterly Report on Form 10-Q for the period ending September 30,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Purchase Agreement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23, 2017, the Company and certain of the Lenders entered into a Note Purchase Agreement (the “Note Purchase Agreement”) pursuant to which the Company repurchased approximately $14.9 million of its 5.50% Convertible Senior Notes</w:t>
      </w:r>
    </w:p>
    <w:p>
      <w:pPr>
        <w:sectPr>
          <w:pgSz w:w="11900" w:h="16838" w:orient="portrait"/>
          <w:cols w:equalWidth="0" w:num="1">
            <w:col w:w="11420"/>
          </w:cols>
          <w:pgMar w:left="240" w:top="580" w:right="239" w:bottom="1440" w:gutter="0" w:footer="0" w:header="0"/>
        </w:sectPr>
      </w:pPr>
    </w:p>
    <w:bookmarkStart w:id="2" w:name="page3"/>
    <w:bookmarkEnd w:id="2"/>
    <w:p>
      <w:pPr>
        <w:jc w:val="both"/>
        <w:spacing w:after="0" w:line="273" w:lineRule="auto"/>
        <w:rPr>
          <w:sz w:val="20"/>
          <w:szCs w:val="20"/>
          <w:color w:val="auto"/>
        </w:rPr>
      </w:pPr>
      <w:r>
        <w:rPr>
          <w:rFonts w:ascii="Arial" w:cs="Arial" w:eastAsia="Arial" w:hAnsi="Arial"/>
          <w:sz w:val="17"/>
          <w:szCs w:val="17"/>
          <w:color w:val="auto"/>
        </w:rPr>
        <w:t>due 2022 held by such Lenders in exchange for (i) $11.9 million deemed to have been loaned to the Company pursuant to the Credit Agreement, (ii) 2,000,000 shares of the Company’s common stock, par value $0.001 (the “Exchange Shares”) and (iii) the accrued and unpaid interest on such notes. The Exchange Shares were not registered under the Securities Act of 1933, as amended (the “Securities Act”), in reliance on the exemption from registration provided by Section 4(a)(2) of the Securities Act. Each Lender has represented to the Company that it qualifies as either a “qualified institutional buyer” or an “accredited investor” (each as defined in rules promulgated under the Securities Act) and that the Exchange Shares are being acquired for their own account, and not with a view to the resale or distribution of any part thereof in violation of the Securities Act.</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description of the Note Purchase Agreement does not purport to be complete and is subject to, and qualified in its entirety by, the full text of the Note Purchase Agreement, a copy of which will be filed as an exhibit to the Company’s Quarterly Report on Form 10-Q for the period ending September 30, 2017.</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Agreement.</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23, 2017, upon entering into the Credit Agreement described above, the Company used a portion of the proceeds to repay all outstanding amounts under that certain Credit Agreement among the Company and Lakestar Semi Inc., a private investment fund managed by Soros Fund Management LLC, dated as of May 8, 2017 (the “Prior Credit Agreement”) and subsequently terminated the Prior Credit Agreement. The Prior Credit Agreement provided for a $20.0 million secured term loan with a maturity date of May 8, 2018. There was no early termination fee in connection with the termination of the Prior Credit Agreement.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 in its entirety.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set forth under the heading “Note Purchase Agreement” in Item 1.01 of this Current Report on Form 8-K is incorporated by reference into this Item 3.02 in its entirety.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August 24, 2017, the Company issued a press release announcing that it had entered into the Credit Agreement, the Security Agreement and the Note Purchase Agreement and had terminated the Prior Credit Agreement. A copy of the press release is attached as Exhibit 99.1 to this Current Report on Form 8-K and is incorporated herein by reference.</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(d)</w:t>
        <w:tab/>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report:</w:t>
      </w:r>
    </w:p>
    <w:p>
      <w:pPr>
        <w:spacing w:after="0" w:line="171"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24, 2017.</w:t>
      </w:r>
    </w:p>
    <w:p>
      <w:pPr>
        <w:sectPr>
          <w:pgSz w:w="11900" w:h="16838" w:orient="portrait"/>
          <w:cols w:equalWidth="0" w:num="1">
            <w:col w:w="11420"/>
          </w:cols>
          <w:pgMar w:left="240" w:top="58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INSEEGO CORP.</w:t>
      </w:r>
    </w:p>
    <w:p>
      <w:pPr>
        <w:spacing w:after="0" w:line="39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2564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Smith</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2017</w:t>
      </w:r>
    </w:p>
    <w:p>
      <w:pPr>
        <w:sectPr>
          <w:pgSz w:w="11900" w:h="16838" w:orient="portrait"/>
          <w:cols w:equalWidth="0" w:num="1">
            <w:col w:w="11400"/>
          </w:cols>
          <w:pgMar w:left="240" w:top="945"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3507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Inseego Closes $48 Million Refinancing Transaction</w:t>
      </w:r>
    </w:p>
    <w:p>
      <w:pPr>
        <w:spacing w:after="0" w:line="3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SAN DIEGO—August 24, 2017—Inseego Corp. (Nasdaq: INSG), a leading global provider of software-as-a-service (“SaaS”) and mobile broadband solutions for the Internet of Things (“IoT”), entered into a Credit Agreement with certain funds managed by Highbridge Capital Management, LLC on August 23, 2017. Pursuant to the credit agreement, the lenders provided the Company with a new term loan facility in the principal amount of $48.0 million (the “Loan”) with a maturity date of August 23, 2020. The Loan will bear interest at a rate per annum equal to LIBOR, but in no event less than 1.00%, plus 7.625%. A portion of the proceeds from the Loan was used to repay all amounts outstanding under the Company’s previous Senior Credit Agreement due May 8, 2018.</w:t>
      </w:r>
    </w:p>
    <w:p>
      <w:pPr>
        <w:spacing w:after="0" w:line="30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“With the announcement of Inseego’s restructuring plan in June 2017 and the solid progress in our cost reduction efforts to date, we are in a great position to refinance our current short-term credit facility at better overall terms and to materially extend the maturity date. The new 3-year term loan has a significantly lower interest rate and provides $14.5 million of incremental liquidity to support our overall business objectives. The new credit facility provides Inseego the runway and flexibility to pursue our stated objectives of cost reductions, increased gross margins and profitable growth in the areas of the business with the highest ROI,” said Dan Mondor, President and Chief Executive Officer.</w:t>
      </w:r>
    </w:p>
    <w:p>
      <w:pPr>
        <w:spacing w:after="0" w:line="2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As part of the transaction, and included in the $48.0 million term loan, the Company exchanged approximately $14.9 million of the existing Convertible Notes due 2022 into approximately $11.9 million of the new term loan facility and 2.0 million shares of the Company’s common stock.</w:t>
      </w:r>
    </w:p>
    <w:p>
      <w:pPr>
        <w:spacing w:after="0" w:line="25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Jonathan Segal, managing director of Highbridge Capital Management, LLC, said, “We are supportive of the management team’s strategy to right-size the cost side of the business, accelerate the Company’s growth and increase free cash flow generation. Following the solid progress to date both in cost savings and customer wins, we believe this access to additional capital will provide Inseego the ability to significantly improve its profitability.”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Inseego Corp.</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Inseego Corp. (Nasdaq: INSG) is a leading global provider of MiFi®-branded intelligent wireless solutions for the worldwide mobile communications market and software-as-a-service (SaaS) and solutions for the Internet of Things (IoT). The Company sells its telematics solutions under the Ctrack brand, including its fleet management, asset tracking and monitoring, stolen vehicle recovery, and usage-based insurance platforms. Inseego Corp. also sells business connectivity solutions and device management services through Inseego North America (formerly Feeney Wireless). The Company is headquartered in San Diego, California. www.inseego.com Twitter @inseego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in this press release may constitute forward-looking statements within the meaning of the Private Securities Litigation Reform Act of 1995. In this context, forward-looking statements often address expected future business and financial performance and often contain words such as “may,” “estimate,” “anticipate,” “believe,” “expect,” “intend,” “plan,” “project,” “will” and similar words and phrases indicating future results. The information in this news release related to the time period needed to pursue the Company’s stated objectives, as well as other statements that are not purely statements of historical fact, are forward-looking in nature. These forward-looking statements are made on the basis of the current beliefs, expectations and assumptions of the management of the Company and are subject to significant risks and uncertainty. Investors are cautioned not to place undue reliance on any such forward-looking statements. All such forward-looking statements speak only as of the date they are made, and the Company undertakes no obligation to update or revise these statements, whether as a result of new information, future events or otherwise, except as may be required by law. These forward-looking statements involve many risks and uncertainties that may cause actual results to differ materially from what may be expressed or implied in these forward-looking statements. For a further discussion of risks and uncertainties that could cause actual results to differ from those expressed in these forward-looking statements, as well as risks relating to the business of Inseego Corp. in general, see the risk disclosures in our Annual Report on Form 10-K for the year ended December 31, 2016, and in other subsequent filings made with the SEC by Inseego Corp. (available at www.sec.gov).</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2019-12-06T05:20:40Z</dcterms:created>
  <dcterms:modified xsi:type="dcterms:W3CDTF">2019-12-06T05:20:40Z</dcterms:modified>
</cp:coreProperties>
</file>