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137160</wp:posOffset>
            </wp:positionV>
            <wp:extent cx="1534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311" w:lineRule="exact"/>
        <w:rPr>
          <w:sz w:val="24"/>
          <w:szCs w:val="24"/>
          <w:color w:val="auto"/>
        </w:rPr>
      </w:pPr>
    </w:p>
    <w:p>
      <w:pPr>
        <w:jc w:val="center"/>
        <w:ind w:left="4300"/>
        <w:spacing w:after="0"/>
        <w:tabs>
          <w:tab w:leader="none" w:pos="400" w:val="left"/>
        </w:tabs>
        <w:rPr>
          <w:sz w:val="20"/>
          <w:szCs w:val="20"/>
          <w:color w:val="auto"/>
        </w:rPr>
      </w:pPr>
      <w:r>
        <w:rPr>
          <w:rFonts w:ascii="Times New Roman" w:cs="Times New Roman" w:eastAsia="Times New Roman" w:hAnsi="Times New Roman"/>
          <w:sz w:val="32"/>
          <w:szCs w:val="32"/>
          <w:b w:val="1"/>
          <w:bCs w:val="1"/>
          <w:color w:val="auto"/>
        </w:rPr>
        <w:t>FORM</w:t>
        <w:tab/>
        <w:t>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70485</wp:posOffset>
            </wp:positionV>
            <wp:extent cx="1534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160" cy="8255"/>
                    </a:xfrm>
                    <a:prstGeom prst="rect">
                      <a:avLst/>
                    </a:prstGeom>
                    <a:noFill/>
                  </pic:spPr>
                </pic:pic>
              </a:graphicData>
            </a:graphic>
          </wp:anchor>
        </w:drawing>
      </w:r>
    </w:p>
    <w:p>
      <w:pPr>
        <w:spacing w:after="0" w:line="298"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54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111125</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40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Times New Roman" w:cs="Times New Roman" w:eastAsia="Times New Roman" w:hAnsi="Times New Roman"/>
                <w:sz w:val="32"/>
                <w:szCs w:val="32"/>
                <w:b w:val="1"/>
                <w:bCs w:val="1"/>
                <w:color w:val="auto"/>
                <w:w w:val="99"/>
              </w:rPr>
              <w:t>INSEEGO CORP.</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37"/>
        </w:trPr>
        <w:tc>
          <w:tcPr>
            <w:tcW w:w="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60" w:type="dxa"/>
            <w:vAlign w:val="bottom"/>
          </w:tcPr>
          <w:p>
            <w:pPr>
              <w:spacing w:after="0"/>
              <w:rPr>
                <w:sz w:val="3"/>
                <w:szCs w:val="3"/>
                <w:color w:val="auto"/>
              </w:rPr>
            </w:pPr>
          </w:p>
        </w:tc>
      </w:tr>
      <w:tr>
        <w:trPr>
          <w:trHeight w:val="333"/>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4"/>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46"/>
        </w:trPr>
        <w:tc>
          <w:tcPr>
            <w:tcW w:w="60" w:type="dxa"/>
            <w:vAlign w:val="bottom"/>
          </w:tcPr>
          <w:p>
            <w:pPr>
              <w:spacing w:after="0"/>
              <w:rPr>
                <w:sz w:val="12"/>
                <w:szCs w:val="12"/>
                <w:color w:val="auto"/>
              </w:rPr>
            </w:pPr>
          </w:p>
        </w:tc>
        <w:tc>
          <w:tcPr>
            <w:tcW w:w="3980" w:type="dxa"/>
            <w:vAlign w:val="bottom"/>
            <w:gridSpan w:val="2"/>
          </w:tcPr>
          <w:p>
            <w:pPr>
              <w:jc w:val="center"/>
              <w:ind w:left="133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jc w:val="center"/>
              <w:ind w:right="17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7"/>
        </w:trPr>
        <w:tc>
          <w:tcPr>
            <w:tcW w:w="60" w:type="dxa"/>
            <w:vAlign w:val="bottom"/>
          </w:tcPr>
          <w:p>
            <w:pPr>
              <w:spacing w:after="0"/>
              <w:rPr>
                <w:sz w:val="19"/>
                <w:szCs w:val="19"/>
                <w:color w:val="auto"/>
              </w:rPr>
            </w:pP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60" w:type="dxa"/>
            <w:vAlign w:val="bottom"/>
          </w:tcPr>
          <w:p>
            <w:pPr>
              <w:spacing w:after="0"/>
              <w:rPr>
                <w:sz w:val="24"/>
                <w:szCs w:val="24"/>
                <w:color w:val="auto"/>
              </w:rPr>
            </w:pPr>
          </w:p>
        </w:tc>
        <w:tc>
          <w:tcPr>
            <w:tcW w:w="11180" w:type="dxa"/>
            <w:vAlign w:val="bottom"/>
            <w:gridSpan w:val="7"/>
          </w:tcPr>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tc>
      </w:tr>
      <w:tr>
        <w:trPr>
          <w:trHeight w:val="324"/>
        </w:trPr>
        <w:tc>
          <w:tcPr>
            <w:tcW w:w="7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22"/>
        </w:trPr>
        <w:tc>
          <w:tcPr>
            <w:tcW w:w="60" w:type="dxa"/>
            <w:vAlign w:val="bottom"/>
          </w:tcPr>
          <w:p>
            <w:pPr>
              <w:spacing w:after="0"/>
              <w:rPr>
                <w:sz w:val="10"/>
                <w:szCs w:val="10"/>
                <w:color w:val="auto"/>
              </w:rPr>
            </w:pPr>
          </w:p>
        </w:tc>
        <w:tc>
          <w:tcPr>
            <w:tcW w:w="398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gridSpan w:val="2"/>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3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16"/>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504"/>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0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jc w:val="both"/>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2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6"/>
          <w:szCs w:val="16"/>
          <w:color w:val="auto"/>
        </w:rPr>
        <w:t>(as defined in Rule 12b-2 of the Exchange Act)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April 30, 2026, was 16,276,707.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PART I—FINANCIAL INFORMATION</w:t>
            </w: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6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share and per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24,886</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$145 and $159,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64,087</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$29,571 and $26,063, respectively</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$34,022 and $32,336, respectively</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3,451</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93,807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24,856</w:t>
            </w:r>
          </w:p>
        </w:tc>
        <w:tc>
          <w:tcPr>
            <w:tcW w:w="0" w:type="dxa"/>
            <w:vAlign w:val="bottom"/>
          </w:tcPr>
          <w:p>
            <w:pPr>
              <w:spacing w:after="0"/>
              <w:rPr>
                <w:sz w:val="1"/>
                <w:szCs w:val="1"/>
                <w:color w:val="auto"/>
              </w:rPr>
            </w:pPr>
          </w:p>
        </w:tc>
      </w:tr>
      <w:tr>
        <w:trPr>
          <w:trHeight w:val="207"/>
        </w:trPr>
        <w:tc>
          <w:tcPr>
            <w:tcW w:w="8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48,439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2029 Senior Secured Notes, net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41,611</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109,572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97,851</w:t>
            </w:r>
          </w:p>
        </w:tc>
        <w:tc>
          <w:tcPr>
            <w:tcW w:w="0" w:type="dxa"/>
            <w:vAlign w:val="bottom"/>
          </w:tcPr>
          <w:p>
            <w:pPr>
              <w:spacing w:after="0"/>
              <w:rPr>
                <w:sz w:val="1"/>
                <w:szCs w:val="1"/>
                <w:color w:val="auto"/>
              </w:rPr>
            </w:pPr>
          </w:p>
        </w:tc>
      </w:tr>
      <w:tr>
        <w:trPr>
          <w:trHeight w:val="19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480"/>
              <w:spacing w:after="0" w:line="162" w:lineRule="exact"/>
              <w:rPr>
                <w:sz w:val="20"/>
                <w:szCs w:val="20"/>
                <w:color w:val="auto"/>
              </w:rPr>
            </w:pPr>
            <w:r>
              <w:rPr>
                <w:rFonts w:ascii="Times New Roman" w:cs="Times New Roman" w:eastAsia="Times New Roman" w:hAnsi="Times New Roman"/>
                <w:sz w:val="16"/>
                <w:szCs w:val="16"/>
                <w:color w:val="auto"/>
              </w:rPr>
              <w:t>Preferred stock, par value $0.001; 39,500 shares designated, no shares outstanding as of March 31, 2026, 25,000 issued and</w:t>
            </w:r>
          </w:p>
        </w:tc>
        <w:tc>
          <w:tcPr>
            <w:tcW w:w="18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outstanding as of and December 31, 2025 (aggregate liquidation preference of $41,966 as of December 31, 2025)</w:t>
            </w: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par value $0.001; 150,000,000 shares authorized, 16,228,548 and 15,388,978 shares issued and outstanding as of</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1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871,990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903,899</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(897,797)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(908,361)</w:t>
            </w:r>
          </w:p>
        </w:tc>
        <w:tc>
          <w:tcPr>
            <w:tcW w:w="0" w:type="dxa"/>
            <w:vAlign w:val="bottom"/>
          </w:tcPr>
          <w:p>
            <w:pPr>
              <w:spacing w:after="0"/>
              <w:rPr>
                <w:sz w:val="1"/>
                <w:szCs w:val="1"/>
                <w:color w:val="auto"/>
              </w:rPr>
            </w:pPr>
          </w:p>
        </w:tc>
      </w:tr>
      <w:tr>
        <w:trPr>
          <w:trHeight w:val="209"/>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(4,044)</w:t>
            </w:r>
          </w:p>
        </w:tc>
        <w:tc>
          <w:tcPr>
            <w:tcW w:w="0" w:type="dxa"/>
            <w:vAlign w:val="bottom"/>
          </w:tcPr>
          <w:p>
            <w:pPr>
              <w:spacing w:after="0"/>
              <w:rPr>
                <w:sz w:val="1"/>
                <w:szCs w:val="1"/>
                <w:color w:val="auto"/>
              </w:rPr>
            </w:pPr>
          </w:p>
        </w:tc>
      </w:tr>
      <w:tr>
        <w:trPr>
          <w:trHeight w:val="212"/>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84,157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93,807</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4" w:name="page5"/>
    <w:bookmarkEnd w:id="4"/>
    <w:p>
      <w:pPr>
        <w:jc w:val="center"/>
        <w:ind w:left="8600"/>
        <w:spacing w:after="0"/>
        <w:rPr>
          <w:sz w:val="20"/>
          <w:szCs w:val="20"/>
          <w:color w:val="auto"/>
        </w:rPr>
      </w:pPr>
      <w:r>
        <w:rPr>
          <w:rFonts w:ascii="Arial" w:cs="Arial" w:eastAsia="Arial" w:hAnsi="Arial"/>
          <w:sz w:val="14"/>
          <w:szCs w:val="14"/>
          <w:b w:val="1"/>
          <w:bCs w:val="1"/>
          <w:color w:val="auto"/>
        </w:rPr>
        <w:t>Three Months Ended</w:t>
      </w:r>
    </w:p>
    <w:p>
      <w:pPr>
        <w:jc w:val="center"/>
        <w:ind w:left="8600"/>
        <w:spacing w:after="0"/>
        <w:rPr>
          <w:sz w:val="20"/>
          <w:szCs w:val="20"/>
          <w:color w:val="auto"/>
        </w:rPr>
      </w:pPr>
      <w:r>
        <w:rPr>
          <w:rFonts w:ascii="Arial" w:cs="Arial" w:eastAsia="Arial" w:hAnsi="Arial"/>
          <w:sz w:val="14"/>
          <w:szCs w:val="14"/>
          <w:b w:val="1"/>
          <w:bCs w:val="1"/>
          <w:color w:val="auto"/>
        </w:rPr>
        <w:t>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9"/>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17,790</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19,693</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31,673</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15,396</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17,741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16,690</w:t>
            </w:r>
          </w:p>
        </w:tc>
        <w:tc>
          <w:tcPr>
            <w:tcW w:w="0" w:type="dxa"/>
            <w:vAlign w:val="bottom"/>
          </w:tcPr>
          <w:p>
            <w:pPr>
              <w:spacing w:after="0"/>
              <w:rPr>
                <w:sz w:val="1"/>
                <w:szCs w:val="1"/>
                <w:color w:val="auto"/>
              </w:rPr>
            </w:pPr>
          </w:p>
        </w:tc>
      </w:tr>
      <w:tr>
        <w:trPr>
          <w:trHeight w:val="207"/>
        </w:trPr>
        <w:tc>
          <w:tcPr>
            <w:tcW w:w="862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0" w:type="dxa"/>
            <w:vAlign w:val="bottom"/>
          </w:tcPr>
          <w:p>
            <w:pPr>
              <w:spacing w:after="0"/>
              <w:rPr>
                <w:sz w:val="1"/>
                <w:szCs w:val="1"/>
                <w:color w:val="auto"/>
              </w:rPr>
            </w:pPr>
          </w:p>
        </w:tc>
      </w:tr>
      <w:tr>
        <w:trPr>
          <w:trHeight w:val="212"/>
        </w:trPr>
        <w:tc>
          <w:tcPr>
            <w:tcW w:w="862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(loss) from discontinued operations (net of income tax provision (benefit) of $— and $400, respectively)</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Preferred stock exchange deemed contribution</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Per share data:</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6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7"/>
        </w:trPr>
        <w:tc>
          <w:tcPr>
            <w:tcW w:w="86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earnings (loss) per share*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37"/>
        </w:trPr>
        <w:tc>
          <w:tcPr>
            <w:tcW w:w="86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 earnings (loss) per share*</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computation of net earnings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16,093,430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15,002,003</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16,356,246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15,002,003</w:t>
            </w:r>
          </w:p>
        </w:tc>
        <w:tc>
          <w:tcPr>
            <w:tcW w:w="0" w:type="dxa"/>
            <w:vAlign w:val="bottom"/>
          </w:tcPr>
          <w:p>
            <w:pPr>
              <w:spacing w:after="0"/>
              <w:rPr>
                <w:sz w:val="1"/>
                <w:szCs w:val="1"/>
                <w:color w:val="auto"/>
              </w:rPr>
            </w:pPr>
          </w:p>
        </w:tc>
      </w:tr>
      <w:tr>
        <w:trPr>
          <w:trHeight w:val="273"/>
        </w:trPr>
        <w:tc>
          <w:tcPr>
            <w:tcW w:w="8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*Rounding may impact summation of amounts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DEFICIT</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p>
      <w:pPr>
        <w:sectPr>
          <w:pgSz w:w="11900" w:h="16838" w:orient="portrait"/>
          <w:cols w:equalWidth="0" w:num="1">
            <w:col w:w="11220"/>
          </w:cols>
          <w:pgMar w:left="340" w:top="104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20" w:type="dxa"/>
            <w:vAlign w:val="bottom"/>
          </w:tcPr>
          <w:p>
            <w:pPr>
              <w:spacing w:after="0"/>
              <w:rPr>
                <w:sz w:val="15"/>
                <w:szCs w:val="15"/>
                <w:color w:val="auto"/>
              </w:rPr>
            </w:pPr>
          </w:p>
        </w:tc>
        <w:tc>
          <w:tcPr>
            <w:tcW w:w="14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304"/>
        </w:trPr>
        <w:tc>
          <w:tcPr>
            <w:tcW w:w="372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2024</w:t>
            </w:r>
          </w:p>
        </w:tc>
        <w:tc>
          <w:tcPr>
            <w:tcW w:w="660" w:type="dxa"/>
            <w:vAlign w:val="bottom"/>
            <w:tcBorders>
              <w:top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6"/>
                <w:szCs w:val="16"/>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7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March 31, 2025</w:t>
            </w:r>
          </w:p>
        </w:tc>
        <w:tc>
          <w:tcPr>
            <w:tcW w:w="66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December 31, 2025</w:t>
            </w:r>
          </w:p>
        </w:tc>
        <w:tc>
          <w:tcPr>
            <w:tcW w:w="660" w:type="dxa"/>
            <w:vAlign w:val="bottom"/>
          </w:tcPr>
          <w:p>
            <w:pPr>
              <w:jc w:val="center"/>
              <w:ind w:left="329"/>
              <w:spacing w:after="0"/>
              <w:rPr>
                <w:sz w:val="20"/>
                <w:szCs w:val="20"/>
                <w:color w:val="auto"/>
              </w:rPr>
            </w:pPr>
            <w:r>
              <w:rPr>
                <w:rFonts w:ascii="Times New Roman" w:cs="Times New Roman" w:eastAsia="Times New Roman" w:hAnsi="Times New Roman"/>
                <w:sz w:val="14"/>
                <w:szCs w:val="14"/>
                <w:color w:val="auto"/>
                <w:w w:val="99"/>
              </w:rPr>
              <w:t>25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37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72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2"/>
                <w:szCs w:val="12"/>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tcPr>
          <w:p>
            <w:pPr>
              <w:jc w:val="center"/>
              <w:ind w:left="2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Preferred stock exchange</w:t>
            </w:r>
          </w:p>
        </w:tc>
        <w:tc>
          <w:tcPr>
            <w:tcW w:w="660" w:type="dxa"/>
            <w:vAlign w:val="bottom"/>
          </w:tcPr>
          <w:p>
            <w:pPr>
              <w:jc w:val="center"/>
              <w:ind w:left="309"/>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Balance, March 31, 2026</w:t>
            </w:r>
          </w:p>
        </w:tc>
        <w:tc>
          <w:tcPr>
            <w:tcW w:w="660" w:type="dxa"/>
            <w:vAlign w:val="bottom"/>
            <w:tcBorders>
              <w:bottom w:val="single" w:sz="8" w:color="auto"/>
            </w:tcBorders>
          </w:tcPr>
          <w:p>
            <w:pPr>
              <w:jc w:val="center"/>
              <w:ind w:left="329"/>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580" w:type="dxa"/>
            <w:vAlign w:val="bottom"/>
            <w:gridSpan w:val="5"/>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158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8"/>
                <w:szCs w:val="8"/>
                <w:color w:val="auto"/>
              </w:rPr>
            </w:pPr>
          </w:p>
        </w:tc>
        <w:tc>
          <w:tcPr>
            <w:tcW w:w="920" w:type="dxa"/>
            <w:vAlign w:val="bottom"/>
          </w:tcPr>
          <w:p>
            <w:pPr>
              <w:jc w:val="center"/>
              <w:ind w:right="50"/>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3"/>
        </w:trPr>
        <w:tc>
          <w:tcPr>
            <w:tcW w:w="80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88"/>
        </w:trPr>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892,534</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(905,625)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(12,858)</w:t>
            </w:r>
          </w:p>
        </w:tc>
        <w:tc>
          <w:tcPr>
            <w:tcW w:w="0" w:type="dxa"/>
            <w:vAlign w:val="bottom"/>
          </w:tcPr>
          <w:p>
            <w:pPr>
              <w:spacing w:after="0"/>
              <w:rPr>
                <w:sz w:val="1"/>
                <w:szCs w:val="1"/>
                <w:color w:val="auto"/>
              </w:rPr>
            </w:pPr>
          </w:p>
        </w:tc>
      </w:tr>
      <w:tr>
        <w:trPr>
          <w:trHeight w:val="19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48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202"/>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15,007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894,825</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(908,059)</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(12,995)</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02"/>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15,389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903,899</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(908,361)</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(4,536)</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486"/>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203"/>
        </w:trPr>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w:t>
            </w:r>
          </w:p>
        </w:tc>
        <w:tc>
          <w:tcPr>
            <w:tcW w:w="0" w:type="dxa"/>
            <w:vAlign w:val="bottom"/>
          </w:tcPr>
          <w:p>
            <w:pPr>
              <w:spacing w:after="0"/>
              <w:rPr>
                <w:sz w:val="1"/>
                <w:szCs w:val="1"/>
                <w:color w:val="auto"/>
              </w:rPr>
            </w:pPr>
          </w:p>
        </w:tc>
      </w:tr>
      <w:tr>
        <w:trPr>
          <w:trHeight w:val="203"/>
        </w:trPr>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(33,793)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(18,692)</w:t>
            </w:r>
          </w:p>
        </w:tc>
        <w:tc>
          <w:tcPr>
            <w:tcW w:w="0" w:type="dxa"/>
            <w:vAlign w:val="bottom"/>
          </w:tcPr>
          <w:p>
            <w:pPr>
              <w:spacing w:after="0"/>
              <w:rPr>
                <w:sz w:val="1"/>
                <w:szCs w:val="1"/>
                <w:color w:val="auto"/>
              </w:rPr>
            </w:pPr>
          </w:p>
        </w:tc>
      </w:tr>
      <w:tr>
        <w:trPr>
          <w:trHeight w:val="23"/>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16,229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871,990</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(897,797)</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(25,415)</w:t>
            </w:r>
          </w:p>
        </w:tc>
        <w:tc>
          <w:tcPr>
            <w:tcW w:w="0" w:type="dxa"/>
            <w:vAlign w:val="bottom"/>
          </w:tcPr>
          <w:p>
            <w:pPr>
              <w:spacing w:after="0"/>
              <w:rPr>
                <w:sz w:val="1"/>
                <w:szCs w:val="1"/>
                <w:color w:val="auto"/>
              </w:rPr>
            </w:pPr>
          </w:p>
        </w:tc>
      </w:tr>
      <w:tr>
        <w:trPr>
          <w:trHeight w:val="27"/>
        </w:trPr>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-2262505</wp:posOffset>
            </wp:positionV>
            <wp:extent cx="713232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-2005330</wp:posOffset>
            </wp:positionV>
            <wp:extent cx="7132320" cy="308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-1568450</wp:posOffset>
            </wp:positionV>
            <wp:extent cx="713232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-1285240</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-993775</wp:posOffset>
            </wp:positionV>
            <wp:extent cx="713232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-736600</wp:posOffset>
            </wp:positionV>
            <wp:extent cx="713232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-299720</wp:posOffset>
            </wp:positionV>
            <wp:extent cx="7132320"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100"/>
            <w:col w:w="5960"/>
          </w:cols>
          <w:pgMar w:left="340" w:top="1049" w:right="33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 (unaudited).</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49"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w:t>
      </w:r>
    </w:p>
    <w:p>
      <w:pPr>
        <w:spacing w:after="0" w:line="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8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4"/>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(1,570)</w:t>
            </w: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(used in) 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(Income) Loss from discontinued operations, net of tax</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400</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2,098</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Provision for expected credit losses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680</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2,304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1,601</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Amortization of debt discount (premium) and debt issuance costs,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Non-cash operating lease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1,698</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Inventories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(2,218)</w:t>
            </w: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1,346</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2,056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(850)</w:t>
            </w: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(6,972)</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(322)</w:t>
            </w:r>
          </w:p>
        </w:tc>
      </w:tr>
      <w:tr>
        <w:trPr>
          <w:trHeight w:val="194"/>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Operating cash flows from continuing operations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(3,467)</w:t>
            </w:r>
          </w:p>
        </w:tc>
      </w:tr>
      <w:tr>
        <w:trPr>
          <w:trHeight w:val="20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cash flows from discontinued operations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Net cash provided by (used in) operating activities</w:t>
            </w: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1,715</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(3,467)</w:t>
            </w:r>
          </w:p>
        </w:tc>
      </w:tr>
      <w:tr>
        <w:trPr>
          <w:trHeight w:val="18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Additions to capitalized software development costs and purchases of intangible assets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(1,693)</w:t>
            </w:r>
          </w:p>
        </w:tc>
      </w:tr>
      <w:tr>
        <w:trPr>
          <w:trHeight w:val="194"/>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Investing cash flows from continuing operations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(1,725)</w:t>
            </w:r>
          </w:p>
        </w:tc>
      </w:tr>
      <w:tr>
        <w:trPr>
          <w:trHeight w:val="20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Investing cash flows from discontinued operations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710</w:t>
            </w:r>
          </w:p>
        </w:tc>
      </w:tr>
      <w:tr>
        <w:trPr>
          <w:trHeight w:val="19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b w:val="1"/>
                <w:bCs w:val="1"/>
                <w:color w:val="auto"/>
              </w:rPr>
              <w:t>Net cash used in investing activities</w:t>
            </w: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(3,947)</w:t>
            </w:r>
          </w:p>
        </w:tc>
        <w:tc>
          <w:tcPr>
            <w:tcW w:w="1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(1,015)</w:t>
            </w:r>
          </w:p>
        </w:tc>
      </w:tr>
      <w:tr>
        <w:trPr>
          <w:trHeight w:val="18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Cash payments as part of preferred stock exchange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stock option exercises and employee stock purchase plan, net of taxes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94"/>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Financing cash flows from continuing operations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0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Financing cash flows from discontinued operations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Net cash provided by (used in) financing activities</w:t>
            </w: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(3,333)</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205"/>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Effect of exchange rates on cash</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194"/>
        </w:trPr>
        <w:tc>
          <w:tcPr>
            <w:tcW w:w="868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Net decrease in cash and cash equivalents</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(5,589)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(4,447)</w:t>
            </w: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24,886</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39,596</w:t>
            </w:r>
          </w:p>
        </w:tc>
      </w:tr>
      <w:tr>
        <w:trPr>
          <w:trHeight w:val="198"/>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19,297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35,149</w:t>
            </w:r>
          </w:p>
        </w:tc>
      </w:tr>
      <w:tr>
        <w:trPr>
          <w:trHeight w:val="20"/>
        </w:trPr>
        <w:tc>
          <w:tcPr>
            <w:tcW w:w="86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during the year for:</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Interest</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Income taxes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3"/>
        </w:trPr>
        <w:tc>
          <w:tcPr>
            <w:tcW w:w="8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disclosures of non-cash investing and financing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Capital expenditures financed through accounts payable or accrued liabilities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980</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Fair value of common stock, debt, and cash payables issued as part of preferred stock exchange</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23,532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Carrying value of preferred stock removed as part of preferred stock exchange</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41,966</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accompanying unaudited condensed consolidated financial statements (“Financial Statements”) have been prepared by Inseego Corp. (the</w:t>
      </w:r>
    </w:p>
    <w:p>
      <w:pPr>
        <w:spacing w:after="0" w:line="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“Company”, “we”, “us” or “our”)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2025, included in the Company's Annual Report on Form 10-K for the year ended December 31, 2025 (the “Form 10-K”).</w:t>
      </w:r>
    </w:p>
    <w:p>
      <w:pPr>
        <w:spacing w:after="0" w:line="130"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2025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48" w:lineRule="exact"/>
        <w:rPr>
          <w:sz w:val="20"/>
          <w:szCs w:val="20"/>
          <w:color w:val="auto"/>
        </w:rPr>
      </w:pPr>
    </w:p>
    <w:p>
      <w:pPr>
        <w:ind w:right="80" w:firstLine="405"/>
        <w:spacing w:after="0" w:line="242" w:lineRule="auto"/>
        <w:rPr>
          <w:sz w:val="20"/>
          <w:szCs w:val="20"/>
          <w:color w:val="auto"/>
        </w:rPr>
      </w:pPr>
      <w:r>
        <w:rPr>
          <w:rFonts w:ascii="Times New Roman" w:cs="Times New Roman" w:eastAsia="Times New Roman" w:hAnsi="Times New Roman"/>
          <w:sz w:val="18"/>
          <w:szCs w:val="18"/>
          <w:color w:val="auto"/>
        </w:rPr>
        <w:t>The Company has one reportable segment. The Company’s Chief Executive Officer (“CEO”), who is also the Chief Operating Decision Maker, does not manage any part of the Company separately, and the allocation of resources and assessment of performance are based solely on the Company’s consolidated operations and financial results.</w:t>
      </w:r>
    </w:p>
    <w:p>
      <w:pPr>
        <w:spacing w:after="0" w:line="1"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 xml:space="preserve">As such, our operations constitute a single operating segment and one reportable segment. See </w:t>
      </w:r>
      <w:r>
        <w:rPr>
          <w:rFonts w:ascii="Times New Roman" w:cs="Times New Roman" w:eastAsia="Times New Roman" w:hAnsi="Times New Roman"/>
          <w:sz w:val="18"/>
          <w:szCs w:val="18"/>
          <w:i w:val="1"/>
          <w:iCs w:val="1"/>
          <w:color w:val="auto"/>
        </w:rPr>
        <w:t>Note 8 – Segment, Geographic, and Concentrations of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for more information.</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60" w:lineRule="exact"/>
        <w:rPr>
          <w:sz w:val="20"/>
          <w:szCs w:val="20"/>
          <w:color w:val="auto"/>
        </w:rPr>
      </w:pPr>
    </w:p>
    <w:p>
      <w:pPr>
        <w:ind w:right="280" w:firstLine="405"/>
        <w:spacing w:after="0" w:line="211" w:lineRule="exact"/>
        <w:rPr>
          <w:sz w:val="20"/>
          <w:szCs w:val="20"/>
          <w:color w:val="auto"/>
        </w:rPr>
      </w:pPr>
      <w:r>
        <w:rPr>
          <w:rFonts w:ascii="Times New Roman" w:cs="Times New Roman" w:eastAsia="Times New Roman" w:hAnsi="Times New Roman"/>
          <w:sz w:val="18"/>
          <w:szCs w:val="18"/>
          <w:color w:val="auto"/>
        </w:rPr>
        <w:t xml:space="preserve">In July 2025, the Financial Accounting Standards Board (“FASB”) issued Accounting Standard Update (“ASU”) 2025-05, </w:t>
      </w:r>
      <w:r>
        <w:rPr>
          <w:rFonts w:ascii="Times New Roman" w:cs="Times New Roman" w:eastAsia="Times New Roman" w:hAnsi="Times New Roman"/>
          <w:sz w:val="18"/>
          <w:szCs w:val="18"/>
          <w:i w:val="1"/>
          <w:iCs w:val="1"/>
          <w:color w:val="auto"/>
        </w:rPr>
        <w:t>Financial Instruments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Credit Losses (Topic 326): Measurement of Credit Losses for Accounts Receivable and Contract Assets</w:t>
      </w:r>
      <w:r>
        <w:rPr>
          <w:rFonts w:ascii="Times New Roman" w:cs="Times New Roman" w:eastAsia="Times New Roman" w:hAnsi="Times New Roman"/>
          <w:sz w:val="18"/>
          <w:szCs w:val="18"/>
          <w:color w:val="auto"/>
        </w:rPr>
        <w:t>. ASU 2025-05 provides a practical expedient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related to the estimation of expected credit losses for current accounts receivable and current contract assets that arise from transactions accounted for under Accounting Standards Codification </w:t>
      </w:r>
      <w:r>
        <w:rPr>
          <w:rFonts w:ascii="Times New Roman" w:cs="Times New Roman" w:eastAsia="Times New Roman" w:hAnsi="Times New Roman"/>
          <w:sz w:val="18"/>
          <w:szCs w:val="18"/>
          <w:i w:val="1"/>
          <w:iCs w:val="1"/>
          <w:color w:val="auto"/>
        </w:rPr>
        <w:t>Topic 606: Revenue from Contracts with Customers</w:t>
      </w:r>
      <w:r>
        <w:rPr>
          <w:rFonts w:ascii="Times New Roman" w:cs="Times New Roman" w:eastAsia="Times New Roman" w:hAnsi="Times New Roman"/>
          <w:sz w:val="18"/>
          <w:szCs w:val="18"/>
          <w:color w:val="auto"/>
        </w:rPr>
        <w:t>. The practical expedient permits an entity to assume that current conditions as of the balance sheet date do not change for the remaining life of the current accounts receivable and current contract assets. The Company adopted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during the first quarter of 2026. The adoption of this guidance did not have an impact on the Company’s financial statements or related disclosures.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60"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 This ASU requires disclosure on an annual and interim basis, in the notes to the financial statements, of disaggregated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 categories underlying certain income statement expense line items. The guidance is effective for annual periods beginning after December 15, 2026, and interim periods within annual reporting periods beginning after December 15, 2027, on a retrospective basis. The Company is currently evaluating the impact of this standard on our consolidated financial statements and related disclosures.</w:t>
      </w:r>
    </w:p>
    <w:p>
      <w:pPr>
        <w:spacing w:after="0" w:line="136" w:lineRule="exact"/>
        <w:rPr>
          <w:sz w:val="20"/>
          <w:szCs w:val="20"/>
          <w:color w:val="auto"/>
        </w:rPr>
      </w:pPr>
    </w:p>
    <w:p>
      <w:pPr>
        <w:ind w:right="120" w:firstLine="405"/>
        <w:spacing w:after="0" w:line="244"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updates the recognition and capitalization framework to reflect current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practices, including iterative and agile methodologies, by removing references to "development stages". It also clarifies the criteria for capitalization, which begins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periods beginning after December 15, 2027, and interim periods within those annual periods, which for the Company would be the fiscal first quarter ending February 28, 2029. Early adoption is permitted as of the beginning of an annual reporting period. The Company is currently evaluating the impact of adopting this ASU on its consolidated financial statements and disclosures.</w:t>
      </w:r>
    </w:p>
    <w:p>
      <w:pPr>
        <w:spacing w:after="0" w:line="87" w:lineRule="exact"/>
        <w:rPr>
          <w:sz w:val="20"/>
          <w:szCs w:val="20"/>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In November 2025, the FASB issued ASU No.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w:t>
      </w:r>
      <w:r>
        <w:rPr>
          <w:rFonts w:ascii="Times New Roman" w:cs="Times New Roman" w:eastAsia="Times New Roman" w:hAnsi="Times New Roman"/>
          <w:sz w:val="18"/>
          <w:szCs w:val="18"/>
          <w:i w:val="1"/>
          <w:iCs w:val="1"/>
          <w:color w:val="auto"/>
        </w:rPr>
        <w:t>Derivatives and Hedging (Topic 815): Hedge Accounting Improvements</w:t>
      </w:r>
      <w:r>
        <w:rPr>
          <w:rFonts w:ascii="Times New Roman" w:cs="Times New Roman" w:eastAsia="Times New Roman" w:hAnsi="Times New Roman"/>
          <w:sz w:val="18"/>
          <w:szCs w:val="18"/>
          <w:color w:val="auto"/>
        </w:rPr>
        <w:t>. This ASU provides</w:t>
      </w:r>
    </w:p>
    <w:p>
      <w:pPr>
        <w:spacing w:after="0" w:line="70"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targeted amendments to improve and clarify the application of hedge accounting and better align hedge accounting results with an entity’s risk management activities. The guidance is effective for annual periods beginning after December 15, 2026, including interim periods within those annual periods, with early adoption permitted. The amendments are required to be applied prospectively. The Company is currently evaluating the impact of adopting this ASU on its consolidated financial statements and disclosures.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Financial Statement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5"/>
        </w:trPr>
        <w:tc>
          <w:tcPr>
            <w:tcW w:w="8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inventories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consists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7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contract manufacturers</w:t>
            </w:r>
          </w:p>
        </w:tc>
        <w:tc>
          <w:tcPr>
            <w:tcW w:w="20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2,707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12"/>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5,704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6,389</w:t>
            </w:r>
          </w:p>
        </w:tc>
      </w:tr>
      <w:tr>
        <w:trPr>
          <w:trHeight w:val="20"/>
        </w:trPr>
        <w:tc>
          <w:tcPr>
            <w:tcW w:w="8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6,796</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contract manufacturing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5,874</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payable for preferred stock exchange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3,252</w:t>
            </w:r>
          </w:p>
        </w:tc>
      </w:tr>
      <w:tr>
        <w:trPr>
          <w:trHeight w:val="235"/>
        </w:trPr>
        <w:tc>
          <w:tcPr>
            <w:tcW w:w="8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27,397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24,856</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liabilities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6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r>
      <w:tr>
        <w:trPr>
          <w:trHeight w:val="213"/>
        </w:trPr>
        <w:tc>
          <w:tcPr>
            <w:tcW w:w="8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35"/>
        </w:trPr>
        <w:tc>
          <w:tcPr>
            <w:tcW w:w="8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of the $4.0 million long-term deferred revenue balance, $3.8 million relates to performance obligations expected to be satisfied between one and two years, and $0.3 million relates to performance obligations expected to be satisfied between two and three years from March 31, 2026.</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Measurements</w:t>
      </w:r>
    </w:p>
    <w:p>
      <w:pPr>
        <w:spacing w:after="0" w:line="175"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fair value of the financial assets and liabilities measured on a recurring basis and indicates the fair value hierarchy utilized to determine such fair value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13,624</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120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13,624</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13,624</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455"/>
        </w:trPr>
        <w:tc>
          <w:tcPr>
            <w:tcW w:w="6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tcPr>
          <w:p>
            <w:pPr>
              <w:spacing w:after="0"/>
              <w:rPr>
                <w:sz w:val="24"/>
                <w:szCs w:val="24"/>
                <w:color w:val="auto"/>
              </w:rPr>
            </w:pPr>
          </w:p>
        </w:tc>
      </w:tr>
      <w:tr>
        <w:trPr>
          <w:trHeight w:val="23"/>
        </w:trPr>
        <w:tc>
          <w:tcPr>
            <w:tcW w:w="61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160" w:type="dxa"/>
            <w:vAlign w:val="bottom"/>
          </w:tcPr>
          <w:p>
            <w:pPr>
              <w:spacing w:after="0"/>
              <w:rPr>
                <w:sz w:val="16"/>
                <w:szCs w:val="16"/>
                <w:color w:val="auto"/>
              </w:rPr>
            </w:pP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2"/>
        </w:trPr>
        <w:tc>
          <w:tcPr>
            <w:tcW w:w="6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equivalents: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17,737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17,737</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Certificates of deposit</w:t>
            </w:r>
          </w:p>
        </w:tc>
        <w:tc>
          <w:tcPr>
            <w:tcW w:w="12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cash equivalents</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17,737</w:t>
            </w: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r>
    </w:tbl>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 transfers between levels occurred during the three or three months ended March 31, 2026 or March 31, 2025.</w:t>
      </w:r>
    </w:p>
    <w:p>
      <w:pPr>
        <w:spacing w:after="0" w:line="156" w:lineRule="exact"/>
        <w:rPr>
          <w:sz w:val="20"/>
          <w:szCs w:val="20"/>
          <w:color w:val="auto"/>
        </w:rPr>
      </w:pPr>
    </w:p>
    <w:p>
      <w:pPr>
        <w:jc w:val="both"/>
        <w:ind w:right="420" w:firstLine="405"/>
        <w:spacing w:after="0" w:line="259" w:lineRule="auto"/>
        <w:rPr>
          <w:sz w:val="20"/>
          <w:szCs w:val="20"/>
          <w:color w:val="auto"/>
        </w:rPr>
      </w:pPr>
      <w:r>
        <w:rPr>
          <w:rFonts w:ascii="Times New Roman" w:cs="Times New Roman" w:eastAsia="Times New Roman" w:hAnsi="Times New Roman"/>
          <w:sz w:val="18"/>
          <w:szCs w:val="18"/>
          <w:color w:val="auto"/>
        </w:rPr>
        <w:t xml:space="preserve">The Company also had an interest make-whole payment derivative liability on its 2025 Convertible Notes (as defined in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that was measured at fair value on a recurring basis prior to the maturity and full repayment of the 2025 Convertible Notes on May 1, 2025. The interest make-whole payment derivative liability was a Level 3 instrument and was valued using a Monte Carlo model.</w:t>
      </w:r>
    </w:p>
    <w:p>
      <w:pPr>
        <w:spacing w:after="0" w:line="115" w:lineRule="exact"/>
        <w:rPr>
          <w:sz w:val="20"/>
          <w:szCs w:val="20"/>
          <w:color w:val="auto"/>
        </w:rPr>
      </w:pPr>
    </w:p>
    <w:p>
      <w:pPr>
        <w:ind w:right="400" w:firstLine="405"/>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there were no conversions of the 2025 Convertible Notes into shares of the Company’s common stock. There were also no changes in the fair value of the interest make-whole liability during the three months ended March 31,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62" w:lineRule="exact"/>
        <w:rPr>
          <w:sz w:val="20"/>
          <w:szCs w:val="20"/>
          <w:color w:val="auto"/>
        </w:rPr>
      </w:pPr>
    </w:p>
    <w:p>
      <w:pPr>
        <w:ind w:right="240" w:firstLine="405"/>
        <w:spacing w:after="0" w:line="250" w:lineRule="auto"/>
        <w:rPr>
          <w:sz w:val="20"/>
          <w:szCs w:val="20"/>
          <w:color w:val="auto"/>
        </w:rPr>
      </w:pPr>
      <w:r>
        <w:rPr>
          <w:rFonts w:ascii="Times New Roman" w:cs="Times New Roman" w:eastAsia="Times New Roman" w:hAnsi="Times New Roman"/>
          <w:sz w:val="18"/>
          <w:szCs w:val="18"/>
          <w:color w:val="auto"/>
        </w:rPr>
        <w:t xml:space="preserve">The carrying values of the Company’s other financial assets and liabilities approximate their fair values because of their short-term nature, with the exception of the 2029 Senior Secured Notes (as defined in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and 2025 Convertible Notes. The 2029 Senior Secured Notes and 2025 Convertible Notes are carried at amortized cost, and the 2025 Convertible notes were adjusted for changes in fair value of the embedded interest make-whole payment derivative.</w:t>
      </w:r>
    </w:p>
    <w:p>
      <w:pPr>
        <w:spacing w:after="0" w:line="135"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 xml:space="preserve">As detailed in </w:t>
      </w:r>
      <w:r>
        <w:rPr>
          <w:rFonts w:ascii="Times New Roman" w:cs="Times New Roman" w:eastAsia="Times New Roman" w:hAnsi="Times New Roman"/>
          <w:sz w:val="18"/>
          <w:szCs w:val="18"/>
          <w:i w:val="1"/>
          <w:iCs w:val="1"/>
          <w:color w:val="auto"/>
        </w:rPr>
        <w:t>Note 7 – Stockholders' Equity (Deficit)</w:t>
      </w:r>
      <w:r>
        <w:rPr>
          <w:rFonts w:ascii="Times New Roman" w:cs="Times New Roman" w:eastAsia="Times New Roman" w:hAnsi="Times New Roman"/>
          <w:sz w:val="18"/>
          <w:szCs w:val="18"/>
          <w:color w:val="auto"/>
        </w:rPr>
        <w:t xml:space="preserve"> below, the additional $8.0 million in 2029 Senior Secured Notes principal and $10.0 million cash payable issued during the three months ended March 31, 2026 as part of the Preferred Stock Exchange Agreement were initially recorded upon issuance at fair value, which were $8.9 million and $9.7 million, respectively. The fair value of both the additional 2029 Senior Secured Notes principal and cash payable were determined based on a discounted cash flow model, which represents a Level 3 measurement. The fair value of the additional 2029 Senior Secured Notes principal was estimated using probability-weighted scenarios which include assumptions that are highly subjective and required judgment regarding significant matters, such as the timing of redemption, amount and timing of future cash flows and an adjusted market yield of 5.29%. The fair value of the cash payable was estimated using an adjusted market yield of 4.91%. The use of different assumptions could have a material effect on the fair value estimates.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Facility</w:t>
      </w:r>
    </w:p>
    <w:p>
      <w:pPr>
        <w:spacing w:after="0" w:line="148"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On August 5, 2025, the Company entered into a Credit and Security Agreement (the “Working Capital Facility Agreement”) with BMO Bank N.A. (“BMO”) that provides up to a maximum $15.0 million secured asset-backed revolving credit facility (the “Working Capital Facility”). The facility matures on August 5, 2028 and contains certain financial and non-financial covenants. The Company was in compliance with all covenants under the Working Capital Facility Agreement as of March 31, 2026.</w:t>
      </w:r>
    </w:p>
    <w:p>
      <w:pPr>
        <w:spacing w:after="0" w:line="127" w:lineRule="exact"/>
        <w:rPr>
          <w:sz w:val="20"/>
          <w:szCs w:val="20"/>
          <w:color w:val="auto"/>
        </w:rPr>
      </w:pPr>
    </w:p>
    <w:p>
      <w:pPr>
        <w:ind w:right="120" w:firstLine="405"/>
        <w:spacing w:after="0" w:line="242" w:lineRule="auto"/>
        <w:rPr>
          <w:sz w:val="20"/>
          <w:szCs w:val="20"/>
          <w:color w:val="auto"/>
        </w:rPr>
      </w:pPr>
      <w:r>
        <w:rPr>
          <w:rFonts w:ascii="Times New Roman" w:cs="Times New Roman" w:eastAsia="Times New Roman" w:hAnsi="Times New Roman"/>
          <w:sz w:val="18"/>
          <w:szCs w:val="18"/>
          <w:color w:val="auto"/>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outstanding under the Working Capital Facility. If the aggregate outstanding amount of the Working Capital Facility exceeds the Borrowing Base at any time, the excess amount shall be payable on demand by BMO.</w:t>
      </w:r>
    </w:p>
    <w:p>
      <w:pPr>
        <w:spacing w:after="0" w:line="131" w:lineRule="exact"/>
        <w:rPr>
          <w:sz w:val="20"/>
          <w:szCs w:val="20"/>
          <w:color w:val="auto"/>
        </w:rPr>
      </w:pPr>
    </w:p>
    <w:p>
      <w:pPr>
        <w:ind w:right="20" w:firstLine="405"/>
        <w:spacing w:after="0" w:line="237" w:lineRule="auto"/>
        <w:rPr>
          <w:sz w:val="20"/>
          <w:szCs w:val="20"/>
          <w:color w:val="auto"/>
        </w:rPr>
      </w:pPr>
      <w:r>
        <w:rPr>
          <w:rFonts w:ascii="Times New Roman" w:cs="Times New Roman" w:eastAsia="Times New Roman" w:hAnsi="Times New Roman"/>
          <w:sz w:val="18"/>
          <w:szCs w:val="18"/>
          <w:color w:val="auto"/>
        </w:rPr>
        <w:t>Priority of the obligations of the Company with respect to the Working Capital Facility is senior to the priority of the obligations of the Company with respect to the 2029 Senior Secured Notes on the assets of the Company which constitute current assets and junior to the priority to the obligations of the company with respect to the 2029 Senior Secured Notes on the assets of which company which are not current assets, as set forth in the Working Capital Facility Agreement. The Working Capital Facility contains customary events of default, including a cross-default and cross-payment default for certain indebtedness in an aggregate principal amount in excess of $1.0 million and a cross-default for certain termination events under Swap Contracts with a termination value (determined in accordance with the terms of the Working Capital Facility Agreement) in excess of $1.0 million, as set forth in the Working Capital Facility Agreement.</w:t>
      </w:r>
    </w:p>
    <w:p>
      <w:pPr>
        <w:spacing w:after="0" w:line="135"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w:t>
      </w:r>
    </w:p>
    <w:p>
      <w:pPr>
        <w:spacing w:after="0" w:line="12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there were no outstanding borrowings and availability to borrow under the Working Capital Facility was $14.5 million.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162"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color w:val="auto"/>
        </w:rPr>
        <w:t>On November 6, 2024, the Company issued to multiple noteholders approximately $40.9 million in principal amount of new senior secured notes due in 2029 (the “2029 Senior Secured Notes”). The 2029 Senior Secured Notes bear interest at 9.0% per annum, to be paid in cash, in arrears, on a semi-annual basis, and have a maturity date of May 1, 2029. The Company may, subject to certain provisions, issue additional principal amounts of the 2029 Senior Secured Notes with the same terms as the notes issued on November 6, 2024, with the exception of the first date on which interest expense begins to accrue.</w:t>
      </w:r>
    </w:p>
    <w:p>
      <w:pPr>
        <w:spacing w:after="0" w:line="141"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The 2029 Senior Secured Notes are secured by a first priority lien on substantially all of the Company’s assets. The Company may redeem all or part of the 2029 Senior Secured Notes at any time prior to May 1, 2029 at a redemption price equal to 100% of the principal amount of the 2029 Senior Secured Notes to be redeemed, plus the present value of the sum of all required interest payments from such redemption date through May 1, 2029 at such redemption date, plus accrued and unpaid interest on such 2029 Senior Secured Notes to, but excluding, the redemption date.</w:t>
      </w:r>
    </w:p>
    <w:p>
      <w:pPr>
        <w:spacing w:after="0" w:line="121" w:lineRule="exact"/>
        <w:rPr>
          <w:sz w:val="20"/>
          <w:szCs w:val="20"/>
          <w:color w:val="auto"/>
        </w:rPr>
      </w:pPr>
    </w:p>
    <w:p>
      <w:pPr>
        <w:ind w:right="200" w:firstLine="405"/>
        <w:spacing w:after="0" w:line="268" w:lineRule="auto"/>
        <w:rPr>
          <w:sz w:val="20"/>
          <w:szCs w:val="20"/>
          <w:color w:val="auto"/>
        </w:rPr>
      </w:pPr>
      <w:r>
        <w:rPr>
          <w:rFonts w:ascii="Times New Roman" w:cs="Times New Roman" w:eastAsia="Times New Roman" w:hAnsi="Times New Roman"/>
          <w:sz w:val="18"/>
          <w:szCs w:val="18"/>
          <w:color w:val="auto"/>
        </w:rPr>
        <w:t xml:space="preserve">On January 14, 2026, as part of the exchange of its outstanding preferred stock, which is discussed in further detail in </w:t>
      </w:r>
      <w:r>
        <w:rPr>
          <w:rFonts w:ascii="Times New Roman" w:cs="Times New Roman" w:eastAsia="Times New Roman" w:hAnsi="Times New Roman"/>
          <w:sz w:val="18"/>
          <w:szCs w:val="18"/>
          <w:i w:val="1"/>
          <w:iCs w:val="1"/>
          <w:color w:val="auto"/>
        </w:rPr>
        <w:t>Note 7 – Stockholders'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(Deficit)</w:t>
      </w:r>
      <w:r>
        <w:rPr>
          <w:rFonts w:ascii="Times New Roman" w:cs="Times New Roman" w:eastAsia="Times New Roman" w:hAnsi="Times New Roman"/>
          <w:sz w:val="18"/>
          <w:szCs w:val="18"/>
          <w:color w:val="auto"/>
        </w:rPr>
        <w:t>, the Company issued an additional $8.0 million in principal amount of 2029 Senior Secured Notes.</w:t>
      </w:r>
    </w:p>
    <w:p>
      <w:pPr>
        <w:spacing w:after="0" w:line="120" w:lineRule="exact"/>
        <w:rPr>
          <w:sz w:val="20"/>
          <w:szCs w:val="20"/>
          <w:color w:val="auto"/>
        </w:rPr>
      </w:pPr>
    </w:p>
    <w:p>
      <w:pPr>
        <w:ind w:right="4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$48.9 million of principal of the 2029 Senior Secured Notes was outstanding, $31.8 million of which was held by related parties.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2029 Senior Secured Notes, net consists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Principal gross amount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40,879</w:t>
            </w:r>
          </w:p>
        </w:tc>
      </w:tr>
      <w:tr>
        <w:trPr>
          <w:trHeight w:val="213"/>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unamortized debt premium</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41,611</w:t>
            </w:r>
          </w:p>
        </w:tc>
      </w:tr>
      <w:tr>
        <w:trPr>
          <w:trHeight w:val="21"/>
        </w:trPr>
        <w:tc>
          <w:tcPr>
            <w:tcW w:w="8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2020, the Company completed both a registered public offering and a privately negotiated exchange agreement that resulted in the issuance of 3.25% convertible senior notes due in 2025 (the “2025 Convertible Notes”).</w:t>
      </w:r>
    </w:p>
    <w:p>
      <w:pPr>
        <w:spacing w:after="0" w:line="94" w:lineRule="exact"/>
        <w:rPr>
          <w:sz w:val="20"/>
          <w:szCs w:val="20"/>
          <w:color w:val="auto"/>
        </w:rPr>
      </w:pPr>
    </w:p>
    <w:p>
      <w:pPr>
        <w:ind w:right="460" w:firstLine="405"/>
        <w:spacing w:after="0" w:line="266" w:lineRule="auto"/>
        <w:rPr>
          <w:sz w:val="20"/>
          <w:szCs w:val="20"/>
          <w:color w:val="auto"/>
        </w:rPr>
      </w:pPr>
      <w:r>
        <w:rPr>
          <w:rFonts w:ascii="Times New Roman" w:cs="Times New Roman" w:eastAsia="Times New Roman" w:hAnsi="Times New Roman"/>
          <w:sz w:val="18"/>
          <w:szCs w:val="18"/>
          <w:color w:val="auto"/>
        </w:rPr>
        <w:t>The 2025 Convertible Notes matured on May 1, 2025. The 2025 Convertible Notes were senior unsecured obligations of the Company and bore interest at an annual rate of 3.25%, which was payable semi-annually in arrears on May 1 and November 1 of each year.</w:t>
      </w:r>
    </w:p>
    <w:p>
      <w:pPr>
        <w:spacing w:after="0" w:line="122" w:lineRule="exact"/>
        <w:rPr>
          <w:sz w:val="20"/>
          <w:szCs w:val="20"/>
          <w:color w:val="auto"/>
        </w:rPr>
      </w:pPr>
    </w:p>
    <w:p>
      <w:pPr>
        <w:ind w:firstLine="405"/>
        <w:spacing w:after="0" w:line="422" w:lineRule="auto"/>
        <w:rPr>
          <w:sz w:val="20"/>
          <w:szCs w:val="20"/>
          <w:color w:val="auto"/>
        </w:rPr>
      </w:pPr>
      <w:r>
        <w:rPr>
          <w:rFonts w:ascii="Times New Roman" w:cs="Times New Roman" w:eastAsia="Times New Roman" w:hAnsi="Times New Roman"/>
          <w:sz w:val="18"/>
          <w:szCs w:val="18"/>
          <w:color w:val="auto"/>
        </w:rPr>
        <w:t xml:space="preserve">The 2025 Convertible Notes matured on May 1, 2025, at which time all outstanding principal of $14.9 million and related accrued interest was repaid. </w:t>
      </w:r>
      <w:r>
        <w:rPr>
          <w:rFonts w:ascii="Times New Roman" w:cs="Times New Roman" w:eastAsia="Times New Roman" w:hAnsi="Times New Roman"/>
          <w:sz w:val="18"/>
          <w:szCs w:val="18"/>
          <w:b w:val="1"/>
          <w:bCs w:val="1"/>
          <w:i w:val="1"/>
          <w:iCs w:val="1"/>
          <w:color w:val="auto"/>
        </w:rPr>
        <w:t>Interest Expense, Summary</w:t>
      </w:r>
    </w:p>
    <w:p>
      <w:pPr>
        <w:spacing w:after="0" w:line="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sets forth total interest expense, annualized effective interest rate, and interest expense related to related parties, if applicable, for each of the debt instruments detailed above (in thousands):</w:t>
      </w:r>
    </w:p>
    <w:p>
      <w:pPr>
        <w:spacing w:after="0" w:line="128"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74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2029 Senior Secured Notes</w:t>
            </w: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1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13"/>
        </w:trPr>
        <w:tc>
          <w:tcPr>
            <w:tcW w:w="8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2"/>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interest expense</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273"/>
        </w:trPr>
        <w:tc>
          <w:tcPr>
            <w:tcW w:w="87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14"/>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Working Capital Facility</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8"/>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760" w:type="dxa"/>
            <w:vAlign w:val="bottom"/>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6"/>
        </w:trPr>
        <w:tc>
          <w:tcPr>
            <w:tcW w:w="87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 Convertible Notes</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760" w:type="dxa"/>
            <w:vAlign w:val="bottom"/>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19"/>
        </w:trPr>
        <w:tc>
          <w:tcPr>
            <w:tcW w:w="8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7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3"/>
        </w:trPr>
        <w:tc>
          <w:tcPr>
            <w:tcW w:w="8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discount/(premium)</w:t>
            </w: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87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interest expense</w:t>
            </w:r>
          </w:p>
        </w:tc>
        <w:tc>
          <w:tcPr>
            <w:tcW w:w="760" w:type="dxa"/>
            <w:vAlign w:val="bottom"/>
            <w:tcBorders>
              <w:top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70"/>
        </w:trPr>
        <w:tc>
          <w:tcPr>
            <w:tcW w:w="87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3"/>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interest expense</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8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interest expense</w:t>
            </w:r>
          </w:p>
        </w:tc>
        <w:tc>
          <w:tcPr>
            <w:tcW w:w="7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1,061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0"/>
        </w:trPr>
        <w:tc>
          <w:tcPr>
            <w:tcW w:w="87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80" w:firstLine="405"/>
        <w:spacing w:after="0" w:line="250" w:lineRule="auto"/>
        <w:rPr>
          <w:sz w:val="20"/>
          <w:szCs w:val="20"/>
          <w:color w:val="auto"/>
        </w:rPr>
      </w:pPr>
      <w:r>
        <w:rPr>
          <w:rFonts w:ascii="Times New Roman" w:cs="Times New Roman" w:eastAsia="Times New Roman" w:hAnsi="Times New Roman"/>
          <w:sz w:val="18"/>
          <w:szCs w:val="18"/>
          <w:color w:val="auto"/>
        </w:rPr>
        <w:t>The annualized effective interest rate, including the impact of non-cash interest expense, for the 2029 Senior Secured Notes for the three months ended March 31, 2026 was 8.0%. The annualized effective interest rates, including the impact of non-cash interest expense, for the 2029 Senior Secured Notes and 2025 Convertible Notes for the three months ended March 31, 2025 was 8.5% and 4.1%, respectively.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Share-based Compensation</w:t>
      </w:r>
    </w:p>
    <w:p>
      <w:pPr>
        <w:spacing w:after="0" w:line="175" w:lineRule="exact"/>
        <w:rPr>
          <w:sz w:val="20"/>
          <w:szCs w:val="20"/>
          <w:color w:val="auto"/>
        </w:rPr>
      </w:pPr>
    </w:p>
    <w:p>
      <w:pPr>
        <w:ind w:right="200" w:firstLine="405"/>
        <w:spacing w:after="0" w:line="247"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shares of common stock may be issued upon the exercise of stock options, in the form of restricted stock, or in settlement of restricted stock units (“RSUs”) or other awards, including awards with alternative vesting schedules such as performance-based criteria. The 2018 Plan authorizes 5,775,308 shares, of which 1,603,739 remain available for future grants as of March 31, 2026.</w:t>
      </w:r>
    </w:p>
    <w:p>
      <w:pPr>
        <w:spacing w:after="0" w:line="126"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total share-based compensation expense within each functional line item on the condensed consolidated statements of operations for the three months ended March 31, 2026 and 2025 (in thousands):</w:t>
      </w:r>
    </w:p>
    <w:p>
      <w:pPr>
        <w:spacing w:after="0" w:line="148" w:lineRule="exact"/>
        <w:rPr>
          <w:sz w:val="20"/>
          <w:szCs w:val="20"/>
          <w:color w:val="auto"/>
        </w:rPr>
      </w:pP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22225</wp:posOffset>
            </wp:positionV>
            <wp:extent cx="1508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8860" w:type="dxa"/>
            <w:vAlign w:val="bottom"/>
            <w:vMerge w:val="continue"/>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w:t>
            </w:r>
          </w:p>
        </w:tc>
        <w:tc>
          <w:tcPr>
            <w:tcW w:w="0" w:type="dxa"/>
            <w:vAlign w:val="bottom"/>
          </w:tcPr>
          <w:p>
            <w:pPr>
              <w:spacing w:after="0"/>
              <w:rPr>
                <w:sz w:val="1"/>
                <w:szCs w:val="1"/>
                <w:color w:val="auto"/>
              </w:rPr>
            </w:pPr>
          </w:p>
        </w:tc>
      </w:tr>
      <w:tr>
        <w:trPr>
          <w:trHeight w:val="207"/>
        </w:trPr>
        <w:tc>
          <w:tcPr>
            <w:tcW w:w="8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1,601</w:t>
            </w:r>
          </w:p>
        </w:tc>
        <w:tc>
          <w:tcPr>
            <w:tcW w:w="0" w:type="dxa"/>
            <w:vAlign w:val="bottom"/>
          </w:tcPr>
          <w:p>
            <w:pPr>
              <w:spacing w:after="0"/>
              <w:rPr>
                <w:sz w:val="1"/>
                <w:szCs w:val="1"/>
                <w:color w:val="auto"/>
              </w:rPr>
            </w:pPr>
          </w:p>
        </w:tc>
      </w:tr>
      <w:tr>
        <w:trPr>
          <w:trHeight w:val="23"/>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jc w:val="both"/>
        <w:ind w:right="220" w:firstLine="405"/>
        <w:spacing w:after="0" w:line="258" w:lineRule="auto"/>
        <w:rPr>
          <w:sz w:val="20"/>
          <w:szCs w:val="20"/>
          <w:color w:val="auto"/>
        </w:rPr>
      </w:pPr>
      <w:r>
        <w:rPr>
          <w:rFonts w:ascii="Times New Roman" w:cs="Times New Roman" w:eastAsia="Times New Roman" w:hAnsi="Times New Roman"/>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which generally only include time-based vesting requirements. Stock options generally have a term of ten years and vest over a three to four-year period.</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three months ended March 31,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1,517,039</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183"/>
        </w:trPr>
        <w:tc>
          <w:tcPr>
            <w:tcW w:w="101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March 31, 2026</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1,511,558</w:t>
            </w:r>
          </w:p>
        </w:tc>
      </w:tr>
      <w:tr>
        <w:trPr>
          <w:trHeight w:val="20"/>
        </w:trPr>
        <w:tc>
          <w:tcPr>
            <w:tcW w:w="10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 March 31, 2026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409,138</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80" w:firstLine="405"/>
        <w:spacing w:after="0" w:line="250"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stock options to the CEO in connection with his hiring on January 6, 2025. These stock options contain a requirement that in order to be exercisable, the Company’s closing stock price must exceed the exercise price of the awards for 20 of the 30 trading-days immediately prior to the requested exercise date. The Company granted a total of 850,000 of these options to the CEO at a weighted average exercise price of $18.46. The total grant-date fair value of the options was $6.7 million and will be expensed over the four-year vesting term of the awards.</w:t>
      </w:r>
    </w:p>
    <w:p>
      <w:pPr>
        <w:spacing w:after="0" w:line="123" w:lineRule="exact"/>
        <w:rPr>
          <w:sz w:val="20"/>
          <w:szCs w:val="20"/>
          <w:color w:val="auto"/>
        </w:rPr>
      </w:pPr>
    </w:p>
    <w:p>
      <w:pPr>
        <w:ind w:right="260" w:firstLine="405"/>
        <w:spacing w:after="0" w:line="266" w:lineRule="auto"/>
        <w:rPr>
          <w:sz w:val="20"/>
          <w:szCs w:val="20"/>
          <w:color w:val="auto"/>
        </w:rPr>
      </w:pPr>
      <w:r>
        <w:rPr>
          <w:rFonts w:ascii="Times New Roman" w:cs="Times New Roman" w:eastAsia="Times New Roman" w:hAnsi="Times New Roman"/>
          <w:sz w:val="18"/>
          <w:szCs w:val="18"/>
          <w:color w:val="auto"/>
        </w:rPr>
        <w:t>These options granted to the Company’s CEO were valued using a Monte Carlo simulation model. The following table details the key assumptions utilized in the Monte Carlo simulation model used to calculate the grant-date fair value of the awards: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6, 2025</w:t>
            </w:r>
          </w:p>
        </w:tc>
      </w:tr>
      <w:tr>
        <w:trPr>
          <w:trHeight w:val="21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date stock price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Simulation term (years)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84.00 %</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bl>
    <w:p>
      <w:pPr>
        <w:spacing w:after="0" w:line="23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At March 31, 2026, total unrecognized compensation expense related to stock options was $6.2 million, which is expected to be recognized over a weighted-average period of 2.94 years.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73"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three months ended March 31,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1,846,156</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(115,215)</w:t>
            </w:r>
          </w:p>
        </w:tc>
      </w:tr>
      <w:tr>
        <w:trPr>
          <w:trHeight w:val="216"/>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(47,551)</w:t>
            </w:r>
          </w:p>
        </w:tc>
      </w:tr>
      <w:tr>
        <w:trPr>
          <w:trHeight w:val="212"/>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March 31, 2026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1,685,841</w:t>
            </w:r>
          </w:p>
        </w:tc>
      </w:tr>
      <w:tr>
        <w:trPr>
          <w:trHeight w:val="21"/>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firstLine="405"/>
        <w:spacing w:after="0" w:line="260" w:lineRule="auto"/>
        <w:rPr>
          <w:sz w:val="20"/>
          <w:szCs w:val="20"/>
          <w:color w:val="auto"/>
        </w:rPr>
      </w:pPr>
      <w:r>
        <w:rPr>
          <w:rFonts w:ascii="Times New Roman" w:cs="Times New Roman" w:eastAsia="Times New Roman" w:hAnsi="Times New Roman"/>
          <w:sz w:val="17"/>
          <w:szCs w:val="17"/>
          <w:color w:val="auto"/>
        </w:rPr>
        <w:t>During the three months ended March 31, 2025, the Company granted RSUs to the CEO in connection with his hiring on January 6, 2025. The Company granted the CEO 124,347 RSUs that contain a time-based vesting requirement (“Time-based CEO RSUs”) with a total grant-date fair value of $1.4 million that vest over four years. The Company also granted the CEO RSUs that contain a market-based vesting condition in addition to a time-based vesting requirement (“Market-based CEO RSUs”). The Company granted 167,910 of these Market-based CEO RSUs with a total grant-date fair value of $3.2 million that will be expensed over the three-year vesting term of the awards. The actual number of shares to be issued upon completion of the time-based vesting requirement of the Market-based CEO RSUs is dependent upon the Company’s share price performance relative to the total shareholder return of Russell Microcap Index (“rTSR”) over the vesting period, ranging from 0% to 200% of the number of market-based RSUs granted. The following table details the key assumptions utilized in the Monte Carlo simulation model used to calculate the grant-date fair value of the Market-based CEO RSUs: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January 6, 2025</w:t>
            </w:r>
          </w:p>
        </w:tc>
      </w:tr>
      <w:tr>
        <w:trPr>
          <w:trHeight w:val="21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Valuation date stock price</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11.23</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Simulation term (years)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interest rate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4.25 %</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105.63 %</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dividend yield</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Correlation coefficient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0.3741</w:t>
            </w:r>
          </w:p>
        </w:tc>
      </w:tr>
    </w:tbl>
    <w:p>
      <w:pPr>
        <w:spacing w:after="0" w:line="230"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At March 31, 2026, total unrecognized compensation expense related to RSUs, including the RSUs with a market based condition discussed above, was $13.2 million, which is expected to be recognized over a weighted-average period of 2.85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Earnings (Loss) per Share</w:t>
      </w:r>
    </w:p>
    <w:p>
      <w:pPr>
        <w:spacing w:after="0" w:line="175" w:lineRule="exact"/>
        <w:rPr>
          <w:sz w:val="20"/>
          <w:szCs w:val="20"/>
          <w:color w:val="auto"/>
        </w:rPr>
      </w:pPr>
    </w:p>
    <w:p>
      <w:pPr>
        <w:jc w:val="both"/>
        <w:ind w:right="100" w:firstLine="405"/>
        <w:spacing w:after="0" w:line="258" w:lineRule="auto"/>
        <w:rPr>
          <w:sz w:val="20"/>
          <w:szCs w:val="20"/>
          <w:color w:val="auto"/>
        </w:rPr>
      </w:pPr>
      <w:r>
        <w:rPr>
          <w:rFonts w:ascii="Times New Roman" w:cs="Times New Roman" w:eastAsia="Times New Roman" w:hAnsi="Times New Roman"/>
          <w:sz w:val="18"/>
          <w:szCs w:val="18"/>
          <w:color w:val="auto"/>
        </w:rPr>
        <w:t>Basic earnings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using the treasury stock method. Potentially dilutive securities (consisting primarily of the 2025 Convertible Notes calculated using the if-converted method and warrants, stock options and RSUs calculated using the treasury stock method) are excluded from the diluted EPS computation in loss periods and when their effect would be anti-dilutive.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EPS was as follows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Per-Share Amount*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040" w:type="dxa"/>
            <w:vAlign w:val="bottom"/>
            <w:tcBorders>
              <w:top w:val="single" w:sz="8" w:color="CCEEFF"/>
              <w:bottom w:val="single" w:sz="8" w:color="auto"/>
            </w:tcBorders>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For the three months ended March 31, 2026</w:t>
            </w:r>
          </w:p>
        </w:tc>
        <w:tc>
          <w:tcPr>
            <w:tcW w:w="37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4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6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Add: preferred stock exchange deemed contribution</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15,100</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7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16,093</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16,093</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Effect of dilutive stock options and unvested restricted stock</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2"/>
          </w:tcPr>
          <w:p>
            <w:pPr>
              <w:ind w:left="380"/>
              <w:spacing w:after="0"/>
              <w:rPr>
                <w:sz w:val="20"/>
                <w:szCs w:val="20"/>
                <w:color w:val="auto"/>
              </w:rPr>
            </w:pPr>
            <w:r>
              <w:rPr>
                <w:rFonts w:ascii="Times New Roman" w:cs="Times New Roman" w:eastAsia="Times New Roman" w:hAnsi="Times New Roman"/>
                <w:sz w:val="16"/>
                <w:szCs w:val="16"/>
                <w:color w:val="auto"/>
              </w:rPr>
              <w:t>Diluted EPS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16,356</w:t>
            </w:r>
          </w:p>
        </w:tc>
        <w:tc>
          <w:tcPr>
            <w:tcW w:w="80" w:type="dxa"/>
            <w:vAlign w:val="bottom"/>
          </w:tcPr>
          <w:p>
            <w:pPr>
              <w:spacing w:after="0"/>
              <w:rPr>
                <w:sz w:val="17"/>
                <w:szCs w:val="17"/>
                <w:color w:val="auto"/>
              </w:rPr>
            </w:pPr>
          </w:p>
        </w:tc>
        <w:tc>
          <w:tcPr>
            <w:tcW w:w="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tcBorders>
          </w:tcPr>
          <w:p>
            <w:pPr>
              <w:jc w:val="center"/>
              <w:ind w:left="379"/>
              <w:spacing w:after="0"/>
              <w:rPr>
                <w:sz w:val="20"/>
                <w:szCs w:val="20"/>
                <w:color w:val="auto"/>
              </w:rPr>
            </w:pPr>
            <w:r>
              <w:rPr>
                <w:rFonts w:ascii="Times New Roman" w:cs="Times New Roman" w:eastAsia="Times New Roman" w:hAnsi="Times New Roman"/>
                <w:sz w:val="16"/>
                <w:szCs w:val="16"/>
                <w:color w:val="auto"/>
              </w:rPr>
              <w:t>0.65</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040" w:type="dxa"/>
            <w:vAlign w:val="bottom"/>
            <w:shd w:val="clear" w:color="auto" w:fill="CCEEFF"/>
          </w:tcPr>
          <w:p>
            <w:pPr>
              <w:spacing w:after="0"/>
              <w:rPr>
                <w:sz w:val="19"/>
                <w:szCs w:val="19"/>
                <w:color w:val="auto"/>
              </w:rPr>
            </w:pPr>
          </w:p>
        </w:tc>
        <w:tc>
          <w:tcPr>
            <w:tcW w:w="3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three months ended March 31, 2025</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4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80" w:type="dxa"/>
            <w:vAlign w:val="bottom"/>
          </w:tcPr>
          <w:p>
            <w:pPr>
              <w:spacing w:after="0"/>
              <w:rPr>
                <w:sz w:val="17"/>
                <w:szCs w:val="17"/>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(0.14)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15,002</w:t>
            </w:r>
          </w:p>
        </w:tc>
        <w:tc>
          <w:tcPr>
            <w:tcW w:w="8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Rounding may affect summation.</w:t>
      </w:r>
    </w:p>
    <w:p>
      <w:pPr>
        <w:spacing w:after="0" w:line="16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outstanding anti-dilutive potential shares of common stock that have been excluded from diluted net loss per share attributable to common stockholders because their inclusion would have been anti-dilutive as of March 31, 2026 and 2025 (in thousands):</w:t>
      </w:r>
    </w:p>
    <w:p>
      <w:pPr>
        <w:spacing w:after="0" w:line="12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3,018</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Convertible Notes</w:t>
            </w: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212"/>
        </w:trPr>
        <w:tc>
          <w:tcPr>
            <w:tcW w:w="93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5,605</w:t>
            </w:r>
          </w:p>
        </w:tc>
      </w:tr>
      <w:tr>
        <w:trPr>
          <w:trHeight w:val="20"/>
        </w:trPr>
        <w:tc>
          <w:tcPr>
            <w:tcW w:w="8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Stockholders' Equity (Deficit)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62" w:lineRule="exact"/>
        <w:rPr>
          <w:sz w:val="20"/>
          <w:szCs w:val="20"/>
          <w:color w:val="auto"/>
        </w:rPr>
      </w:pPr>
    </w:p>
    <w:p>
      <w:pPr>
        <w:jc w:val="both"/>
        <w:ind w:firstLine="405"/>
        <w:spacing w:after="0" w:line="227" w:lineRule="exact"/>
        <w:rPr>
          <w:sz w:val="20"/>
          <w:szCs w:val="20"/>
          <w:color w:val="auto"/>
        </w:rPr>
      </w:pPr>
      <w:r>
        <w:rPr>
          <w:rFonts w:ascii="Times New Roman" w:cs="Times New Roman" w:eastAsia="Times New Roman" w:hAnsi="Times New Roman"/>
          <w:sz w:val="18"/>
          <w:szCs w:val="18"/>
          <w:color w:val="auto"/>
        </w:rPr>
        <w:t xml:space="preserve">The Company has outstanding warrants to purchase shares of its common stock that were issued in prior periods. The terms and conditions of these warrants, including exercise prices, contractual lives, and settlement provisions, are described in detail in </w:t>
      </w:r>
      <w:r>
        <w:rPr>
          <w:rFonts w:ascii="Times New Roman" w:cs="Times New Roman" w:eastAsia="Times New Roman" w:hAnsi="Times New Roman"/>
          <w:sz w:val="18"/>
          <w:szCs w:val="18"/>
          <w:i w:val="1"/>
          <w:iCs w:val="1"/>
          <w:color w:val="auto"/>
        </w:rPr>
        <w:t>Note 8. Stockholders’ Equity (Deficit)</w:t>
      </w:r>
      <w:r>
        <w:rPr>
          <w:rFonts w:ascii="Times New Roman" w:cs="Times New Roman" w:eastAsia="Times New Roman" w:hAnsi="Times New Roman"/>
          <w:sz w:val="18"/>
          <w:szCs w:val="18"/>
          <w:color w:val="auto"/>
        </w:rPr>
        <w:t xml:space="preserve"> to the Company’s consolidated financial statements included in its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w:t>
      </w:r>
    </w:p>
    <w:p>
      <w:pPr>
        <w:spacing w:after="0" w:line="103"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The warrants are classified as equity instruments as they are indexed to the Company’s own stock and meet the criteria for equity classification under applicable accounting guidance. Accordingly, the warrants are not remeasured at fair value subsequent to issuance.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warrant activity for the three months ended March 31, 2026 and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21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80" w:type="dxa"/>
            <w:vAlign w:val="bottom"/>
          </w:tcPr>
          <w:p>
            <w:pPr>
              <w:spacing w:after="0"/>
              <w:rPr>
                <w:sz w:val="17"/>
                <w:szCs w:val="17"/>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c>
          <w:tcPr>
            <w:tcW w:w="19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0" w:type="dxa"/>
            <w:vAlign w:val="bottom"/>
          </w:tcPr>
          <w:p>
            <w:pPr>
              <w:spacing w:after="0"/>
              <w:rPr>
                <w:sz w:val="1"/>
                <w:szCs w:val="1"/>
                <w:color w:val="auto"/>
              </w:rPr>
            </w:pPr>
          </w:p>
        </w:tc>
      </w:tr>
      <w:tr>
        <w:trPr>
          <w:trHeight w:val="238"/>
        </w:trPr>
        <w:tc>
          <w:tcPr>
            <w:tcW w:w="5020" w:type="dxa"/>
            <w:vAlign w:val="bottom"/>
          </w:tcPr>
          <w:p>
            <w:pPr>
              <w:spacing w:after="0"/>
              <w:rPr>
                <w:sz w:val="20"/>
                <w:szCs w:val="20"/>
                <w:color w:val="auto"/>
              </w:rPr>
            </w:pPr>
          </w:p>
        </w:tc>
        <w:tc>
          <w:tcPr>
            <w:tcW w:w="21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Remaining Term (Years)</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31, 2024</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3,018,304</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 March 31, 2025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3,018,304</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70"/>
        </w:trPr>
        <w:tc>
          <w:tcPr>
            <w:tcW w:w="5020" w:type="dxa"/>
            <w:vAlign w:val="bottom"/>
            <w:shd w:val="clear" w:color="auto" w:fill="CCEEFF"/>
          </w:tcPr>
          <w:p>
            <w:pPr>
              <w:spacing w:after="0"/>
              <w:rPr>
                <w:sz w:val="23"/>
                <w:szCs w:val="23"/>
                <w:color w:val="auto"/>
              </w:rPr>
            </w:pPr>
          </w:p>
        </w:tc>
        <w:tc>
          <w:tcPr>
            <w:tcW w:w="19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 December 31, 2025</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2,929,770</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March 31, 2026</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2,929,770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 As of December 31, 2025, the Company had 25,000 shares of Series E preferred stock issued and outstanding.</w:t>
      </w:r>
    </w:p>
    <w:p>
      <w:pPr>
        <w:spacing w:after="0" w:line="115"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On January 14, 2026 (the “Preferred Stock Exchange Closing Date”), the Company entered into an Exchange Agreement (the “Preferred Stock Exchange Agreement”) with an affiliate of Mubadala Capital (the “Preferred Stock Holder”), which held all 25,000 outstanding shares of the Company’s Series E Preferred Stock.</w:t>
      </w:r>
    </w:p>
    <w:p>
      <w:pPr>
        <w:spacing w:after="0" w:line="115" w:lineRule="exact"/>
        <w:rPr>
          <w:sz w:val="20"/>
          <w:szCs w:val="20"/>
          <w:color w:val="auto"/>
        </w:rPr>
      </w:pPr>
    </w:p>
    <w:p>
      <w:pPr>
        <w:ind w:right="140" w:firstLine="405"/>
        <w:spacing w:after="0" w:line="247" w:lineRule="auto"/>
        <w:rPr>
          <w:sz w:val="20"/>
          <w:szCs w:val="20"/>
          <w:color w:val="auto"/>
        </w:rPr>
      </w:pPr>
      <w:r>
        <w:rPr>
          <w:rFonts w:ascii="Times New Roman" w:cs="Times New Roman" w:eastAsia="Times New Roman" w:hAnsi="Times New Roman"/>
          <w:sz w:val="18"/>
          <w:szCs w:val="18"/>
          <w:color w:val="auto"/>
        </w:rPr>
        <w:t>Pursuant to the Preferred Stock Exchange Agreement, on the Preferred Stock Exchange Closing Date all of the outstanding shares of Series E Preferred Stock, which had a liquidation value of $42.0 million as of December 31, 2025, were surrendered and forfeited by the Preferred Stock Holder in exchange for $10.0 million in cash, one-third of which was paid on the Preferred Stock Exchange Closing Date and the balance of which will be paid in two equal installments on the six and twelve month anniversaries of the Preferred Stock Exchange Closing Date, 767,165 shares of the Company’s common stock, and $8.0 million in additional principal amount of the Company’s existing 9.0% 2029 Senior Secured Notes. The shares of common stock and 2029 Senior Secured Notes were issued to the Preferred Stock Holder on the Preferred Stock Exchange Closing Date.</w:t>
      </w:r>
    </w:p>
    <w:p>
      <w:pPr>
        <w:spacing w:after="0" w:line="12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2029 Senior Secured Notes principal, common stock, and cash payable issued to the Preferred Stock Holder as part of the Preferred Stock</w:t>
      </w:r>
    </w:p>
    <w:p>
      <w:pPr>
        <w:spacing w:after="0" w:line="2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Exchange Agreement were all recorded at cumulative fair value of $26.9 million. The 2029 Senior Secured Noted principal was determined to have a fair value of $8.9 million. The resulting $0.9 million premium is included in the value of the 2029 Senior Secured Notes on the condensed consolidated balance sheet and will be amortized over the term of the 2029 Senior Secured Notes as a reduction to interest expense. The fair value of the common stock, based on the closing price of the Company’s common stock on the issuance date, was $8.2 million and was recorded within stockholders’ equity on the condensed consolidated balance sheet. The fair value of the $10.0 million cash payable was determined to be $9.7 million and was recorded initially within accrued expenses and other current liabilities on the condensed consolidated balance sheet. The $0.3 million difference between the total cash payable and its fair value will be amortized to interest expense over the 12-month total repayment period.</w:t>
      </w:r>
    </w:p>
    <w:p>
      <w:pPr>
        <w:spacing w:after="0" w:line="133"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The total liquidation preference of the outstanding preferred stock, which was $42.0 million at the time of the Preferred Stock Exchange Closing Date, was removed from stockholder’s equity as a result of the exchange. The $15.1 million difference between the $42.0 million liquidation preference and the $26.9 million cumulative fair value of the exchange consideration was recorded as a deemed contribution within accumulated deficit on the condensed consolidated statements of stockholders’ deficit.</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Subsequent to the Preferred Stock Exchange Agreement, the Company no longer has any outstanding preferred stock.</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Segment, Geographic, and Concentrations of Risk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40" w:firstLine="405"/>
        <w:spacing w:after="0" w:line="251" w:lineRule="auto"/>
        <w:rPr>
          <w:sz w:val="20"/>
          <w:szCs w:val="20"/>
          <w:color w:val="auto"/>
        </w:rPr>
      </w:pPr>
      <w:r>
        <w:rPr>
          <w:rFonts w:ascii="Times New Roman" w:cs="Times New Roman" w:eastAsia="Times New Roman" w:hAnsi="Times New Roman"/>
          <w:sz w:val="18"/>
          <w:szCs w:val="18"/>
          <w:color w:val="auto"/>
        </w:rPr>
        <w:t xml:space="preserve">As previously detailed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 xml:space="preserve">, the Company operates as one reportable segment. As of March 31, 2026, the Company’s CODM was its CEO. The Company’s CODM does not manage any part of the Company separately, and the allocation of resources and assessment of performance is based solely on the Company’s consolidated operations and financial results. The accounting policies of our single reportable segment are the same as those described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The CODM uses net income (loss) in evaluating the performance of our single reportable segment and determining how to allocate resources of the Company as a whole, including investing in our products, services and customers. As the Company only has one reportable segment, the measure of segment assets is reported on the balance sheet as total consolidated assets.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revenues, significant expenses and other segment items regularly provided to the CODM:</w:t>
      </w:r>
    </w:p>
    <w:p>
      <w:pPr>
        <w:spacing w:after="0" w:line="19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31,673</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8600" w:type="dxa"/>
            <w:vAlign w:val="bottom"/>
            <w:shd w:val="clear" w:color="auto" w:fill="CCEEFF"/>
          </w:tcPr>
          <w:p>
            <w:pPr>
              <w:ind w:left="240"/>
              <w:spacing w:after="0" w:line="219" w:lineRule="exact"/>
              <w:rPr>
                <w:sz w:val="20"/>
                <w:szCs w:val="20"/>
                <w:color w:val="auto"/>
              </w:rPr>
            </w:pPr>
            <w:r>
              <w:rPr>
                <w:rFonts w:ascii="Times New Roman" w:cs="Times New Roman" w:eastAsia="Times New Roman" w:hAnsi="Times New Roman"/>
                <w:sz w:val="16"/>
                <w:szCs w:val="16"/>
                <w:color w:val="auto"/>
              </w:rPr>
              <w:t xml:space="preserve">Adjusted cost of revenues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16,638</w:t>
            </w:r>
          </w:p>
        </w:tc>
      </w:tr>
      <w:tr>
        <w:trPr>
          <w:trHeight w:val="216"/>
        </w:trPr>
        <w:tc>
          <w:tcPr>
            <w:tcW w:w="8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research and development </w:t>
            </w:r>
            <w:r>
              <w:rPr>
                <w:rFonts w:ascii="Times New Roman" w:cs="Times New Roman" w:eastAsia="Times New Roman" w:hAnsi="Times New Roman"/>
                <w:sz w:val="21"/>
                <w:szCs w:val="21"/>
                <w:color w:val="auto"/>
                <w:vertAlign w:val="superscript"/>
              </w:rPr>
              <w:t>(2)</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4,267</w:t>
            </w:r>
          </w:p>
        </w:tc>
      </w:tr>
      <w:tr>
        <w:trPr>
          <w:trHeight w:val="216"/>
        </w:trPr>
        <w:tc>
          <w:tcPr>
            <w:tcW w:w="8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sales and marketing </w:t>
            </w:r>
            <w:r>
              <w:rPr>
                <w:rFonts w:ascii="Times New Roman" w:cs="Times New Roman" w:eastAsia="Times New Roman" w:hAnsi="Times New Roman"/>
                <w:sz w:val="21"/>
                <w:szCs w:val="21"/>
                <w:color w:val="auto"/>
                <w:vertAlign w:val="superscript"/>
              </w:rPr>
              <w:t>(2)</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w:t>
            </w:r>
          </w:p>
        </w:tc>
      </w:tr>
      <w:tr>
        <w:trPr>
          <w:trHeight w:val="216"/>
        </w:trPr>
        <w:tc>
          <w:tcPr>
            <w:tcW w:w="8600" w:type="dxa"/>
            <w:vAlign w:val="bottom"/>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general and administrative </w:t>
            </w:r>
            <w:r>
              <w:rPr>
                <w:rFonts w:ascii="Times New Roman" w:cs="Times New Roman" w:eastAsia="Times New Roman" w:hAnsi="Times New Roman"/>
                <w:sz w:val="21"/>
                <w:szCs w:val="21"/>
                <w:color w:val="auto"/>
                <w:vertAlign w:val="superscript"/>
              </w:rPr>
              <w:t>(3)</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3,355</w:t>
            </w:r>
          </w:p>
        </w:tc>
      </w:tr>
      <w:tr>
        <w:trPr>
          <w:trHeight w:val="216"/>
        </w:trPr>
        <w:tc>
          <w:tcPr>
            <w:tcW w:w="860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6"/>
                <w:szCs w:val="16"/>
                <w:color w:val="auto"/>
              </w:rPr>
              <w:t xml:space="preserve">Adjusted depreciation and amortization </w:t>
            </w:r>
            <w:r>
              <w:rPr>
                <w:rFonts w:ascii="Times New Roman" w:cs="Times New Roman" w:eastAsia="Times New Roman" w:hAnsi="Times New Roman"/>
                <w:sz w:val="21"/>
                <w:szCs w:val="21"/>
                <w:color w:val="auto"/>
                <w:vertAlign w:val="superscript"/>
              </w:rPr>
              <w:t>(4)</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r>
      <w:tr>
        <w:trPr>
          <w:trHeight w:val="21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Capitalizable software development expenditures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w:t>
            </w:r>
          </w:p>
        </w:tc>
      </w:tr>
      <w:tr>
        <w:trPr>
          <w:trHeight w:val="21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Capitalized software development expenditures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r>
      <w:tr>
        <w:trPr>
          <w:trHeight w:val="21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1,601</w:t>
            </w:r>
          </w:p>
        </w:tc>
      </w:tr>
      <w:tr>
        <w:trPr>
          <w:trHeight w:val="21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purchased intangible assets related to business combinations</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r>
      <w:tr>
        <w:trPr>
          <w:trHeight w:val="21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3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9"/>
        </w:trPr>
        <w:tc>
          <w:tcPr>
            <w:tcW w:w="86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6"/>
                <w:szCs w:val="16"/>
                <w:color w:val="auto"/>
              </w:rPr>
              <w:t>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recurring transaction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costs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r>
      <w:tr>
        <w:trPr>
          <w:trHeight w:val="219"/>
        </w:trPr>
        <w:tc>
          <w:tcPr>
            <w:tcW w:w="8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13"/>
        </w:trPr>
        <w:tc>
          <w:tcPr>
            <w:tcW w:w="8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2"/>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net income (loss)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w:t>
            </w:r>
          </w:p>
        </w:tc>
      </w:tr>
      <w:tr>
        <w:trPr>
          <w:trHeight w:val="214"/>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profit or loss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discontinued operations, net of tax</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12"/>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(4,536)</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w:t>
            </w:r>
          </w:p>
        </w:tc>
      </w:tr>
    </w:tbl>
    <w:p>
      <w:pPr>
        <w:spacing w:after="0" w:line="2" w:lineRule="exact"/>
        <w:rPr>
          <w:sz w:val="20"/>
          <w:szCs w:val="20"/>
          <w:color w:val="auto"/>
        </w:rPr>
      </w:pPr>
    </w:p>
    <w:p>
      <w:pPr>
        <w:ind w:left="220" w:hanging="194"/>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share-based compensation expense.</w:t>
      </w:r>
    </w:p>
    <w:p>
      <w:pPr>
        <w:spacing w:after="0" w:line="41"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or share-based compensation expense.</w:t>
      </w:r>
    </w:p>
    <w:p>
      <w:pPr>
        <w:spacing w:after="0" w:line="41"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any depreciation and amortization, share-based compensation expense, right-of-use asset impairments, gain on early lease terminations, or debt restructuring costs.</w:t>
      </w:r>
    </w:p>
    <w:p>
      <w:pPr>
        <w:spacing w:after="0" w:line="41" w:lineRule="exact"/>
        <w:rPr>
          <w:rFonts w:ascii="Times New Roman" w:cs="Times New Roman" w:eastAsia="Times New Roman" w:hAnsi="Times New Roman"/>
          <w:sz w:val="14"/>
          <w:szCs w:val="14"/>
          <w:i w:val="1"/>
          <w:iCs w:val="1"/>
          <w:color w:val="auto"/>
        </w:rPr>
      </w:pPr>
    </w:p>
    <w:p>
      <w:pPr>
        <w:ind w:left="220" w:hanging="194"/>
        <w:spacing w:after="0"/>
        <w:tabs>
          <w:tab w:leader="none" w:pos="2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amortization of purchased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-471805</wp:posOffset>
            </wp:positionV>
            <wp:extent cx="1671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Company’s revenues by geographic region based on shipping destination (in thousands):</w:t>
      </w:r>
    </w:p>
    <w:p>
      <w:pPr>
        <w:spacing w:after="0" w:line="116"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3"/>
        </w:trPr>
        <w:tc>
          <w:tcPr>
            <w:tcW w:w="8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34,229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31,620</w:t>
            </w:r>
          </w:p>
        </w:tc>
      </w:tr>
      <w:tr>
        <w:trPr>
          <w:trHeight w:val="21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(including United Kingdom)</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Australia</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37"/>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34,338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long-term assets are located within the United States.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Customer Concentrations</w:t>
      </w:r>
    </w:p>
    <w:p>
      <w:pPr>
        <w:spacing w:after="0" w:line="160"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two customers accounted for 53.2% and 33.5% of revenues, respectively. For the three months ended March 31, 2025, two customers accounted for 54.6% and 35.1% of revenues, respectively.</w:t>
      </w:r>
    </w:p>
    <w:p>
      <w:pPr>
        <w:spacing w:after="0" w:line="122"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As of March 31, 2026, three customers accounted for 49.1%, 23.4%, and 16.7% of accounts receivable, net, respectively. As of December 31, 2025, two customers accounted for 45.6% and 31.4% of accounts receivable, net, respectively.</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Concentrations in the Available Sources of Supply of Materials and Product</w:t>
      </w:r>
    </w:p>
    <w:p>
      <w:pPr>
        <w:spacing w:after="0" w:line="173"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Our services use hardware and software from various third parties, some of which are procured from single suppliers. For example, our MiFi mobile hotspots and fixed wireless access devices rely substantially on chipsets from Qualcomm. From time to time, certain components used in our products or solutions have been in short supply or their anticipated commercial introduction has been delayed or their availability has been interrupted for reasons outside our control.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92"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Company typically enters into commitments with its contract manufacturers and other vendors that require future purchases of goods or services in the three to four quarters following the balance sheet date. Such commitments are noncancellable (“noncancellable purchase obligations”). As of March 31, 2026, future payments under these noncancellable purchase obligations were approximately $127.1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60"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60"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5" w:lineRule="exact"/>
        <w:rPr>
          <w:sz w:val="20"/>
          <w:szCs w:val="20"/>
          <w:color w:val="auto"/>
        </w:rPr>
      </w:pPr>
    </w:p>
    <w:p>
      <w:pPr>
        <w:jc w:val="both"/>
        <w:ind w:right="140" w:firstLine="405"/>
        <w:spacing w:after="0" w:line="258" w:lineRule="auto"/>
        <w:rPr>
          <w:sz w:val="20"/>
          <w:szCs w:val="20"/>
          <w:color w:val="auto"/>
        </w:rPr>
      </w:pPr>
      <w:r>
        <w:rPr>
          <w:rFonts w:ascii="Times New Roman" w:cs="Times New Roman" w:eastAsia="Times New Roman" w:hAnsi="Times New Roman"/>
          <w:sz w:val="18"/>
          <w:szCs w:val="18"/>
          <w:color w:val="auto"/>
        </w:rPr>
        <w:t>Income tax expense was less than $1.0 million for both the three months ended March 31, 2026 and March 31, 2025, consisting primarily of foreign income taxes at certain of the Company’s international entities and state taxes for its U.S.-based entities. The Company’s income tax expense differs from the expected expense based on statutory rates primarily due to full valuation allowances at all of its U.S.-based entities.</w:t>
      </w:r>
    </w:p>
    <w:p>
      <w:pPr>
        <w:spacing w:after="0" w:line="115" w:lineRule="exact"/>
        <w:rPr>
          <w:sz w:val="20"/>
          <w:szCs w:val="20"/>
          <w:color w:val="auto"/>
        </w:rPr>
      </w:pPr>
    </w:p>
    <w:p>
      <w:pPr>
        <w:ind w:right="60" w:firstLine="405"/>
        <w:spacing w:after="0" w:line="247"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among other things, provided a permanent extension of certain tax measures initially established under the 2017 Tax Cuts and Jobs Act, which were set to expire at the end of 2025, and modified tax legislation affecting bonus depreciation rules and the tax treatment of research and development expenses and interest deductions. Specifically, the OBBBA provides for 100% bonus depreciation and eliminates the requirement under Internal Revenue Code Section 174 to capitalize and amortize U.S. based research and experimental expenditures over five years, making these expenditures fully deductible in the period incurred beginning after 2024. The Company currently does not expect the OBBBA to have a material impact to our effective tax for 2026.</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Purchase Agreement with Nokia</w:t>
      </w:r>
    </w:p>
    <w:p>
      <w:pPr>
        <w:spacing w:after="0" w:line="160"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On April 30, 2026, the Company entered into an Asset Purchase Agreement (the “Purchase Agreement”) with Nokia Solutions and Networks Oy (“Nokia”), pursuant to which Inseego has agreed to purchase substantially all of the assets (the “Purchased Assets”) comprising Nokia’s fixed wireless access business (the “Nokia FWA Business”). Under the Purchase Agreement and subject to the terms and conditions set forth therein, at the closing (the “Closing”) of the transactions contemplated by the Purchase Agreement (collectively, the “Transaction”), Inseego will purchase the Purchased Assets from Nokia for a purchase price consisting of (i) 1,163,693 shares (the “Shares”) of Inseego’s common stock (“Common Stock”), (ii) warrants to purchase an aggregate of 521,139 shares of Common Stock, at an exercise price of $12.89 per share and (iii) the assumption of certain liabilities relating to the Nokia FWA Business (the “Transaction”). The warrants will be exercisable for a period of four years following the Closing and will be exercisable on a cash basis.</w:t>
      </w:r>
    </w:p>
    <w:p>
      <w:pPr>
        <w:spacing w:after="0" w:line="125" w:lineRule="exact"/>
        <w:rPr>
          <w:sz w:val="20"/>
          <w:szCs w:val="20"/>
          <w:color w:val="auto"/>
        </w:rPr>
      </w:pPr>
    </w:p>
    <w:p>
      <w:pPr>
        <w:ind w:right="20" w:firstLine="405"/>
        <w:spacing w:after="0" w:line="243"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indemnities made or given by each of Nokia and Inseego. The Purchase Agreement also contains customary covenants of the parties, including covenants relating to the conduct of the Nokia FWA Business prior to closing, efforts to obtain required consents and approvals, and other matters. Nokia, on behalf of itself and its affiliates, has agreed that for a period of three years after the Closing (the “Restricted Period”) it will not, anywhere in the world, engage in any business that develops, produces or sells certain fixed wireless access products and devices sold by the Nokia FWA Business, subject to certain exceptions. In addition, Nokia has agreed that if during the Restricted Period it determines that it intends to solicit proposals from, or to enter into negotiations with, any third party for the development of any product or device featuring upstream connectivity with both wired and cellular radio access and use products or technology comprising part of the Purchased Assets, Nokia will provide Inseego with a right of first offer to provide such products.</w:t>
      </w:r>
    </w:p>
    <w:p>
      <w:pPr>
        <w:spacing w:after="0" w:line="146" w:lineRule="exact"/>
        <w:rPr>
          <w:sz w:val="20"/>
          <w:szCs w:val="20"/>
          <w:color w:val="auto"/>
        </w:rPr>
      </w:pPr>
    </w:p>
    <w:p>
      <w:pPr>
        <w:ind w:right="260" w:firstLine="405"/>
        <w:spacing w:after="0" w:line="246" w:lineRule="auto"/>
        <w:rPr>
          <w:sz w:val="20"/>
          <w:szCs w:val="20"/>
          <w:color w:val="auto"/>
        </w:rPr>
      </w:pPr>
      <w:r>
        <w:rPr>
          <w:rFonts w:ascii="Times New Roman" w:cs="Times New Roman" w:eastAsia="Times New Roman" w:hAnsi="Times New Roman"/>
          <w:sz w:val="18"/>
          <w:szCs w:val="18"/>
          <w:color w:val="auto"/>
        </w:rPr>
        <w:t>In addition, pursuant to the Purchase Agreement, Nokia has agreed that if the EBITDA (as defined in the Purchase Agreement) of the Nokia FWA Business for the first 12 months following the Closing is negative, Nokia will reimburse Inseego on a quarterly basis by the amount of such negative EBITDA, capped at an aggregate total payment of $38.0 million, subject to certain limitations. Additionally, for the next 24 months after the initial 12-month period after Closing, Inseego has agreed to pay to Nokia a portion of the EBITDA profits generated by the Nokia FWA Business, if any, ranging from 0% to 50%, dependent upon the Nokia FWA Business achieving certain revenue thresholds.</w:t>
      </w:r>
    </w:p>
    <w:p>
      <w:pPr>
        <w:spacing w:after="0" w:line="127"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Purchase Agreement is subject to customary closing conditions and termination rights of the parties, including the right of either party to terminate the Purchase Agreement if the Closing has not occurred by January 15, 2027, subject to Inseego’s right to extend such date by up to three months if certain deliverables have not been provided.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Nokia Investment in Inseego</w:t>
      </w:r>
    </w:p>
    <w:p>
      <w:pPr>
        <w:spacing w:after="0" w:line="173" w:lineRule="exact"/>
        <w:rPr>
          <w:sz w:val="20"/>
          <w:szCs w:val="20"/>
          <w:color w:val="auto"/>
        </w:rPr>
      </w:pPr>
    </w:p>
    <w:p>
      <w:pPr>
        <w:ind w:right="100" w:firstLine="405"/>
        <w:spacing w:after="0" w:line="246" w:lineRule="auto"/>
        <w:rPr>
          <w:sz w:val="20"/>
          <w:szCs w:val="20"/>
          <w:color w:val="auto"/>
        </w:rPr>
      </w:pPr>
      <w:r>
        <w:rPr>
          <w:rFonts w:ascii="Times New Roman" w:cs="Times New Roman" w:eastAsia="Times New Roman" w:hAnsi="Times New Roman"/>
          <w:sz w:val="18"/>
          <w:szCs w:val="18"/>
          <w:color w:val="auto"/>
        </w:rPr>
        <w:t>On April 30, 2026, Inseego and Nokia also entered into a Subscription Agreement (the “Subscription Agreement”), pursuant to which, subject to the terms and conditions contained therein (including the Closing occurring), at the Closing, Nokia will invest $10.0 million in cash in Inseego, for which it will receive 775,795 shares of Common Stock and warrants to purchase an aggregate of 260,569 shares of Common Stock, at an exercise price of $12.89 per share and otherwise in the same form as the warrants to be issued pursuant to the terms of the Purchase Agreement, except that such warrants will be exercisable for cash or on a cashless exercise basis.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14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wireless modem products, and telematics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introduce new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channels and to onboard and execute successfully with channel partners;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expand into new markets;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contract manufacturers and third parties to manufacture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and/or the shortage of semiconductors or other key components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mobile broadband and fixed wireless access markets;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successful investments in research and development;</w:t>
      </w:r>
    </w:p>
    <w:p>
      <w:pPr>
        <w:spacing w:after="0" w:line="130"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 such as the evolving 5G New Radio (“5G NR”) price and performance standards;</w:t>
      </w:r>
    </w:p>
    <w:p>
      <w:pPr>
        <w:spacing w:after="0" w:line="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pending acquisition of Nokia’s fixed wireless access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 on our business, including the adoption of new regulations;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trade restrictions, tariffs, or other government-imposed sanctions;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on the demand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1" w:name="page22"/>
    <w:bookmarkEnd w:id="21"/>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our ability to make payments on or to refinance our indebtedness;</w:t>
      </w:r>
    </w:p>
    <w:p>
      <w:pPr>
        <w:spacing w:after="0" w:line="121"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qualified personnel to maintain and expand our business;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foreign currency risks;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 rates of inflation and rising interest rates.</w:t>
      </w:r>
    </w:p>
    <w:p>
      <w:pPr>
        <w:spacing w:after="0" w:line="171"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2025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62"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“Inseego”, the “Inseego logo”, “MiFi”, “Skyus”, “Inseego Connect”, “Inseego Subscribe” and “Inseego Wavemaker”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22" w:name="page23"/>
    <w:bookmarkEnd w:id="22"/>
    <w:p>
      <w:pPr>
        <w:jc w:val="both"/>
        <w:ind w:right="60" w:firstLine="405"/>
        <w:spacing w:after="0" w:line="258"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2025, contained in our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80" w:firstLine="405"/>
        <w:spacing w:after="0" w:line="247" w:lineRule="auto"/>
        <w:rPr>
          <w:sz w:val="20"/>
          <w:szCs w:val="20"/>
          <w:color w:val="auto"/>
        </w:rPr>
      </w:pPr>
      <w:r>
        <w:rPr>
          <w:rFonts w:ascii="Times New Roman" w:cs="Times New Roman" w:eastAsia="Times New Roman" w:hAnsi="Times New Roman"/>
          <w:sz w:val="18"/>
          <w:szCs w:val="18"/>
          <w:color w:val="auto"/>
        </w:rPr>
        <w:t>Inseego is a leader in the design and development of cloud-managed wireless wide area network (“WAN”) and intelligent edge solutions. Our 5G WAN portfolio is comprised of secure and high-performance mobile broadband and fixed wireless access (“FWA”) solutions with associated cloud solutions for real time WAN visibility, monitoring, automation and control with centralized orchestration of network functions. These devices are specifically built for the carrier, enterprise and small and medium business (“SMB”) market segments with a focus on performance, scalability, quality and enterprise grade security. We also provide a Communication Service Provider (“CSP”) subscriber lifecycle management SaaS solution for carriers’ management of their government and complex enterprise customer subscriptions.</w:t>
      </w:r>
    </w:p>
    <w:p>
      <w:pPr>
        <w:spacing w:after="0" w:line="112" w:lineRule="exact"/>
        <w:rPr>
          <w:sz w:val="20"/>
          <w:szCs w:val="20"/>
          <w:color w:val="auto"/>
        </w:rPr>
      </w:pPr>
    </w:p>
    <w:p>
      <w:pPr>
        <w:ind w:right="420" w:firstLine="405"/>
        <w:spacing w:after="0" w:line="250" w:lineRule="auto"/>
        <w:rPr>
          <w:sz w:val="20"/>
          <w:szCs w:val="20"/>
          <w:color w:val="auto"/>
        </w:rPr>
      </w:pPr>
      <w:r>
        <w:rPr>
          <w:rFonts w:ascii="Times New Roman" w:cs="Times New Roman" w:eastAsia="Times New Roman" w:hAnsi="Times New Roman"/>
          <w:sz w:val="18"/>
          <w:szCs w:val="18"/>
          <w:color w:val="auto"/>
        </w:rPr>
        <w:t>Our 5G products and associated cloud solutions are designed in the U.S. and are used in networks where internet reliability and security is of the utmost importance. These products support applications such as business broadband for both mobile and fixed use cases, enterprise networking and software-defined wide area network (“SD-WAN”) failover management.</w:t>
      </w:r>
    </w:p>
    <w:p>
      <w:pPr>
        <w:spacing w:after="0" w:line="13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Inseego is at the forefront of providing high speed broadband through state-of-the-art 5G products and services to keep enterprise and SMB customers seamlessly connected. With multiple first-to-market innovations through several generations of 4G and 5G technologies, Inseego has been advancing wireless WAN technology and driving industry transformations for over 30 years.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Repurchase of Preferred Stock</w:t>
      </w:r>
    </w:p>
    <w:p>
      <w:pPr>
        <w:spacing w:after="0" w:line="173"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On January 14, 2026 (the “Preferred Stock Exchange Closing Date’), the Company entered into an Exchange Agreement (the “Preferred Stock Exchange Agreement”) with an affiliate of Mubadala Capital (the “Preferred Stock Holder”), which held all 25,000 outstanding shares of the Company’s Fixed-Rate Cumulative Perpetual Preferred Stock, Series E (the “Series E Preferred Stock”).</w:t>
      </w:r>
    </w:p>
    <w:p>
      <w:pPr>
        <w:spacing w:after="0" w:line="136"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Pursuant to the Preferred Stock Exchange Agreement, on the Preferred Stock Exchange Closing Date all of the outstanding shares of Series E Preferred Stock, which had a liquidation value of $42.0 million as of December 31, 2025, were surrendered and forfeited by the Preferred Stock Holder in exchange for the following consideration, having an aggregate value of approximately $26 million and representing a discount of approximately 38% to the liquidation value: (i) $10.0 million in cash, one-third of which was paid on the Preferred Stock Exchange Closing Date and the balance of which will be paid in two equal installments on the six and twelve month anniversaries of the Preferred Stock Exchange Closing Date; (ii) 767,165 shares of the Company’s common stock (the “Common Shares”), and (iii) $8.0 million in additional principal amount of the Company’s existing 2029 Senior Secured Notes. The Common Shares and the 2029 Senior Secured Notes were issued to the Preferred Stock Holder on the Preferred Stock Exchange Closing Date.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Asset Purchase Agreement with Nokia</w:t>
      </w:r>
    </w:p>
    <w:p>
      <w:pPr>
        <w:spacing w:after="0" w:line="160" w:lineRule="exact"/>
        <w:rPr>
          <w:sz w:val="20"/>
          <w:szCs w:val="20"/>
          <w:color w:val="auto"/>
        </w:rPr>
      </w:pPr>
    </w:p>
    <w:p>
      <w:pPr>
        <w:ind w:right="80" w:firstLine="405"/>
        <w:spacing w:after="0" w:line="246" w:lineRule="auto"/>
        <w:rPr>
          <w:sz w:val="20"/>
          <w:szCs w:val="20"/>
          <w:color w:val="auto"/>
        </w:rPr>
      </w:pPr>
      <w:r>
        <w:rPr>
          <w:rFonts w:ascii="Times New Roman" w:cs="Times New Roman" w:eastAsia="Times New Roman" w:hAnsi="Times New Roman"/>
          <w:sz w:val="18"/>
          <w:szCs w:val="18"/>
          <w:color w:val="auto"/>
        </w:rPr>
        <w:t>On April 30, 2026, the Company entered into an Asset Purchase Agreement (the “Purchase Agreement”) with Nokia Solutions and Networks Oy (“Nokia”), pursuant to which Inseego has agreed to purchase substantially all of the assets (the “Purchased Assets”) comprising Nokia’s fixed wireless access business (the “Nokia FWA Business”). Under the Purchase Agreement and subject to the terms and conditions set forth therein, at the closing (the “Closing”) of the transactions contemplated by the Purchase Agreement (collectively, the “Transaction”), Inseego will purchase the Purchased Assets from Nokia for a purchase price consisting of (i) 1,163,693 shares (the “Shares”) of Inseego’s common stock (“Common Stock”), (ii) warrants to purchase an aggregate of 521,139 shares of Common Stock, at an exercise price of $12.89 per share and (iii) the assumption of certain liabilities relating to the Nokia FWA Business (the “Transaction”). The warrants will be exercisable for a period of four years following the Closing and will be exercisable on a cash basis.</w:t>
      </w:r>
    </w:p>
    <w:p>
      <w:pPr>
        <w:spacing w:after="0" w:line="125" w:lineRule="exact"/>
        <w:rPr>
          <w:sz w:val="20"/>
          <w:szCs w:val="20"/>
          <w:color w:val="auto"/>
        </w:rPr>
      </w:pPr>
    </w:p>
    <w:p>
      <w:pPr>
        <w:ind w:right="60" w:firstLine="405"/>
        <w:spacing w:after="0" w:line="245"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indemnities made or given by each of Nokia and Inseego. The Purchase Agreement also contains customary covenants of the parties, including covenants relating to the conduct of the Nokia FWA Business prior to closing, efforts to obtain required consents and approvals, and other matters. Nokia, on behalf of itself and its affiliates, has agreed that for a period of three years after the Closing (the “Restricted Period”) it will not, anywhere in the world, engage in any business that develops, produces or sells certain fixed wireless access products and devices sold by the Nokia FWA Business, subject to certain exceptions. In addition, Nokia has agreed that if during the Restricted Period it determines that it intends to solicit proposals from, or to enter into negotiations with, any third party for the development of any product or device featuring upstream connectivity with both wired and cellular radio access and use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products or technology comprising part of the Purchased Assets, Nokia will provide Inseego with a right of first offer to provide such products.</w:t>
      </w:r>
    </w:p>
    <w:p>
      <w:pPr>
        <w:spacing w:after="0" w:line="158"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In addition, pursuant to the Purchase Agreement, Nokia has agreed that if the EBITDA (as defined in the Purchase Agreement) of the Nokia FWA Business for the first 12 months following the Closing is negative, Nokia will reimburse Inseego on a quarterly basis by the amount of such negative EBITDA, capped at an aggregate total payment of $38.0 million, subject to certain limitations. Additionally, for the next 24 months after the initial 12-month period after Closing, Inseego has agreed to pay to Nokia a portion of the EBITDA profits generated by the Nokia FWA Business, if any, ranging from 0% to 50%, dependent upon the Nokia FWA Business achieving certain revenue thresholds.</w:t>
      </w:r>
    </w:p>
    <w:p>
      <w:pPr>
        <w:spacing w:after="0" w:line="123" w:lineRule="exact"/>
        <w:rPr>
          <w:sz w:val="20"/>
          <w:szCs w:val="20"/>
          <w:color w:val="auto"/>
        </w:rPr>
      </w:pPr>
    </w:p>
    <w:p>
      <w:pPr>
        <w:ind w:right="40" w:firstLine="405"/>
        <w:spacing w:after="0" w:line="258" w:lineRule="auto"/>
        <w:rPr>
          <w:sz w:val="20"/>
          <w:szCs w:val="20"/>
          <w:color w:val="auto"/>
        </w:rPr>
      </w:pPr>
      <w:r>
        <w:rPr>
          <w:rFonts w:ascii="Times New Roman" w:cs="Times New Roman" w:eastAsia="Times New Roman" w:hAnsi="Times New Roman"/>
          <w:sz w:val="18"/>
          <w:szCs w:val="18"/>
          <w:color w:val="auto"/>
        </w:rPr>
        <w:t>The Purchase Agreement is subject to customary closing conditions and termination rights of the parties, including the right of either party to terminate the Purchase Agreement if the Closing has not occurred by January 15, 2027, subject to Inseego’s right to extend such date by up to three months if certain deliverables have not been provided.</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Nokia Investment in Inseego</w:t>
      </w:r>
    </w:p>
    <w:p>
      <w:pPr>
        <w:spacing w:after="0" w:line="160"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On April 30, 2026, Inseego and Nokia also entered into a Subscription Agreement (the “Subscription Agreement”), pursuant to which, subject to the terms and conditions contained therein (including the Closing occurring), at the Closing, Nokia will invest $10.0 million in cash in Inseego, for which it will receive 775,795 shares of Common Stock and warrants to purchase an aggregate of 260,569 shares of Common Stock, at an exercise price of $12.89 per share and otherwise in the same form as the warrants to be issued pursuant to the terms of the Purchase Agreement, except that such warrants will be exercisable for cash or on a cashless exercise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classify our revenues from the sale of our products and services into two categories: Product Revenue, which consists of our Mobile Solutions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Wireless Access Solutions, and Software Services and Other. A description of each of the revenue classifications is as follows:</w:t>
      </w:r>
    </w:p>
    <w:p>
      <w:pPr>
        <w:spacing w:after="0" w:line="137" w:lineRule="exact"/>
        <w:rPr>
          <w:sz w:val="20"/>
          <w:szCs w:val="20"/>
          <w:color w:val="auto"/>
        </w:rPr>
      </w:pPr>
    </w:p>
    <w:p>
      <w:pPr>
        <w:ind w:left="660" w:right="80"/>
        <w:spacing w:after="0" w:line="247" w:lineRule="auto"/>
        <w:rPr>
          <w:sz w:val="20"/>
          <w:szCs w:val="20"/>
          <w:color w:val="auto"/>
        </w:rPr>
      </w:pPr>
      <w:r>
        <w:rPr>
          <w:rFonts w:ascii="Times New Roman" w:cs="Times New Roman" w:eastAsia="Times New Roman" w:hAnsi="Times New Roman"/>
          <w:sz w:val="18"/>
          <w:szCs w:val="18"/>
          <w:i w:val="1"/>
          <w:iCs w:val="1"/>
          <w:color w:val="auto"/>
        </w:rPr>
        <w:t>Mobile Solutions</w:t>
      </w:r>
      <w:r>
        <w:rPr>
          <w:rFonts w:ascii="Times New Roman" w:cs="Times New Roman" w:eastAsia="Times New Roman" w:hAnsi="Times New Roman"/>
          <w:sz w:val="18"/>
          <w:szCs w:val="18"/>
          <w:color w:val="auto"/>
        </w:rPr>
        <w:t>: Our mobile broadband devices, sold under the MiFi brand, are actively used by millions of end users to provide secure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convenient high-speed access to corporate, public and personal information through the Internet and enterprise networks. Our mobile portfolio is supported by our cloud offering, Inseego Connect for device management, whose revenues are included in </w:t>
      </w:r>
      <w:r>
        <w:rPr>
          <w:rFonts w:ascii="Times New Roman" w:cs="Times New Roman" w:eastAsia="Times New Roman" w:hAnsi="Times New Roman"/>
          <w:sz w:val="18"/>
          <w:szCs w:val="18"/>
          <w:i w:val="1"/>
          <w:iCs w:val="1"/>
          <w:color w:val="auto"/>
        </w:rPr>
        <w:t>Software Services and Other</w:t>
      </w:r>
      <w:r>
        <w:rPr>
          <w:rFonts w:ascii="Times New Roman" w:cs="Times New Roman" w:eastAsia="Times New Roman" w:hAnsi="Times New Roman"/>
          <w:sz w:val="18"/>
          <w:szCs w:val="18"/>
          <w:color w:val="auto"/>
        </w:rPr>
        <w:t xml:space="preserve"> below. Our Mobile Solutions customer base is primarily comprised of mobile operators. These mobile operators include T-Mobile, Verizon Wireless, and AT&amp;T in the United States, Rogers and Telus in Canada, and various companies in other vertical markets</w:t>
      </w:r>
    </w:p>
    <w:p>
      <w:pPr>
        <w:spacing w:after="0" w:line="217" w:lineRule="exact"/>
        <w:rPr>
          <w:sz w:val="20"/>
          <w:szCs w:val="20"/>
          <w:color w:val="auto"/>
        </w:rPr>
      </w:pPr>
    </w:p>
    <w:p>
      <w:pPr>
        <w:ind w:left="660" w:right="80"/>
        <w:spacing w:after="0" w:line="247" w:lineRule="auto"/>
        <w:rPr>
          <w:sz w:val="20"/>
          <w:szCs w:val="20"/>
          <w:color w:val="auto"/>
        </w:rPr>
      </w:pPr>
      <w:r>
        <w:rPr>
          <w:rFonts w:ascii="Times New Roman" w:cs="Times New Roman" w:eastAsia="Times New Roman" w:hAnsi="Times New Roman"/>
          <w:sz w:val="18"/>
          <w:szCs w:val="18"/>
          <w:i w:val="1"/>
          <w:iCs w:val="1"/>
          <w:color w:val="auto"/>
        </w:rPr>
        <w:t>Fixed Wireless Access Solutions</w:t>
      </w:r>
      <w:r>
        <w:rPr>
          <w:rFonts w:ascii="Times New Roman" w:cs="Times New Roman" w:eastAsia="Times New Roman" w:hAnsi="Times New Roman"/>
          <w:sz w:val="18"/>
          <w:szCs w:val="18"/>
          <w:color w:val="auto"/>
        </w:rPr>
        <w:t>: Our fixed wireless access solutions are deployed by enterprise and SMB customers for their distributed 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as a fully secure and corporate managed wireless WWAN solution. The portfolio consists of indoor, outdoor and industrial routers and gateways supported by our cloud offering – Inseego Connect – for device management. Revenues related to our cloud offerings of Inseego Connect are included within </w:t>
      </w:r>
      <w:r>
        <w:rPr>
          <w:rFonts w:ascii="Times New Roman" w:cs="Times New Roman" w:eastAsia="Times New Roman" w:hAnsi="Times New Roman"/>
          <w:sz w:val="18"/>
          <w:szCs w:val="18"/>
          <w:i w:val="1"/>
          <w:iCs w:val="1"/>
          <w:color w:val="auto"/>
        </w:rPr>
        <w:t>Software Services and Other</w:t>
      </w:r>
      <w:r>
        <w:rPr>
          <w:rFonts w:ascii="Times New Roman" w:cs="Times New Roman" w:eastAsia="Times New Roman" w:hAnsi="Times New Roman"/>
          <w:sz w:val="18"/>
          <w:szCs w:val="18"/>
          <w:color w:val="auto"/>
        </w:rPr>
        <w:t xml:space="preserve"> below. These devices, sold under the Wavemaker and Skyus brands, are sold by mobile operators such as T-Mobile, Verizon Wireless, and AT&amp;T along with distribution and channel partners.</w:t>
      </w:r>
    </w:p>
    <w:p>
      <w:pPr>
        <w:spacing w:after="0" w:line="204" w:lineRule="exact"/>
        <w:rPr>
          <w:sz w:val="20"/>
          <w:szCs w:val="20"/>
          <w:color w:val="auto"/>
        </w:rPr>
      </w:pPr>
    </w:p>
    <w:p>
      <w:pPr>
        <w:ind w:left="660" w:right="200"/>
        <w:spacing w:after="0" w:line="251" w:lineRule="auto"/>
        <w:rPr>
          <w:sz w:val="20"/>
          <w:szCs w:val="20"/>
          <w:color w:val="auto"/>
        </w:rPr>
      </w:pPr>
      <w:r>
        <w:rPr>
          <w:rFonts w:ascii="Times New Roman" w:cs="Times New Roman" w:eastAsia="Times New Roman" w:hAnsi="Times New Roman"/>
          <w:sz w:val="18"/>
          <w:szCs w:val="18"/>
          <w:i w:val="1"/>
          <w:iCs w:val="1"/>
          <w:color w:val="auto"/>
        </w:rPr>
        <w:t>Software Services and Other</w:t>
      </w:r>
      <w:r>
        <w:rPr>
          <w:rFonts w:ascii="Times New Roman" w:cs="Times New Roman" w:eastAsia="Times New Roman" w:hAnsi="Times New Roman"/>
          <w:sz w:val="18"/>
          <w:szCs w:val="18"/>
          <w:color w:val="auto"/>
        </w:rPr>
        <w:t>: A substantial majority of our software services and other revenue comes from providing a SaaS CSP wireless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 lifecycle management solution (“Inseego Subscribe”) for carrier’s management of their government and complex enterprise customer subscriptions. Software services and other revenue also includes the Company’s above mentioned Inseego Connect offering. We also categorize non-recurring engineering services we provide to our customers as software services and other revenue.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Reporting</w:t>
      </w:r>
    </w:p>
    <w:p>
      <w:pPr>
        <w:spacing w:after="0" w:line="162"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The Company has one reportable segment. The Company’s Chief Executive Officer (“CEO”), who is also the Chief Operating Decision Maker, does not manage any part of the Company separately, and the allocation of resources and assessment of performance are based solely on the Company’s consolidated operations and financial results. As such, our operations constitute a single operating segment and one reportable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discussed in the Form 10-K.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2026 Compared to Three Months Ended March 31, 2025</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three months ended March 31, 2026 were $34.3 million, compared to $31.7 million for the same period in 2025.</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category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16,688</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17,790</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179.2</w:t>
            </w:r>
          </w:p>
        </w:tc>
        <w:tc>
          <w:tcPr>
            <w:tcW w:w="0" w:type="dxa"/>
            <w:vAlign w:val="bottom"/>
          </w:tcPr>
          <w:p>
            <w:pPr>
              <w:spacing w:after="0"/>
              <w:rPr>
                <w:sz w:val="1"/>
                <w:szCs w:val="1"/>
                <w:color w:val="auto"/>
              </w:rPr>
            </w:pPr>
          </w:p>
        </w:tc>
      </w:tr>
      <w:tr>
        <w:trPr>
          <w:trHeight w:val="20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22,002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19,693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12,336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34,338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31,673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right="1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$1.1 million decrease in mobile solutions revenues is primarily due to decreased sales with one of our carrier partners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promotional activity in the prior period.</w:t>
      </w:r>
    </w:p>
    <w:p>
      <w:pPr>
        <w:spacing w:after="0" w:line="105" w:lineRule="exact"/>
        <w:rPr>
          <w:sz w:val="20"/>
          <w:szCs w:val="20"/>
          <w:color w:val="auto"/>
        </w:rPr>
      </w:pPr>
    </w:p>
    <w:p>
      <w:pPr>
        <w:ind w:left="120" w:right="2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The $3.4 million increase in fixed wireless access solutions revenues is primarily due to the launch of our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generation indoor FWA solution that began selling in the second quarter of 2025.</w:t>
      </w:r>
    </w:p>
    <w:p>
      <w:pPr>
        <w:spacing w:after="0" w:line="91" w:lineRule="exact"/>
        <w:rPr>
          <w:sz w:val="20"/>
          <w:szCs w:val="20"/>
          <w:color w:val="auto"/>
        </w:rPr>
      </w:pPr>
    </w:p>
    <w:p>
      <w:pPr>
        <w:ind w:left="120" w:right="2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Software services and other. </w:t>
      </w:r>
      <w:r>
        <w:rPr>
          <w:rFonts w:ascii="Times New Roman" w:cs="Times New Roman" w:eastAsia="Times New Roman" w:hAnsi="Times New Roman"/>
          <w:sz w:val="18"/>
          <w:szCs w:val="18"/>
          <w:color w:val="auto"/>
        </w:rPr>
        <w:t>The $0.4 million increase in software services and other revenues is primarily due to increased revenue from Inseego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w:t>
      </w:r>
    </w:p>
    <w:p>
      <w:pPr>
        <w:spacing w:after="0" w:line="116" w:lineRule="exact"/>
        <w:rPr>
          <w:sz w:val="20"/>
          <w:szCs w:val="20"/>
          <w:color w:val="auto"/>
        </w:rPr>
      </w:pPr>
    </w:p>
    <w:p>
      <w:pPr>
        <w:ind w:right="12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three months ended March 31, 2026 was $17.7 million, or 51.7% of revenues, compared to $16.7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52.7% of revenues, for the same period in 2025.</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16,382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15,396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Software 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1,359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17,741</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16,690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The $1.0 million increase in product cost of revenues is primarily due to increased product revenues.</w:t>
      </w:r>
    </w:p>
    <w:p>
      <w:pPr>
        <w:spacing w:after="0" w:line="171" w:lineRule="exact"/>
        <w:rPr>
          <w:sz w:val="20"/>
          <w:szCs w:val="20"/>
          <w:color w:val="auto"/>
        </w:rPr>
      </w:pPr>
    </w:p>
    <w:p>
      <w:pPr>
        <w:ind w:left="120" w:right="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Software services and other. </w:t>
      </w:r>
      <w:r>
        <w:rPr>
          <w:rFonts w:ascii="Times New Roman" w:cs="Times New Roman" w:eastAsia="Times New Roman" w:hAnsi="Times New Roman"/>
          <w:sz w:val="18"/>
          <w:szCs w:val="18"/>
          <w:color w:val="auto"/>
        </w:rPr>
        <w:t>The $0.1 million increase in software services and other cost of revenues is primarily due to increased Inseego Connect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the related costs of performing those services.</w:t>
      </w:r>
    </w:p>
    <w:p>
      <w:pPr>
        <w:spacing w:after="0" w:line="103" w:lineRule="exact"/>
        <w:rPr>
          <w:sz w:val="20"/>
          <w:szCs w:val="20"/>
          <w:color w:val="auto"/>
        </w:rPr>
      </w:pPr>
    </w:p>
    <w:p>
      <w:pPr>
        <w:jc w:val="both"/>
        <w:ind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March 31, 2026 was $16.6 million, or a gross margin of 48.3%, compared to $15.0 million, 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gross margin of 47.3%, for the same period in 2025. The increase in both gross profit and gross margin is primarily due to an increased proportion of higher margin service and FWA revenues as a percentage of total revenues.</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Pr>
          <w:p>
            <w:pPr>
              <w:spacing w:after="0"/>
              <w:rPr>
                <w:sz w:val="16"/>
                <w:szCs w:val="16"/>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5,810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4,535</w:t>
            </w:r>
          </w:p>
        </w:tc>
        <w:tc>
          <w:tcPr>
            <w:tcW w:w="100" w:type="dxa"/>
            <w:vAlign w:val="bottom"/>
          </w:tcPr>
          <w:p>
            <w:pPr>
              <w:spacing w:after="0"/>
              <w:rPr>
                <w:sz w:val="18"/>
                <w:szCs w:val="18"/>
                <w:color w:val="auto"/>
              </w:rPr>
            </w:pPr>
          </w:p>
        </w:tc>
        <w:tc>
          <w:tcPr>
            <w:tcW w:w="70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28.1 %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20,163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15,407</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8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March 31, 2026 were $5.8 million, or 16.9%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revenues, compared to $4.5 million, or 14.3% of revenues, for the same period in 2025. The increase in research and development expenses was primarily due to increased compensation costs due to increased headcount and increased outside services costs related to the Company’s increased development efforts for its next line of products.</w:t>
      </w:r>
    </w:p>
    <w:p>
      <w:pPr>
        <w:spacing w:after="0" w:line="116" w:lineRule="exact"/>
        <w:rPr>
          <w:sz w:val="20"/>
          <w:szCs w:val="20"/>
          <w:color w:val="auto"/>
        </w:rPr>
      </w:pPr>
    </w:p>
    <w:p>
      <w:pPr>
        <w:ind w:right="10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March 31, 2026 were $5.6 million, or 16.4% of revenues,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compared to $3.9 million, or 12.4% of revenues, for the same period in 2025. The increase in sales and marketing expenses was primarily due to increased compensation costs due to increased headcount and increased share-based compensation expense related to equity awards granted in late 2025.</w:t>
      </w:r>
    </w:p>
    <w:p>
      <w:pPr>
        <w:spacing w:after="0" w:line="110" w:lineRule="exact"/>
        <w:rPr>
          <w:sz w:val="20"/>
          <w:szCs w:val="20"/>
          <w:color w:val="auto"/>
        </w:rPr>
      </w:pPr>
    </w:p>
    <w:p>
      <w:pPr>
        <w:ind w:right="1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three months ended March 31, 2026 were $6.9 million, or 20.2%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revenues, compared to $4.5 million, or 14.2% of revenues, for the same period in 2025. The increase in general and administrative expense was primarily due to non-recurring transaction costs related to the Preferred Stock Exchange Agreement and Purchase Agreement for Nokia’s FWA business and increased share-based compensation expense related to equity awards granted in late 2025.</w:t>
      </w:r>
    </w:p>
    <w:p>
      <w:pPr>
        <w:spacing w:after="0" w:line="116"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three months ended March 31, 2026 were $1.8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5.2% of revenues, compared to $2.1 million, or 6.5% of revenues, for the same period in 2025. The decrease in depreciation and amortization expenses was primarily due to capitalized costs on various development projects being capitalized during three months ended March 31, 2026 but not amortizable until future quarters when they go to market and the ending of useful life of certain amortizable purchased intangibles.</w:t>
      </w:r>
    </w:p>
    <w:p>
      <w:pPr>
        <w:spacing w:after="0" w:line="130" w:lineRule="exact"/>
        <w:rPr>
          <w:sz w:val="20"/>
          <w:szCs w:val="20"/>
          <w:color w:val="auto"/>
        </w:rPr>
      </w:pPr>
    </w:p>
    <w:p>
      <w:pPr>
        <w:ind w:right="58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capitalized software. </w:t>
      </w:r>
      <w:r>
        <w:rPr>
          <w:rFonts w:ascii="Times New Roman" w:cs="Times New Roman" w:eastAsia="Times New Roman" w:hAnsi="Times New Roman"/>
          <w:sz w:val="18"/>
          <w:szCs w:val="18"/>
          <w:color w:val="auto"/>
        </w:rPr>
        <w:t>For the three months ended March 31, 2026 and 2025, we recorded impairments of $0.0 million and $0.4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Pr>
          <w:p>
            <w:pPr>
              <w:spacing w:after="0"/>
              <w:rPr>
                <w:sz w:val="16"/>
                <w:szCs w:val="16"/>
                <w:color w:val="auto"/>
              </w:rPr>
            </w:pPr>
          </w:p>
        </w:tc>
        <w:tc>
          <w:tcPr>
            <w:tcW w:w="100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rPr>
              <w:t>(58.7)</w:t>
            </w:r>
          </w:p>
        </w:tc>
        <w:tc>
          <w:tcPr>
            <w:tcW w:w="0" w:type="dxa"/>
            <w:vAlign w:val="bottom"/>
          </w:tcPr>
          <w:p>
            <w:pPr>
              <w:spacing w:after="0"/>
              <w:rPr>
                <w:sz w:val="1"/>
                <w:szCs w:val="1"/>
                <w:color w:val="auto"/>
              </w:rPr>
            </w:pPr>
          </w:p>
        </w:tc>
      </w:tr>
      <w:tr>
        <w:trPr>
          <w:trHeight w:val="235"/>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79" w:lineRule="exact"/>
        <w:rPr>
          <w:sz w:val="20"/>
          <w:szCs w:val="20"/>
          <w:color w:val="auto"/>
        </w:rPr>
      </w:pPr>
    </w:p>
    <w:p>
      <w:pPr>
        <w:ind w:right="16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change in interest expense is due to the offsetting impacts of the $8.0 million increase in 2029 Senior Secured Notes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three months ended March 31, 2026 as part of the Preferred Stock Exchange Agreement and the repayment of the 2025 Convertible Notes in May 2025.</w:t>
      </w:r>
    </w:p>
    <w:p>
      <w:pPr>
        <w:spacing w:after="0" w:line="110" w:lineRule="exact"/>
        <w:rPr>
          <w:sz w:val="20"/>
          <w:szCs w:val="20"/>
          <w:color w:val="auto"/>
        </w:rPr>
      </w:pPr>
    </w:p>
    <w:p>
      <w:pPr>
        <w:ind w:right="22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for the three months ended March 31, 2026 and 2025 was $0.1 million and $0.3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decrease in other income, net was primarily due to lower interest bearing cash balances in the current quarter.</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(benefit). </w:t>
      </w:r>
      <w:r>
        <w:rPr>
          <w:rFonts w:ascii="Times New Roman" w:cs="Times New Roman" w:eastAsia="Times New Roman" w:hAnsi="Times New Roman"/>
          <w:sz w:val="18"/>
          <w:szCs w:val="18"/>
          <w:color w:val="auto"/>
        </w:rPr>
        <w:t>Income tax provision (benefit) was less than $0.1 million for both the three months ended March 31, 2026 and 2025.</w:t>
      </w:r>
    </w:p>
    <w:p>
      <w:pPr>
        <w:spacing w:after="0" w:line="144" w:lineRule="exact"/>
        <w:rPr>
          <w:sz w:val="20"/>
          <w:szCs w:val="20"/>
          <w:color w:val="auto"/>
        </w:rPr>
      </w:pPr>
    </w:p>
    <w:p>
      <w:pPr>
        <w:jc w:val="both"/>
        <w:ind w:right="7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(Loss) from discontinued operations, net of tax. </w:t>
      </w:r>
      <w:r>
        <w:rPr>
          <w:rFonts w:ascii="Times New Roman" w:cs="Times New Roman" w:eastAsia="Times New Roman" w:hAnsi="Times New Roman"/>
          <w:sz w:val="18"/>
          <w:szCs w:val="18"/>
          <w:color w:val="auto"/>
        </w:rPr>
        <w:t>Income (loss) from discontinued operations, net of tax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2025 was $0.4 million. There was no income (loss) from discontinued operations during the three months ended March 31, 2026 as the Telematics Business was sold in November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6" w:name="page27"/>
    <w:bookmarkEnd w:id="26"/>
    <w:p>
      <w:pPr>
        <w:ind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three months ended March 31, 2025, we recorded dividends of $0.9 million. There were no preferred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dividends during the three months ended March 31, 2026 as all outstanding preferred stock was surrendered and forfeited by the Preferred Stock Holder as part of the Preferred Stock Exchange Agreement on January 14, 2026.</w:t>
      </w:r>
    </w:p>
    <w:p>
      <w:pPr>
        <w:spacing w:after="0" w:line="200" w:lineRule="exact"/>
        <w:rPr>
          <w:sz w:val="20"/>
          <w:szCs w:val="20"/>
          <w:color w:val="auto"/>
        </w:rPr>
      </w:pPr>
    </w:p>
    <w:p>
      <w:pPr>
        <w:spacing w:after="0" w:line="3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73" w:right="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2"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available cash and cash equivalents totaling $19.3 million and maintained positive working capital of $1.1 million. The Company had positive cash flows from operations of $1.7 million for the three months ended March 31, 2026.</w:t>
      </w:r>
    </w:p>
    <w:p>
      <w:pPr>
        <w:spacing w:after="0" w:line="94"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On August 5, 2025, the Company entered into a Credit and Security Agreement (the “Working Capital Facility Agreement”) with BMO Bank N.A. (“BMO”) that provides up to a maximum $15.0 million secured asset-backed revolving credit facility (the “Working Capital Facility”). The facility matures on August 5, 2028 and contains certain financial and non-financial covenants. The Company was in compliance with all covenants under the Working Capital Facility Agreement as of March 31, 2026.</w:t>
      </w:r>
    </w:p>
    <w:p>
      <w:pPr>
        <w:spacing w:after="0" w:line="12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Obligations under the Working Capital Facility are secured by a continuing security interest in substantially all property of Inseego Corp. and certain of its subsidiaries, subject to customary exclusions. Availability under the Working Capital Facility is determined monthly as the excess of a borrowing base (“Borrowing Base”), comprised of a percentage of eligible accounts receivable and eligible inventory, over the total loans outstanding under the Working Capital Facility. If the aggregate outstanding amount of the Working Capital Facility exceeds the Borrowing Base at any time, the excess amount shall be payable on demand by BMO.</w:t>
      </w:r>
    </w:p>
    <w:p>
      <w:pPr>
        <w:spacing w:after="0" w:line="12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Loans made under the Working Capital Facility bear interest at a Term Secured Overnight Financing Rate (“SOFR”), as defined in the Working Capital Facility Agreement, plus an applicable margin ranging from 1.00-2.50%, subject to certain exceptions. Interest on loans made under the Working Capital Facility are paid in cash, in arrears, on a semi-annual basis.</w:t>
      </w:r>
    </w:p>
    <w:p>
      <w:pPr>
        <w:spacing w:after="0" w:line="1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there were no outstanding borrowings and availability to borrow under the Working Capital Facility was $14.5 million.</w:t>
      </w:r>
    </w:p>
    <w:p>
      <w:pPr>
        <w:spacing w:after="0" w:line="171"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Company’s 3.25% convertible notes due in 2025 (the “2025 Convertible Notes”) matured on May 1, 2025, at which time all outstanding principal and related accrued interest was paid-off in full. The Company’s 9.0% senior secured notes due in 2029 (the “2029 Senior Secured Notes”) had a principal balance of $48.9 million as of March 31, 2026 and mature on May 1, 2029.</w:t>
      </w:r>
    </w:p>
    <w:p>
      <w:pPr>
        <w:spacing w:after="0" w:line="102" w:lineRule="exact"/>
        <w:rPr>
          <w:sz w:val="20"/>
          <w:szCs w:val="20"/>
          <w:color w:val="auto"/>
        </w:rPr>
      </w:pPr>
    </w:p>
    <w:p>
      <w:pPr>
        <w:ind w:right="20" w:firstLine="405"/>
        <w:spacing w:after="0" w:line="238" w:lineRule="auto"/>
        <w:rPr>
          <w:sz w:val="20"/>
          <w:szCs w:val="20"/>
          <w:color w:val="auto"/>
        </w:rPr>
      </w:pPr>
      <w:r>
        <w:rPr>
          <w:rFonts w:ascii="Times New Roman" w:cs="Times New Roman" w:eastAsia="Times New Roman" w:hAnsi="Times New Roman"/>
          <w:sz w:val="18"/>
          <w:szCs w:val="18"/>
          <w:color w:val="auto"/>
        </w:rPr>
        <w:t>While the Company’s liquidity and financial results had several positive developments in 2025,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14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Our liquidity could be compromised if there is any interruption in our business operations, a material failure to satisfy our contractual commitments, a failure to retain our key existing customers or a failure to generate revenue from new or existing products. If additional funds are raised by the issuance of equity securities, or in connection with any additional debt restructurings or refinancing, Company’s stockholders could experience significant dilution of their ownership interests and securities issued may have rights senior to those of the holders of the Company’s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31, 2026, our material contractual obligations consisted of the following:</w:t>
      </w:r>
    </w:p>
    <w:p>
      <w:pPr>
        <w:spacing w:after="0" w:line="158" w:lineRule="exact"/>
        <w:rPr>
          <w:sz w:val="20"/>
          <w:szCs w:val="20"/>
          <w:color w:val="auto"/>
        </w:rPr>
      </w:pPr>
    </w:p>
    <w:p>
      <w:pPr>
        <w:ind w:left="660" w:right="380" w:hanging="328"/>
        <w:spacing w:after="0" w:line="250" w:lineRule="auto"/>
        <w:tabs>
          <w:tab w:leader="none" w:pos="655" w:val="left"/>
        </w:tabs>
        <w:numPr>
          <w:ilvl w:val="0"/>
          <w:numId w:val="6"/>
        </w:numPr>
        <w:rPr>
          <w:rFonts w:ascii="Arial" w:cs="Arial" w:eastAsia="Arial" w:hAnsi="Arial"/>
          <w:sz w:val="18"/>
          <w:szCs w:val="18"/>
          <w:b w:val="1"/>
          <w:bCs w:val="1"/>
          <w:i w:val="1"/>
          <w:iCs w:val="1"/>
          <w:color w:val="auto"/>
        </w:rPr>
      </w:pPr>
      <w:r>
        <w:rPr>
          <w:rFonts w:ascii="Times New Roman" w:cs="Times New Roman" w:eastAsia="Times New Roman" w:hAnsi="Times New Roman"/>
          <w:sz w:val="18"/>
          <w:szCs w:val="18"/>
          <w:color w:val="auto"/>
        </w:rPr>
        <w:t>To mitigate the risk of material shortages and price increases, we enter into non-cancellable purchase obligations with certain key contract manufacturers and other vendors for the purchase of goods and services to be received up to three to four quarters following the balance sheet date. Our purchase obligations consist of agreements to purchase goods and services entered into in the ordinary course of business. As of March 31, 2026, our future payments under these noncancellable purchase obligations were approximately $127.1 million.</w:t>
      </w:r>
    </w:p>
    <w:p>
      <w:pPr>
        <w:spacing w:after="0" w:line="13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$48.9 million in outstanding borrowings under the 2029 Senior Secured Notes; see Part I Item 1, </w:t>
      </w:r>
      <w:r>
        <w:rPr>
          <w:rFonts w:ascii="Times New Roman" w:cs="Times New Roman" w:eastAsia="Times New Roman" w:hAnsi="Times New Roman"/>
          <w:sz w:val="18"/>
          <w:szCs w:val="18"/>
          <w:i w:val="1"/>
          <w:iCs w:val="1"/>
          <w:color w:val="auto"/>
        </w:rPr>
        <w:t>Note 4 – Debt</w:t>
      </w:r>
      <w:r>
        <w:rPr>
          <w:rFonts w:ascii="Times New Roman" w:cs="Times New Roman" w:eastAsia="Times New Roman" w:hAnsi="Times New Roman"/>
          <w:sz w:val="18"/>
          <w:szCs w:val="18"/>
          <w:color w:val="auto"/>
        </w:rPr>
        <w:t>; and</w:t>
      </w:r>
    </w:p>
    <w:p>
      <w:pPr>
        <w:spacing w:after="0" w:line="15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that are included on our consolidated balance sheet.</w:t>
      </w:r>
    </w:p>
    <w:p>
      <w:pPr>
        <w:spacing w:after="0" w:line="15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other contractual obligations, other than the full repayment upon maturity of the 2025 Convertible Notes on May 1, 2025.</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cash flows for the periods indicated (in thousands):</w:t>
      </w:r>
    </w:p>
    <w:p>
      <w:pPr>
        <w:spacing w:after="0" w:line="20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cash flows from continuing operations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flows from discontinued operations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(used in)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cash flows from continuing operations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(1,725)</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cash flows from discontinued operations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r>
      <w:tr>
        <w:trPr>
          <w:trHeight w:val="212"/>
        </w:trPr>
        <w:tc>
          <w:tcPr>
            <w:tcW w:w="8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cash flows from continuing operations</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cash flows from discontinued operations</w:t>
            </w: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70"/>
        </w:trPr>
        <w:tc>
          <w:tcPr>
            <w:tcW w:w="8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7"/>
        </w:trPr>
        <w:tc>
          <w:tcPr>
            <w:tcW w:w="85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Net decrease in cash and cash equivalents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(4,447)</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39,596</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35,149</w:t>
            </w:r>
          </w:p>
        </w:tc>
      </w:tr>
      <w:tr>
        <w:trPr>
          <w:trHeight w:val="2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right="100" w:firstLine="405"/>
        <w:spacing w:after="0" w:line="270" w:lineRule="auto"/>
        <w:rPr>
          <w:sz w:val="20"/>
          <w:szCs w:val="20"/>
          <w:color w:val="auto"/>
        </w:rPr>
      </w:pPr>
      <w:r>
        <w:rPr>
          <w:rFonts w:ascii="Times New Roman" w:cs="Times New Roman" w:eastAsia="Times New Roman" w:hAnsi="Times New Roman"/>
          <w:sz w:val="17"/>
          <w:szCs w:val="17"/>
          <w:color w:val="auto"/>
        </w:rPr>
        <w:t>Net cash provided by operating activities for the three months ended March 31, 2026 is primarily comprised of net cash provided by working capital of $1.9 million, which was largely due to timing of large cash receipts on accounts receivable balances, partially offset by the payout of the Company’s annual bonuses that were accrued for at December 31, 2025. The net cash provided by working capital was partially offset by a $4.5 million net loss and non-cash charges during the period, including share-based compensation expense of $2.3 million and depreciation and amortization of $1.8 million.</w:t>
      </w:r>
    </w:p>
    <w:p>
      <w:pPr>
        <w:spacing w:after="0" w:line="106"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Net cash used in operating activities for three months ended March 31, 2025 is primarily comprised of a $1.2 million net loss from continuing operations during the period and net cash used for working capital of $7.0 million, which was largely due to the payout of the annual bonus that was accrued for at December 31, 2024, partially offset by non-cash charges, including depreciation and amortization of $2.1 million, share-based compensation expense of $1.6 million, and provision for excess and obsolete inventory of $0.7 million.</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62"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March 31, 2026 is primarily comprised of $3.8 million of cash outflows related to the development of software in support of our products and services.</w:t>
      </w:r>
    </w:p>
    <w:p>
      <w:pPr>
        <w:spacing w:after="0" w:line="122" w:lineRule="exact"/>
        <w:rPr>
          <w:sz w:val="20"/>
          <w:szCs w:val="20"/>
          <w:color w:val="auto"/>
        </w:rPr>
      </w:pPr>
    </w:p>
    <w:p>
      <w:pPr>
        <w:ind w:right="320" w:firstLine="405"/>
        <w:spacing w:after="0" w:line="250"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is comprised of $1.7 million of cash outflows related to the development of software in support of our products and services, partially offset by $0.7 million received during the period related to a working capital adjustment payment from the purchaser of the Company’s Telematics Business that was sold in 2024.</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March 31, 2026 is primarily comprised of the $3.3 million payment made as part of the Preferred Stock Exchange Agreement.</w:t>
      </w:r>
    </w:p>
    <w:p>
      <w:pPr>
        <w:spacing w:after="0" w:line="122"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2025 is comprised of less than $0.1 million of cash received from exercises of stock options.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1" w:right="379" w:bottom="1440" w:gutter="0" w:footer="0" w:header="0"/>
        </w:sectPr>
      </w:pPr>
    </w:p>
    <w:bookmarkStart w:id="29" w:name="page30"/>
    <w:bookmarkEnd w:id="29"/>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420"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Our revenue, earnings, cash flows, receivables, and payables are subject to fluctuations due to changes in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162" w:lineRule="exact"/>
        <w:rPr>
          <w:sz w:val="20"/>
          <w:szCs w:val="20"/>
          <w:color w:val="auto"/>
        </w:rPr>
      </w:pPr>
    </w:p>
    <w:p>
      <w:pPr>
        <w:jc w:val="both"/>
        <w:ind w:right="180" w:firstLine="405"/>
        <w:spacing w:after="0" w:line="280" w:lineRule="auto"/>
        <w:rPr>
          <w:sz w:val="20"/>
          <w:szCs w:val="20"/>
          <w:color w:val="auto"/>
        </w:rPr>
      </w:pPr>
      <w:r>
        <w:rPr>
          <w:rFonts w:ascii="Times New Roman" w:cs="Times New Roman" w:eastAsia="Times New Roman" w:hAnsi="Times New Roman"/>
          <w:sz w:val="17"/>
          <w:szCs w:val="17"/>
          <w:color w:val="auto"/>
        </w:rPr>
        <w:t>The Company’s only fixed-rate borrowings, made under the 2029 Senior Secured Notes, had an outstanding principal balance of $48.9 million as of March 31, 2026. We record all fixed-rate borrowings at amortized cost and therefore, any changes in interest rates do not impact the values that we report for these senior notes on our consolidated financial statements. As of March 31, 2026 and December 31, 2025, we had no variable-rate borrowings.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Facility</w:t>
      </w:r>
    </w:p>
    <w:p>
      <w:pPr>
        <w:spacing w:after="0" w:line="175"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We are exposed to interest rate risk associated with fluctuations in interest rates on our Working Capital Facility. As of March 31, 2026, assuming our Working Capital Facility was fully drawn up to the $15.0 million maximum, a 1% change in interest rates would result in a $0.2 million change in annualized interest expense.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62"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color w:val="auto"/>
        </w:rPr>
        <w:t>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240" w:firstLine="405"/>
        <w:spacing w:after="0" w:line="250"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 majority of our revenue is denominated in U.S. Dollars. However, as we have operations in foreign countries,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37"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For the three months ended March 31, 2026, sales denominated in foreign currencies were approximately 2.0%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Canadian Dollar, and Australian Dollar. For the three months ended March 31, 2026, a hypothetical 10% change in these foreign currencies would have increased or decreased our revenue by less than $0.1 million. Actual gains and losses in the future may differ materially from the hypothetical gains and losses discussed above based on changes in the timing and amount of foreign currency exchange rate movements.</w:t>
      </w:r>
    </w:p>
    <w:p>
      <w:pPr>
        <w:spacing w:after="0" w:line="13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23"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March 31, 2026, the end of the period covered by this report. Based on the foregoing, our principal executive officer and principal financial officer concluded that our disclosure controls and procedures were effective as of March 31, 2026.</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promulgated under the Exchange Act, during the quarter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49" w:right="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08"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pacing w:after="0" w:line="5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Other than the additional risk factors set forth below, there were no material changes to the risk factors disclosed in Part I, Item 1A, Risk Factors of the Form 10-K, which was filed with the Securities and Exchange Commission on February 26, 2025. Any of the risks discussed in such report, as well as additional risks and uncertainties not currently known to us or that we currently deem immaterial, could materially and adversely affect our results of operations, financial condition or prospects.</w:t>
      </w:r>
    </w:p>
    <w:p>
      <w:pPr>
        <w:spacing w:after="0" w:line="6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Our pending acquisition of Nokia’s fixed wireless access business (the “Nokia FWA Business”) involves a number of risks, the occurrence of which could materially adversely affect our business, financial condition and operating results.</w:t>
      </w:r>
    </w:p>
    <w:p>
      <w:pPr>
        <w:spacing w:after="0" w:line="63"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On April 30, 2026, we entered into an asset purchase agreement with Nokia to acquire the Nokia FWA Business. The acquisitions involves a number of risks, including the following:</w:t>
      </w:r>
    </w:p>
    <w:p>
      <w:pPr>
        <w:spacing w:after="0" w:line="8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completing the acquisition within the expected time period and the risk that the acquisition may not be completed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fact, event, change, development or circumstance that could give rise to the termination of the purchase agreement;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satisfy any of the conditions to the consummation of the acquisition of the Nokia FWA Business;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to complete the acquisition and integrate the Nokia FWA Business thereafter;</w:t>
      </w:r>
    </w:p>
    <w:p>
      <w:pPr>
        <w:spacing w:after="0" w:line="117" w:lineRule="exact"/>
        <w:rPr>
          <w:rFonts w:ascii="Times New Roman" w:cs="Times New Roman" w:eastAsia="Times New Roman" w:hAnsi="Times New Roman"/>
          <w:sz w:val="18"/>
          <w:szCs w:val="18"/>
          <w:color w:val="auto"/>
        </w:rPr>
      </w:pPr>
    </w:p>
    <w:p>
      <w:pPr>
        <w:ind w:left="700" w:hanging="368"/>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and/or consummation of the acquisition disrupting Inseego’s current plans or operations;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relating to the acquisition, including any resulting costs, delays or diversion of management’s attention;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transactions costs and expenses associated with the acquisition, whether or not it is completed;</w:t>
      </w:r>
    </w:p>
    <w:p>
      <w:pPr>
        <w:spacing w:after="0" w:line="117" w:lineRule="exact"/>
        <w:rPr>
          <w:rFonts w:ascii="Times New Roman" w:cs="Times New Roman" w:eastAsia="Times New Roman" w:hAnsi="Times New Roman"/>
          <w:sz w:val="18"/>
          <w:szCs w:val="18"/>
          <w:color w:val="auto"/>
        </w:rPr>
      </w:pPr>
    </w:p>
    <w:p>
      <w:pPr>
        <w:ind w:left="660" w:right="200" w:hanging="328"/>
        <w:spacing w:after="0" w:line="312" w:lineRule="auto"/>
        <w:tabs>
          <w:tab w:leader="none" w:pos="6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recognize the anticipated benefits of the acquisition, which may be affected by, among other things, the potential loss of customers and/or employees of the Nokia FWA Business, competition, and/or the ability of Inseego to grow and manage growth profitably; and</w:t>
      </w:r>
    </w:p>
    <w:p>
      <w:pPr>
        <w:spacing w:after="0" w:line="31"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costs savings and other anticipated synergies from the acquisition may not be realized when expected, or at all.</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occurrence of any of the above risks could materially adversely affect our business, financial condition and operating results.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of our products and services are subject to laws and regulations in the U.S. and other regions in which we operate.</w:t>
      </w:r>
    </w:p>
    <w:p>
      <w:pPr>
        <w:spacing w:after="0" w:line="108"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Certain of our products and services are subject to laws and regulations in the U.S. and other regions in which we operate. From time to time in the ordinary course we may be required to obtain regulatory approvals or licenses in order to sell certain products and services, which could result in increased costs and inability to sell our products and services. For example, in the U.S., the Federal Communications Commission (“FCC”) regulates many aspects of communications devices and services. Further, regulatory requirements may change, or we may not be able to receive approvals, registrations or licenses from jurisdictions in which we may desire to sell products and services in the future. In addition, many laws and regulations are still evolving and being tested in courts and by regulatory authorities and could be interpreted in ways that could harm our business. For example, on March 23, 2026, the FCC updated the “Covered List” of communications equipment deemed to pose an unacceptable risk to U.S. national security to include all consumer-grade routers produced in foreign countries, effectively prohibiting the importation, marketing, or sale in the United States of such routers. Although previously authorized routers may continue to be imported and sold in the United States, modifications to such routers, including firmware and software updates, often require additional FCC authorization. While we believe that the routers we currently offer are enterprise-grade, not consumer-grade, and thus not subject to the recent FCC update, the FCC may disagree with our determination, and our ability to deliver future products may be impacted. These restrictions may inhibit our ability to introduce new or upgraded products on our desired timeline and we may be required to: (i) delay, redesign, or discontinue certain offerings; (ii) shift manufacturing, assembly, or development activities to the United States or other approved pathways at higher cost; (iii) maintain older product models longer than planned, potentially reducing competitiveness; (iv) carry higher inventory levels or incur write-downs if demand shifts or products become non-viable; and/or (v) devote significant management attention and resources to engineering</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2" w:name="page33"/>
    <w:bookmarkEnd w:id="32"/>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changes, testing, certification, and vendor transitions. Any of these outcomes could adversely affect our revenue, gross margins, and cash flows. Further, any changes that broaden the definition of covered devices, limit waivers or transition periods, or otherwise extend restrictions to additional categories of equipment could further increase our compliance costs and operational risks.</w:t>
      </w:r>
    </w:p>
    <w:p>
      <w:pPr>
        <w:spacing w:after="0" w:line="61"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The application and interpretation of these laws and regulations often are uncertain, particularly in the new and rapidly evolving industry in which we operate. Because laws and regulations have continued to develop and evolve rapidly, it is possible that we or our products or services may not be, or may not have been, compliant with each applicable law or regulation. Compliance with applicable laws and regulations may impose substantial costs on our business, and if we fail to comply we may be subject to regulatory and civil liability, additional costs (including fines), reputational harm, and in severe cases, may be prevented from selling our products and services in certain jurisdictions, all of which could materially and adversely affect our business, financial position, results of operation, and cash flows.</w:t>
      </w:r>
    </w:p>
    <w:p>
      <w:pPr>
        <w:spacing w:after="0" w:line="12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9" w:right="379" w:bottom="1440" w:gutter="0" w:footer="0" w:header="0"/>
        </w:sectPr>
      </w:pPr>
    </w:p>
    <w:bookmarkStart w:id="33" w:name="page34"/>
    <w:bookmarkEnd w:id="33"/>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42"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4"/>
          <w:szCs w:val="14"/>
          <w:b w:val="1"/>
          <w:bCs w:val="1"/>
          <w:color w:val="auto"/>
        </w:rPr>
        <w:t>Incorporated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 w:lineRule="exact"/>
        <w:rPr>
          <w:sz w:val="20"/>
          <w:szCs w:val="20"/>
          <w:color w:val="auto"/>
        </w:rPr>
      </w:pPr>
    </w:p>
    <w:p>
      <w:pPr>
        <w:ind w:left="20"/>
        <w:spacing w:after="0"/>
        <w:tabs>
          <w:tab w:leader="none" w:pos="1120" w:val="left"/>
          <w:tab w:leader="none" w:pos="8760" w:val="left"/>
          <w:tab w:leader="none" w:pos="9480" w:val="left"/>
          <w:tab w:leader="none" w:pos="103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r>
        <w:rPr>
          <w:sz w:val="20"/>
          <w:szCs w:val="20"/>
          <w:color w:val="auto"/>
        </w:rPr>
        <w:tab/>
      </w:r>
      <w:r>
        <w:rPr>
          <w:rFonts w:ascii="Times New Roman" w:cs="Times New Roman" w:eastAsia="Times New Roman" w:hAnsi="Times New Roman"/>
          <w:sz w:val="14"/>
          <w:szCs w:val="14"/>
          <w:b w:val="1"/>
          <w:bCs w:val="1"/>
          <w:color w:val="auto"/>
        </w:rPr>
        <w:t>Form</w:t>
      </w:r>
      <w:r>
        <w:rPr>
          <w:sz w:val="20"/>
          <w:szCs w:val="20"/>
          <w:color w:val="auto"/>
        </w:rPr>
        <w:tab/>
      </w: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sectPr>
      </w:pP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24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7400" w:type="dxa"/>
            <w:vAlign w:val="bottom"/>
            <w:gridSpan w:val="16"/>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Amended and Restated Certificate of Incorporation.</w:t>
              </w:r>
            </w:hyperlink>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300" w:type="dxa"/>
            <w:vAlign w:val="bottom"/>
            <w:tcBorders>
              <w:top w:val="single" w:sz="8" w:color="0000FF"/>
              <w:bottom w:val="single" w:sz="8" w:color="0000FF"/>
            </w:tcBorders>
            <w:gridSpan w:val="4"/>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Amended and Restated Bylaws.</w:t>
              </w:r>
            </w:hyperlink>
          </w:p>
        </w:tc>
        <w:tc>
          <w:tcPr>
            <w:tcW w:w="1420" w:type="dxa"/>
            <w:vAlign w:val="bottom"/>
            <w:tcBorders>
              <w:top w:val="single" w:sz="8" w:color="0000FF"/>
            </w:tcBorders>
            <w:gridSpan w:val="4"/>
          </w:tcPr>
          <w:p>
            <w:pPr>
              <w:spacing w:after="0"/>
              <w:rPr>
                <w:sz w:val="24"/>
                <w:szCs w:val="24"/>
                <w:color w:val="auto"/>
              </w:rPr>
            </w:pPr>
          </w:p>
        </w:tc>
        <w:tc>
          <w:tcPr>
            <w:tcW w:w="3680" w:type="dxa"/>
            <w:vAlign w:val="bottom"/>
            <w:gridSpan w:val="8"/>
          </w:tcPr>
          <w:p>
            <w:pPr>
              <w:spacing w:after="0"/>
              <w:rPr>
                <w:sz w:val="24"/>
                <w:szCs w:val="24"/>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7400" w:type="dxa"/>
            <w:vAlign w:val="bottom"/>
            <w:gridSpan w:val="16"/>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Certificate of Designation of Series E Fixed-Rate Cumulative Perpetual Preferred Stock.</w:t>
              </w:r>
            </w:hyperlink>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7400" w:type="dxa"/>
            <w:vAlign w:val="bottom"/>
            <w:gridSpan w:val="16"/>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Certificate of Amendment to Certificate of Designation of Series E Fixed-Rate Cumulative Perpetual</w:t>
              </w:r>
            </w:hyperlink>
          </w:p>
        </w:tc>
      </w:tr>
      <w:tr>
        <w:trPr>
          <w:trHeight w:val="156"/>
        </w:trPr>
        <w:tc>
          <w:tcPr>
            <w:tcW w:w="1120" w:type="dxa"/>
            <w:vAlign w:val="bottom"/>
          </w:tcPr>
          <w:p>
            <w:pPr>
              <w:spacing w:after="0"/>
              <w:rPr>
                <w:sz w:val="13"/>
                <w:szCs w:val="13"/>
                <w:color w:val="auto"/>
              </w:rPr>
            </w:pPr>
          </w:p>
        </w:tc>
        <w:tc>
          <w:tcPr>
            <w:tcW w:w="72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Preferred Stock.</w:t>
              </w:r>
            </w:hyperlink>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71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Certificate of Amendment of Certificate of Incorporation of Inseego Corp., dated January 23, 2024.</w:t>
              </w:r>
            </w:hyperlink>
          </w:p>
        </w:tc>
        <w:tc>
          <w:tcPr>
            <w:tcW w:w="240" w:type="dxa"/>
            <w:vAlign w:val="bottom"/>
            <w:gridSpan w:val="5"/>
          </w:tcPr>
          <w:p>
            <w:pPr>
              <w:spacing w:after="0"/>
              <w:rPr>
                <w:sz w:val="19"/>
                <w:szCs w:val="19"/>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400" w:type="dxa"/>
            <w:vAlign w:val="bottom"/>
            <w:gridSpan w:val="16"/>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Exchange Agreement, dated January 14, 2026</w:t>
              </w:r>
            </w:hyperlink>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our Principal Executive Officer adopted pursuant to Section 302 of the Sarbanes-</w:t>
            </w:r>
          </w:p>
        </w:tc>
      </w:tr>
      <w:tr>
        <w:trPr>
          <w:trHeight w:val="183"/>
        </w:trPr>
        <w:tc>
          <w:tcPr>
            <w:tcW w:w="1120" w:type="dxa"/>
            <w:vAlign w:val="bottom"/>
          </w:tcPr>
          <w:p>
            <w:pPr>
              <w:spacing w:after="0"/>
              <w:rPr>
                <w:sz w:val="15"/>
                <w:szCs w:val="15"/>
                <w:color w:val="auto"/>
              </w:rPr>
            </w:pPr>
          </w:p>
        </w:tc>
        <w:tc>
          <w:tcPr>
            <w:tcW w:w="698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Oxley Act of 2002.</w:t>
            </w:r>
          </w:p>
        </w:tc>
        <w:tc>
          <w:tcPr>
            <w:tcW w:w="24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8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Certification of our Principal Financial Officer adopted pursuant to Section 302 of the Sarbanes-Oxley</w:t>
            </w:r>
          </w:p>
        </w:tc>
      </w:tr>
      <w:tr>
        <w:trPr>
          <w:trHeight w:val="183"/>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6480" w:type="dxa"/>
            <w:vAlign w:val="bottom"/>
            <w:tcBorders>
              <w:top w:val="single" w:sz="8" w:color="0000FF"/>
            </w:tcBorders>
            <w:gridSpan w:val="14"/>
          </w:tcPr>
          <w:p>
            <w:pPr>
              <w:spacing w:after="0"/>
              <w:rPr>
                <w:sz w:val="15"/>
                <w:szCs w:val="15"/>
                <w:color w:val="auto"/>
              </w:rPr>
            </w:pPr>
          </w:p>
        </w:tc>
        <w:tc>
          <w:tcPr>
            <w:tcW w:w="20" w:type="dxa"/>
            <w:vAlign w:val="bottom"/>
          </w:tcPr>
          <w:p>
            <w:pPr>
              <w:spacing w:after="0"/>
              <w:rPr>
                <w:sz w:val="15"/>
                <w:szCs w:val="15"/>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w:t>
            </w:r>
          </w:p>
        </w:tc>
      </w:tr>
      <w:tr>
        <w:trPr>
          <w:trHeight w:val="183"/>
        </w:trPr>
        <w:tc>
          <w:tcPr>
            <w:tcW w:w="1120" w:type="dxa"/>
            <w:vAlign w:val="bottom"/>
          </w:tcPr>
          <w:p>
            <w:pPr>
              <w:spacing w:after="0"/>
              <w:rPr>
                <w:sz w:val="15"/>
                <w:szCs w:val="15"/>
                <w:color w:val="auto"/>
              </w:rPr>
            </w:pPr>
          </w:p>
        </w:tc>
        <w:tc>
          <w:tcPr>
            <w:tcW w:w="364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to Section 906 of the Sarbanes-Oxley Act of 2002.</w:t>
            </w:r>
          </w:p>
        </w:tc>
        <w:tc>
          <w:tcPr>
            <w:tcW w:w="3580" w:type="dxa"/>
            <w:vAlign w:val="bottom"/>
            <w:tcBorders>
              <w:top w:val="single" w:sz="8" w:color="0000FF"/>
            </w:tcBorders>
            <w:gridSpan w:val="5"/>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w:t>
            </w:r>
          </w:p>
        </w:tc>
      </w:tr>
      <w:tr>
        <w:trPr>
          <w:trHeight w:val="183"/>
        </w:trPr>
        <w:tc>
          <w:tcPr>
            <w:tcW w:w="1120" w:type="dxa"/>
            <w:vAlign w:val="bottom"/>
          </w:tcPr>
          <w:p>
            <w:pPr>
              <w:spacing w:after="0"/>
              <w:rPr>
                <w:sz w:val="15"/>
                <w:szCs w:val="15"/>
                <w:color w:val="auto"/>
              </w:rPr>
            </w:pPr>
          </w:p>
        </w:tc>
        <w:tc>
          <w:tcPr>
            <w:tcW w:w="346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3900" w:type="dxa"/>
            <w:vAlign w:val="bottom"/>
            <w:tcBorders>
              <w:top w:val="single" w:sz="8" w:color="0000FF"/>
            </w:tcBorders>
            <w:gridSpan w:val="8"/>
          </w:tcPr>
          <w:p>
            <w:pPr>
              <w:spacing w:after="0"/>
              <w:rPr>
                <w:sz w:val="15"/>
                <w:szCs w:val="15"/>
                <w:color w:val="auto"/>
              </w:rPr>
            </w:pPr>
          </w:p>
        </w:tc>
        <w:tc>
          <w:tcPr>
            <w:tcW w:w="40" w:type="dxa"/>
            <w:vAlign w:val="bottom"/>
            <w:gridSpan w:val="2"/>
          </w:tcPr>
          <w:p>
            <w:pPr>
              <w:spacing w:after="0"/>
              <w:rPr>
                <w:sz w:val="15"/>
                <w:szCs w:val="15"/>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34"/>
        </w:trPr>
        <w:tc>
          <w:tcPr>
            <w:tcW w:w="1120" w:type="dxa"/>
            <w:vAlign w:val="bottom"/>
          </w:tcPr>
          <w:p>
            <w:pPr>
              <w:spacing w:after="0"/>
              <w:rPr>
                <w:sz w:val="20"/>
                <w:szCs w:val="20"/>
                <w:color w:val="auto"/>
              </w:rPr>
            </w:pP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1140" w:hanging="1114"/>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4" w:lineRule="exact"/>
        <w:rPr>
          <w:sz w:val="20"/>
          <w:szCs w:val="20"/>
          <w:color w:val="auto"/>
        </w:rPr>
      </w:pPr>
    </w:p>
    <w:p>
      <w:pPr>
        <w:ind w:left="1140" w:hanging="1114"/>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11/9/2016</w:t>
            </w:r>
          </w:p>
        </w:tc>
      </w:tr>
      <w:tr>
        <w:trPr>
          <w:trHeight w:val="365"/>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7"/>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5/9/2025</w:t>
            </w:r>
          </w:p>
        </w:tc>
      </w:tr>
      <w:tr>
        <w:trPr>
          <w:trHeight w:val="36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8/13/2019</w:t>
            </w:r>
          </w:p>
        </w:tc>
      </w:tr>
      <w:tr>
        <w:trPr>
          <w:trHeight w:val="41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3/10/2020</w:t>
            </w:r>
          </w:p>
        </w:tc>
      </w:tr>
      <w:tr>
        <w:trPr>
          <w:trHeight w:val="234"/>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1/23/2024</w:t>
            </w:r>
          </w:p>
        </w:tc>
      </w:tr>
      <w:tr>
        <w:trPr>
          <w:trHeight w:val="256"/>
        </w:trPr>
        <w:tc>
          <w:tcPr>
            <w:tcW w:w="6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9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8"/>
              </w:rPr>
              <w:t>1/14/2026</w:t>
            </w:r>
          </w:p>
        </w:tc>
      </w:tr>
    </w:tbl>
    <w:p>
      <w:pPr>
        <w:spacing w:after="0" w:line="5640" w:lineRule="exact"/>
        <w:rPr>
          <w:sz w:val="20"/>
          <w:szCs w:val="20"/>
          <w:color w:val="auto"/>
        </w:rPr>
      </w:pPr>
    </w:p>
    <w:p>
      <w:pPr>
        <w:sectPr>
          <w:pgSz w:w="11900" w:h="16838" w:orient="portrait"/>
          <w:cols w:equalWidth="0" w:num="2">
            <w:col w:w="8500" w:space="260"/>
            <w:col w:w="2280"/>
          </w:cols>
          <w:pgMar w:left="320" w:top="887"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887" w:right="5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4040" w:type="dxa"/>
            <w:vAlign w:val="bottom"/>
            <w:gridSpan w:val="3"/>
          </w:tcPr>
          <w:p>
            <w:pPr>
              <w:ind w:left="2640"/>
              <w:spacing w:after="0"/>
              <w:rPr>
                <w:sz w:val="20"/>
                <w:szCs w:val="20"/>
                <w:color w:val="auto"/>
              </w:rPr>
            </w:pPr>
            <w:r>
              <w:rPr>
                <w:rFonts w:ascii="Times New Roman" w:cs="Times New Roman" w:eastAsia="Times New Roman" w:hAnsi="Times New Roman"/>
                <w:sz w:val="18"/>
                <w:szCs w:val="18"/>
                <w:color w:val="auto"/>
              </w:rPr>
              <w:t>Inseego Corp.</w:t>
            </w:r>
          </w:p>
        </w:tc>
        <w:tc>
          <w:tcPr>
            <w:tcW w:w="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3960" w:type="dxa"/>
            <w:vAlign w:val="bottom"/>
          </w:tcPr>
          <w:p>
            <w:pPr>
              <w:spacing w:after="0"/>
              <w:rPr>
                <w:sz w:val="24"/>
                <w:szCs w:val="24"/>
                <w:color w:val="auto"/>
              </w:rPr>
            </w:pPr>
          </w:p>
        </w:tc>
        <w:tc>
          <w:tcPr>
            <w:tcW w:w="4040" w:type="dxa"/>
            <w:vAlign w:val="bottom"/>
            <w:gridSpan w:val="3"/>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/s/</w:t>
            </w:r>
          </w:p>
        </w:tc>
        <w:tc>
          <w:tcPr>
            <w:tcW w:w="258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JUHO SARVIKAS</w:t>
            </w:r>
          </w:p>
        </w:tc>
      </w:tr>
      <w:tr>
        <w:trPr>
          <w:trHeight w:val="184"/>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580" w:type="dxa"/>
            <w:vAlign w:val="bottom"/>
            <w:tcBorders>
              <w:top w:val="single" w:sz="8" w:color="auto"/>
            </w:tcBorders>
            <w:gridSpan w:val="2"/>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Juho Sarvikas</w:t>
            </w:r>
          </w:p>
        </w:tc>
      </w:tr>
      <w:tr>
        <w:trPr>
          <w:trHeight w:val="191"/>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Chief Executive Officer</w:t>
            </w:r>
          </w:p>
        </w:tc>
      </w:tr>
      <w:tr>
        <w:trPr>
          <w:trHeight w:val="658"/>
        </w:trPr>
        <w:tc>
          <w:tcPr>
            <w:tcW w:w="3960" w:type="dxa"/>
            <w:vAlign w:val="bottom"/>
          </w:tcPr>
          <w:p>
            <w:pPr>
              <w:spacing w:after="0"/>
              <w:rPr>
                <w:sz w:val="24"/>
                <w:szCs w:val="24"/>
                <w:color w:val="auto"/>
              </w:rPr>
            </w:pPr>
          </w:p>
        </w:tc>
        <w:tc>
          <w:tcPr>
            <w:tcW w:w="404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By:</w:t>
            </w:r>
          </w:p>
        </w:tc>
        <w:tc>
          <w:tcPr>
            <w:tcW w:w="6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w:t>
            </w: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STEVEN GATOFF</w:t>
            </w:r>
          </w:p>
        </w:tc>
      </w:tr>
      <w:tr>
        <w:trPr>
          <w:trHeight w:val="184"/>
        </w:trPr>
        <w:tc>
          <w:tcPr>
            <w:tcW w:w="396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Steven Gatoff</w:t>
            </w:r>
          </w:p>
        </w:tc>
        <w:tc>
          <w:tcPr>
            <w:tcW w:w="40" w:type="dxa"/>
            <w:vAlign w:val="bottom"/>
          </w:tcPr>
          <w:p>
            <w:pPr>
              <w:spacing w:after="0"/>
              <w:rPr>
                <w:sz w:val="15"/>
                <w:szCs w:val="15"/>
                <w:color w:val="auto"/>
              </w:rPr>
            </w:pPr>
          </w:p>
        </w:tc>
      </w:tr>
      <w:tr>
        <w:trPr>
          <w:trHeight w:val="191"/>
        </w:trPr>
        <w:tc>
          <w:tcPr>
            <w:tcW w:w="39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Juho Sarvikas, certify that:</w:t>
      </w:r>
    </w:p>
    <w:p>
      <w:pPr>
        <w:spacing w:after="0" w:line="171" w:lineRule="exact"/>
        <w:rPr>
          <w:sz w:val="20"/>
          <w:szCs w:val="20"/>
          <w:color w:val="auto"/>
        </w:rPr>
      </w:pPr>
    </w:p>
    <w:p>
      <w:pPr>
        <w:ind w:left="680" w:hanging="186"/>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060" w:right="160" w:hanging="23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1060" w:right="280" w:hanging="24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31"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60" w:right="700" w:hanging="23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60" w:right="380" w:hanging="240"/>
        <w:spacing w:after="0" w:line="237" w:lineRule="auto"/>
        <w:tabs>
          <w:tab w:leader="none" w:pos="10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3394710" cy="8890"/>
                    </a:xfrm>
                    <a:prstGeom prst="rect">
                      <a:avLst/>
                    </a:prstGeom>
                    <a:noFill/>
                  </pic:spPr>
                </pic:pic>
              </a:graphicData>
            </a:graphic>
          </wp:anchor>
        </w:drawing>
      </w:r>
    </w:p>
    <w:p>
      <w:pPr>
        <w:spacing w:after="0" w:line="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Juho Sarvikas</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certify that:</w:t>
      </w:r>
    </w:p>
    <w:p>
      <w:pPr>
        <w:spacing w:after="0" w:line="171" w:lineRule="exact"/>
        <w:rPr>
          <w:sz w:val="20"/>
          <w:szCs w:val="20"/>
          <w:color w:val="auto"/>
        </w:rPr>
      </w:pPr>
    </w:p>
    <w:p>
      <w:pPr>
        <w:ind w:left="680" w:hanging="186"/>
        <w:spacing w:after="0"/>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60" w:right="160" w:hanging="23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060" w:right="280" w:hanging="24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26"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230"/>
        <w:spacing w:after="0" w:line="250"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060" w:right="380" w:hanging="240"/>
        <w:spacing w:after="0" w:line="250" w:lineRule="auto"/>
        <w:tabs>
          <w:tab w:leader="none" w:pos="10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684"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Juho Sarvikas, Chief Executive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500" w:right="460" w:hanging="833"/>
        <w:spacing w:after="0" w:line="237"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500" w:right="140" w:hanging="833"/>
        <w:spacing w:after="0" w:line="237" w:lineRule="auto"/>
        <w:tabs>
          <w:tab w:leader="none" w:pos="1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Juho Sarvikas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Juho Sarvikas</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84"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Chief Financial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320" w:right="620" w:hanging="822"/>
        <w:spacing w:after="0" w:line="237"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2026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320" w:right="320" w:hanging="822"/>
        <w:spacing w:after="0" w:line="237"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56" Type="http://schemas.openxmlformats.org/officeDocument/2006/relationships/hyperlink" Target="https://www.sec.gov/Archives/edgar/data/1022652/000119312516763609/d261554dex31.htm" TargetMode="External"/><Relationship Id="rId57" Type="http://schemas.openxmlformats.org/officeDocument/2006/relationships/hyperlink" Target="https://www.sec.gov/Archives/edgar/data/1022652/000102265225000012/insg20250331ex32-amendedan.htm" TargetMode="External"/><Relationship Id="rId58" Type="http://schemas.openxmlformats.org/officeDocument/2006/relationships/hyperlink" Target="https://www.sec.gov/Archives/edgar/data/1022652/000119312519219943/d792529dex31.htm" TargetMode="External"/><Relationship Id="rId59" Type="http://schemas.openxmlformats.org/officeDocument/2006/relationships/hyperlink" Target="https://www.sec.gov/Archives/edgar/data/1022652/000119312520067668/d824727dex31.htm" TargetMode="External"/><Relationship Id="rId60" Type="http://schemas.openxmlformats.org/officeDocument/2006/relationships/hyperlink" Target="https://www.sec.gov/Archives/edgar/data/1022652/000168316824000396/inseego_ex0301.htm" TargetMode="External"/><Relationship Id="rId61" Type="http://schemas.openxmlformats.org/officeDocument/2006/relationships/hyperlink" Target="https://www.sec.gov/Archives/edgar/data/1022652/000168316826000311/inseego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2026-05-08T05:32:40Z</dcterms:created>
  <dcterms:modified xsi:type="dcterms:W3CDTF">2026-05-08T05:32:40Z</dcterms:modified>
</cp:coreProperties>
</file>