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060" w:right="2440" w:hanging="4052"/>
        <w:spacing w:after="0" w:line="438" w:lineRule="auto"/>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2010</w:t>
      </w: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1" w:lineRule="exact"/>
        <w:rPr>
          <w:sz w:val="24"/>
          <w:szCs w:val="24"/>
          <w:color w:val="auto"/>
        </w:rPr>
      </w:pPr>
    </w:p>
    <w:p>
      <w:pPr>
        <w:ind w:left="3980"/>
        <w:spacing w:after="0"/>
        <w:tabs>
          <w:tab w:leader="none" w:pos="6660" w:val="left"/>
          <w:tab w:leader="none" w:pos="73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40" w:lineRule="exact"/>
        <w:rPr>
          <w:sz w:val="24"/>
          <w:szCs w:val="24"/>
          <w:color w:val="auto"/>
        </w:rPr>
      </w:pPr>
    </w:p>
    <w:p>
      <w:pPr>
        <w:sectPr>
          <w:pgSz w:w="11900" w:h="16838" w:orient="portrait"/>
          <w:cols w:equalWidth="0" w:num="4">
            <w:col w:w="2160" w:space="720"/>
            <w:col w:w="2140" w:space="720"/>
            <w:col w:w="2240" w:space="720"/>
            <w:col w:w="2660"/>
          </w:cols>
          <w:pgMar w:left="240" w:top="435"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435"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May 6, 2010 was 31,256,790.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and emerging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2009.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“MobiLink”, “Ovation,” “Expedite”, “MiFi.Freedom.My Way”, “Conversa”, “TotalMobileInternet”, “NovaSpeed”, “NovaCore” and “NovaDrive”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460" w:type="dxa"/>
            <w:vAlign w:val="bottom"/>
          </w:tcPr>
          <w:p>
            <w:pPr>
              <w:jc w:val="center"/>
              <w:ind w:left="1692"/>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4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460" w:type="dxa"/>
            <w:vAlign w:val="bottom"/>
          </w:tcPr>
          <w:p>
            <w:pPr>
              <w:jc w:val="center"/>
              <w:ind w:left="1692"/>
              <w:spacing w:after="0"/>
              <w:rPr>
                <w:sz w:val="20"/>
                <w:szCs w:val="20"/>
                <w:color w:val="auto"/>
              </w:rPr>
            </w:pPr>
            <w:r>
              <w:rPr>
                <w:rFonts w:ascii="Arial" w:cs="Arial" w:eastAsia="Arial" w:hAnsi="Arial"/>
                <w:sz w:val="18"/>
                <w:szCs w:val="18"/>
                <w:b w:val="1"/>
                <w:bCs w:val="1"/>
                <w:color w:val="auto"/>
                <w:w w:val="96"/>
              </w:rPr>
              <w:t>NOVATEL WIRELESS,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0" w:type="dxa"/>
            <w:vAlign w:val="bottom"/>
          </w:tcPr>
          <w:p>
            <w:pPr>
              <w:spacing w:after="0"/>
              <w:rPr>
                <w:sz w:val="21"/>
                <w:szCs w:val="21"/>
                <w:color w:val="auto"/>
              </w:rPr>
            </w:pPr>
          </w:p>
        </w:tc>
        <w:tc>
          <w:tcPr>
            <w:tcW w:w="8460" w:type="dxa"/>
            <w:vAlign w:val="bottom"/>
          </w:tcPr>
          <w:p>
            <w:pPr>
              <w:jc w:val="center"/>
              <w:ind w:left="169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460" w:type="dxa"/>
            <w:vAlign w:val="bottom"/>
          </w:tcPr>
          <w:p>
            <w:pPr>
              <w:jc w:val="center"/>
              <w:ind w:left="16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46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86,064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100,025</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53,415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Accounts receivable, net of allowance for doubtful accounts of $63 at March 31, 2010 and $741 at December 31, 2009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19,081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204,335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200,164</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w w:val="91"/>
              </w:rPr>
              <w:t>Property and equipment, net of accumulated depreciation of $42,679 at March 31, 2010 and $40,279 at December 31, 2009</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14,677</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w w:val="99"/>
              </w:rPr>
              <w:t>Intangible assets, net of accumulated amortization of $2,694 at March 31, 2010 and $2,441 at December 31, 2009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282,355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282,507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6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 w:type="dxa"/>
            <w:vAlign w:val="bottom"/>
          </w:tcPr>
          <w:p>
            <w:pPr>
              <w:spacing w:after="0"/>
              <w:rPr>
                <w:sz w:val="18"/>
                <w:szCs w:val="18"/>
                <w:color w:val="auto"/>
              </w:rPr>
            </w:pPr>
          </w:p>
        </w:tc>
        <w:tc>
          <w:tcPr>
            <w:tcW w:w="84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26,633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26,599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60" w:type="dxa"/>
            <w:vAlign w:val="bottom"/>
            <w:vMerge w:val="restart"/>
          </w:tcPr>
          <w:p>
            <w:pPr>
              <w:ind w:left="2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53,232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8"/>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20,670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20,472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74,040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71,352</w:t>
            </w:r>
          </w:p>
        </w:tc>
        <w:tc>
          <w:tcPr>
            <w:tcW w:w="0" w:type="dxa"/>
            <w:vAlign w:val="bottom"/>
          </w:tcPr>
          <w:p>
            <w:pPr>
              <w:spacing w:after="0"/>
              <w:rPr>
                <w:sz w:val="1"/>
                <w:szCs w:val="1"/>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60" w:type="dxa"/>
            <w:vAlign w:val="bottom"/>
            <w:gridSpan w:val="2"/>
          </w:tcPr>
          <w:p>
            <w:pPr>
              <w:ind w:left="440"/>
              <w:spacing w:after="0"/>
              <w:rPr>
                <w:sz w:val="20"/>
                <w:szCs w:val="20"/>
                <w:color w:val="auto"/>
              </w:rPr>
            </w:pPr>
            <w:r>
              <w:rPr>
                <w:rFonts w:ascii="Arial" w:cs="Arial" w:eastAsia="Arial" w:hAnsi="Arial"/>
                <w:sz w:val="18"/>
                <w:szCs w:val="18"/>
                <w:color w:val="auto"/>
                <w:w w:val="94"/>
              </w:rPr>
              <w:t>Common stock, par value $0.001; 50,000 shares authorized, 31,254 and 31,092 shares issued and outstanding at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460" w:type="dxa"/>
            <w:vAlign w:val="bottom"/>
          </w:tcPr>
          <w:p>
            <w:pPr>
              <w:ind w:left="60"/>
              <w:spacing w:after="0"/>
              <w:rPr>
                <w:sz w:val="20"/>
                <w:szCs w:val="20"/>
                <w:color w:val="auto"/>
              </w:rPr>
            </w:pPr>
            <w:r>
              <w:rPr>
                <w:rFonts w:ascii="Arial" w:cs="Arial" w:eastAsia="Arial" w:hAnsi="Arial"/>
                <w:sz w:val="18"/>
                <w:szCs w:val="18"/>
                <w:color w:val="auto"/>
              </w:rPr>
              <w:t>March 31, 2010 and December 31, 2009, respectively</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417,107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416,579</w:t>
            </w:r>
          </w:p>
        </w:tc>
        <w:tc>
          <w:tcPr>
            <w:tcW w:w="0" w:type="dxa"/>
            <w:vAlign w:val="bottom"/>
          </w:tcPr>
          <w:p>
            <w:pPr>
              <w:spacing w:after="0"/>
              <w:rPr>
                <w:sz w:val="1"/>
                <w:szCs w:val="1"/>
                <w:color w:val="auto"/>
              </w:rPr>
            </w:pPr>
          </w:p>
        </w:tc>
      </w:tr>
      <w:tr>
        <w:trPr>
          <w:trHeight w:val="216"/>
        </w:trPr>
        <w:tc>
          <w:tcPr>
            <w:tcW w:w="906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(183,859)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(180,470)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233,315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236,155</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March 31, 2010 and December 31, 2009, respectively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60" w:type="dxa"/>
            <w:vAlign w:val="bottom"/>
            <w:vMerge w:val="restart"/>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208,315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211,155</w:t>
            </w:r>
          </w:p>
        </w:tc>
        <w:tc>
          <w:tcPr>
            <w:tcW w:w="0" w:type="dxa"/>
            <w:vAlign w:val="bottom"/>
          </w:tcPr>
          <w:p>
            <w:pPr>
              <w:spacing w:after="0"/>
              <w:rPr>
                <w:sz w:val="1"/>
                <w:szCs w:val="1"/>
                <w:color w:val="auto"/>
              </w:rPr>
            </w:pPr>
          </w:p>
        </w:tc>
      </w:tr>
      <w:tr>
        <w:trPr>
          <w:trHeight w:val="28"/>
        </w:trPr>
        <w:tc>
          <w:tcPr>
            <w:tcW w:w="60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282,355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282,507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72,239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70,393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54,470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16,056</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22,459</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(4,690)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(4,631)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(1,242)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(3,389)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(2,463)</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31,185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31,185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(55,882)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Securities maturities/sales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(16,599)</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Taxes paid on vested restricted stock units net of proceeds from stock option exercises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equity based compensation</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720"/>
              <w:spacing w:after="0"/>
              <w:rPr>
                <w:sz w:val="20"/>
                <w:szCs w:val="20"/>
                <w:color w:val="auto"/>
              </w:rPr>
            </w:pPr>
            <w:r>
              <w:rPr>
                <w:rFonts w:ascii="Arial" w:cs="Arial" w:eastAsia="Arial" w:hAnsi="Arial"/>
                <w:sz w:val="18"/>
                <w:szCs w:val="18"/>
                <w:color w:val="auto"/>
              </w:rPr>
              <w:t>Net decrease in cash and cash equivalents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(13,961)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(26,096)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86,064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2010 and the results of the Company’s operations for the three months ended March 31, 2010 and March 31, 2009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2009. The accounting policies used in preparing these consolidated financial statements are the same as those described in the Company’s Form 10-K with the exception of new accounting pronouncements adopted in 2010.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royalty costs, provision for warranty costs, income taxes and share-based compensation expense.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October 2009, the Financial Accounting Standards Board (“FASB”) issued new revenue recognition standards for arrangements with multiple deliverables, where certain of those deliverables are non-software related. The new standards require entities to initially use management’s best estimate of selling price to value individual deliverables when those deliverables do not have vendor specific objective evidence (“VSOE”) of fair value or when third-party evidence is not available. Additionally, these new standards modify the manner in which the transaction consideration is allocated across the separately identified deliverables by no longer permitting the residual method of allocating arrangement consideration. These new standards are effective for annual periods ending after June 15, 2010, however early adoption is permitted. In accordance with the transition provisions of the revised standards, the Company prospectively adopted the new standards on January 1, 2010. The adoption of these new standards did not have a material impact on the Company’s consolidated financial statements.</w:t>
      </w:r>
    </w:p>
    <w:p>
      <w:pPr>
        <w:spacing w:after="0" w:line="1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October 2009, the FASB issued new revenue recognition standards for revenue arrangements that contain tangible products and software. These new standards change the scope of existing accounting guidance related to revenue arrangements containing software deliverables to exclude from its scope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These new standards are effective for annual periods ending after June 15, 2010, however early adoption is permitted. Additionally, adoption of these standards is required in the period in which the Company adopts the FASB’s revised standards on revenue recognition with multiple deliverables. In accordance with the transition provisions of the revised standards, the Company prospectively adopted the new standards on January 1, 2010. The adoption of these new standards did not have a material impact on the Company’s consolidated financial statements.</w:t>
      </w:r>
    </w:p>
    <w:p>
      <w:pPr>
        <w:spacing w:after="0" w:line="193"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agency securities</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$ 23,145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Muncipal bonds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 or less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US Treasury and agency securities</w:t>
            </w: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3"/>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36,271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Muncipal bonds</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tcPr>
          <w:p>
            <w:pPr>
              <w:jc w:val="right"/>
              <w:spacing w:after="0"/>
              <w:rPr>
                <w:sz w:val="20"/>
                <w:szCs w:val="20"/>
                <w:color w:val="auto"/>
              </w:rPr>
            </w:pPr>
            <w:r>
              <w:rPr>
                <w:rFonts w:ascii="Arial" w:cs="Arial" w:eastAsia="Arial" w:hAnsi="Arial"/>
                <w:sz w:val="18"/>
                <w:szCs w:val="18"/>
                <w:color w:val="auto"/>
              </w:rPr>
              <w:t>5,672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45,093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45,093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$ 98,453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$ 98,508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7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14,755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27,664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28,340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48,369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48,355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75,995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0" w:firstLine="456"/>
        <w:spacing w:after="0" w:line="332" w:lineRule="auto"/>
        <w:rPr>
          <w:sz w:val="20"/>
          <w:szCs w:val="20"/>
          <w:color w:val="auto"/>
        </w:rPr>
      </w:pPr>
      <w:r>
        <w:rPr>
          <w:rFonts w:ascii="Arial" w:cs="Arial" w:eastAsia="Arial" w:hAnsi="Arial"/>
          <w:sz w:val="16"/>
          <w:szCs w:val="16"/>
          <w:color w:val="auto"/>
        </w:rPr>
        <w:t>As of March 31, 2010, net unrealized gains of $55,000, or $36,000 net of taxes, are included in accumulated other comprehensive income on the consolidated balance sheet. The Company’s net unrealized gains are the result of market conditions affecting fixed-income securities.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March 31, 2010, the Company did not have any investments in individual securities that have been in a continuous unrealized loss position for more than 12 months. Because the Company’s general intent is to hold its investment securities to maturity, and considering the high quality of the investment securities, the Company believes that the unrealized losses at March 31, 2010 represent a temporary condition and will not result in realized losses on sale or maturity of the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March 31,</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500" w:type="dxa"/>
            <w:vAlign w:val="bottom"/>
            <w:gridSpan w:val="2"/>
            <w:shd w:val="clear" w:color="auto" w:fill="CCEEFF"/>
          </w:tcPr>
          <w:p>
            <w:pPr>
              <w:jc w:val="center"/>
              <w:ind w:left="4832"/>
              <w:spacing w:after="0"/>
              <w:rPr>
                <w:sz w:val="20"/>
                <w:szCs w:val="20"/>
                <w:color w:val="auto"/>
              </w:rPr>
            </w:pPr>
            <w:r>
              <w:rPr>
                <w:rFonts w:ascii="Arial" w:cs="Arial" w:eastAsia="Arial" w:hAnsi="Arial"/>
                <w:sz w:val="18"/>
                <w:szCs w:val="18"/>
                <w:color w:val="auto"/>
                <w:w w:val="82"/>
              </w:rPr>
              <w:t>$ 19,081</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492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jc w:val="center"/>
              <w:ind w:left="4832"/>
              <w:spacing w:after="0"/>
              <w:rPr>
                <w:sz w:val="20"/>
                <w:szCs w:val="20"/>
                <w:color w:val="auto"/>
              </w:rPr>
            </w:pPr>
            <w:r>
              <w:rPr>
                <w:rFonts w:ascii="Arial" w:cs="Arial" w:eastAsia="Arial" w:hAnsi="Arial"/>
                <w:sz w:val="18"/>
                <w:szCs w:val="18"/>
                <w:color w:val="auto"/>
                <w:w w:val="82"/>
              </w:rPr>
              <w:t>$ 19,081</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920" w:type="dxa"/>
            <w:vAlign w:val="bottom"/>
            <w:vMerge w:val="restart"/>
          </w:tcPr>
          <w:p>
            <w:pPr>
              <w:jc w:val="right"/>
              <w:ind w:right="3232"/>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10,176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8,229</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r>
      <w:tr>
        <w:trPr>
          <w:trHeight w:val="222"/>
        </w:trPr>
        <w:tc>
          <w:tcPr>
            <w:tcW w:w="8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26,599</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23,236</w:t>
            </w:r>
          </w:p>
        </w:tc>
      </w:tr>
      <w:tr>
        <w:trPr>
          <w:trHeight w:val="20"/>
        </w:trPr>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For the three months ended March 31, 2010, the Company incurred $4.6 million in costs associated with cooperative advertising programs. These costs were primarily incurred to support the Company’s MiFi product. In accordance with the authoritative accounting guidance for cooperative advertising arrangements, the Company classified $2.7 million as a reduction in net revenues and the remaining $1.9 million within sales and marketing expense in the Consolidated Statements of Operations. The Company did not incur significant cooperative advertising costs during the three months ended March 31,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Accrued Warranty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obligations consist of the following (in thousands):</w:t>
      </w:r>
    </w:p>
    <w:p>
      <w:pPr>
        <w:spacing w:after="0" w:line="207"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u w:val="single" w:color="auto"/>
          <w:color w:val="auto"/>
        </w:rPr>
        <w:t>Three Months Ended</w:t>
      </w:r>
    </w:p>
    <w:p>
      <w:pPr>
        <w:spacing w:after="0" w:line="13"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-6985</wp:posOffset>
            </wp:positionV>
            <wp:extent cx="780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Warranty liability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-115570</wp:posOffset>
            </wp:positionV>
            <wp:extent cx="66636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Additions charged to operations</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Deductions from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Warranty liability at end of period</w:t>
      </w:r>
    </w:p>
    <w:p>
      <w:pPr>
        <w:spacing w:after="0" w:line="20" w:lineRule="exact"/>
        <w:rPr>
          <w:sz w:val="20"/>
          <w:szCs w:val="20"/>
          <w:color w:val="auto"/>
        </w:rPr>
      </w:pPr>
      <w:r>
        <w:rPr>
          <w:sz w:val="20"/>
          <w:szCs w:val="20"/>
          <w:color w:val="auto"/>
        </w:rPr>
        <w:br w:type="column"/>
      </w:r>
    </w:p>
    <w:p>
      <w:pPr>
        <w:ind w:left="828" w:hanging="828"/>
        <w:spacing w:after="0"/>
        <w:tabs>
          <w:tab w:leader="none" w:pos="828" w:val="left"/>
        </w:tabs>
        <w:numPr>
          <w:ilvl w:val="0"/>
          <w:numId w:val="5"/>
        </w:numPr>
        <w:rPr>
          <w:rFonts w:ascii="Arial" w:cs="Arial" w:eastAsia="Arial" w:hAnsi="Arial"/>
          <w:sz w:val="15"/>
          <w:szCs w:val="15"/>
          <w:color w:val="auto"/>
        </w:rPr>
      </w:pPr>
      <w:r>
        <w:rPr>
          <w:rFonts w:ascii="Arial" w:cs="Arial" w:eastAsia="Arial" w:hAnsi="Arial"/>
          <w:sz w:val="15"/>
          <w:szCs w:val="15"/>
          <w:color w:val="auto"/>
        </w:rPr>
        <w:t>3,039</w:t>
      </w:r>
    </w:p>
    <w:p>
      <w:pPr>
        <w:spacing w:after="0" w:line="42" w:lineRule="exact"/>
        <w:rPr>
          <w:rFonts w:ascii="Arial" w:cs="Arial" w:eastAsia="Arial" w:hAnsi="Arial"/>
          <w:sz w:val="15"/>
          <w:szCs w:val="15"/>
          <w:color w:val="auto"/>
        </w:rPr>
      </w:pPr>
    </w:p>
    <w:p>
      <w:pPr>
        <w:ind w:left="968"/>
        <w:spacing w:after="0"/>
        <w:rPr>
          <w:rFonts w:ascii="Arial" w:cs="Arial" w:eastAsia="Arial" w:hAnsi="Arial"/>
          <w:sz w:val="15"/>
          <w:szCs w:val="15"/>
          <w:color w:val="auto"/>
        </w:rPr>
      </w:pPr>
      <w:r>
        <w:rPr>
          <w:rFonts w:ascii="Arial" w:cs="Arial" w:eastAsia="Arial" w:hAnsi="Arial"/>
          <w:sz w:val="15"/>
          <w:szCs w:val="15"/>
          <w:color w:val="auto"/>
        </w:rPr>
        <w:t>818</w:t>
      </w:r>
    </w:p>
    <w:p>
      <w:pPr>
        <w:spacing w:after="0" w:line="43" w:lineRule="exact"/>
        <w:rPr>
          <w:rFonts w:ascii="Arial" w:cs="Arial" w:eastAsia="Arial" w:hAnsi="Arial"/>
          <w:sz w:val="15"/>
          <w:szCs w:val="15"/>
          <w:color w:val="auto"/>
        </w:rPr>
      </w:pPr>
    </w:p>
    <w:p>
      <w:pPr>
        <w:ind w:left="968"/>
        <w:spacing w:after="0"/>
        <w:rPr>
          <w:rFonts w:ascii="Arial" w:cs="Arial" w:eastAsia="Arial" w:hAnsi="Arial"/>
          <w:sz w:val="15"/>
          <w:szCs w:val="15"/>
          <w:color w:val="auto"/>
        </w:rPr>
      </w:pPr>
      <w:r>
        <w:rPr>
          <w:rFonts w:ascii="Arial" w:cs="Arial" w:eastAsia="Arial" w:hAnsi="Arial"/>
          <w:sz w:val="15"/>
          <w:szCs w:val="15"/>
          <w:color w:val="auto"/>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44" w:lineRule="exact"/>
        <w:rPr>
          <w:sz w:val="20"/>
          <w:szCs w:val="20"/>
          <w:color w:val="auto"/>
        </w:rPr>
      </w:pPr>
    </w:p>
    <w:p>
      <w:pPr>
        <w:ind w:left="828" w:hanging="828"/>
        <w:spacing w:after="0"/>
        <w:tabs>
          <w:tab w:leader="none" w:pos="828" w:val="left"/>
        </w:tabs>
        <w:numPr>
          <w:ilvl w:val="0"/>
          <w:numId w:val="6"/>
        </w:numPr>
        <w:rPr>
          <w:rFonts w:ascii="Arial" w:cs="Arial" w:eastAsia="Arial" w:hAnsi="Arial"/>
          <w:sz w:val="15"/>
          <w:szCs w:val="15"/>
          <w:color w:val="auto"/>
        </w:rPr>
      </w:pPr>
      <w:r>
        <w:rPr>
          <w:rFonts w:ascii="Arial" w:cs="Arial" w:eastAsia="Arial" w:hAnsi="Arial"/>
          <w:sz w:val="15"/>
          <w:szCs w:val="15"/>
          <w:color w:val="auto"/>
        </w:rPr>
        <w:t>3,150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804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780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012" w:space="720"/>
            <w:col w:w="1588"/>
          </w:cols>
          <w:pgMar w:left="240" w:top="280" w:right="339" w:bottom="1440" w:gutter="0" w:footer="0" w:header="0"/>
          <w:type w:val="continuous"/>
        </w:sectPr>
      </w:pPr>
    </w:p>
    <w:p>
      <w:pPr>
        <w:spacing w:after="0" w:line="2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9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implemented an exchange program for Canadian MiFi 2372 customers to provide a new battery and redesigned battery door that is easier to open. At March 31, 2010, the Company accrued $450,000 in warranty costs for the estimated cost of this exchange program. This accrual includes expected costs related to the logistical activities and material costs of the exchange program. This cost has been charged to cost of revenues in the Consolidated Statement of Operations and included as a component of accrued warranty in the Consolidated Balance Sheets. The Company expects to complete the exchange program by June 30, 2010.</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MiFi 2352 and MiFi 2200, which are sold primarily in the European and in United States markets, respectively, are not included in the exchange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fair value measurements primarily relate to its cash equivalents and investment portfolio, which are classified pursuant to authoritative guidance for fair value measurements. The Company places its cash equivalents and investments in instruments that meet credit quality standards, as specified in its investment policy guidelines. These guidelines also limit the amount of credit exposure to any one issue, issuer or type of instrument.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type w:val="continuous"/>
        </w:sectPr>
      </w:pPr>
    </w:p>
    <w:bookmarkStart w:id="8" w:name="page9"/>
    <w:bookmarkEnd w:id="8"/>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cash equivalents consist of its investment in money market securities and treasury bills. The Company values its investments in money market securities are based on quoted market prices in active markets (level 1 of the fair value hierarchy). The Company values its treasury bills based on broker or dealer quotations (level 2 of the fair value hierarchy).</w:t>
      </w:r>
    </w:p>
    <w:p>
      <w:pPr>
        <w:spacing w:after="0" w:line="14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Company’s investment portfolio consists primarily of investment-grade corporate bonds, time deposits and government and agency securities. These types of financial instruments are valued based on quoted prices in markets that are not active, broker or dealer quotations, or alternative pricing sources with reasonable levels of price transparency (level 2 of the fair value hierarchy). From time to time, the Company may utilize foreign exchange forward contracts. These contracts are valued using pricing models that take into account the currency rates as of the balance sheet date (level 2 of the fair value hierarchy).</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March 31, 2010, the Company did not have any financial instruments without observable market values that would require a high level of judgment to determine fair value (level 3 of the fair value hierarchy).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2010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21"/>
        </w:trPr>
        <w:tc>
          <w:tcPr>
            <w:tcW w:w="868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agency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Muncipal bonds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2,756</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11,099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53,415</w:t>
            </w:r>
          </w:p>
        </w:tc>
        <w:tc>
          <w:tcPr>
            <w:tcW w:w="20" w:type="dxa"/>
            <w:vAlign w:val="bottom"/>
          </w:tcPr>
          <w:p>
            <w:pPr>
              <w:spacing w:after="0"/>
              <w:rPr>
                <w:sz w:val="18"/>
                <w:szCs w:val="18"/>
                <w:color w:val="auto"/>
              </w:rPr>
            </w:pPr>
          </w:p>
        </w:tc>
      </w:tr>
      <w:tr>
        <w:trPr>
          <w:trHeight w:val="221"/>
        </w:trPr>
        <w:tc>
          <w:tcPr>
            <w:tcW w:w="868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agency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36,260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Muncipal bonds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45,093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Foreign exchange forward contracts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78,920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99,695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March 31, 2010, the total amount of outstanding foreign exchange forward contracts amounted to €3.6 million ($4.9 million using the exchange rate of $1.35 / €1.00 as of March 31, 2010). These contracts are used to hedge the Company’s Euro-denominated cash and accounts receivable balances. At March 31, 2010 and December 31, 2009, the Company recorded an unrealized gain of $187,000 and $30,000, respectively, on its outstanding foreign currency exchange forward contracts.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months ended March 31, 2010 and 2009, the Company recorded gains of $157,000 and $614,000, respectively, on its Euro-denominated foreign exchange forward contracts. During the three months ended March 31, 2010 and 2009, the Company recorded foreign currency losses on foreign currency denominated transactions of approximately $295,000 and $701,000, respectively. All recorded gains and losses on foreign exchange transactions are recorded in other (income)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months ended March 31, 2010 and 2009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9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1,525</w:t>
            </w:r>
          </w:p>
        </w:tc>
        <w:tc>
          <w:tcPr>
            <w:tcW w:w="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and Concentrations of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geographic concentration of the Company’s assets in the United States, Canada, Europe and Asia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$277,688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277,054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Canada</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3,855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Asia</w:t>
            </w:r>
          </w:p>
        </w:tc>
        <w:tc>
          <w:tcPr>
            <w:tcW w:w="8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282,355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282,507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w w:val="99"/>
              </w:rPr>
              <w:t>The following table details the concentration of the Company’s net revenues by geographic region:</w:t>
            </w: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gridSpan w:val="5"/>
          </w:tcPr>
          <w:p>
            <w:pPr>
              <w:jc w:val="center"/>
              <w:ind w:left="347"/>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108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19"/>
                <w:szCs w:val="19"/>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March 31, 2010, sales to our two largest customers accounted for 56% and 15% of net revenues. In the same period in 2009, sales to our two largest customers accounted for 51% and 17% of net revenues. No other customer accounted for more than ten percent of total net revenues in the three months ended March 31, 2010 and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outsources its manufacturing to two third-party contract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warrants,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31, 2010 and 2009, basic and diluted weighted average common shares outstanding were 31,184,917 and 30,387,414, respectively. As of March 31, 2010 and 2009, weighted-average options, RSUs, and ESPP shares to acquire a total of 4,109,926 and 4,963,127 shares of common stock, respectively, were outstanding but not included in the computation of diluted earnings per share as their effect was anti-dilutive.</w:t>
      </w:r>
    </w:p>
    <w:p>
      <w:pPr>
        <w:spacing w:after="0" w:line="182" w:lineRule="exact"/>
        <w:rPr>
          <w:sz w:val="20"/>
          <w:szCs w:val="20"/>
          <w:color w:val="auto"/>
        </w:rPr>
      </w:pPr>
    </w:p>
    <w:p>
      <w:pPr>
        <w:ind w:left="460" w:right="8720" w:hanging="452"/>
        <w:spacing w:after="0" w:line="391" w:lineRule="auto"/>
        <w:tabs>
          <w:tab w:leader="none" w:pos="17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Backe v. Novatel Wireless, Inc., et al. ,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April 2010, the court heard the lead plaintiffs’ motion for class certification, and a ruling on that motion is forthcoming. Discovery in this case is ongoing. The Company intends to defend this litigation vigorously. Due to the preliminary nature of this litigation, the Company is unable to estimate a range of exposure associated with this litigation.</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The plaintiffs are seeking equitable and/or injunctive relief, restitution from the defendants, attorneys’ fees and costs, and other relief. Due to the preliminary nature of this action, the Company is unable to estimate a range of exposure associated with this litigation.</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October 9, 2009, the court granted defendants’ motion to transfer the lawsuit to the U.S. District Court for the Southern District of California. Due to the preliminary nature of this action, the Company is unable to estimate a range of exposure associated with this litigation.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7,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 Due to the preliminary nature of this action, the Company is unable to estimate a range of exposure associated with this litigation.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Company customer, Sprint Spectrum, L.P. and affiliates (“Sprint”)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Due to the preliminary nature of this matter, the Company is unable to estimate the range of exposure associated with this matter.</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18, 2009, MSTG, Inc. filed a putative patent infringement lawsuit in the United States District Court for the Northern District of Illinois, Eastern Division, against several wireless operators and wireless device providers, including one of the Company’s customers, Sprint Spectrum, L.P., as defendants. The complaint alleges generally that the defendants have engaged in the manufacture, use, importation, sale and/or offer for sale of products, services and technology employing inventions that constitute infringement of U.S. Patent Nos. 5,920,551, 6,198,936 and 6,438,113, which the plaintiff allegedly owns. The plaintiff is seeking an award of damages adequate to compensate MSTG for any infringement (together with pre-judgment interest); an award of all remedies available under 35 U.S.C. Sections 284 and 285; and a permanent injunction prohibiting further infringement and additional relief as may be awarded. The Company had been evaluating this matter to determine the nature and extent of any obligation to indemnify and/or defend its customer in this lawsuit. In April 2010, the customer notified the Company that it has determined that the Company does not currently have indemnification and defense obligations in this matter.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July 8, 2009, Celltrace, LLC. filed a putative patent infringement lawsuit in the United States District Court for the Eastern District of Texas, Tyler Division, against several wireless operators, including Company customers, Sprint, Sprint Spectrum L.P. and Cellco Partnership d/b/a Verizon Wireless, as defendants. The complaint alleges generally that the defendants have engaged in making, using, selling, offering for sale and/or leasing certain products, services and systems in Texas that constitute infringement of U.S. Patent Nos. 6,011,976 and 7,551,933, which the plaintiff allegedly owns. The complaint also alleges that each defendant sells and/or offers for sale cellular telephone services which communicate with the defendants’ cellular network that constitute infringement of the patents allegedly owned by the plaintiff. The plaintiff is seeking a reasonable royalty for the acts of infringement, adjudication of infringement, damages and costs related thereto, attorneys’ fees and costs and additional relief as may be awarded. The Company is currently evaluating this matter to determine the nature and extent of any obligation to indemnify and/or defend its customers in this lawsuit. Due to the preliminary nature of this action, the Company is unable to estimate the range of exposure associated with this matter.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$(3,389)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16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(3,368)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2010 is 7% lower than the U.S. statutory rate primarily due to the Company’s inability to record tax benefits for certain share based payment awards.</w:t>
      </w:r>
    </w:p>
    <w:p>
      <w:pPr>
        <w:spacing w:after="0" w:line="13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March 31, 2010 and December 31, 2009, the total liability for unrecognized tax benefits was $20.7 million and $20.5 million, respectively, and is included in other long-term liabilities. For the three months ended March 31, 2010, the Company included $126,000 of interest expense related to uncertain tax positions in its consolidated statements of operations. The Company does not anticipate any significant increases or decreases to its unrecognized tax benefits within the next twelve months.</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income federal tax examinations for the 1996 through 2009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2009 contained in our Annual Report on Form 10-K for the year ended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current products principally includes third generation, or 3G, intelligent mobile hotspots, communications and applications software, USB modems, and ExpressCard modems. Through the integration of our hardware and software, our products are designed to operate on a majority of the world’s wireless networks and provide mobile subscribers with secure and convenient high speed access to corporate, public and personal information through the Internet and enterprise networks.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strong customer relationships provide us with the opportunity to expand our market reach and sales. Most of our sales to wireless operators and original equipment manufacturers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for 3G and 4G next generation networks,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weak economic conditions globally, we have experienced lower demand for our products, which has adversely impacted our results of operations. While general economic conditions have shown some improvement compared to the fourth quarter of 2009, market competition remains intense. As a result of this competitive pressure, demand for our products may continue to contract, which could materially adversely affect our results of operations and financial condition.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3G and 4G products. We continue to develop and maintain strategic relationships with wireless and computing industry leaders like Dell, QUALCOMM, Sprint PCS, Verizon Wireless, Telefonica, Virgin Mobile, Vodafone, Bell, Rogers, and major software vendors.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revenues. Cost of revenues also includes warranty costs, amortization of intangible licenses,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6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incurred, and expect in future periods to continue to incur, these expenses prior to recognizing net revenues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royalty costs, provision for warranty costs, income taxes, foreign exchange forward contracts, and share-based compensation expense. The significant accounting policies used in preparation of these consolidated financial statements for the three months ended March 31, 2010 are consistent with those discussed in Note 1 to the consolidated financial statements included in our Annual Report on Form 10-K for the year ended December 31, 2009 in all material respects and in Note 1 to the consolidated financial statements included in this report. The critical accounting policies and the significant judgments and estimates used in the preparation of our consolidated financial statements for the three months ended March 31, 2010 are consistent with those discussed in our Annual Report on Form 10-K for the year ended December 31, 2009 in the section captioned “Management’s Discussion and Analysis of Financial Condition and Results of Operations — Critical Accounting Policies and Estimates.”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2010 Compared to Three Months Ended March 31, 2009</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three months ended March 31, 2010 were $72.2 million, an increase of $1.8 million or 2.6%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2009. Net revenues in the three months ended March 31, 2010 from sales of EV-DO product driven technology amounted to $64.3 million, an increase of $3.6 million or 6.2% compared to the same period in 2009. The increase in EV-DO net revenues resulted from increased sales of our MiFi products, offset by a significant decline in embedded module sales during the first quarter of 2010 as compared to the same period in 2009. The decrease in our embedded module sales was due to the presence of competing products available to OEMs and the lack of significant sales to content delivery device customers. EV-DO products are primarily sold in the North American market and represented approximately 89.0% of net revenues in the three months ended March 31, 2010 compared to 86.1% in the same period in 2009.</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revenues from sales of High Speed Packet Access (“HSPA”) product driven technology amounted to $8.0 million during the three months ended March 31, 2010, a decline of $1.8 million or 18.0% compared to the same period in 2009. The decrease in sales of HSPA products was primarily due to intense competitive pressure in the European market, which resulted in a steep decline in net revenues as compared to the same period in 2009. HSPA products represented approximately 11.0% of net revenues in the three months ended March 31, 2010 compared to 13.9% in the same period in 2009. The decrease in HSPA net revenues was offset by the positive impact of MiFi product sales as more wireless operators in Europe began to launch the product in the first quarter of 2010. We expect similar levels of competitive pressure in the HSPA markets for the foreseeable future.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for the three months ended March 31, 2010 was $54.5 million, or 75.5% of net revenues, as compared to $54.3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77.2% of net revenues, for the same period in 2009. The primary driver of the percentage decrease in cost of revenues as a percentage of net revenues compared to 2009 was a favorable sales mix that included products with higher gross margins. In the three months ended March 31, 2010, cost of revenues was negatively impacted by a $450,000 warranty accrual related to the Company’s MiFi 2372 battery and battery door exchange program. This program is discussed further in Note 2 to the Consolidated Financial Statements included in this report.</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 of revenues as a percentage of net revenues is expected to fluctuate in future quarters depending on the mix of products sold, competitive pricing, new product introduction costs and other factors.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2010 was $17.8 million, or 24.6% of net revenues, compared to $16.1 million, or 22.8%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2009. The increase was primarily attributable to the changes in net revenues and cost of revenues as discussed above. We expect that our gross profit percentage will continue to fluctuate from quarter to quarter depending on product mix, competitive selling prices, our ability to reduce product costs and changes in unit volumes.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2010 were $11.3 million, or 15.7%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$11.0 million, or 15.6% of net revenues, for the same period in 2009. The increase was due primarily to higher compensation expense in the three months ended March 31, 2010 compared to the same period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2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to support expanded research and development and product introduction activities. We continue to believe that focused investments in research and development are critical to our future growth and competitive position in the marketplace and are directly related to timely development of new and enhanced products that are central to the our core business strategy. As such, we expect to make further investments in research and development to remain competitive.</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2010 were $6.7 million, or 9.3%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$4.5 million, or 6.4% of net revenues, for the same period in 2009. The increase for the three months ended March 31, 2010 compared to the same period in 2009 was due primarily to an increase in expenses related to cooperative marketing and advertising to support marketing efforts of our MiFi product.</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2010 were $4.4 million, or 6.1%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$4.5 million, or 6.3% of net revenues, for the same period in 2009. While we are closely monitoring and undertaking to control general and administrative costs, we expect these costs to be negatively impacted by legal fees incurred by the Company to defend claims described in Note 7 to our Consolidated Financial Statements included in this report.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Interest income, net. </w:t>
      </w:r>
      <w:r>
        <w:rPr>
          <w:rFonts w:ascii="Arial" w:cs="Arial" w:eastAsia="Arial" w:hAnsi="Arial"/>
          <w:sz w:val="15"/>
          <w:szCs w:val="15"/>
          <w:color w:val="auto"/>
        </w:rPr>
        <w:t>Interest income, net, for the three months ended March 31, 2010 was $198,000 as compared to $481,000 for the same period in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Although our average cash and marketable securities balance increased period over period, average yields decreased.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March 31, 2010 was $139,000 as compared to $84,000 for the same period in 2009.</w:t>
      </w:r>
    </w:p>
    <w:p>
      <w:pPr>
        <w:spacing w:after="0" w:line="19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for the three months ended March 31, 2010 was $1.2 million, or 27% of our loss before taxes, as compared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benefit of $1.1 million, or 30% of our loss before taxes, for the same period in 2009. The effective income tax benefit rate of 27% is lower than the income tax benefit rate of 30% in 2009 primarily due to the suspension of the federal research and experimentation credit as of December 31, 2009 and a valuation allowance recorded on state research and experimentation credits generated in the first quarter of 2010.</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effective tax rate for the three months ended March 31, 2010 is 7% lower than the U.S. statutory rate primarily due to the Company’s inability to record tax benefits for certain share based payment awards.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three months ended March 31, 2010, we reported a net loss of $3.4 million, as compared to a net loss of $2.5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2009. Although net revenues and gross profit increased during the first quarter of 2010 compared to the same period last year, net income was negatively impacted by the increases in operating expenses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 We do not currently have a revolving credit facility or similar loan agreement.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151,103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149,468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00" w:type="dxa"/>
            <w:vAlign w:val="bottom"/>
            <w:gridSpan w:val="3"/>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(1)</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86,064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100,025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(13,961)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(1)</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184,572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176,044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Included in working capital.</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March 31, 2010, our working capital increased $1.6 million from December 31, 2009. This increase is primarily due to our reclassification of long-term marketable securities to short-term based on maturity dates.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March 31, 2010, cash and cash equivalents decreased $14.0 million from December 31, 2009 primarily as a result of the purchase of marketable securities.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2010, our marketable securities increased $22.5 million primarily due to the investment of a portion of cash and cash equivalents. See the discussion of market risk included in our Annual Report on Form 10-K for the year ended December 31, 2009 in the section captioned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Qualitative Disclosures About Market Risk”.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(9,103)</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(23,274)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(16,599)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6360" w:type="dxa"/>
            <w:vAlign w:val="bottom"/>
          </w:tcPr>
          <w:p>
            <w:pPr>
              <w:jc w:val="center"/>
              <w:ind w:right="1672"/>
              <w:spacing w:after="0"/>
              <w:rPr>
                <w:sz w:val="20"/>
                <w:szCs w:val="20"/>
                <w:color w:val="auto"/>
              </w:rPr>
            </w:pPr>
            <w:r>
              <w:rPr>
                <w:rFonts w:ascii="Arial" w:cs="Arial" w:eastAsia="Arial" w:hAnsi="Arial"/>
                <w:sz w:val="18"/>
                <w:szCs w:val="18"/>
                <w:color w:val="auto"/>
                <w:w w:val="86"/>
              </w:rPr>
              <w:t>Effect of exchange rates on cash and cash equivalents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jc w:val="center"/>
              <w:ind w:right="1632"/>
              <w:spacing w:after="0"/>
              <w:rPr>
                <w:sz w:val="20"/>
                <w:szCs w:val="20"/>
                <w:color w:val="auto"/>
              </w:rPr>
            </w:pPr>
            <w:r>
              <w:rPr>
                <w:rFonts w:ascii="Arial" w:cs="Arial" w:eastAsia="Arial" w:hAnsi="Arial"/>
                <w:sz w:val="18"/>
                <w:szCs w:val="18"/>
                <w:color w:val="auto"/>
                <w:w w:val="85"/>
              </w:rPr>
              <w:t>Net decrease in 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(26,096)</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77,733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51,637</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provided by operating activities increased by $19.0 million to $9.9 million for the three months ended March 31, 2010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net cash used in operating activities of $9.1 million for the same period in 2009. The $19.0 million increase was primarily attributable to increased sales of our products and improved margins, along with the beneficial impact of certain working capital accounts. The difference between our net loss for the three months ended March 31, 2010 of $3.4 million and our net cash provided by operating activities of $9.9 million is primarily due to the cash provided by working capital changes and non-cash charges including depreciation, amortization and share-based compensation. During the same period in 2009, the difference between our net loss of $2.5 million and our net cash used in operating activities of $9.1 million was primarily due to cash used by working capital changes, offset by the cash favorable impact of non-cash charges, including depreciation and amortization, charges for inventory losses, and share-based compensation.</w:t>
      </w:r>
    </w:p>
    <w:p>
      <w:pPr>
        <w:spacing w:after="0" w:line="10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2010 was approximately $23.3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$16.6 million during the same period in 2009. Cash used in investing activities during the three months ended March 31, 2010 was related to net purchases of marketable securities of $22.5 million. Cash used in investing activities during the same period in 2009 was primarily related to net purchases of marketable securities of $16.0 million.</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during the three months ended March 31, 2010 was $558,000, compared to $34,000 during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2009. Net cash used in financing activities in 2010 was primarily related to taxes paid on behalf of employees for restricted stock units which vested during the period. Proceeds from the exercise of stock options were lower in 2010 compared to 2009 due to decreased stock option exercise activity.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460" w:firstLine="456"/>
        <w:spacing w:after="0" w:line="294" w:lineRule="auto"/>
        <w:rPr>
          <w:sz w:val="20"/>
          <w:szCs w:val="20"/>
          <w:color w:val="auto"/>
        </w:rPr>
      </w:pPr>
      <w:r>
        <w:rPr>
          <w:rFonts w:ascii="Arial" w:cs="Arial" w:eastAsia="Arial" w:hAnsi="Arial"/>
          <w:sz w:val="16"/>
          <w:szCs w:val="16"/>
          <w:color w:val="auto"/>
        </w:rPr>
        <w:t>During the next 12 months we plan to incur $9 million for the acquisition of property and equipment and additional software licenses. The Company expects to continue to incur professional fees and expenses primarily to defend the intellectual property litigation filed against the Company or related to its products, which litigation is discussed in Note 7 to our Consolidated Financial Statements included in this report. At March 31, 2010, the Company accrued $450,000 in warranty costs for the estimated expenses associated with the MiFi 2372 battery exchange program. See Note 2 to the Consolidated Financial Statements included in this report. The Company expects to incur the costs of this program in the second quarter of 2010.</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believe our cash resources from cash and cash equivalents and marketable securities, together with anticipated cash flows from operations, and our ability to raise capital under our shelf registration statement will be sufficient to meet our working capital needs for the next twelve months.</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would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liquidity could be impaired if there is any interruption in our business operations, a material failure to satisfy our contractual commitments or a failure to generate revenue from new or existing products.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December 31, 2009,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31, 2010,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2010, that have materially affected, or are reasonably likely to materially affect, the Company’s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have been no material developments in our legal proceedings since December 31, 2009. For additional information regarding the Company’s legal proceedings, see Item 3, “Legal Proceedings” in our Annual Report on Form 10-K for the year ended December 31, 2009.</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jc w:val="right"/>
              <w:ind w:right="9656"/>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16"/>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40" w:type="dxa"/>
            <w:vAlign w:val="bottom"/>
            <w:gridSpan w:val="2"/>
          </w:tcPr>
          <w:p>
            <w:pPr>
              <w:jc w:val="right"/>
              <w:ind w:right="553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920"/>
        <w:spacing w:after="0"/>
        <w:tabs>
          <w:tab w:leader="none" w:pos="788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Peter Leparulo</w:t>
      </w:r>
    </w:p>
    <w:p>
      <w:pPr>
        <w:jc w:val="center"/>
        <w:ind w:left="63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30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5920"/>
        <w:spacing w:after="0"/>
        <w:tabs>
          <w:tab w:leader="none" w:pos="7840" w:val="left"/>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Kenneth Leddon</w:t>
      </w:r>
    </w:p>
    <w:p>
      <w:pPr>
        <w:jc w:val="center"/>
        <w:ind w:left="630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March 31, 2010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Peter Leparulo</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7740"/>
        <w:spacing w:after="0"/>
        <w:tabs>
          <w:tab w:leader="none" w:pos="80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Kenneth Leddon</w:t>
      </w:r>
    </w:p>
    <w:p>
      <w:pPr>
        <w:jc w:val="center"/>
        <w:ind w:left="60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2019-12-10T14:15:41Z</dcterms:created>
  <dcterms:modified xsi:type="dcterms:W3CDTF">2019-12-10T14:15:41Z</dcterms:modified>
</cp:coreProperties>
</file>