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3920" w:right="2440" w:hanging="3912"/>
        <w:spacing w:after="0" w:line="438" w:lineRule="auto"/>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2009</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1" w:lineRule="exact"/>
        <w:rPr>
          <w:sz w:val="24"/>
          <w:szCs w:val="24"/>
          <w:color w:val="auto"/>
        </w:rPr>
      </w:pPr>
    </w:p>
    <w:p>
      <w:pPr>
        <w:ind w:left="3640"/>
        <w:spacing w:after="0"/>
        <w:tabs>
          <w:tab w:leader="none" w:pos="6660" w:val="left"/>
          <w:tab w:leader="none" w:pos="7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000-31659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4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60" w:type="dxa"/>
            <w:vAlign w:val="bottom"/>
          </w:tcPr>
          <w:p>
            <w:pPr>
              <w:jc w:val="center"/>
              <w:ind w:right="190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904"/>
              <w:spacing w:after="0"/>
              <w:rPr>
                <w:sz w:val="20"/>
                <w:szCs w:val="20"/>
                <w:color w:val="auto"/>
              </w:rPr>
            </w:pPr>
            <w:r>
              <w:rPr>
                <w:rFonts w:ascii="Arial" w:cs="Arial" w:eastAsia="Arial" w:hAnsi="Arial"/>
                <w:sz w:val="14"/>
                <w:szCs w:val="14"/>
                <w:b w:val="1"/>
                <w:bCs w:val="1"/>
                <w:color w:val="auto"/>
                <w:w w:val="89"/>
              </w:rPr>
              <w:t>of 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7"/>
              </w:rPr>
              <w:t>9645 Scranton Road, San Diego, CA</w:t>
            </w:r>
          </w:p>
        </w:tc>
        <w:tc>
          <w:tcPr>
            <w:tcW w:w="3040" w:type="dxa"/>
            <w:vAlign w:val="bottom"/>
          </w:tcPr>
          <w:p>
            <w:pPr>
              <w:jc w:val="right"/>
              <w:ind w:right="244"/>
              <w:spacing w:after="0"/>
              <w:rPr>
                <w:sz w:val="20"/>
                <w:szCs w:val="20"/>
                <w:color w:val="auto"/>
              </w:rPr>
            </w:pPr>
            <w:r>
              <w:rPr>
                <w:rFonts w:ascii="Arial" w:cs="Arial" w:eastAsia="Arial" w:hAnsi="Arial"/>
                <w:sz w:val="18"/>
                <w:szCs w:val="18"/>
                <w:b w:val="1"/>
                <w:bCs w:val="1"/>
                <w:color w:val="auto"/>
              </w:rPr>
              <w:t>92121</w:t>
            </w:r>
          </w:p>
        </w:tc>
      </w:tr>
      <w:tr>
        <w:trPr>
          <w:trHeight w:val="174"/>
        </w:trPr>
        <w:tc>
          <w:tcPr>
            <w:tcW w:w="46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177"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435" w:right="299" w:bottom="1440" w:gutter="0" w:footer="0" w:header="0"/>
        </w:sectPr>
      </w:pPr>
    </w:p>
    <w:p>
      <w:pPr>
        <w:spacing w:after="0" w:line="9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40" w:lineRule="exact"/>
        <w:rPr>
          <w:sz w:val="24"/>
          <w:szCs w:val="24"/>
          <w:color w:val="auto"/>
        </w:rPr>
      </w:pPr>
    </w:p>
    <w:p>
      <w:pPr>
        <w:sectPr>
          <w:pgSz w:w="11900" w:h="16838" w:orient="portrait"/>
          <w:cols w:equalWidth="0" w:num="4">
            <w:col w:w="2160" w:space="720"/>
            <w:col w:w="2140" w:space="720"/>
            <w:col w:w="2240" w:space="720"/>
            <w:col w:w="2660"/>
          </w:cols>
          <w:pgMar w:left="240" w:top="435" w:right="299" w:bottom="1440" w:gutter="0" w:footer="0" w:header="0"/>
          <w:type w:val="continuous"/>
        </w:sectPr>
      </w:pPr>
    </w:p>
    <w:p>
      <w:pPr>
        <w:ind w:left="460" w:right="1960"/>
        <w:spacing w:after="0" w:line="31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October 30, 2009 was 30,846,703.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35" w:right="299" w:bottom="1440" w:gutter="0" w:footer="0" w:header="0"/>
          <w:type w:val="continuous"/>
        </w:sectPr>
      </w:pPr>
    </w:p>
    <w:bookmarkStart w:id="1" w:name="page2"/>
    <w:bookmarkEnd w:id="1"/>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uncertain global economic conditions on the demand for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evolving industry standards, including 3G standards;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current global credit crisis on the value and liquidity of the securities in our investment portfolio;</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properly manage growth in our business to avoid significant strains on our management and operations and disruptions to our business;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of sufficient product quantities;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of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timely comply with public reporting obligations and maintain the listing of our common stock on The Nasdaq Global Select Market.</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our Annual Report on Form 10-K for the year ended December 31, 2008. If one or more events related to these or other risks or uncertainties materialize, or if our underlying assumptions prove to be incorrect, actual results may differ materially from what we anticipate.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“Novatel Wireless”, the Novatel Wireless logo, “MiFi”, “MiFi Intelligent Mobile Hotspot” , “Freedom. My Way”, “Merlin”, “MobiLink”, “Expedite”, “Ovation,” “Conversa”, “TotalMobileInternet”, and “NovaSpeed” are trademarks of Novatel Wireless, Inc. Other trademarks, trade names or service marks used in this report are the property of their respective owners.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40" w:type="dxa"/>
            <w:vAlign w:val="bottom"/>
          </w:tcPr>
          <w:p>
            <w:pPr>
              <w:jc w:val="center"/>
              <w:ind w:left="1872"/>
              <w:spacing w:after="0"/>
              <w:rPr>
                <w:sz w:val="20"/>
                <w:szCs w:val="20"/>
                <w:color w:val="auto"/>
              </w:rPr>
            </w:pPr>
            <w:r>
              <w:rPr>
                <w:rFonts w:ascii="Arial" w:cs="Arial" w:eastAsia="Arial" w:hAnsi="Arial"/>
                <w:sz w:val="18"/>
                <w:szCs w:val="18"/>
                <w:b w:val="1"/>
                <w:bCs w:val="1"/>
                <w:color w:val="auto"/>
              </w:rPr>
              <w:t>PART I—FINANCIAL INFORMATION</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4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Financial Statements.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tcPr>
          <w:p>
            <w:pPr>
              <w:jc w:val="center"/>
              <w:ind w:left="1872"/>
              <w:spacing w:after="0"/>
              <w:rPr>
                <w:sz w:val="20"/>
                <w:szCs w:val="20"/>
                <w:color w:val="auto"/>
              </w:rPr>
            </w:pPr>
            <w:r>
              <w:rPr>
                <w:rFonts w:ascii="Arial" w:cs="Arial" w:eastAsia="Arial" w:hAnsi="Arial"/>
                <w:sz w:val="18"/>
                <w:szCs w:val="18"/>
                <w:b w:val="1"/>
                <w:bCs w:val="1"/>
                <w:color w:val="auto"/>
                <w:w w:val="96"/>
              </w:rPr>
              <w:t>NOVATEL WIRELESS, INC.</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40" w:type="dxa"/>
            <w:vAlign w:val="bottom"/>
          </w:tcPr>
          <w:p>
            <w:pPr>
              <w:jc w:val="center"/>
              <w:ind w:left="1872"/>
              <w:spacing w:after="0"/>
              <w:rPr>
                <w:sz w:val="20"/>
                <w:szCs w:val="20"/>
                <w:color w:val="auto"/>
              </w:rPr>
            </w:pPr>
            <w:r>
              <w:rPr>
                <w:rFonts w:ascii="Arial" w:cs="Arial" w:eastAsia="Arial" w:hAnsi="Arial"/>
                <w:sz w:val="18"/>
                <w:szCs w:val="18"/>
                <w:b w:val="1"/>
                <w:bCs w:val="1"/>
                <w:color w:val="auto"/>
                <w:w w:val="96"/>
              </w:rPr>
              <w:t>CONSOLIDATED BALANCE SHEETS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40" w:type="dxa"/>
            <w:vAlign w:val="bottom"/>
          </w:tcPr>
          <w:p>
            <w:pPr>
              <w:jc w:val="center"/>
              <w:ind w:left="1872"/>
              <w:spacing w:after="0"/>
              <w:rPr>
                <w:sz w:val="20"/>
                <w:szCs w:val="20"/>
                <w:color w:val="auto"/>
              </w:rPr>
            </w:pPr>
            <w:r>
              <w:rPr>
                <w:rFonts w:ascii="Arial" w:cs="Arial" w:eastAsia="Arial" w:hAnsi="Arial"/>
                <w:sz w:val="18"/>
                <w:szCs w:val="18"/>
                <w:b w:val="1"/>
                <w:bCs w:val="1"/>
                <w:color w:val="auto"/>
                <w:w w:val="86"/>
              </w:rPr>
              <w:t>(in thousands, except per share data)</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4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26,282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58,536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Accounts receivable, net of allowance for doubtful accounts of $665 at September 30, 2009 and $1,010 at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2008</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48,619</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26,327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218,567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217,006</w:t>
            </w:r>
          </w:p>
        </w:tc>
        <w:tc>
          <w:tcPr>
            <w:tcW w:w="0" w:type="dxa"/>
            <w:vAlign w:val="bottom"/>
          </w:tcPr>
          <w:p>
            <w:pPr>
              <w:spacing w:after="0"/>
              <w:rPr>
                <w:sz w:val="1"/>
                <w:szCs w:val="1"/>
                <w:color w:val="auto"/>
              </w:rPr>
            </w:pPr>
          </w:p>
        </w:tc>
      </w:tr>
      <w:tr>
        <w:trPr>
          <w:trHeight w:val="215"/>
        </w:trPr>
        <w:tc>
          <w:tcPr>
            <w:tcW w:w="8860" w:type="dxa"/>
            <w:vAlign w:val="bottom"/>
            <w:gridSpan w:val="3"/>
          </w:tcPr>
          <w:p>
            <w:pPr>
              <w:spacing w:after="0"/>
              <w:rPr>
                <w:sz w:val="20"/>
                <w:szCs w:val="20"/>
                <w:color w:val="auto"/>
              </w:rPr>
            </w:pPr>
            <w:r>
              <w:rPr>
                <w:rFonts w:ascii="Arial" w:cs="Arial" w:eastAsia="Arial" w:hAnsi="Arial"/>
                <w:sz w:val="18"/>
                <w:szCs w:val="18"/>
                <w:color w:val="auto"/>
                <w:w w:val="90"/>
              </w:rPr>
              <w:t>Property and equipment, net of accumulated depreciation of $40,887 at September 30, 2009 and $33,417 at December 31,</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16,792</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20,225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w w:val="93"/>
              </w:rPr>
              <w:t>Intangible assets, net of accumulated amortization of $2,226 at September 30, 2009 and $8,568 at December 31, 2008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293,974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40" w:type="dxa"/>
            <w:vAlign w:val="bottom"/>
            <w:vMerge w:val="restart"/>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44,641</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Accrued income taxes</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Capital lease obligations, long-term</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17,067</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4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86,490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w w:val="92"/>
              </w:rPr>
              <w:t>Common stock, par value $0.001; 50,000 shares authorized, 30,847 and 30,327 shares issued and outstanding at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40" w:type="dxa"/>
            <w:vAlign w:val="bottom"/>
          </w:tcPr>
          <w:p>
            <w:pPr>
              <w:ind w:left="40"/>
              <w:spacing w:after="0"/>
              <w:rPr>
                <w:sz w:val="20"/>
                <w:szCs w:val="20"/>
                <w:color w:val="auto"/>
              </w:rPr>
            </w:pPr>
            <w:r>
              <w:rPr>
                <w:rFonts w:ascii="Arial" w:cs="Arial" w:eastAsia="Arial" w:hAnsi="Arial"/>
                <w:sz w:val="18"/>
                <w:szCs w:val="18"/>
                <w:color w:val="auto"/>
              </w:rPr>
              <w:t>September 30, 2009 and December 31, 2008, respectively</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413,794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(181,422)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(184,382)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232,484</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 at cost; 2,436 common shares at September 30, 2009 and December 31, 2008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207,484</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293,974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5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5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5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94,293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78,398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248,786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255,858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Cost of revenues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64,488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61,735</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184,369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194,806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29,805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16,663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61,052</w:t>
            </w:r>
          </w:p>
        </w:tc>
        <w:tc>
          <w:tcPr>
            <w:tcW w:w="0" w:type="dxa"/>
            <w:vAlign w:val="bottom"/>
          </w:tcPr>
          <w:p>
            <w:pPr>
              <w:spacing w:after="0"/>
              <w:rPr>
                <w:sz w:val="1"/>
                <w:szCs w:val="1"/>
                <w:color w:val="auto"/>
              </w:rPr>
            </w:pPr>
          </w:p>
        </w:tc>
      </w:tr>
      <w:tr>
        <w:trPr>
          <w:trHeight w:val="222"/>
        </w:trPr>
        <w:tc>
          <w:tcPr>
            <w:tcW w:w="734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11,707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9,132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14,817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5,711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22,555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19,103</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62,473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60,499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(2,440)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(2,092)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(1,046)</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(1,046)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3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0.20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6"/>
              </w:rPr>
              <w:t>Weighted average shares used in computation of basic and diluted net income (loss) per share: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30,694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30,397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31,508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30,397</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31,078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31,613</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5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ind w:lef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2,960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10,236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Inventory provision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Excess tax benefits from equity-based awards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benefit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(3,443)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20,757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22,766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(4,226)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intangible assets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Purchases of securities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(59,191)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(67,033)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maturities/sales</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(8,223)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 options exercised</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(24,583)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105,896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79,121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5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“we”, “our”, “us”) in accordance with the rules of the Securities and Exchange Commission. The information at September 30, 2009 and the results of its operations for the three and nine months ended September 30, 2009 and September 30, 2008 is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from which they were derived and notes thereto included in the Company’s Annual Report on Form 10-K for the year ended December 31, 2008. The accounting policies used in preparing these consolidated financial statements are the same as those described in the Company’s Form 10-K with the exception of new accounting pronouncements adopted in 2009. The results of operations for the interim periods presented are not necessarily indicative of results to be expected for any other interim period or for the year as a whole.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evaluated subsequent events through November 2, 2009, the date on which this Quarterly Report on Form 10-Q was filed with the Securities and Exchange Commission.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provision for warranty costs, estimated royalty costs, income taxes, and share-based compensation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Accounting Requirements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September 2006, the FASB issued authoritative guidance for fair value measurements, which defines fair value, establishes a framework for measuring fair value and expands disclosure requirements for assets and liabilities measured at fair value in the financial statements. In February 2008, the FASB issued authoritative guidance, which delays for one year the effective date of the authoritative guidance for fair value measurements for all nonfinancial assets and liabilities, except those that are recognized or disclosed at fair value in the financial statements on a recurring basis. The adoption of this accounting guidance did not have a material impact on the Company’s financial condition or operating results.</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January 1, 2009, the Company adopted the FASB’s authoritative accounting guidance regarding disclosure requirements for derivative instruments and hedging activities. This new guidance requires enhanced disclosures for derivative instruments, including those used in hedging activities. The adoption of this accounting guidance did not have an impact on the Company’s statements of operations or balance sheet.</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April 2009, the FASB issued authoritative guidance for determining fair value when there is no active market or where price inputs represent distressed sales and for determining other-than-temporary impairments for debt securities. This guidance is effective for interim and annual periods ending after June 15, 2009. The application of this accounting guidance did not have a material impact on the Company’s financial condition or operating results.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ind w:right="1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October 2009, the FASB issued Accounting Standards Update (“ASU”) 2009-13, which amends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to require companies to allocate revenue in multiple-element arrangements based on an element’s estimated selling price if vendor-specific or other third-party evidence of value is not available. ASU 2009-13 is effective beginning January 1, 2011. Earlier application is permitted. We are currently evaluating both the timing and the impact of the pending adoption of the ASU on our consolidated financial statements.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October 2009, the FASB issued Accounting Standards Update (“ASU”) 2009-14, which amends ASC Topic 985-605, Software-Revenue Recognition, to exclude from its requirements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 ASU 2009-14 is effective beginning January 1, 2011. Earlier application is permitted. We are currently evaluating both the timing and the impact of the pending adoption of the ASU on our consolidated financial statements.</w:t>
      </w:r>
    </w:p>
    <w:p>
      <w:pPr>
        <w:spacing w:after="0" w:line="191" w:lineRule="exact"/>
        <w:rPr>
          <w:sz w:val="20"/>
          <w:szCs w:val="20"/>
          <w:color w:val="auto"/>
        </w:rPr>
      </w:pPr>
    </w:p>
    <w:p>
      <w:pPr>
        <w:ind w:left="460" w:right="9400" w:hanging="452"/>
        <w:spacing w:after="0" w:line="391" w:lineRule="auto"/>
        <w:tabs>
          <w:tab w:leader="none" w:pos="17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6"/>
          <w:szCs w:val="16"/>
          <w:color w:val="auto"/>
        </w:rPr>
        <w:t>The Company’s portfolio of available-for-sale securities by contractual maturity consists of the following as of September 30, 2009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Maturity in</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3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6900" w:type="dxa"/>
            <w:vAlign w:val="bottom"/>
            <w:gridSpan w:val="3"/>
          </w:tcPr>
          <w:p>
            <w:pPr>
              <w:spacing w:after="0"/>
              <w:rPr>
                <w:sz w:val="20"/>
                <w:szCs w:val="20"/>
                <w:color w:val="auto"/>
              </w:rPr>
            </w:pPr>
            <w:r>
              <w:rPr>
                <w:rFonts w:ascii="Arial" w:cs="Arial" w:eastAsia="Arial" w:hAnsi="Arial"/>
                <w:sz w:val="14"/>
                <w:szCs w:val="14"/>
                <w:b w:val="1"/>
                <w:bCs w:val="1"/>
                <w:color w:val="auto"/>
              </w:rPr>
              <w:t>September 30, 2009</w:t>
            </w: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Cost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1 or less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1 or less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14,395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1 or less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short-term marketable securities</w:t>
            </w: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26,212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26,282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 to 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22,584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 to 2</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7,948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 to 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long-term marketable securities</w:t>
            </w: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42,651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42,708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68,863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68,990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September 30, 2009, net unrealized gains of $127,000, or $81,000 net of taxes, are included in accumulated other comprehensive income on the consolidated balance sheet.</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September 30, 2009, the Company did not have any investments in individual securities that have been in a continuous unrealized loss position for more than 12 months. The Company believes the unrealized losses at September 30, 2009 represent a temporary condition due to the investment grade rating of the investment securities.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74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26,327</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3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26,327</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3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640" w:type="dxa"/>
            <w:vAlign w:val="bottom"/>
            <w:vMerge w:val="continue"/>
          </w:tcPr>
          <w:p>
            <w:pPr>
              <w:spacing w:after="0"/>
              <w:rPr>
                <w:sz w:val="24"/>
                <w:szCs w:val="24"/>
                <w:color w:val="auto"/>
              </w:rPr>
            </w:pPr>
          </w:p>
        </w:tc>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40" w:type="dxa"/>
            <w:vAlign w:val="bottom"/>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374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7,313</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Market development fund and price protection</w:t>
            </w: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1,122</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Professional fees</w:t>
            </w: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1,121</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40" w:type="dxa"/>
            <w:vAlign w:val="bottom"/>
          </w:tcPr>
          <w:p>
            <w:pPr>
              <w:spacing w:after="0"/>
              <w:rPr>
                <w:sz w:val="19"/>
                <w:szCs w:val="19"/>
                <w:color w:val="auto"/>
              </w:rPr>
            </w:pPr>
          </w:p>
        </w:tc>
        <w:tc>
          <w:tcPr>
            <w:tcW w:w="374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22,547</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20,628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560" w:type="dxa"/>
            <w:vAlign w:val="bottom"/>
            <w:vMerge w:val="restart"/>
          </w:tcPr>
          <w:p>
            <w:pPr>
              <w:ind w:left="580"/>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Accrued Warranty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Accrued warranty obligations consist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6"/>
              </w:rPr>
              <w:t>Three Months Ended</w:t>
            </w:r>
          </w:p>
        </w:tc>
        <w:tc>
          <w:tcPr>
            <w:tcW w:w="5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0"/>
              </w:rPr>
              <w:t>Nine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1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3"/>
              </w:rPr>
              <w:t>2008</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liability at beginning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3,585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2,884</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Additions charged to operations</w:t>
            </w:r>
          </w:p>
        </w:tc>
        <w:tc>
          <w:tcPr>
            <w:tcW w:w="1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635</w:t>
            </w:r>
          </w:p>
        </w:tc>
        <w:tc>
          <w:tcPr>
            <w:tcW w:w="2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578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2,261</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Deductions from reserves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(2,424)</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Warranty liability at end of period</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3,308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3,080</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3,308</w:t>
            </w:r>
          </w:p>
        </w:tc>
        <w:tc>
          <w:tcPr>
            <w:tcW w:w="7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auto"/>
              </w:rPr>
              <w:t>8</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80" w:right="6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Fair Value Measurement of Assets and Liabilities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Pursuant to the authoritative guidance for fair value measurements, the Company’s cash equivalents and investments are currently classified within level 1 or level 2 of the fair value hierarchy because they are valued using quoted market prices, broker or dealer quotations, or alternative pricing sources with reasonable levels of price transparency. We maintain an investment portfolio of various security holdings, types and maturities. We place our cash equivalents and investments in instruments that meet credit quality standards, as specified in our investment policy guidelines. These guidelines also limit the amount of credit exposure to any one issue, issuer or type of instrument. Our foreign exchange forward contracts are valued using pricing models that take into account the currency rates as of the balance sheet date.</w:t>
      </w:r>
    </w:p>
    <w:p>
      <w:pPr>
        <w:spacing w:after="0" w:line="14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investment in financial instruments valued based on quoted market prices in active markets are our investments in money market securities. Such instruments are classified within level 1 of the fair value hierarchy.</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types of financial instruments valued based on quoted prices in markets that are not active, broker or dealer quotations, or alternative pricing sources with reasonable levels of price transparency include most investment-grade corporate bonds, commercial paper, time deposits, government and agency securities, asset backed securities, and foreign exchange forward contracts. Such instruments are classified within level 2 of the fair value hierarchy.</w:t>
      </w:r>
    </w:p>
    <w:p>
      <w:pPr>
        <w:spacing w:after="0" w:line="10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of September 30, 2009, we did not have any assets or liabilities without observable market values that would require a high level of judgment to determine fair value (level 3 assets).</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 summarizes our financial assets and liabilities measured at fair value on a recurring basis in accordance with the authoritative accounting guidance for fair value measurements as of September 30, 2009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2009</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76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100,118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gridSpan w:val="3"/>
          </w:tcPr>
          <w:p>
            <w:pPr>
              <w:spacing w:after="0"/>
              <w:rPr>
                <w:sz w:val="20"/>
                <w:szCs w:val="20"/>
                <w:color w:val="auto"/>
              </w:rPr>
            </w:pPr>
            <w:r>
              <w:rPr>
                <w:rFonts w:ascii="Arial" w:cs="Arial" w:eastAsia="Arial" w:hAnsi="Arial"/>
                <w:sz w:val="18"/>
                <w:szCs w:val="18"/>
                <w:color w:val="auto"/>
              </w:rPr>
              <w:t>Total cash equivalents</w:t>
            </w: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100,118</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2"/>
              </w:rPr>
              <w:t>100,118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420"/>
              <w:spacing w:after="0"/>
              <w:rPr>
                <w:sz w:val="20"/>
                <w:szCs w:val="20"/>
                <w:color w:val="auto"/>
              </w:rPr>
            </w:pPr>
            <w:r>
              <w:rPr>
                <w:rFonts w:ascii="Arial" w:cs="Arial" w:eastAsia="Arial" w:hAnsi="Arial"/>
                <w:sz w:val="18"/>
                <w:szCs w:val="18"/>
                <w:color w:val="auto"/>
              </w:rPr>
              <w:t>US government agency securities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9,549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gridSpan w:val="2"/>
          </w:tcPr>
          <w:p>
            <w:pPr>
              <w:ind w:left="420"/>
              <w:spacing w:after="0"/>
              <w:rPr>
                <w:sz w:val="20"/>
                <w:szCs w:val="20"/>
                <w:color w:val="auto"/>
              </w:rPr>
            </w:pPr>
            <w:r>
              <w:rPr>
                <w:rFonts w:ascii="Arial" w:cs="Arial" w:eastAsia="Arial" w:hAnsi="Arial"/>
                <w:sz w:val="18"/>
                <w:szCs w:val="18"/>
                <w:color w:val="auto"/>
              </w:rPr>
              <w:t>Corporate debentures / bonds</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government agency securities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4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7,942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debentures / bonds</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12,165</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42,708</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42,708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169,108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100,118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68,990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forward contracts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September 30, 2009, the total amount of outstanding foreign exchange forward contracts amounted to €1.6 million ($2.3 million using the exchange rate as of September 30, 2009). These contracts are used to hedge the Company’s Euro-denominated cash and accounts receivable balances. For the three and nine months ended September 30, 2009, the Company recorded losses of $470,000 and $558,000, respectively, on its foreign exchange forward contracts. For the three and nine months ended September 30, 2008, the Company recorded a gain of $1.7 million and a loss of $1,000, respectively, on its foreign exchange forward contracts.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Share-Based Compensation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included the following amounts for share-based compensation awards in the accompanying unaudited consolidated statements of operations for the three and nine months ended September 30, 2009 and 2008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4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5"/>
              </w:rPr>
              <w:t>Ended September 30,</w:t>
            </w:r>
          </w:p>
        </w:tc>
        <w:tc>
          <w:tcPr>
            <w:tcW w:w="100" w:type="dxa"/>
            <w:vAlign w:val="bottom"/>
          </w:tcPr>
          <w:p>
            <w:pPr>
              <w:spacing w:after="0"/>
              <w:rPr>
                <w:sz w:val="14"/>
                <w:szCs w:val="14"/>
                <w:color w:val="auto"/>
              </w:rPr>
            </w:pPr>
          </w:p>
        </w:tc>
        <w:tc>
          <w:tcPr>
            <w:tcW w:w="14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4"/>
              </w:rPr>
              <w:t>Ended September 30,</w:t>
            </w: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96"/>
              </w:rPr>
              <w:t>2009</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1,558</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1,726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1,620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4,811</w:t>
            </w:r>
          </w:p>
        </w:tc>
        <w:tc>
          <w:tcPr>
            <w:tcW w:w="0" w:type="dxa"/>
            <w:vAlign w:val="bottom"/>
          </w:tcPr>
          <w:p>
            <w:pPr>
              <w:spacing w:after="0"/>
              <w:rPr>
                <w:sz w:val="1"/>
                <w:szCs w:val="1"/>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Tax effect on share-based compensation</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effect on net income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1,465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1,353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4,248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3,884</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Effect on net income per share:</w:t>
            </w:r>
          </w:p>
        </w:tc>
        <w:tc>
          <w:tcPr>
            <w:tcW w:w="2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72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2"/>
        </w:trPr>
        <w:tc>
          <w:tcPr>
            <w:tcW w:w="5720" w:type="dxa"/>
            <w:vAlign w:val="bottom"/>
          </w:tcPr>
          <w:p>
            <w:pPr>
              <w:ind w:left="440"/>
              <w:spacing w:after="0"/>
              <w:rPr>
                <w:sz w:val="20"/>
                <w:szCs w:val="20"/>
                <w:color w:val="auto"/>
              </w:rPr>
            </w:pPr>
            <w:r>
              <w:rPr>
                <w:rFonts w:ascii="Arial" w:cs="Arial" w:eastAsia="Arial" w:hAnsi="Arial"/>
                <w:sz w:val="18"/>
                <w:szCs w:val="18"/>
                <w:color w:val="auto"/>
              </w:rPr>
              <w:t>Diluted</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 and Concentrations of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reportable segment.</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operations in the United States, Canada, Europe and Asia. The amount of the Company’s assets in the United States, Canada, Europe and Asia as of September 30, 2009 was $289.0 million, $3.9 million, $1.0 million and $52,000, respectively, and as of December 31, 2008 was $253.5 million, $6.3 million, $892,000 and $59,000, respectively.</w:t>
      </w:r>
    </w:p>
    <w:p>
      <w:pPr>
        <w:spacing w:after="0" w:line="140"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For the three months ended September 30, 2009, approximately 5% of net revenues were derived from international customers (Europe/Middle East/Africa 5% and Asia / Australia 0%) as compared to approximately 38% of net revenues derived from international customers (Europe/Middle East/Africa 37% and Asia</w:t>
      </w:r>
    </w:p>
    <w:p>
      <w:pPr>
        <w:ind w:right="100" w:firstLine="8"/>
        <w:spacing w:after="0" w:line="302" w:lineRule="auto"/>
        <w:tabs>
          <w:tab w:leader="none" w:pos="93" w:val="left"/>
        </w:tabs>
        <w:numPr>
          <w:ilvl w:val="0"/>
          <w:numId w:val="5"/>
        </w:numPr>
        <w:rPr>
          <w:rFonts w:ascii="Arial" w:cs="Arial" w:eastAsia="Arial" w:hAnsi="Arial"/>
          <w:sz w:val="16"/>
          <w:szCs w:val="16"/>
          <w:color w:val="auto"/>
        </w:rPr>
      </w:pPr>
      <w:r>
        <w:rPr>
          <w:rFonts w:ascii="Arial" w:cs="Arial" w:eastAsia="Arial" w:hAnsi="Arial"/>
          <w:sz w:val="16"/>
          <w:szCs w:val="16"/>
          <w:color w:val="auto"/>
        </w:rPr>
        <w:t>Australia 1%) for the three months ended September 30, 2008. For the nine months ended September 30, 2009, approximately 6% of net revenues were derived from international customers (Europe/Middle East/Africa 6% and Asia / Australia 0%) as compared to approximately 37% of net revenues derived from international customers (Europe/Middle East/Africa 37% and Asia / Australia 0%) for the nine months ended September 30, 2008.</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40"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A significant portion of the Company’s net revenues are derived from a small number of customers. For the three months ended September 30, 2009, sales to three customers accounted for 43%, 15% and 13%, respectively, of net revenues. In the same period in 2008, sales to three customers accounted for 38%, 14% and 14%, respectively, of net revenues. In the nine months ended September 30, 2009, sales to three customers accounted for 32%, 28% and 11%, respectively, of net revenues. In the same period in 2008, sales to four customers accounted for 25%, 18%, 15% and 14%, respectively, of net revenues.</w:t>
      </w:r>
    </w:p>
    <w:p>
      <w:pPr>
        <w:spacing w:after="0" w:line="113"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Company outsources its manufacturing to two third-party contract manufacturers. If one or both of them were to experience delays, disruptions, capacity constraints or quality control problems in its manufacturing operations, product shipments to the Company’s customers could be delayed or its customers could consequently elect to cancel the underlying product purchase order, which would negatively impact the Company’s revenues and results of operations.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 Earnings Per Share</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Potentially dilutive securities (consisting of options, warrants, restricted stock units (“RSUs”) and employee stock purchase plan withholdings using the treasury stock method) are excluded from the diluted EPS computation in loss periods and when the applicable exercise price is greater than the market price on the period end date as their effect would be anti-dilutive.</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sets forth the computation of diluted weighted-average common and potential common shares outstanding for the three and nine months ended September 30, 2009 and 2008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c>
          <w:tcPr>
            <w:tcW w:w="12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12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weighted-average common shares outstanding</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30,694</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30,397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30,539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78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Restricted Stock Units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Purchase Plan</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Options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common and potential common shares outstanding</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31,508</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30,397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31,078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Weighted-average options, RSUs, and ESPP shares to acquire a total of 3,019,620 and 3,784,725 shares of common stock for the three and nine months ended September 30, 2009, respectively, and options, warrants, RSUs and ESPP shares to acquire a total of 3,377,984 and 3,233,602 shares of common stock for the three and nine months ended September 30, 2008, respectively, were outstanding but not included in the computation of diluted earnings per share as their effect was anti-dilutive.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Losses on Firm Purchase Commitments</w:t>
      </w:r>
    </w:p>
    <w:p>
      <w:pPr>
        <w:spacing w:after="0" w:line="90"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In the ordinary course of business, the Company enters into agreements to purchase finished goods at specified prices from contract manufacturers for future delivery to customers. If a customer cancels an order after the Company has agreed to purchase the finished goods from a contract manufacturer, the Company may incur cancellation costs payable to the manufacturer. The Company may not be able to recover these costs from the customer.</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quarter ended June 30, 2009, a customer cancelled several purchase orders. As a result, the Company recorded $2.1 million in cancellation costs, consisting of cancellation fees and the cost of components that the Company was obligated to purchase from its contract manufacturer, and recognized that amount in cost of revenues in the three months ended June 30, 2009. During the three months ended September 30, 2009, the cancellation liability was reduced by $547,000 through negotiations with the manufacturer. The $547,000 was recorded as a reduction to the Company’s cost of revenues for the three months ended September 30, 2009. At September 30, 2009, the Company’s expected liability as a result of the cancellation of these orders was $1.6 million.</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fourth quarter of 2009, the customer agreed to purchase from the Company approximately $969,000 in non-cancellable components related to this matter. As of the date of this report, the customer’s purchase of the components has not been completed. Accordingly, the Company has not recorded a receivable related to this matter.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xml:space="preserve"> , Case No. 08-CV-01689-H (RBB) (Consolidated with Case No. 08-CV-01714-H (RBB)) (U.S.D.C., S.D. Cal.).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ind w:right="4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relevant time period regarding the strength of our products and market share, our financial results and our internal controls. The plaintiffs are seeking an unspecified amount of damages and costs. The court has denied defendants’ motions to dismiss. Discovery in this case is ongoing. The Company intends to defend this litigation vigorously. Due to the preliminary nature of this litigation, the Company is unable to estimate a range of exposure associated with this litigation.</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 Diego, against the Company, as nominal defendant, and certain of our current and former officers and directors, as defendants. Two other purported shareholders, Mark Campos and Chris Arnsdorf, separately filed substantially similar lawsuits in the same court on October 20, 2008 and November 5, 2008, respectively. On October 16, 2009, the plaintiffs filed a consolidated complaint. The consolidated complaint, Case No. 37-2008-00093576-CU-NP-CTL, alleges claims for breaches of fiduciary duties, violations of certain provisions of the California Corporations Code, unjust enrichment, and gross mismanagement. The plaintiffs are seeking equitable and/or injunctive relief, restitution from the defendants, attorneys’ fees and costs, and other relief. Due to the preliminary nature of this action, the Company is unable to estimate a range of exposure associated with this litigation.</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July 6, 2009, SPH America, LLC filed suit in the United States District Court for the Eastern District of Virginia against the Company and numerous other defendants, including original equipment manufacturers of laptops and manufacturers of wireless modems, alleging, among other things, that the defendants’ manufacture, sale and/or use of certain wireless modems infringes various U.S. patents to which plaintiff purportedly has exclusive licensing rights. On October 9, 2009, the court granted defendants’ motion to transfer the lawsuit to the U.S. District Court for the Southern District of California. Due to the preliminary nature of this action, the Company is unable to estimate the range of exposure associated with this litigation.</w:t>
      </w:r>
    </w:p>
    <w:p>
      <w:pPr>
        <w:spacing w:after="0" w:line="1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On July 8, 2009, WIAV Networks, LLC filed suit in the United States District Court for the Eastern District of Texas against the Company and numerous other defendants, including original equipment manufacturers of laptops and manufacturers of wireless modems, alleging, among other things, that the defendants’ manufacture, sale and/or use of certain wireless modems infringes various U.S. patents which plaintiff purportedly owns. Due to the preliminary nature of this action, the Company is unable to estimate the range of exposure associated with this litigation.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normal course of business, the Company periodically enters into agreements that require the Company to indemnify and or defend its customers for, among other things, claims alleging that the Company’s products infringe third-party patents or other intellectual property rights. The Company’s maximum exposure under these indemnification provisions cannot be estimated.</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being named as a defendant in the litigation commenced by each of SPH America, LLC and the WIAV Networks, LLC discussed above, the Company may have applicable indemnification and / or defense obligations with respect to several of its current and former customers that were also named as defendants in the SPH America, LLC and the WIAV Networks, LLC litigation. Due to the preliminary nature of this action, the Company is unable to estimate the range of exposure associated with this matter.</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January 9, 2009, DNT, LLC filed a putative patent infringement lawsuit in the United States District Court for the Eastern District of Virginia against several wireless carriers, including two of the Company’s customers, Sprint Nextel Corporation and Verizon Wireless, Inc., as defendants. The complaint alleges, among other things, that the defendants’ use, sale and importation of specified wireless modem cards for computers designed to be used in conjunction with the defendants’ cellular networks constitutes direct infringement of U.S. Patent No. RE 37,660, which the plaintiff allegedly owns. The complaint also alleges that customer use of the products sold by the defendants constitutes indirect infringement of the patent allegedly owned by the plaintiff. The plaintiff is seeking an amount of damages equal to no less than a reasonable royalty for the sale of each infringing product, an injunction, costs and other relief as appropriate. The Company has agreed to defend its customers in this lawsuit pursuant to its contractual arrangements with the customers. On March 23, 2009, the Company filed a motion to intervene, and on April 20, 2009, the plaintiff filed a counterclaim against the Company. The court has set a trial date in December 2009. Due to the preliminary nature of this action, the Company is unable to estimate the range of exposure associated with this matter.</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January 16, 2009, Datascape, Inc. filed a putative patent infringement lawsuit in the United States District Court for the Northern District of Georgia against Company customer, Sprint Spectrum, L.P. and affiliates (“Sprint”) as defendants. The complaint alleges generally that the defendants have engaged in the manufacture, sale, import and/or use of products and/or processes that constitutes infringement of U.S. Patent Nos. 5,742,845, 5,905,908, 6,366,967, 6,684,269 and 6,745,259, which the plaintiff allegedly owns. The plaintiff is seeking an amount of damages no less than a reasonable royalty, treble damages, an injunction, attorney’s fees and costs and additional relief as appropriate. The Company has agreed to defend and indemnify Sprint in this lawsuit pursuant to its contractual obligations. Due to the preliminary nature of this matter, the Company is unable to estimate the range of exposure associated with this matter.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June 18, 2009, MSTG, Inc. filed a putative patent infringement lawsuit in the United States District Court for the Northern District of Illinois, Eastern Division, against several wireless carriers and wireless device providers, including one of the Company’s customers, Sprint Spectrum, L.P., as defendants. The complaint alleges generally that the defendants have engaged in the manufacture, use, importation, sale and/or offer for sale of products, services and technology employing inventions that constitute infringement of U.S. Patent Nos. 5,920,551, 6,198,936 and 6,438,113, which the plaintiff allegedly owns. The plaintiff is seeking an award of damages adequate to compensate MSTG for any infringement (together with pre-judgment interest); an award of all remedies available under 35 U.S.C. Sections 284 and 285; and a permanent injunction prohibiting further infringement and additional relief as may be awarded. The Company is currently evaluating this matter to determine the nature and extent of any obligation to indemnify and/or defend this customer in this lawsuit. Due to the preliminary nature of this action, the Company is unable to estimate the range of exposure associated with this matter.</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July 8, 2009, Celltrace, LLC. filed a putative patent infringement lawsuit in the United States District Court for the Eastern District of Texas, Tyler Division, against several wireless carriers, including the Company customers, Sprint, Sprint Spectrum L.P. and Cellco Partnership d/b/a Verizon Wireless, as defendants. The complaint alleges generally that the defendants have engaged in making, using, selling, offering for sale and/or leasing certain products, services and systems in Texas that constitute infringement of U.S. Patent Nos. 6,011,976 and 7,551,933, which the plaintiff allegedly owns. The complaint also alleges that each defendant sells and/or offers for sale cellular telephone services which communicate with the defendants’ cellular network that constitute infringement of the patents allegedly owned by the plaintiff. The plaintiff is seeking no less than a reasonable royalty for the acts of infringement, adjudication of infringement, damages and costs related thereto, attorneys’ fees and costs and additional relief as may be awarded. The Company is currently evaluating this matter to determine the nature and extent of any obligation to indemnify and/or defend its customers in this lawsuit. Due to the preliminary nature of this action, the Company is unable to estimate the range of exposure associated with this matter.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(loss)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2"/>
              </w:rPr>
              <w:t>Three Months Ended</w:t>
            </w:r>
          </w:p>
        </w:tc>
        <w:tc>
          <w:tcPr>
            <w:tcW w:w="14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$ 6,223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(1,046)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$ 2,960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Unrealized gains (losses) on cash equivalents and marketable securities, net of tax</w:t>
            </w: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(219)</w:t>
            </w: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$ 6,227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(1,265)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$ 2,979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currently estimates its annual effective income tax rate, not including discrete items, to be approximately 30.9%, compared to 42.5% in</w:t>
      </w:r>
    </w:p>
    <w:p>
      <w:pPr>
        <w:spacing w:after="0" w:line="38"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2008. The estimated annual effective income tax rate for 2009 is lower than for 2008 predominantly due to the effect of utilization of 2009 research and development credits.</w:t>
      </w:r>
    </w:p>
    <w:p>
      <w:pPr>
        <w:spacing w:after="0" w:line="13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January 2007, the Company adopted the authoritative accounting guidance regarding accounting for uncertainty in income taxes. Under this authoritative accounting guidance, the Company’s liability for unrecognized tax benefits as of September 30, 2009 was $17.1 million. Included in the balance of unrecognized tax benefits as of September 30, 2009 are $11.8 million of tax benefits that, if recognized, would affect the Company’s effective tax rate. At September 30, 2009, the Company had recorded approximately $1.2 million of accrued interest related to uncertain tax positions in its consolidated balance sheet. For the three and nine months ended September 30, 2009, the Company included $245,000 and $805,000, respectively, of interest expense related to uncertain tax positions in its consolidated statements of operations. These amounts were partially offset by the derecognition of accrued interest expense related to the release of the liability for unrecognized tax benefits discussed below.</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the third quarter of 2009, the Company reduced its uncertain tax liability by approximately $3.1 million, including a related interest accrual of approximately $240,000, due to the expiration of the statute of limitations applicable to the 2005 taxable year and the completion of the examination of the Company’s 2006 federal tax return. Approximately $1.4 million of this amount benefited the three and nine months ended September 30, 2009 tax provision as a discrete item.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2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September 23, 2008, the State of California passed tax legislation that, among other things, places a moratorium on the use of net operating loss carryforwards and limited the use of certain tax credits to reduce state income tax liability in 2009. This legislation will impact our state income tax liability in 2009.</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Company and its subsidiaries file federal, state and foreign income tax returns in jurisdictions with various statutes of limitations. The Internal Revenue Service’s examination of the Company’s federal income tax return for the year ended December 31, 2006 has been completed and resulted in no adjustments. The Company is subject to various income tax examinations for 1996 through 2008 due to the availability of net operating loss carryforwards. The Company believes appropriate provisions for all outstanding issues have been made for all jurisdictions and all open years. However, due to the risk that audit outcomes and the timing of audit settlements are subject to significant uncertainty, our current estimate of the total amounts of unrecognized tax benefits could increase or decrease for all open years. Currently, the Company does not anticipate that there will be any material change in the recognized tax benefits within the next twelve months.</w:t>
      </w:r>
    </w:p>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following information should be read in conjunction with the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2008 contained in our Annual Report on Form 10-K for the year ended December 31, 2008.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a provider of wireless broadband access solutions for the worldwide mobile cellular communications market. Our broad range of products includes third generation, or 3G, wireless PC card and ExpressCard modems, embedded modems, USB modems and other fixed-mobile convergence, or FMC, solutions and communications software for wireless network operators, infrastructure providers, distributors, original equipment manufacturers, or OEMs, and vertical markets worldwide. Through the integration of our hardware and software, our products are designed to operate on a majority of wireless networks in the world and provide mobile subscribers with secure and convenient high speed access to corporate, public and personal information through the Internet and enterprise networks. We also offer software engineering, integration and design services to our customers to facilitate the use of our products.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strong customer relationships provide us with the opportunity to expand our market reach and sales. Most of our sales to wireless operators and OEMs are sold directly through our sales force. To a lesser degree, we also use an indirect sales distribution model through the use of select distributors. We are continuing to drive widespread adoption of our products through increased global marketing activities, expansion of our sales team and distribution networks and continued leverage of our strategic relationships with wireless industry leaders.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2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agreements with LG Innotek and Inventec Appliances Corporation, or IAC, for the outsourced manufacturing of our products. Under our manufacturing agreements, LG Innotek and IAC provide us with services including component procurement, product manufacturing, final assembly, testing, quality control, fulfillment and delivery. In addition, we have an agreement with Mobiltron for certain distribution, fulfillment and repair services related to our business in Europe, the Middle East and Africa, or EMEA.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This may place significant demands on our resources.</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continuing global financial crisis and the resulting slowdown in the worldwide economy is causing, and we expect may continue to cause, contraction in demand for our products. In addition, the financial crisis may continue to have an impact on the value of our investment portfolio, foreign currency exchange gain (loss), and net investment interest income (loss).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products and 3G data access services, particularly in Europe, North America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increased competition from other wireless data modem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significant customers, including current laptop customers who transition to alternative embedded module platforms such as QUALCOMM’s Gobi platform;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deployment of 3G networks by carriers;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demand for EV-DO, HSDPA and HSUPA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anticipate introducing additional 3G products during the next twelve months. We continue to develop and maintain strategic relationships with wireless and computing industry leaders like Alcatel-Lucent, Dell, QUALCOMM, Sony, Sprint PCS, Verizon Wireless, Telefonica, Virgin Mobile, Bell Distribution and Vodafone and software vendors. Our strategic relationships also include technology and marketing relationships with wireless operators, OEM partners that integrate our products into other devices, distributors and leading hardware and software technology providers. Through these strategic relationships, we have been able to enhance our market penetration activities by leveraging the resources of our channel partners, including their access to distribution resources, increased sales opportunities and market opportunities.</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We currently outsource our manufacturing operations to LG Innotek and IAC. In addition, we currently outsource certain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and repair services related to our business in EMEA to Mobiltron. All costs associated with these manufacturers and Mobiltron are included in our cost of revenues. Cost of revenues also includes warranty costs, amortization of intangible licenses, royalties based on a percentage of revenues, operations group expenses, costs associated with the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4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Europe, and Asia. We will likely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products to serve these markets, resulting in increased research and development expenses associated with such new product development. We have in the past and expect to continue to incur these expenses in future periods prior to recognizing net revenues from sales of these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These estimates and assumptions affect the reported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provision for warranty costs, royalty costs, income taxes, foreign exchange forward contracts, and share-based compensation expense. The significant accounting policies used in preparation of these consolidated financial statements for the three and nine months ended September 30, 2009 are consistent with those discussed in Note 1 to the consolidated financial statements included in our Annual Report on Form 10-K for the year ended December 31, 2008 in all material respects and in Note 1 to the consolidated financial statements included in this report. The critical accounting policies and the significant judgments and estimates used in the preparation of our consolidated financial statements for the three and nine months ended September 30, 2009 are consistent with those discussed in our Annual Report on Form 10-K for the year ended December 31, 2008 in the section captioned “Management’s Discussion and Analysis of Financial Condition and Results of Operations — Critical Accounting Policies and Estimates.”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Accounting Requirements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September 2006, the FASB issued authoritative guidance for fair value measurements, which defines fair value, establishes a framework for measuring fair value and expands disclosure requirements for assets and liabilities measured at fair value in the financial statements. In February 2008, the FASB issued authoritative guidance, which delays for one year the effective date of the authoritative guidance for fair value measurements for all nonfinancial assets and liabilities, except those that are recognized or disclosed at fair value in the financial statements on a recurring basis. The adoption of this accounting guidance did not have a material impact on the Company’s financial condition or operating results.</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January 1, 2009, the Company adopted the FASB’s authoritative accounting guidance regarding disclosure requirements for derivative instruments and hedging activities. This new guidance requires enhanced disclosures for derivative instruments, including those used in hedging activities. The adoption of this accounting guidance did not have an impact on the Company’s statements of operations or balance sheet.</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April 2009, the FASB issued authoritative guidance for determining fair value when there is no active market or where price inputs represent distressed sales and for determining other-than-temporary impairments for debt securities. This guidance is effective for interim and annual periods ending after June 15, 2009. The application of this accounting guidance did not have a material impact on the Company’s financial condition or operating results.</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In October 2009, the FASB issued Accounting Standards Update (“ASU”) 2009-13, which amends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to require companies to allocate revenue in multiple-element arrangements based on an element’s estimated selling price if vendor-specific or other third-party evidence of value is not available. ASU 2009-13 is effective beginning January 1, 2011. Earlier application is permitted. We are currently evaluating both the timing and the impact of the pending adoption of the ASU on our consolidated financial statements.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October 2009, the FASB issued Accounting Standards Update (“ASU”) 2009-14, which amends ASC Topic 985-605, Software-Revenue Recognition, to exclude from its requirements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 ASU 2009-14 is effective beginning January 1, 2011. Earlier application is permitted. We are currently evaluating both the timing and the impact of the pending adoption of the ASU on our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2009 Compared to Three Months Ended September 30, 2008</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Net revenues. </w:t>
      </w:r>
      <w:r>
        <w:rPr>
          <w:rFonts w:ascii="Arial" w:cs="Arial" w:eastAsia="Arial" w:hAnsi="Arial"/>
          <w:sz w:val="16"/>
          <w:szCs w:val="16"/>
          <w:color w:val="auto"/>
        </w:rPr>
        <w:t>Net revenues for the three months ended September 30, 2009 were $94.3 million compared to $78.4 million for the same period in 2008.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overall increase in net revenues was primarily attributable to an increase in sales for our EV-DO products, partially offset by a decrease in our sales of High Speed Packet Access, or HSPA, products. The increase in EV-DO product sales for the three months ended September 30, 2009 compared to the same period in 2008 was approximately $35.2 million. The increase was primarily due to demand for the MiFi Intelligent Mobile Hotspot product, which was introduced in the second quarter of this year. EV-DO products are primarily sold in the North American market and represented approximately 88% of net revenues in the three months ended September 30, 2009 compared to 61% in the same period in 2008. The decrease in our HSPA product sales for the three months ended September 30, 2009 compared to the same period in 2008 was approximately $18.5 million. HSPA net revenues, primarily derived from the European market, represented approximately 12% of our net revenues in the three months ended September 30, 2009 compared to 38% for the same period in 2008. The decrease in HSPA net revenues for the three months ended September 30, 2009 compared to the same period in 2008 is primarily due to the continuous erosion of our market share in Europe due to the persistent competitive pressures we are currently experiencing in that market. We expect competitive pressure in Europe to continue at least through the remainder of 2009.</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right="6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currently unfavorable macroeconomic conditions make it more difficult to forecast trends in net revenues in the near term and we expect these conditions to continue throughout 2009.</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Cost of revenues for the three months ended September 30, 2009 was $64.5 million, or 68.4% of net revenues, as compared to $61.7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78.7% of net revenues, for the same period in 2008.</w:t>
      </w:r>
    </w:p>
    <w:p>
      <w:pPr>
        <w:spacing w:after="0" w:line="5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Cost of revenues as a percentage of net revenues for the three months ended of September 30, 2009 were positively impacted by the net effects of a favorable product mix.</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addition, cost of revenues as a percentage of net revenues for the three months ended of September 30, 2009 was favorably impacted by a reduction to the estimated purchase cancellation costs recorded in the second quarter of 2009. In the quarter ended June 30, 2009, a customer cancelled several purchase orders. As a result, the Company recorded $2.1 million in cancellation costs, consisting of cancellation fees and the cost of components that the Company was obligated to purchase from its contract manufacturer, and recognized that amount in cost of revenues in the three months ended June 30, 2009. During the three months ended September 30, 2009, the cancellation liability was reduced by $547,000 through negotiations with the manufacturer. The $547,000 was recorded as a reduction to the Company’s cost of revenues for the three months ended September 30, 2009. At September 30, 2009, the Company’s expected liability as a result of the cancellation of this significant order is $1.6 million.</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Cost of revenues as a percentage of net revenues is expected to fluctuate in future quarters depending on the mix of products sold, competitive pricing, new product introduction costs and other factors.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current global economic conditions and related 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the three months ended September 30, 2009 was $29.8 million, or 31.6% of net revenues, compared to $16.7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21.3% of net revenues, for the same period in 2008. The increase was primarily attributable to the changes in net revenues and cost of revenues as discussed above.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three months ended September 30, 2009 were $11.7 million, or 12.4%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compared to $9.1 million, or 11.6% of net revenues, for the same period in 2008. The increase was due primarily to higher compensation expense, an increase in test and certification fees, and an increase in equipment and product development costs in the three months ended September 30, 2009 compared to the same period in 2008 to support expanded research and development and product introduction activities. The Company continues to believe that focused investments in research and development are critical to its future growth and competitive position in the marketplace and are directly related to timely development of new and enhanced products that are central to the Company’s core business strategy. As such, the Company expects to make further investments in research and development to remain competitive.</w:t>
      </w:r>
    </w:p>
    <w:p>
      <w:pPr>
        <w:spacing w:after="0" w:line="3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 However, we expect to maintain or increase our investment in research and development to continue to provide innovative products and services.</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September 30, 2009 were $5.5 million, or 5.8%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approximately $4.3 million, or 5.4% of net revenues, for the same period in 2008. The increase for the three months ended September 30, 2009 compared to the same period in 2008 was due primarily to the increase in cooperative marketing and advertising funds with a customer to support the launch of the MiFi Intelligent Mobile Hotspot product.</w:t>
      </w:r>
    </w:p>
    <w:p>
      <w:pPr>
        <w:spacing w:after="0" w:line="62"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While managing sales and marketing expenses relative to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three months ended September 30, 2009 were $5.4 million, or 5.7%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compared to $5.7 million, or 7.3% of net revenues, for the same period in 2008. Although expenses remained consistent for the three months ended September 30, 2009 as compared to the same period in 2008, expenses for the three months ended September 30, 2009 included approximately $1.5 million in professional fees primarily related to the Company’s securities class action and intellectual property litigation discussed in Note 7 to the consolidated financial statements included in this report. The corresponding period for the prior year included professional fees and related expenses of approximately $1.3 million primarily related to the Company’s internal review of revenue cut-off procedures, internal controls and accounting related to certain customer contracts. The Company concluded its internal review in September 2008.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right="200" w:firstLine="456"/>
        <w:spacing w:after="0" w:line="33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Interest income, net. </w:t>
      </w:r>
      <w:r>
        <w:rPr>
          <w:rFonts w:ascii="Arial" w:cs="Arial" w:eastAsia="Arial" w:hAnsi="Arial"/>
          <w:sz w:val="16"/>
          <w:szCs w:val="16"/>
          <w:color w:val="auto"/>
        </w:rPr>
        <w:t>Interest income, net, for the three months ended September 30, 2009 was $271,000 as compared to $956,000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2008. Although the Company’s average cash and marketable securities balance has increased period over period, average yields have decreased.</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for the three months ended September 30, 2009 was an income of $174,000 as compared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$608,000 for the same period in 2008. The overall increase in other income and expense is attributable to the strengthening of the Euro during the three months ended September 30, 2009 and the resulting impact on our Euro-denominated foreign exchange forward contracts and Euro-denominated receivables.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Income tax expense (benefit). </w:t>
      </w:r>
      <w:r>
        <w:rPr>
          <w:rFonts w:ascii="Arial" w:cs="Arial" w:eastAsia="Arial" w:hAnsi="Arial"/>
          <w:sz w:val="16"/>
          <w:szCs w:val="16"/>
          <w:color w:val="auto"/>
        </w:rPr>
        <w:t>Income tax expense, including discrete items, was $1.5 million, or 19.1% of income before taxes,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2009 compared to income tax benefit of $1.0 million, or 50.0% of income before taxes, for the same period in 2008. The estimated effective tax rate is lower for the three months ended September 30, 2009 compared to the same period last year due to the recognition of an approximately $1.4 million benefit in the three months ended September 30, 2009 related to a derecognition of the Company’s uncertain tax liability. In the third quarter of 2009, the Company reduced its uncertain tax liability by approximately $3.1 million, including a related interest accrual of approximately $240,000, due to the expiration of the statute of limitations applicable to the 2005 taxable year and the completion of the examination of the Company’s 2006 federal tax return. Approximately $1.4 million of this amount benefited the three months ended September 30, 2009 tax provision as a discrete item.</w:t>
      </w:r>
    </w:p>
    <w:p>
      <w:pPr>
        <w:spacing w:after="0" w:line="118"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For the three months ended September 30, 2009, the Company recognized approximately $245,000 of interest expense related to unrecognized tax positions in the consolidated statement of operations compared to $114,000 for the same period last year. This amount was offset by the derecognition of approximately $240,000 of accrued interest expense related to the aforementioned reduction of the liability for unrecognized tax benefits in the three months ended September 2009.</w:t>
      </w:r>
    </w:p>
    <w:p>
      <w:pPr>
        <w:spacing w:after="0" w:line="14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Company currently estimates its annual effective income tax rate, not including discrete items, to be approximately 30.9% for 2009, compared to 42.5% in 2008. The estimated annual effective income tax rate for 2009 is lower than for 2008 primarily due the effect of utilization of 2009 research and development credits.</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September 23, 2008, the State of California passed tax legislation that, among other things, places a moratorium on the use of net operating loss carryforwards and limited the use of certain tax credits to reduce state income tax liability in 2009. This legislation will impact our state income tax liability in 2009.</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income (loss). </w:t>
      </w:r>
      <w:r>
        <w:rPr>
          <w:rFonts w:ascii="Arial" w:cs="Arial" w:eastAsia="Arial" w:hAnsi="Arial"/>
          <w:sz w:val="18"/>
          <w:szCs w:val="18"/>
          <w:color w:val="auto"/>
        </w:rPr>
        <w:t>For the three months ended September 30, 2009, we reported a net income of $6.2 million, as compared to a net loss of $1.0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2008. Although operating expenses increased during the third quarter of 2009 compared to the same period last year, net income was favorably impacted by the increases in net revenues and gross margin percentage as discussed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2009 Compared to Nine Months Ended September 30, 2008</w:t>
      </w:r>
    </w:p>
    <w:p>
      <w:pPr>
        <w:spacing w:after="0" w:line="96" w:lineRule="exact"/>
        <w:rPr>
          <w:sz w:val="20"/>
          <w:szCs w:val="20"/>
          <w:color w:val="auto"/>
        </w:rPr>
      </w:pPr>
    </w:p>
    <w:p>
      <w:pPr>
        <w:jc w:val="both"/>
        <w:ind w:right="180" w:firstLine="456"/>
        <w:spacing w:after="0" w:line="303" w:lineRule="auto"/>
        <w:rPr>
          <w:sz w:val="20"/>
          <w:szCs w:val="20"/>
          <w:color w:val="auto"/>
        </w:rPr>
      </w:pPr>
      <w:r>
        <w:rPr>
          <w:rFonts w:ascii="Arial" w:cs="Arial" w:eastAsia="Arial" w:hAnsi="Arial"/>
          <w:sz w:val="15"/>
          <w:szCs w:val="15"/>
          <w:b w:val="1"/>
          <w:bCs w:val="1"/>
          <w:i w:val="1"/>
          <w:iCs w:val="1"/>
          <w:color w:val="auto"/>
        </w:rPr>
        <w:t xml:space="preserve">Net revenues. </w:t>
      </w:r>
      <w:r>
        <w:rPr>
          <w:rFonts w:ascii="Arial" w:cs="Arial" w:eastAsia="Arial" w:hAnsi="Arial"/>
          <w:sz w:val="15"/>
          <w:szCs w:val="15"/>
          <w:color w:val="auto"/>
        </w:rPr>
        <w:t>Net revenues for the nine months ended September 30, 2009 were $248.8 million compared to $255.9 million for the same period in 2008.</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overall decline in net revenues was primarily attributable to a decrease in sales for our High Speed Packet Access, or HSPA, products, partially offset by an increase in sales of our EV-DO products. The decrease in HSPA product sales for the nine months ended September 30, 2009 compared to the same period 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2008 was approximately $85.1 million. HSPA net revenues, primarily derived from the European market, represented approximately 10% of net revenues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September 30, 2009 compared to 43% for the same period in 2008. The decrease in HSPA net revenues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2009 compared to the same period in 2008 is primarily due to the erosion of our market share in Europe due to the persistent competitive pressures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we are currently experiencing in that market. We expect competitive pressure in Europe to continue at least through the remainder of 2009. The increase in our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EV-DO product sales for the nine months ended September 30, 2009 compared to the same period in 2008 was approximately $78.0 million. This increase in EV-</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DO product sales was driven by an embedded module product for an E-reader and demand for the MiFi Intelligent Mobile Hotspot product, which was introduced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2009. EV-DO products are primarily sold in the North American market and represented approximately 90% of net revenues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2009 compared to 57% in the same period in 2008.</w:t>
      </w:r>
    </w:p>
    <w:p>
      <w:pPr>
        <w:spacing w:after="0" w:line="16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currently unfavorable macroeconomic conditions make it more difficult to forecast trends in net revenues in the near term and we expect these conditions to continue through the remainder of the year.</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Cost of revenues for the nine months ended September 30, 2009 was $184.4 million, or 74.1% of net revenues, as compared to $194.8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76.1% of net revenues, for the same period in 2008.</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Cost of revenues as a percentage of net revenues for the nine months ended of September 30, 2009 was positively impacted by the net effects of a favorable product mix. Cost of revenues as a percentage of net revenues is expected to fluctuate in future quarters depending on the mix of products sold, competitive pricing, new product introduction costs and other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current global economic conditions and related 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the nine months ended September 30, 2009 was $64.4 million, or 25.9% of net revenues, compared to $61.1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23.9% of net revenues, for the same period in 2008. The increase was primarily attributable to the changes in net revenues and cost of revenues as discussed above.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nine months ended September 30, 2009 were $33.4 million, or 13.4%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compared to $27.6 million, or 10.8% of net revenues, for the same period in 2008. The increase during the year was primarily due to higher compensation expense, an increase in equipment and product development costs and an increase in test and certification fees in the nine months ended September 30, 2009 as compared to the same period in 2008. These expenditures were primarily made to support expanded research and development and product introduction activities. The Company continues to believe that focused investments in research and development are critical to its future growth and competitive position in the marketplace and are directly related to timely development of new and enhanced products that are central to the Company’s core business strategy. As such, the Company expects to make further investments in research and development to remain competitive.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 However, we expect to maintain or increase our investment in research and development to continue to provide innovative products and services.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nine months ended September 30, 2009 were $14.8 million, or 6.0%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approximately $14.7 million, or 5.8% of net revenues, for the same period in 2008. Sales and marketing expenses were relatively consistent during the nine months ended September 30, 2009 as compared to the same period in 2008. While managing sales and marketing expenses relative to revenues, we expect to continue to make selected investments in sales and marketing as we introduce new products, market existing products, expand our distribution channels and focus on key customers around the world.</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nine months ended September 30, 2009 were $14.2 million, or 5.7%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compared to $18.2 million, or 7.1% of net revenues, for the same period in 2008. The overall decline in general and administrative expenses was primarily attributable to a decline in professional fees and decreases in our provision for bad debt for the same period in 2008. The expenses for the nine months ended September 30, 2009 included approximately $1.5 million in professional fees primarily related to the Company’s on going securities class action and intellectual property litigation discussed in Note 7 to the consolidated financial statements included in this report. The corresponding period for the prior year included professional fees and related expenses of approximately $3.9 million primarily related to the Company’s internal review of revenue cut-off procedures, internal controls and accounting related to certain customer contracts. The Company concluded its internal review in September 2008.</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Interest income, net. </w:t>
      </w:r>
      <w:r>
        <w:rPr>
          <w:rFonts w:ascii="Arial" w:cs="Arial" w:eastAsia="Arial" w:hAnsi="Arial"/>
          <w:sz w:val="16"/>
          <w:szCs w:val="16"/>
          <w:color w:val="auto"/>
        </w:rPr>
        <w:t>Interest income, net, for the nine months ended September 30, 2009 was $1.1 million as compared to $3.5 million for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2008. Although the Company’s average cash and marketable securities balance has increased period over period, average yields have decreased.</w:t>
      </w:r>
    </w:p>
    <w:p>
      <w:pPr>
        <w:spacing w:after="0" w:line="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for the nine months ended September 30, 2009 was income of $171,000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$138,000 for the same period in 2008.</w:t>
      </w:r>
    </w:p>
    <w:p>
      <w:pPr>
        <w:spacing w:after="0" w:line="13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Income tax expense (benefit). </w:t>
      </w:r>
      <w:r>
        <w:rPr>
          <w:rFonts w:ascii="Arial" w:cs="Arial" w:eastAsia="Arial" w:hAnsi="Arial"/>
          <w:sz w:val="16"/>
          <w:szCs w:val="16"/>
          <w:color w:val="auto"/>
        </w:rPr>
        <w:t>Income tax expense, including discrete items, was $277,000, or 8.6% of income before taxes,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2009 as compared to income tax expense of approximately $2.2 million, or 55.7% of income before taxes, for the same period in 2008. The estimated effective tax rate is lower for the nine months ended September 30, 2009 compared to the same period last year due to the recognition of an approximately $1.4 million benefit in the nine months ended September 30, 2009 related to a derecognition of the Company’s uncertain tax liability. In the third quarter of 2009, the Company reduced its uncertain tax liability by approximately $3.1 million, including a related interest accrual of approximately $240,000, due to the expiration of the statute of limitations applicable to the 2005 taxable year and the completion of the examination of the Company’s 2006 federal tax return. Approximately $1.4 million of this amount benefited the nine months ended September 30, 2009 tax provision as a discrete item.</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the nine months ended September 30, 2009, the Company recognized approximately $805,000 of interest expense related to unrecognized tax positions in the consolidated statement of operations compared to $395,000 for the same period last year. This amount was partially offset by the derecognition of accrued interest expense related to the aforementioned reduction of the liability for unrecognized tax benefits in the nine months ended September 2009.</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19" w:name="page20"/>
    <w:bookmarkEnd w:id="19"/>
    <w:p>
      <w:pPr>
        <w:ind w:right="4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currently estimates its annual effective income tax rate, not including discrete items, to be approximately 30.9% for 2009, compared to 42.5% in 2008. The estimated annual effective income tax rate for 2009 is lower than 2008 primarily due to the effect of utilization of 2009 research and development credits.</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September 23, 2008, the State of California passed tax legislation that, among other things, places a moratorium on the use of net operating loss carryforwards and limited the use of certain tax credits to reduce state income tax liability in 2009. This legislation will impact our state income tax liability in 2009.</w:t>
      </w:r>
    </w:p>
    <w:p>
      <w:pPr>
        <w:spacing w:after="0" w:line="14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Net income (loss). </w:t>
      </w:r>
      <w:r>
        <w:rPr>
          <w:rFonts w:ascii="Arial" w:cs="Arial" w:eastAsia="Arial" w:hAnsi="Arial"/>
          <w:sz w:val="16"/>
          <w:szCs w:val="16"/>
          <w:color w:val="auto"/>
        </w:rPr>
        <w:t>For the nine months ended September 30, 2009, we reported net income of $3.0 million, as compared to net income of $1.7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2008. Although net revenues decreased and operating expenses increased during the nine months ended September 30, 2009 compared to the same period last year, net income was positively impacted by the increase in the gross margin percentage as discussed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principal sources of liquidity are our existing cash, cash equivalents and marketable securities and cash generated from operations. We do not currently have a revolving credit facility or similar loan agreement. As of September 30, 2009, we had working capital of $149.3 million and $174.9 million in cash, cash equivalents and short and long-term marketable securities, which is an increase of $31.7 million from $143.2 million at December 31, 2008. The net increase is primarily attributable to cash provided by operating activities, offset by purchases of property and equipment and net purchases of marketable securities.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was $34.2 million for the nine months ended September 30, 2009, compared to $22.8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same period in 2008. During the nine months ended September 30, 2009, the $34.2 million in cash provided by operating activities was primarily attributable to non-cash charges including depreciation, amortization and share-based compensation, decreases in working capital and our year to date net income of $3.0 million. During the nine months ended September 30, 2008, the $22.8 million in cash provided by operating activities was primarily attributable to non-cash charges including depreciation and amortization, charges for inventory losses and share-based compensation, decreases in our working capital and our year-to-date net income of $1.7 million.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0" w:name="page21"/>
    <w:bookmarkEnd w:id="20"/>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Investing activities. </w:t>
      </w:r>
      <w:r>
        <w:rPr>
          <w:rFonts w:ascii="Arial" w:cs="Arial" w:eastAsia="Arial" w:hAnsi="Arial"/>
          <w:sz w:val="16"/>
          <w:szCs w:val="16"/>
          <w:color w:val="auto"/>
        </w:rPr>
        <w:t>Net cash used in investing activities for the nine months ended September 30, 2009 was $8.2 million, compared to $3.4 million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2008. Net cash used in investing activities in the nine months ended September 30, 2009 was primarily related to the purchase of investment securities and property and equipment, offset by the sale and maturity of investment securities. The net cash used in investing activities in the nine months ended September 30, 2008 was primarily due to purchases of investment securities and property and equipment to establish production capacity at a second contract manufacturer of the Company’s products, offset by the sale and maturity of investment securities.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provided by financing activities for the nine months ended September 30, 2009 was $1.9 million compared to $24.6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in financing activities during the same period in 2008. Net cash provided by financing activities during the nine months ended September 30, 2009 was primarily related to proceeds from stock option exercises and stock purchases through our employee stock purchase plan. Net cash used in financing activities in the nine months ended September 30, 2008 was primarily due to the Company’s repurchase of $25 million of its outstanding common stock on the open market pursuant to a repurchase program.</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expects to continue to incur professional fees and expenses to defend litigation filed against the Company or related to its products, which litigation is discussed in Note 7 to our consolidated financial statements included in this report. These costs cannot be estimated at this time.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next 12 months we plan to incur $10 million to $13 million for the acquisition of property and equipment and additional licenses.</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filed a shelf registration statement with the Securities and Exchange Commission that will allow us to sell up to $125 million of equity, debt or other securities described in the registration statement in one or more offerings. The shelf registration statement gives us greater flexibility to raise funds from the sale of our securities, subject to market conditions and our capital needs.</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believe that our available cash and investments, together with our operating cash flows, will be sufficient to fund operations, including the potential expansion of our sales and marketing team, the further development of our new products and the related potential increase in our general and administrative expenses, and to satisfy our working capital requirements and anticipated capital expenditures for the next 12 months. Our future net revenues are dependent on us fulfilling our commitments under agreements with a small number of major customers. Our liquidity could be impaired if there is any interruption in our business operations, a material failure to satisfy these contractual commitments or a failure to generate revenues from new or existing products.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Since December 31, 2008, there have been no material changes in the quantitative or qualitative aspect of our market risk profile. For additional information regarding the Company’s exposure to certain market risks, see Item 7A, “Quantitative and Qualitative Disclosures About Market Risk” in our Annual Report on Form 10-K for the year ended December 31, 2008.</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September 30, 2009, the end of the period covered by this report. Based on the evaluation of these disclosure controls and procedures, the Company’s Chief Executive Officer and Chief Financial Officer concluded that the Company’s disclosure controls and procedures were effective.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Internal Control Over Financial Reporting.</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September 30, 2009, that have materially affected, or are reasonably likely to materially affect, the Company’s internal control over financial reporting.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6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 Diego, against the Company, as nominal defendant, and certain of our current and former officers and directors, as defendants. Two other purported shareholders, Mark Campos and Chris Arnsdorf, separately filed substantially similar lawsuits in the same court on October 20, 2008 and November 5, 2008, respectively. On October 16, 2009, the plaintiffs filed a consolidated complaint. The consolidated complaint, Case No. 37-2008-00093576-CU-NP-CTL, alleges claims for breaches of fiduciary duties, violations of certain provisions of the California Corporations Code, unjust enrichment, and gross mismanagement. The plaintiffs are seeking equitable and/or injunctive relief, restitution from the defendants, attorneys’ fees and costs, and other relief.</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July 6, 2009, SPH America, LLC filed suit in the United States District Court for the Eastern District of Virginia against the Company and numerous other defendants, including original equipment manufacturers of laptops and manufacturers of wireless modems, alleging, among other things, that the defendants’ manufacture, sale and/or use of certain wireless modems infringes various U.S. patents to which plaintiff purportedly has exclusive licensing rights. On October 9, 2009, the court granted defendants’ motion to transfer the lawsuit to the U.S. District Court for the Southern District of California.</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July 8, 2009, WIAV Networks, LLC filed suit in the United States District Court for the Eastern District of Texas against the Company and numerous other defendants, including original equipment manufacturers of laptops and manufacturers of wireless modems, alleging, among other things, that the defendants’ manufacture, sale and/or use of certain wireless modems infringes various U.S. patents which plaintiff purportedly owns.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18, 2009, MSTG, Inc. filed a putative patent infringement lawsuit in the United States District Court for the Northern District of Illinois, Eastern Division, against several wireless carriers and wireless device providers, including one of the Company’s customers, Sprint Spectrum, L.P., as defendants. The complaint alleges generally that the defendants have engaged in the manufacture, use, importation, sale and/or offer for sale of products, services and technology employing inventions that constitute infringement of U.S. Patent Nos. 5,920,551, 6,198,936 and 6,438,113, which the plaintiff allegedly owns. The plaintiff is seeking an award of damages adequate to compensate MSTG for any infringement (together with pre-judgment interest); an award of all remedies available under 35 U.S.C. Sections 284 and 285; and a permanent injunction prohibiting further infringement and additional relief as may be awarded. The Company is currently evaluating this matter to determine the nature and extent of any obligation to indemnify and/or defend this customer in this lawsuit.</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July 8, 2009, Celltrace, LLC. filed a putative patent infringement lawsuit in the United States District Court for the Eastern District of Texas, Tyler Division, against several wireless carriers, including the Company customers, Sprint, Sprint Spectrum L.P. and Cellco Partnership d/b/a Verizon Wireless, as defendants. The complaint alleges generally that the defendants have engaged in making, using, selling, offering for sale and/or leasing certain products, services and systems in Texas, that constitute infringement of U.S. Patent Nos. 6,011,976 and 7,551,933, which the plaintiff allegedly owns. The complaint also alleges that each defendant sells and/or offers for sale cellular telephone services which communicate with the defendants’ cellular network that constitute infringement of the patents allegedly owned by the plaintiff. The plaintiff is seeking no less than a reasonable royalty for the acts of infringement, adjudication of infringement, damages and costs related thereto, attorneys’ fees and costs and additional relief as may be awarded. The Company is currently evaluating this matter to determine the nature and extent of any obligation to indemnify and/or defend its customers in this lawsuit.</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There have been no material developments in our legal proceedings since December 31, 2008 except as described above and in our Quarterly Reports on Form 10-Q for the periods ended March 31 and June 30, 2009. For additional information regarding the Company’s legal proceedings, see Item 3, “Legal Proceedings” in our Annual Report on Form 10-K for the year ended December 31, 2008, and Part II – Item 1, “Legal Proceedings” in our Quarterly Reports on Form 10-Q for the periods ended March 31 and June 30, 2009.</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w:t>
      </w:r>
    </w:p>
    <w:p>
      <w:pPr>
        <w:spacing w:after="0" w:line="6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on Form 10-K for the year ended December 31, 2008.</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r>
        <w:rPr>
          <w:rFonts w:ascii="Arial" w:cs="Arial" w:eastAsia="Arial" w:hAnsi="Arial"/>
          <w:sz w:val="15"/>
          <w:szCs w:val="15"/>
          <w:b w:val="1"/>
          <w:bCs w:val="1"/>
          <w:color w:val="auto"/>
        </w:rPr>
        <w:t>.</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r>
        <w:rPr>
          <w:rFonts w:ascii="Arial" w:cs="Arial" w:eastAsia="Arial" w:hAnsi="Arial"/>
          <w:sz w:val="15"/>
          <w:szCs w:val="15"/>
          <w:b w:val="1"/>
          <w:bCs w:val="1"/>
          <w:color w:val="auto"/>
        </w:rPr>
        <w:t>.</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r>
        <w:rPr>
          <w:rFonts w:ascii="Arial" w:cs="Arial" w:eastAsia="Arial" w:hAnsi="Arial"/>
          <w:sz w:val="15"/>
          <w:szCs w:val="15"/>
          <w:b w:val="1"/>
          <w:bCs w:val="1"/>
          <w:color w:val="auto"/>
        </w:rPr>
        <w:t>.</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Other Information</w:t>
      </w:r>
      <w:r>
        <w:rPr>
          <w:rFonts w:ascii="Arial" w:cs="Arial" w:eastAsia="Arial" w:hAnsi="Arial"/>
          <w:sz w:val="15"/>
          <w:szCs w:val="15"/>
          <w:b w:val="1"/>
          <w:bCs w:val="1"/>
          <w:color w:val="auto"/>
        </w:rPr>
        <w:t>.</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00"/>
          </w:cols>
          <w:pgMar w:left="240" w:top="274"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274" w:right="25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40" w:type="dxa"/>
            <w:vAlign w:val="bottom"/>
            <w:gridSpan w:val="2"/>
          </w:tcPr>
          <w:p>
            <w:pPr>
              <w:jc w:val="right"/>
              <w:ind w:right="9656"/>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340"/>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034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10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Indemnification Agreement by and between Novatel Wireless, Inc. and each of its Directors and Executive Officers.</w:t>
            </w: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Executive Officer pursuant to Section 302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Financial and Accounting Officer pursuant to Section 302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Certification of our Principal Executive Officer and Principal Financial and Accounting Officer pursuant to Section 906 of the Sarbanes-Oxley Act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40" w:type="dxa"/>
            <w:vAlign w:val="bottom"/>
            <w:gridSpan w:val="2"/>
          </w:tcPr>
          <w:p>
            <w:pPr>
              <w:jc w:val="right"/>
              <w:ind w:right="553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November 2, 2009</w:t>
      </w:r>
      <w:r>
        <w:rPr>
          <w:sz w:val="20"/>
          <w:szCs w:val="20"/>
          <w:color w:val="auto"/>
        </w:rPr>
        <w:tab/>
      </w:r>
      <w:r>
        <w:rPr>
          <w:rFonts w:ascii="Arial" w:cs="Arial" w:eastAsia="Arial" w:hAnsi="Arial"/>
          <w:sz w:val="16"/>
          <w:szCs w:val="16"/>
          <w:color w:val="auto"/>
        </w:rPr>
        <w:t>Novatel Wireless, Inc.</w:t>
      </w:r>
    </w:p>
    <w:p>
      <w:pPr>
        <w:spacing w:after="0" w:line="225" w:lineRule="exact"/>
        <w:rPr>
          <w:sz w:val="20"/>
          <w:szCs w:val="20"/>
          <w:color w:val="auto"/>
        </w:rPr>
      </w:pPr>
    </w:p>
    <w:p>
      <w:pPr>
        <w:ind w:left="5500"/>
        <w:spacing w:after="0"/>
        <w:tabs>
          <w:tab w:leader="none" w:pos="7800" w:val="left"/>
          <w:tab w:leader="none" w:pos="8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3"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Peter Leparulo</w:t>
      </w:r>
    </w:p>
    <w:p>
      <w:pPr>
        <w:jc w:val="center"/>
        <w:ind w:left="6060"/>
        <w:spacing w:after="0" w:line="221"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060"/>
        <w:spacing w:after="0"/>
        <w:rPr>
          <w:sz w:val="20"/>
          <w:szCs w:val="20"/>
          <w:color w:val="auto"/>
        </w:rPr>
      </w:pPr>
      <w:r>
        <w:rPr>
          <w:rFonts w:ascii="Arial" w:cs="Arial" w:eastAsia="Arial" w:hAnsi="Arial"/>
          <w:sz w:val="14"/>
          <w:szCs w:val="14"/>
          <w:b w:val="1"/>
          <w:bCs w:val="1"/>
          <w:color w:val="auto"/>
        </w:rPr>
        <w:t>(principal executive officer)</w:t>
      </w:r>
    </w:p>
    <w:p>
      <w:pPr>
        <w:spacing w:after="0" w:line="208" w:lineRule="exact"/>
        <w:rPr>
          <w:sz w:val="20"/>
          <w:szCs w:val="20"/>
          <w:color w:val="auto"/>
        </w:rPr>
      </w:pPr>
    </w:p>
    <w:p>
      <w:pPr>
        <w:ind w:left="5500"/>
        <w:spacing w:after="0"/>
        <w:tabs>
          <w:tab w:leader="none" w:pos="7740" w:val="left"/>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3"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Kenneth Leddon</w:t>
      </w:r>
    </w:p>
    <w:p>
      <w:pPr>
        <w:jc w:val="center"/>
        <w:ind w:left="6060"/>
        <w:spacing w:after="0" w:line="221"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0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580" w:type="dxa"/>
            <w:vAlign w:val="bottom"/>
          </w:tcPr>
          <w:p>
            <w:pPr>
              <w:ind w:left="5680"/>
              <w:spacing w:after="0"/>
              <w:rPr>
                <w:sz w:val="20"/>
                <w:szCs w:val="20"/>
                <w:color w:val="auto"/>
              </w:rPr>
            </w:pPr>
            <w:r>
              <w:rPr>
                <w:rFonts w:ascii="Arial" w:cs="Arial" w:eastAsia="Arial" w:hAnsi="Arial"/>
                <w:sz w:val="18"/>
                <w:szCs w:val="18"/>
                <w:b w:val="1"/>
                <w:bCs w:val="1"/>
                <w:color w:val="auto"/>
                <w:w w:val="87"/>
              </w:rPr>
              <w:t>Exhibit 10.1</w:t>
            </w:r>
          </w:p>
        </w:tc>
      </w:tr>
      <w:tr>
        <w:trPr>
          <w:trHeight w:val="378"/>
        </w:trPr>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60" w:type="dxa"/>
            <w:vAlign w:val="bottom"/>
            <w:gridSpan w:val="6"/>
          </w:tcPr>
          <w:p>
            <w:pPr>
              <w:ind w:left="200"/>
              <w:spacing w:after="0"/>
              <w:rPr>
                <w:sz w:val="20"/>
                <w:szCs w:val="20"/>
                <w:color w:val="auto"/>
              </w:rPr>
            </w:pPr>
            <w:r>
              <w:rPr>
                <w:rFonts w:ascii="Arial" w:cs="Arial" w:eastAsia="Arial" w:hAnsi="Arial"/>
                <w:sz w:val="18"/>
                <w:szCs w:val="18"/>
                <w:b w:val="1"/>
                <w:bCs w:val="1"/>
                <w:color w:val="auto"/>
              </w:rPr>
              <w:t>FORM OF INDEMNIFICATION AGREEMENT</w:t>
            </w:r>
          </w:p>
        </w:tc>
      </w:tr>
      <w:tr>
        <w:trPr>
          <w:trHeight w:val="340"/>
        </w:trPr>
        <w:tc>
          <w:tcPr>
            <w:tcW w:w="3660" w:type="dxa"/>
            <w:vAlign w:val="bottom"/>
            <w:gridSpan w:val="3"/>
          </w:tcPr>
          <w:p>
            <w:pPr>
              <w:ind w:left="460"/>
              <w:spacing w:after="0"/>
              <w:rPr>
                <w:sz w:val="20"/>
                <w:szCs w:val="20"/>
                <w:color w:val="auto"/>
              </w:rPr>
            </w:pPr>
            <w:r>
              <w:rPr>
                <w:rFonts w:ascii="Arial" w:cs="Arial" w:eastAsia="Arial" w:hAnsi="Arial"/>
                <w:sz w:val="18"/>
                <w:szCs w:val="18"/>
                <w:color w:val="auto"/>
                <w:w w:val="90"/>
              </w:rPr>
              <w:t>This Indemnification Agreement, dated as of</w:t>
            </w: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Pr>
          <w:p>
            <w:pPr>
              <w:jc w:val="right"/>
              <w:ind w:right="11"/>
              <w:spacing w:after="0"/>
              <w:rPr>
                <w:sz w:val="20"/>
                <w:szCs w:val="20"/>
                <w:color w:val="auto"/>
              </w:rPr>
            </w:pPr>
            <w:r>
              <w:rPr>
                <w:rFonts w:ascii="Arial" w:cs="Arial" w:eastAsia="Arial" w:hAnsi="Arial"/>
                <w:sz w:val="10"/>
                <w:szCs w:val="10"/>
                <w:color w:val="auto"/>
                <w:w w:val="70"/>
              </w:rPr>
              <w:t>,</w:t>
            </w:r>
          </w:p>
        </w:tc>
        <w:tc>
          <w:tcPr>
            <w:tcW w:w="340" w:type="dxa"/>
            <w:vAlign w:val="bottom"/>
            <w:tcBorders>
              <w:bottom w:val="single" w:sz="8" w:color="auto"/>
            </w:tcBorders>
          </w:tcPr>
          <w:p>
            <w:pPr>
              <w:spacing w:after="0"/>
              <w:rPr>
                <w:sz w:val="24"/>
                <w:szCs w:val="24"/>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w w:val="89"/>
              </w:rPr>
              <w:t>(this “</w:t>
            </w:r>
            <w:r>
              <w:rPr>
                <w:rFonts w:ascii="Arial" w:cs="Arial" w:eastAsia="Arial" w:hAnsi="Arial"/>
                <w:sz w:val="18"/>
                <w:szCs w:val="18"/>
                <w:b w:val="1"/>
                <w:bCs w:val="1"/>
                <w:i w:val="1"/>
                <w:iCs w:val="1"/>
                <w:color w:val="auto"/>
                <w:w w:val="89"/>
              </w:rPr>
              <w:t>Agreement</w:t>
            </w:r>
            <w:r>
              <w:rPr>
                <w:rFonts w:ascii="Arial" w:cs="Arial" w:eastAsia="Arial" w:hAnsi="Arial"/>
                <w:sz w:val="18"/>
                <w:szCs w:val="18"/>
                <w:color w:val="auto"/>
                <w:w w:val="89"/>
              </w:rPr>
              <w:t>”), is made by and between Novatel Wireless, Inc., a Delaware corporation</w:t>
            </w:r>
          </w:p>
        </w:tc>
      </w:tr>
      <w:tr>
        <w:trPr>
          <w:trHeight w:val="196"/>
        </w:trPr>
        <w:tc>
          <w:tcPr>
            <w:tcW w:w="1620" w:type="dxa"/>
            <w:vAlign w:val="bottom"/>
          </w:tcPr>
          <w:p>
            <w:pPr>
              <w:spacing w:after="0" w:line="196" w:lineRule="exact"/>
              <w:rPr>
                <w:sz w:val="20"/>
                <w:szCs w:val="20"/>
                <w:color w:val="auto"/>
              </w:rPr>
            </w:pPr>
            <w:r>
              <w:rPr>
                <w:rFonts w:ascii="Arial" w:cs="Arial" w:eastAsia="Arial" w:hAnsi="Arial"/>
                <w:sz w:val="18"/>
                <w:szCs w:val="18"/>
                <w:color w:val="auto"/>
                <w:w w:val="90"/>
              </w:rPr>
              <w:t>(the “</w:t>
            </w:r>
            <w:r>
              <w:rPr>
                <w:rFonts w:ascii="Arial" w:cs="Arial" w:eastAsia="Arial" w:hAnsi="Arial"/>
                <w:sz w:val="18"/>
                <w:szCs w:val="18"/>
                <w:b w:val="1"/>
                <w:bCs w:val="1"/>
                <w:i w:val="1"/>
                <w:iCs w:val="1"/>
                <w:color w:val="auto"/>
                <w:w w:val="90"/>
              </w:rPr>
              <w:t>Company</w:t>
            </w:r>
            <w:r>
              <w:rPr>
                <w:rFonts w:ascii="Arial" w:cs="Arial" w:eastAsia="Arial" w:hAnsi="Arial"/>
                <w:sz w:val="18"/>
                <w:szCs w:val="18"/>
                <w:color w:val="auto"/>
                <w:w w:val="90"/>
              </w:rPr>
              <w:t>”), and</w:t>
            </w:r>
          </w:p>
        </w:tc>
        <w:tc>
          <w:tcPr>
            <w:tcW w:w="1220" w:type="dxa"/>
            <w:vAlign w:val="bottom"/>
            <w:tcBorders>
              <w:bottom w:val="single" w:sz="8" w:color="auto"/>
            </w:tcBorders>
          </w:tcPr>
          <w:p>
            <w:pPr>
              <w:spacing w:after="0"/>
              <w:rPr>
                <w:sz w:val="17"/>
                <w:szCs w:val="17"/>
                <w:color w:val="auto"/>
              </w:rPr>
            </w:pPr>
          </w:p>
        </w:tc>
        <w:tc>
          <w:tcPr>
            <w:tcW w:w="1660" w:type="dxa"/>
            <w:vAlign w:val="bottom"/>
            <w:gridSpan w:val="5"/>
          </w:tcPr>
          <w:p>
            <w:pPr>
              <w:jc w:val="right"/>
              <w:ind w:right="431"/>
              <w:spacing w:after="0" w:line="196"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i w:val="1"/>
                <w:iCs w:val="1"/>
                <w:color w:val="auto"/>
                <w:w w:val="93"/>
              </w:rPr>
              <w:t>Indemnitee</w:t>
            </w:r>
            <w:r>
              <w:rPr>
                <w:rFonts w:ascii="Arial" w:cs="Arial" w:eastAsia="Arial" w:hAnsi="Arial"/>
                <w:sz w:val="18"/>
                <w:szCs w:val="18"/>
                <w:color w:val="auto"/>
                <w:w w:val="93"/>
              </w:rPr>
              <w:t>”).</w:t>
            </w:r>
          </w:p>
        </w:tc>
        <w:tc>
          <w:tcPr>
            <w:tcW w:w="340" w:type="dxa"/>
            <w:vAlign w:val="bottom"/>
          </w:tcPr>
          <w:p>
            <w:pPr>
              <w:spacing w:after="0"/>
              <w:rPr>
                <w:sz w:val="17"/>
                <w:szCs w:val="17"/>
                <w:color w:val="auto"/>
              </w:rPr>
            </w:pPr>
          </w:p>
        </w:tc>
        <w:tc>
          <w:tcPr>
            <w:tcW w:w="6580" w:type="dxa"/>
            <w:vAlign w:val="bottom"/>
          </w:tcPr>
          <w:p>
            <w:pPr>
              <w:spacing w:after="0"/>
              <w:rPr>
                <w:sz w:val="17"/>
                <w:szCs w:val="17"/>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r>
        <w:rPr>
          <w:rFonts w:ascii="Arial" w:cs="Arial" w:eastAsia="Arial" w:hAnsi="Arial"/>
          <w:sz w:val="18"/>
          <w:szCs w:val="18"/>
          <w:color w:val="auto"/>
        </w:rPr>
        <w:t>:</w:t>
      </w:r>
    </w:p>
    <w:p>
      <w:pPr>
        <w:spacing w:after="0" w:line="177"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A. Section 141 of the Delaware General Corporation Law provides that the business and affairs of a corporation shall be managed by or under the direction of its board of directors.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 Pursuant to Sections 141 and 142 of the Delaware General Corporation Law, significant authority with respect to the management of the Company has been delegated to the officers of the Company.</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 By virtue of the managerial prerogatives vested in the directors and officers of a Delaware corporation, directors and officers act as fiduciaries of the corporation and its stockholders.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 Thus, it is critically important to the Company and its stockholders that the Company be able to attract and retain the most capable persons reasonably available to serve as directors and officers of the Company.</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 In recognition of the need for corporations to be able to induce capable and responsible persons to accept positions in corporate management, Delaware law authorizes (and in some instances requires) corporations to indemnify their directors and officers, and further authorizes corporations to purchase and maintain insurance for the benefit of their directors and officers.</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 The Delaware courts have recognized that indemnification by a corporation serves the dual policies of (1) allowing corporate officials to resist unjustified lawsuits, secure in the knowledge that, if vindicated, the corporation will bear the expense of litigation and (2) encouraging capable women and men to serve as corporate directors and officers, secure in the knowledge that the corporation will absorb the costs of defending their honesty and integrity.</w:t>
      </w:r>
    </w:p>
    <w:p>
      <w:pPr>
        <w:spacing w:after="0" w:line="10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G. The number of lawsuits challenging the judgment and actions of directors and officers of Delaware corporations, the costs of defending those lawsuits, and the threat to directors’ and officers’ personal assets have all materially increased over the past several years, chilling the willingness of capable women and men to undertake the responsibilities imposed on corporate directors and officers.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H. Recent federal legislation and rules adopted by the Securities and Exchange Commission and the national securities exchanges have imposed additional disclosure and corporate governance obligations on directors and officers of public companies and have exposed such directors and officers to new and substantially broadened civil liabilities.</w:t>
      </w:r>
    </w:p>
    <w:p>
      <w:pPr>
        <w:sectPr>
          <w:pgSz w:w="11900" w:h="16838" w:orient="portrait"/>
          <w:cols w:equalWidth="0" w:num="1">
            <w:col w:w="11420"/>
          </w:cols>
          <w:pgMar w:left="240" w:top="125" w:right="239" w:bottom="1440" w:gutter="0" w:footer="0" w:header="0"/>
        </w:sectPr>
      </w:pPr>
    </w:p>
    <w:bookmarkStart w:id="25" w:name="page26"/>
    <w:bookmarkEnd w:id="25"/>
    <w:p>
      <w:pPr>
        <w:ind w:right="6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These legislative and regulatory initiatives have also exposed directors and officers of public companies to a significantly greater risk of criminal proceedings, with attendant defense costs and potential criminal fines and penalties.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J. Under Delaware law, a director’s or officer’s right to the advancement of the costs of defense of claims asserted against him or her, whether such claims are civil, criminal or other claims and whether they are asserted under state, federal or other law, does not depend upon the merits of the claims asserted and is separate and distinct from any right to indemnification the director or officer may be able to establish, and indemnification of the director or officer against civil, criminal or other fines and penalties is permitted if the director or officer satisfies the applicable standard of conduct.</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K. Indemnitee is a director and/or officer of the Company and his or her willingness to serve in such capacity or capacities is predicated, in substantial part, upon the Company’s willingness to indemnify him or her in accordance with the principles reflected above, to the fullest extent permitted by the laws of the State of Delaware and upon the other undertakings set forth in this Agreement.</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L. In recognition of the need to provide Indemnitee with substantial protection against personal liability, in order to procure Indemnitee’s continued service as a director and/or officer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bylaws (collectively, the “</w:t>
      </w:r>
      <w:r>
        <w:rPr>
          <w:rFonts w:ascii="Arial" w:cs="Arial" w:eastAsia="Arial" w:hAnsi="Arial"/>
          <w:sz w:val="16"/>
          <w:szCs w:val="16"/>
          <w:b w:val="1"/>
          <w:bCs w:val="1"/>
          <w:i w:val="1"/>
          <w:iCs w:val="1"/>
          <w:color w:val="auto"/>
        </w:rPr>
        <w:t>Constituent Documents</w:t>
      </w:r>
      <w:r>
        <w:rPr>
          <w:rFonts w:ascii="Arial" w:cs="Arial" w:eastAsia="Arial" w:hAnsi="Arial"/>
          <w:sz w:val="16"/>
          <w:szCs w:val="16"/>
          <w:color w:val="auto"/>
        </w:rPr>
        <w:t>”), any change in the composition of 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or any change-in-control or business combination relating to the Company, the Company wishes to provide in this Agreement for the indemnification of and the advancement of Expenses (as defined in Section 1(e)) to Indemnitee as set forth in this Agreement and for the continued coverage of Indemnitee under the Company’s directors’ and officers’ liability insurance policies.</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M. In light of the considerations referred to in the preceding recitals, it is the Company’s intention and desire that the provisions of this Agreement be construed liberally, subject to their express terms, to maximize the protections to be provided to Indemnitee hereunder.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hereby agree as follows:</w:t>
      </w:r>
    </w:p>
    <w:p>
      <w:pPr>
        <w:spacing w:after="0" w:line="165" w:lineRule="exact"/>
        <w:rPr>
          <w:sz w:val="20"/>
          <w:szCs w:val="20"/>
          <w:color w:val="auto"/>
        </w:rPr>
      </w:pPr>
    </w:p>
    <w:p>
      <w:pPr>
        <w:ind w:firstLine="464"/>
        <w:spacing w:after="0" w:line="275" w:lineRule="auto"/>
        <w:tabs>
          <w:tab w:leader="none" w:pos="63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In addition to terms defined elsewhere herein, the following terms shall have the respective meanings indicated below when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with initial capital letters:</w:t>
      </w:r>
    </w:p>
    <w:p>
      <w:pPr>
        <w:spacing w:after="0" w:line="125" w:lineRule="exact"/>
        <w:rPr>
          <w:rFonts w:ascii="Arial" w:cs="Arial" w:eastAsia="Arial" w:hAnsi="Arial"/>
          <w:sz w:val="18"/>
          <w:szCs w:val="18"/>
          <w:b w:val="1"/>
          <w:bCs w:val="1"/>
          <w:color w:val="auto"/>
        </w:rPr>
      </w:pPr>
    </w:p>
    <w:p>
      <w:pPr>
        <w:ind w:right="80" w:firstLine="921"/>
        <w:spacing w:after="0" w:line="255" w:lineRule="auto"/>
        <w:tabs>
          <w:tab w:leader="none" w:pos="1152"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means (i) any threatened, asserted, pending or completed claim, demand, action, suit or proceeding, whether civil, criminal, administrative, arbitrative, investigative or other (including any cross-claim or counterclaim in any action, suit or proceeding), and whether made pursuant to federal, state or other law; and (ii) any threatened, pending or completed inquiry or investigation (including discovery), whether made, instituted or conducted by the Company or any other person, including any federal, state or other governmental entity, that Indemnitee determines might lead to the institution of any such claim, demand, action, suit or proceeding.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6" w:name="page27"/>
    <w:bookmarkEnd w:id="26"/>
    <w:p>
      <w:pPr>
        <w:ind w:left="-20" w:right="20" w:firstLine="921"/>
        <w:spacing w:after="0" w:line="291" w:lineRule="auto"/>
        <w:tabs>
          <w:tab w:leader="none" w:pos="1142"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Controlled Affiliate</w:t>
      </w:r>
      <w:r>
        <w:rPr>
          <w:rFonts w:ascii="Arial" w:cs="Arial" w:eastAsia="Arial" w:hAnsi="Arial"/>
          <w:sz w:val="16"/>
          <w:szCs w:val="16"/>
          <w:color w:val="auto"/>
        </w:rPr>
        <w:t>” means any corporation, limited liability company, partnership, joint venture, trust or other entity or enterprise, whether or not for profit, that is directly or indirectly controlled by the Company. For purposes of this definition, “control” means the possession, directly or indirectly, of the power to direct or cause the direction of the management or policies of an entity or enterprise, whether through the ownership of voting securities, through other voting rights, by contract or otherwise; provided, however, that direct or indirect beneficial ownership of capital stock or other interests in an entity or enterprise entitling the holder to cast 20% or more of the total number of votes generally entitled to be cast in the election of directors (or persons performing comparable functions) of such entity or enterprise shall be deemed to constitute control for purposes of this definition.</w:t>
      </w:r>
    </w:p>
    <w:p>
      <w:pPr>
        <w:spacing w:after="0" w:line="120" w:lineRule="exact"/>
        <w:rPr>
          <w:rFonts w:ascii="Arial" w:cs="Arial" w:eastAsia="Arial" w:hAnsi="Arial"/>
          <w:sz w:val="16"/>
          <w:szCs w:val="16"/>
          <w:color w:val="auto"/>
        </w:rPr>
      </w:pPr>
    </w:p>
    <w:p>
      <w:pPr>
        <w:ind w:left="-20" w:right="320" w:firstLine="921"/>
        <w:spacing w:after="0" w:line="268" w:lineRule="auto"/>
        <w:tabs>
          <w:tab w:leader="none" w:pos="1132"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means a director of the Company who is not and was not a party to the Claim in respect of which indemnification is sought by Indemnitee.</w:t>
      </w:r>
    </w:p>
    <w:p>
      <w:pPr>
        <w:spacing w:after="0" w:line="131" w:lineRule="exact"/>
        <w:rPr>
          <w:rFonts w:ascii="Arial" w:cs="Arial" w:eastAsia="Arial" w:hAnsi="Arial"/>
          <w:sz w:val="18"/>
          <w:szCs w:val="18"/>
          <w:color w:val="auto"/>
        </w:rPr>
      </w:pPr>
    </w:p>
    <w:p>
      <w:pPr>
        <w:ind w:left="1140" w:hanging="239"/>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171" w:lineRule="exact"/>
        <w:rPr>
          <w:rFonts w:ascii="Arial" w:cs="Arial" w:eastAsia="Arial" w:hAnsi="Arial"/>
          <w:sz w:val="18"/>
          <w:szCs w:val="18"/>
          <w:color w:val="auto"/>
        </w:rPr>
      </w:pPr>
    </w:p>
    <w:p>
      <w:pPr>
        <w:ind w:left="-20" w:right="120" w:firstLine="921"/>
        <w:spacing w:after="0" w:line="259" w:lineRule="auto"/>
        <w:tabs>
          <w:tab w:leader="none" w:pos="1132"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means attorneys’ and experts’ fees and expenses and all other costs and expenses paid or payable in connection with investigating, defending, being a witness in or participating in (including on appeal), or preparing to investigate, defend, be a witness in or participate in (including on appeal), any Claim.</w:t>
      </w:r>
    </w:p>
    <w:p>
      <w:pPr>
        <w:spacing w:after="0" w:line="140" w:lineRule="exact"/>
        <w:rPr>
          <w:rFonts w:ascii="Arial" w:cs="Arial" w:eastAsia="Arial" w:hAnsi="Arial"/>
          <w:sz w:val="18"/>
          <w:szCs w:val="18"/>
          <w:color w:val="auto"/>
        </w:rPr>
      </w:pPr>
    </w:p>
    <w:p>
      <w:pPr>
        <w:ind w:left="-20" w:firstLine="921"/>
        <w:spacing w:after="0" w:line="291" w:lineRule="auto"/>
        <w:tabs>
          <w:tab w:leader="none" w:pos="1112"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Incumbent Directors</w:t>
      </w:r>
      <w:r>
        <w:rPr>
          <w:rFonts w:ascii="Arial" w:cs="Arial" w:eastAsia="Arial" w:hAnsi="Arial"/>
          <w:sz w:val="16"/>
          <w:szCs w:val="16"/>
          <w:color w:val="auto"/>
        </w:rPr>
        <w:t xml:space="preserve">” means the individuals who, as of the date of this Agreement, are directors of the Company and any individual becoming a director subsequent to the date hereof whose election, nomination for election by the Company’s stockholders,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120" w:lineRule="exact"/>
        <w:rPr>
          <w:rFonts w:ascii="Arial" w:cs="Arial" w:eastAsia="Arial" w:hAnsi="Arial"/>
          <w:sz w:val="16"/>
          <w:szCs w:val="16"/>
          <w:color w:val="auto"/>
        </w:rPr>
      </w:pPr>
    </w:p>
    <w:p>
      <w:pPr>
        <w:ind w:left="-20" w:right="60" w:firstLine="921"/>
        <w:spacing w:after="0" w:line="289" w:lineRule="auto"/>
        <w:tabs>
          <w:tab w:leader="none" w:pos="1142"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Indemnifiable Claim</w:t>
      </w:r>
      <w:r>
        <w:rPr>
          <w:rFonts w:ascii="Arial" w:cs="Arial" w:eastAsia="Arial" w:hAnsi="Arial"/>
          <w:sz w:val="16"/>
          <w:szCs w:val="16"/>
          <w:color w:val="auto"/>
        </w:rPr>
        <w:t>” means any Claim based upon, arising out of or resulting from (i) any actual, alleged or suspected act or failure to act by Indemnitee in his or her capacity as a director, officer, employee or agent of the Company or as a director, officer, employee, member, manager, trustee, fiduciary or agent of any other corporation, limited liability company, partnership, joint venture, trust or other entity or enterprise, whether or not for profit, as to which Indemnitee is or was serving at the request of the Company as a director, officer, employee, member, manager, trustee or agent, (ii) any actual, alleged or suspected act or failure to act by Indemnitee in respect of any business, transaction, communication, filing, disclosure or other activity of the Company or any other entity or enterprise referred to in clause (i) of this sentence, or (iii) Indemnitee’s status as a current or former director, officer, employee or agent of the Company or as a current or former director, officer, employee, member, manager, trustee, fiduciary or agent of the Company or any other entity or enterprise referred to in clause (i) of this sentence or any actual, alleged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27" w:name="page28"/>
    <w:bookmarkEnd w:id="27"/>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suspected act or failure to act by Indemnitee in connection with any obligation or restriction imposed upon Indemnitee by reason of such status. In addition to any service at the actual request of the Company, for purposes of this Agreement, Indemnitee shall be deemed to be serving or to have served at the request of the Company as a director, officer, employee, member, manager, trustee or agent of another entity or enterprise if Indemnitee is or was serving as a director, officer, employee, member, manager, trustee, fiduciary or agent of such entity or enterprise and (A) such entity or enterprise is or at the time of such service was a Controlled Affiliate, (B) such entity or enterprise is or at the time of such service was an employee benefit plan (or related trust) sponsored or maintained by the Company or a Controlled Affiliate, or (C) the Company or a Controlled Affiliate directly or indirectly caused or authorized Indemnitee to be nominated, elected, appointed, designated, employed, engaged or selected to serve in such capacity.</w:t>
      </w:r>
    </w:p>
    <w:p>
      <w:pPr>
        <w:spacing w:after="0" w:line="118" w:lineRule="exact"/>
        <w:rPr>
          <w:sz w:val="20"/>
          <w:szCs w:val="20"/>
          <w:color w:val="auto"/>
        </w:rPr>
      </w:pPr>
    </w:p>
    <w:p>
      <w:pPr>
        <w:ind w:left="1160" w:hanging="239"/>
        <w:spacing w:after="0"/>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Indemnifiable Losses</w:t>
      </w:r>
      <w:r>
        <w:rPr>
          <w:rFonts w:ascii="Arial" w:cs="Arial" w:eastAsia="Arial" w:hAnsi="Arial"/>
          <w:sz w:val="18"/>
          <w:szCs w:val="18"/>
          <w:color w:val="auto"/>
        </w:rPr>
        <w:t>” means any and all Losses relating to, arising out of or resulting from any Indemnifiable Claim.</w:t>
      </w:r>
    </w:p>
    <w:p>
      <w:pPr>
        <w:spacing w:after="0" w:line="171" w:lineRule="exact"/>
        <w:rPr>
          <w:rFonts w:ascii="Arial" w:cs="Arial" w:eastAsia="Arial" w:hAnsi="Arial"/>
          <w:sz w:val="18"/>
          <w:szCs w:val="18"/>
          <w:color w:val="auto"/>
        </w:rPr>
      </w:pPr>
    </w:p>
    <w:p>
      <w:pPr>
        <w:ind w:right="80" w:firstLine="921"/>
        <w:spacing w:after="0" w:line="290" w:lineRule="auto"/>
        <w:tabs>
          <w:tab w:leader="none" w:pos="1123" w:val="left"/>
        </w:tabs>
        <w:numPr>
          <w:ilvl w:val="1"/>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means a law firm, or a member of a law firm, that is experienced in matters of corporation law and, as of the time of selection with respect to any Indemnifiable Claim, is not, nor in the past five years has been, retained to represent: (i) the Company (or any Subsidiary) or Indemnitee in any matter material to either such party (other than with respect to matters concerning Indemnitee under this Agreement, or other indemnitees under similar indemnification agreements), or (ii) any other named (or, as to a threatened matter, reasonably likely to be named) party to the Indemnifiable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18" w:lineRule="exact"/>
        <w:rPr>
          <w:rFonts w:ascii="Arial" w:cs="Arial" w:eastAsia="Arial" w:hAnsi="Arial"/>
          <w:sz w:val="16"/>
          <w:szCs w:val="16"/>
          <w:color w:val="auto"/>
        </w:rPr>
      </w:pPr>
    </w:p>
    <w:p>
      <w:pPr>
        <w:ind w:right="40" w:firstLine="921"/>
        <w:spacing w:after="0" w:line="370" w:lineRule="auto"/>
        <w:tabs>
          <w:tab w:leader="none" w:pos="1123" w:val="left"/>
        </w:tabs>
        <w:numPr>
          <w:ilvl w:val="1"/>
          <w:numId w:val="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Losses</w:t>
      </w:r>
      <w:r>
        <w:rPr>
          <w:rFonts w:ascii="Arial" w:cs="Arial" w:eastAsia="Arial" w:hAnsi="Arial"/>
          <w:sz w:val="15"/>
          <w:szCs w:val="15"/>
          <w:color w:val="auto"/>
        </w:rPr>
        <w:t>” means any and all Expenses, payments, damages, losses, liabilities, judgments, fines, penalties (whether civil, criminal or other), awards and amounts paid in settlement, including all interest, assessments and other charges paid or payable in connection with or in respect of any of the foregoing.</w:t>
      </w:r>
    </w:p>
    <w:p>
      <w:pPr>
        <w:spacing w:after="0" w:line="62" w:lineRule="exact"/>
        <w:rPr>
          <w:rFonts w:ascii="Arial" w:cs="Arial" w:eastAsia="Arial" w:hAnsi="Arial"/>
          <w:sz w:val="15"/>
          <w:szCs w:val="15"/>
          <w:color w:val="auto"/>
        </w:rPr>
      </w:pPr>
    </w:p>
    <w:p>
      <w:pPr>
        <w:ind w:left="1160" w:hanging="239"/>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 entity in which the Company directly or indirectly beneficially owns 50% or more of the outstanding voting stock.</w:t>
      </w:r>
    </w:p>
    <w:p>
      <w:pPr>
        <w:spacing w:after="0" w:line="188" w:lineRule="exact"/>
        <w:rPr>
          <w:rFonts w:ascii="Arial" w:cs="Arial" w:eastAsia="Arial" w:hAnsi="Arial"/>
          <w:sz w:val="16"/>
          <w:szCs w:val="16"/>
          <w:color w:val="auto"/>
        </w:rPr>
      </w:pPr>
    </w:p>
    <w:p>
      <w:pPr>
        <w:ind w:firstLine="464"/>
        <w:spacing w:after="0" w:line="296" w:lineRule="auto"/>
        <w:tabs>
          <w:tab w:leader="none" w:pos="632"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Indemnification Obligation. </w:t>
      </w:r>
      <w:r>
        <w:rPr>
          <w:rFonts w:ascii="Arial" w:cs="Arial" w:eastAsia="Arial" w:hAnsi="Arial"/>
          <w:sz w:val="16"/>
          <w:szCs w:val="16"/>
          <w:color w:val="auto"/>
        </w:rPr>
        <w:t>Subject to Section 7, the Company shall indemnify, defend and hold harmless Indemnitee, to the fullest extent permitted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required by the laws of the State of Delaware in effect on the date hereof or as such laws may from time to time hereafter be amended to increase the scope of such permitted indemnification, against any and all Indemnifiable Claims and Indemnifiable Losses;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as provided in Sections 5 and 21, Indemnitee shall not be entitled to indemnification pursuant to this Agreement in connection with any Claim initiated by Indemnitee against the Company or any director or officer of the Company unless the Company has joined in or consented to the initiation of such Claim.</w:t>
      </w:r>
    </w:p>
    <w:p>
      <w:pPr>
        <w:spacing w:after="0" w:line="107" w:lineRule="exact"/>
        <w:rPr>
          <w:rFonts w:ascii="Arial" w:cs="Arial" w:eastAsia="Arial" w:hAnsi="Arial"/>
          <w:sz w:val="16"/>
          <w:szCs w:val="16"/>
          <w:b w:val="1"/>
          <w:bCs w:val="1"/>
          <w:color w:val="auto"/>
        </w:rPr>
      </w:pPr>
    </w:p>
    <w:p>
      <w:pPr>
        <w:ind w:right="20" w:firstLine="464"/>
        <w:spacing w:after="0" w:line="262" w:lineRule="auto"/>
        <w:tabs>
          <w:tab w:leader="none" w:pos="63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Advancement of Expenses. </w:t>
      </w:r>
      <w:r>
        <w:rPr>
          <w:rFonts w:ascii="Arial" w:cs="Arial" w:eastAsia="Arial" w:hAnsi="Arial"/>
          <w:sz w:val="18"/>
          <w:szCs w:val="18"/>
          <w:color w:val="auto"/>
        </w:rPr>
        <w:t>Indemnitee shall have the right to advancement by the Company prior to the final disposition of any Indemnifiable Claim of</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Expenses relating to, arising out of or resulting from any Indemnifiable Claim paid or incurred by Indemnitee or which Indemnitee determines are reasonably likely to be paid or incurred by Indemnitee. Indemnitee’s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8" w:name="page29"/>
    <w:bookmarkEnd w:id="2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right to such advancement is not subject to the satisfaction of any standard of conduct. Without limiting the generality or effect of the foregoing, within five business days after any request by Indemnitee, the Company shall, in accordance with such request (but without duplication), (a) pay such Expenses on behalf of Indemnitee, (b) advance to Indemnitee funds in an amount sufficient to pay such Expenses, or (c) reimburse Indemnitee for such Expenses;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Indemnitee shall repay, without interest, any amounts actually advanced to Indemnitee that, at the final disposition of the Indemnifiable Claim to which the advance related, were in excess of amounts paid or payable by Indemnitee in respect of Expenses relating to, arising out of or resulting from such Indemnifiable Claim. In connection with any such payment, advancement or reimbursement, Indemnitee shall execute and deliver to the Company an undertaking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(subject to Indemnitee filling in the blanks therein and selecting from among the bracketed alternatives therein), which need not be secured and shall be accepted without reference to Indemnitee’s ability to repay the Expenses. In no event shall Indemnitee’s right to the payment, advancement or reimbursement of Expenses pursuant to this Section 3 be conditioned upon any undertaking in addition to, or less favorable to Indemnitee than, the undertaking required by the immediately prior sentence.</w:t>
      </w:r>
    </w:p>
    <w:p>
      <w:pPr>
        <w:spacing w:after="0" w:line="117" w:lineRule="exact"/>
        <w:rPr>
          <w:sz w:val="20"/>
          <w:szCs w:val="20"/>
          <w:color w:val="auto"/>
        </w:rPr>
      </w:pPr>
    </w:p>
    <w:p>
      <w:pPr>
        <w:ind w:right="20" w:firstLine="464"/>
        <w:spacing w:after="0" w:line="289" w:lineRule="auto"/>
        <w:tabs>
          <w:tab w:leader="none" w:pos="63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Indemnification for Additional Expenses. </w:t>
      </w:r>
      <w:r>
        <w:rPr>
          <w:rFonts w:ascii="Arial" w:cs="Arial" w:eastAsia="Arial" w:hAnsi="Arial"/>
          <w:sz w:val="16"/>
          <w:szCs w:val="16"/>
          <w:color w:val="auto"/>
        </w:rPr>
        <w:t>Without limiting the generality or effect of the foregoing, the Company shall indemnify and hold harmless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Indemnitee against and, if requested by Indemnitee, shall reimburse Indemnitee for, or advance to Indemnitee, within five business days of such request, any and all Expenses paid or incurred by Indemnitee or which Indemnitee determines are reasonably likely to be paid or incurred by Indemnitee in connection with any Claim made, instituted or conducted by Indemnitee for (a) indemnification or payment, advancement or reimbursement of Expenses by the Company under any provision of this Agreement, or under any other agreement or provision of the Constituent Documents now or hereafter in effect relating to Indemnifiable Claims, or (b) recovery under any directors’ and officers’ liability insurance policies maintained by the Company, regardless in each case of whether Indemnitee ultimately is determined to be entitled to such indemnification, reimbursement, advance or insurance recovery,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Indemnitee shall return, without interest, any such advance of Expenses (or portion thereof) that remains unspent at the final disposition of the Claim to which the advance related.</w:t>
      </w:r>
    </w:p>
    <w:p>
      <w:pPr>
        <w:spacing w:after="0" w:line="112" w:lineRule="exact"/>
        <w:rPr>
          <w:rFonts w:ascii="Arial" w:cs="Arial" w:eastAsia="Arial" w:hAnsi="Arial"/>
          <w:sz w:val="16"/>
          <w:szCs w:val="16"/>
          <w:b w:val="1"/>
          <w:bCs w:val="1"/>
          <w:color w:val="auto"/>
        </w:rPr>
      </w:pPr>
    </w:p>
    <w:p>
      <w:pPr>
        <w:ind w:right="60" w:firstLine="464"/>
        <w:spacing w:after="0" w:line="262" w:lineRule="auto"/>
        <w:tabs>
          <w:tab w:leader="none" w:pos="63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Partial Indemnity. </w:t>
      </w:r>
      <w:r>
        <w:rPr>
          <w:rFonts w:ascii="Arial" w:cs="Arial" w:eastAsia="Arial" w:hAnsi="Arial"/>
          <w:sz w:val="18"/>
          <w:szCs w:val="18"/>
          <w:color w:val="auto"/>
        </w:rPr>
        <w:t>If Indemnitee is entitled under any provision of this Agreement to indemnification by the Company for some or a portion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Indemnifiable Loss, but not for all of the total amount thereof, the Company shall nevertheless indemnify Indemnitee for the portion thereof to which Indemnitee is entitled.</w:t>
      </w:r>
    </w:p>
    <w:p>
      <w:pPr>
        <w:spacing w:after="0" w:line="132" w:lineRule="exact"/>
        <w:rPr>
          <w:rFonts w:ascii="Arial" w:cs="Arial" w:eastAsia="Arial" w:hAnsi="Arial"/>
          <w:sz w:val="18"/>
          <w:szCs w:val="18"/>
          <w:b w:val="1"/>
          <w:bCs w:val="1"/>
          <w:color w:val="auto"/>
        </w:rPr>
      </w:pPr>
    </w:p>
    <w:p>
      <w:pPr>
        <w:ind w:firstLine="464"/>
        <w:spacing w:after="0" w:line="291" w:lineRule="auto"/>
        <w:tabs>
          <w:tab w:leader="none" w:pos="63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Procedure for Notification</w:t>
      </w:r>
      <w:r>
        <w:rPr>
          <w:rFonts w:ascii="Arial" w:cs="Arial" w:eastAsia="Arial" w:hAnsi="Arial"/>
          <w:sz w:val="16"/>
          <w:szCs w:val="16"/>
          <w:color w:val="auto"/>
        </w:rPr>
        <w:t>. To obtain indemnification under this Agreement in respect of an Indemnifiable Claim or Indemnifiable Loss,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shall submit to the Company a written request therefor, including a brief description (based upon information then available to Indemnitee) of such Indemnifiable Claim or Indemnifiable Loss. If, at the time of the receipt of such request, the Company has directors’ and officers’ liability insurance in effect under which coverage for such Indemnifiable Claim or Indemnifiable Loss is potentially available, the Company shall give prompt written notice of such Indemnifiable Claim or Indemnifiable Loss to the applicable insurers in accordance with the procedures set forth in the applicable policies. The Company shall provide to Indemnitee a copy of such notice delivered to the applicable insurers, and copies of all subsequent correspondence between the Company and such insurers regarding the Indemnifiable Claim or Indemnifiable Loss, in each case substantially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9" w:name="page30"/>
    <w:bookmarkEnd w:id="29"/>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concurrently with the delivery or receipt thereof by the Company. The failure by Indemnitee to timely notify the Company of any Indemnifiable Claim or Indemnifiable Loss shall not relieve the Company from any liability hereunder unless, and only to the extent that, the Company did not otherwise learn of such Indemnifiable Claim or Indemnifiable Loss and such failure results in forfeiture by the Company of substantial defenses, rights or insurance coverage.</w:t>
      </w:r>
    </w:p>
    <w:p>
      <w:pPr>
        <w:spacing w:after="0" w:line="182"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 of Right to Indemnification.</w:t>
      </w:r>
    </w:p>
    <w:p>
      <w:pPr>
        <w:spacing w:after="0" w:line="96" w:lineRule="exact"/>
        <w:rPr>
          <w:rFonts w:ascii="Arial" w:cs="Arial" w:eastAsia="Arial" w:hAnsi="Arial"/>
          <w:sz w:val="18"/>
          <w:szCs w:val="18"/>
          <w:b w:val="1"/>
          <w:bCs w:val="1"/>
          <w:color w:val="auto"/>
        </w:rPr>
      </w:pPr>
    </w:p>
    <w:p>
      <w:pPr>
        <w:ind w:right="80" w:firstLine="921"/>
        <w:spacing w:after="0" w:line="256" w:lineRule="auto"/>
        <w:tabs>
          <w:tab w:leader="none" w:pos="11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the extent that Indemnitee shall have been successful on the merits or otherwise in defense of any Indemnifiable Claim or any portion thereof or in defense of any issue or matter therein, including dismissal without prejudice, Indemnitee shall be indemnified against all Indemnifiable Losses relating to, arising out of or resulting from such Indemnifiable Claim in accordance with Section 2 and no Standard of Conduct Determination (as defined in Section 7(b)) shall be required.</w:t>
      </w:r>
    </w:p>
    <w:p>
      <w:pPr>
        <w:spacing w:after="0" w:line="143" w:lineRule="exact"/>
        <w:rPr>
          <w:rFonts w:ascii="Arial" w:cs="Arial" w:eastAsia="Arial" w:hAnsi="Arial"/>
          <w:sz w:val="18"/>
          <w:szCs w:val="18"/>
          <w:color w:val="auto"/>
        </w:rPr>
      </w:pPr>
    </w:p>
    <w:p>
      <w:pPr>
        <w:ind w:right="380" w:firstLine="921"/>
        <w:spacing w:after="0" w:line="256" w:lineRule="auto"/>
        <w:tabs>
          <w:tab w:leader="none" w:pos="116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the extent that the provisions of Section 7(a) are inapplicable to an Indemnifiable Claim that shall have been finally disposed of, any determination of whether Indemnitee has satisfied any applicable standard of conduct under Delaware law that is a legally required condition precedent to indemnification of Indemnitee hereunder against Indemnifiable Losses relating to, arising out of or resulting from such Indemnifiable Claim (a “</w:t>
      </w:r>
      <w:r>
        <w:rPr>
          <w:rFonts w:ascii="Arial" w:cs="Arial" w:eastAsia="Arial" w:hAnsi="Arial"/>
          <w:sz w:val="18"/>
          <w:szCs w:val="18"/>
          <w:b w:val="1"/>
          <w:bCs w:val="1"/>
          <w:i w:val="1"/>
          <w:iCs w:val="1"/>
          <w:color w:val="auto"/>
        </w:rPr>
        <w:t>Standard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Conduct Determination</w:t>
      </w:r>
      <w:r>
        <w:rPr>
          <w:rFonts w:ascii="Arial" w:cs="Arial" w:eastAsia="Arial" w:hAnsi="Arial"/>
          <w:sz w:val="18"/>
          <w:szCs w:val="18"/>
          <w:color w:val="auto"/>
        </w:rPr>
        <w:t>”) shall be made as follows:</w:t>
      </w:r>
    </w:p>
    <w:p>
      <w:pPr>
        <w:spacing w:after="0" w:line="143" w:lineRule="exact"/>
        <w:rPr>
          <w:rFonts w:ascii="Arial" w:cs="Arial" w:eastAsia="Arial" w:hAnsi="Arial"/>
          <w:sz w:val="18"/>
          <w:szCs w:val="18"/>
          <w:color w:val="auto"/>
        </w:rPr>
      </w:pPr>
    </w:p>
    <w:p>
      <w:pPr>
        <w:ind w:left="1700" w:hanging="208"/>
        <w:spacing w:after="0"/>
        <w:tabs>
          <w:tab w:leader="none" w:pos="17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by a majority vote of the Disinterested Directors, even if less than a quorum of the Board,</w:t>
      </w:r>
    </w:p>
    <w:p>
      <w:pPr>
        <w:spacing w:after="0" w:line="171" w:lineRule="exact"/>
        <w:rPr>
          <w:rFonts w:ascii="Arial" w:cs="Arial" w:eastAsia="Arial" w:hAnsi="Arial"/>
          <w:sz w:val="18"/>
          <w:szCs w:val="18"/>
          <w:color w:val="auto"/>
        </w:rPr>
      </w:pPr>
    </w:p>
    <w:p>
      <w:pPr>
        <w:ind w:firstLine="1492"/>
        <w:spacing w:after="0" w:line="268" w:lineRule="auto"/>
        <w:tabs>
          <w:tab w:leader="none" w:pos="1742" w:val="left"/>
        </w:tabs>
        <w:numPr>
          <w:ilvl w:val="2"/>
          <w:numId w:val="12"/>
        </w:numPr>
        <w:rPr>
          <w:rFonts w:ascii="Arial" w:cs="Arial" w:eastAsia="Arial" w:hAnsi="Arial"/>
          <w:sz w:val="18"/>
          <w:szCs w:val="18"/>
          <w:color w:val="auto"/>
        </w:rPr>
      </w:pPr>
      <w:r>
        <w:rPr>
          <w:rFonts w:ascii="Arial" w:cs="Arial" w:eastAsia="Arial" w:hAnsi="Arial"/>
          <w:sz w:val="18"/>
          <w:szCs w:val="18"/>
          <w:color w:val="auto"/>
        </w:rPr>
        <w:t>if such Disinterested Directors so direct, by a majority vote of a committee of Disinterested Directors designated by a majority vote of all Disinterested Directors, or</w:t>
      </w:r>
    </w:p>
    <w:p>
      <w:pPr>
        <w:spacing w:after="0" w:line="131" w:lineRule="exact"/>
        <w:rPr>
          <w:rFonts w:ascii="Arial" w:cs="Arial" w:eastAsia="Arial" w:hAnsi="Arial"/>
          <w:sz w:val="18"/>
          <w:szCs w:val="18"/>
          <w:color w:val="auto"/>
        </w:rPr>
      </w:pPr>
    </w:p>
    <w:p>
      <w:pPr>
        <w:ind w:right="80" w:firstLine="1492"/>
        <w:spacing w:after="0" w:line="268" w:lineRule="auto"/>
        <w:tabs>
          <w:tab w:leader="none" w:pos="1791" w:val="left"/>
        </w:tabs>
        <w:numPr>
          <w:ilvl w:val="2"/>
          <w:numId w:val="12"/>
        </w:numPr>
        <w:rPr>
          <w:rFonts w:ascii="Arial" w:cs="Arial" w:eastAsia="Arial" w:hAnsi="Arial"/>
          <w:sz w:val="18"/>
          <w:szCs w:val="18"/>
          <w:color w:val="auto"/>
        </w:rPr>
      </w:pPr>
      <w:r>
        <w:rPr>
          <w:rFonts w:ascii="Arial" w:cs="Arial" w:eastAsia="Arial" w:hAnsi="Arial"/>
          <w:sz w:val="18"/>
          <w:szCs w:val="18"/>
          <w:color w:val="auto"/>
        </w:rPr>
        <w:t>if there are no such Disinterested Directors or if requested by Indemnitee, by Independent Counsel in a written opinion addressed to the Board, a copy of which shall be delivered to Indemnitee.</w:t>
      </w:r>
    </w:p>
    <w:p>
      <w:pPr>
        <w:spacing w:after="0" w:line="1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Indemnitee will cooperate with the person or persons making such Standard of Conduct Determination, including providing to such person or persons, upon reasonable advance request, any documentation or information which is not privileged or otherwise protected from disclosure and which is reasonably available to Indemnitee and reasonably necessary to such determination. The Company shall indemnify and hold harmless Indemnitee against and, if requested by Indemnitee, shall reimburse Indemnitee for, or advance to Indemnitee, within five business days of such request, any and all costs and expenses (including attorneys’ and experts’ fees and expenses) incurred by Indemnitee in so cooperating with the person or persons making such Standard of Conduct Determination.</w:t>
      </w:r>
    </w:p>
    <w:p>
      <w:pPr>
        <w:spacing w:after="0" w:line="100" w:lineRule="exact"/>
        <w:rPr>
          <w:sz w:val="20"/>
          <w:szCs w:val="20"/>
          <w:color w:val="auto"/>
        </w:rPr>
      </w:pPr>
    </w:p>
    <w:p>
      <w:pPr>
        <w:ind w:firstLine="921"/>
        <w:spacing w:after="0" w:line="256" w:lineRule="auto"/>
        <w:tabs>
          <w:tab w:leader="none" w:pos="11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shall use its reasonable best efforts to cause any Standard of Conduct Determination required under Section 7(b) to be made as promptly as practicable. If (i) the person or persons empowered or selected under Section 7 to make the Standard of Conduct Determination shall not have made a determination within 30 days after the later of (A) receipt by the Company of written notice from Indemnitee advising the Company of the final disposition of the applicable Indemnifiable Claim (the date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0" w:name="page31"/>
    <w:bookmarkEnd w:id="3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receipt being the “</w:t>
      </w:r>
      <w:r>
        <w:rPr>
          <w:rFonts w:ascii="Arial" w:cs="Arial" w:eastAsia="Arial" w:hAnsi="Arial"/>
          <w:sz w:val="16"/>
          <w:szCs w:val="16"/>
          <w:b w:val="1"/>
          <w:bCs w:val="1"/>
          <w:i w:val="1"/>
          <w:iCs w:val="1"/>
          <w:color w:val="auto"/>
        </w:rPr>
        <w:t>Notification Date</w:t>
      </w:r>
      <w:r>
        <w:rPr>
          <w:rFonts w:ascii="Arial" w:cs="Arial" w:eastAsia="Arial" w:hAnsi="Arial"/>
          <w:sz w:val="16"/>
          <w:szCs w:val="16"/>
          <w:color w:val="auto"/>
        </w:rPr>
        <w:t xml:space="preserve">”) and (B) the selection of an Independent Counsel, if such determination is to be made by Independent Counsel, that is permitted under the provisions of Section 7(e) to make such determination and (ii) Indemnitee shall have fulfilled his or her obligations set forth in the second sentence of Section 7(b), then Indemnitee shall be deemed to have satisfied the applicable standard of conduct;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30-day period may be extended for a reasonable time, not to exceed an additional 30 days, if the person or persons making such determination in good faith requires such additional time to obtain or evaluate documentation or information relating thereto.</w:t>
      </w:r>
    </w:p>
    <w:p>
      <w:pPr>
        <w:spacing w:after="0" w:line="116" w:lineRule="exact"/>
        <w:rPr>
          <w:sz w:val="20"/>
          <w:szCs w:val="20"/>
          <w:color w:val="auto"/>
        </w:rPr>
      </w:pPr>
    </w:p>
    <w:p>
      <w:pPr>
        <w:ind w:firstLine="921"/>
        <w:spacing w:after="0" w:line="289" w:lineRule="auto"/>
        <w:tabs>
          <w:tab w:leader="none" w:pos="11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(i) Indemnitee shall be entitled to indemnification hereunder against any Indemnifiable Losses pursuant to Section 7(a), (ii) no determination of whether Indemnitee has satisfied any applicable standard of conduct under Delaware law is a legally required condition precedent to indemnification of Indemnitee hereunder against any Indemnifiable Losses, or (iii) Indemnitee has been determined or deemed pursuant to Section 7(b) or (c) to have satisfied any applicable standard of conduct under Delaware law that is a legally required condition precedent to indemnification of Indemnitee hereunder against any Indemnifiable Losses, then the Company shall pay to Indemnitee, within five business days after the later of (x) the Notification Date in respect of the Indemnifiable Claim or portion thereof to which such Indemnifiable Losses are related, out of which such Indemnifiable Losses arose or from which such Indemnifiable Losses resulted and (y) the earliest date on which the applicable criterion specified in clause (i), (ii) or (iii) above shall have been satisfied, an amount equal to the amount of such Indemnifiable Losses.</w:t>
      </w:r>
    </w:p>
    <w:p>
      <w:pPr>
        <w:spacing w:after="0" w:line="118" w:lineRule="exact"/>
        <w:rPr>
          <w:rFonts w:ascii="Arial" w:cs="Arial" w:eastAsia="Arial" w:hAnsi="Arial"/>
          <w:sz w:val="16"/>
          <w:szCs w:val="16"/>
          <w:color w:val="auto"/>
        </w:rPr>
      </w:pPr>
    </w:p>
    <w:p>
      <w:pPr>
        <w:ind w:right="60" w:firstLine="921"/>
        <w:spacing w:after="0" w:line="285" w:lineRule="auto"/>
        <w:tabs>
          <w:tab w:leader="none" w:pos="11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If a Standard of Conduct Determination is to be made by Independent Counsel pursuant to Section 7(b)(iii), the Independent Counsel shall be selected by the Board and the Company shall give written notice to Indemnitee advising him or her of the identity of the Independent Counsel so selected. Indemnitee may, within five business days after receiving written notice of selection from the Company, deliver to the Company a written objection to such selection;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objection may be asserted only on the ground that the Independent Counsel so selected does not satisfy the criteria set forth in the definition of “Independent Counsel” in Section 1(i), and the objection shall set forth with particularity the factual basis of such assertion. Absent a proper and timely objection, the person or firm so selected shall act as Independent Counsel. If such written objection is properly and timely made and substantiated, the Independent Counsel so selected may not serve as Independent Counsel unless and until such objection is withdrawn or a court has determined that such objection is without merit. If no Independent Counsel that is permitted under the foregoing provisions of this Section 7(e) to make the Standard of Conduct Determination shall have been selected within 30 days after the Company gives its initial notice pursuant to the first sentence of this Section 7(e), either the Company or Indemnitee may petition the Court of Chancery of the State of Delaware for resolution of any objection that shall have been made by Indemnitee to the Company’s selection of Independent Counsel and/or for the appointment as Independent Counsel of a person or firm selected by the Court or by such other person as the Court shall designate, and the person or firm with respect to whom all objections are so resolved or the person or firm so appointed will act as Independent Counsel. In all events, the Company shall pay all of the reasonable fees and expenses of the Independent Counsel incurred in connection with the Independent Counsel’s determination pursuant to Section 7(b).</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1" w:name="page32"/>
    <w:bookmarkEnd w:id="31"/>
    <w:p>
      <w:pPr>
        <w:ind w:left="-60" w:right="40" w:firstLine="464"/>
        <w:spacing w:after="0" w:line="293" w:lineRule="auto"/>
        <w:tabs>
          <w:tab w:leader="none" w:pos="572"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Presumption of Entitlement. </w:t>
      </w:r>
      <w:r>
        <w:rPr>
          <w:rFonts w:ascii="Arial" w:cs="Arial" w:eastAsia="Arial" w:hAnsi="Arial"/>
          <w:sz w:val="16"/>
          <w:szCs w:val="16"/>
          <w:color w:val="auto"/>
        </w:rPr>
        <w:t>In making any Standard of Conduct Determination, the person or persons making such determination shall presume that</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has satisfied the applicable standard of conduct, and the Company may overcome such presumption only by its adducing clear and convincing evidence to the contrary. Any Standard of Conduct Determination that is adverse to Indemnitee may be challenged by Indemnitee in the Court of Chancery of the State of Delaware. No determination by the Company (including by its directors or any Independent Counsel) that Indemnitee has not satisfied any applicable standard of conduct shall be a defense to any Claim by Indemnitee for indemnification or reimbursement or advance payment of Expenses by the Company hereunder or create a presumption that Indemnitee has not met any applicable standard of conduct.</w:t>
      </w:r>
    </w:p>
    <w:p>
      <w:pPr>
        <w:spacing w:after="0" w:line="110" w:lineRule="exact"/>
        <w:rPr>
          <w:rFonts w:ascii="Arial" w:cs="Arial" w:eastAsia="Arial" w:hAnsi="Arial"/>
          <w:sz w:val="16"/>
          <w:szCs w:val="16"/>
          <w:b w:val="1"/>
          <w:bCs w:val="1"/>
          <w:color w:val="auto"/>
        </w:rPr>
      </w:pPr>
    </w:p>
    <w:p>
      <w:pPr>
        <w:ind w:left="-60" w:firstLine="464"/>
        <w:spacing w:after="0" w:line="262" w:lineRule="auto"/>
        <w:tabs>
          <w:tab w:leader="none" w:pos="57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Other Presumption. </w:t>
      </w:r>
      <w:r>
        <w:rPr>
          <w:rFonts w:ascii="Arial" w:cs="Arial" w:eastAsia="Arial" w:hAnsi="Arial"/>
          <w:sz w:val="18"/>
          <w:szCs w:val="18"/>
          <w:color w:val="auto"/>
        </w:rPr>
        <w:t>For purposes of this Agreement, the termination of any Claim by judgment, order, settlement (whether with or without court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approval) or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will not create a presumption that Indemnitee did not meet any applicable standard of conduct or that indemnification hereunder is otherwise not permitted.</w:t>
      </w:r>
    </w:p>
    <w:p>
      <w:pPr>
        <w:spacing w:after="0" w:line="132" w:lineRule="exact"/>
        <w:rPr>
          <w:rFonts w:ascii="Arial" w:cs="Arial" w:eastAsia="Arial" w:hAnsi="Arial"/>
          <w:sz w:val="18"/>
          <w:szCs w:val="18"/>
          <w:b w:val="1"/>
          <w:bCs w:val="1"/>
          <w:color w:val="auto"/>
        </w:rPr>
      </w:pPr>
    </w:p>
    <w:p>
      <w:pPr>
        <w:ind w:left="-60" w:right="20" w:firstLine="464"/>
        <w:spacing w:after="0" w:line="291" w:lineRule="auto"/>
        <w:tabs>
          <w:tab w:leader="none" w:pos="66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Non-Exclusivity. </w:t>
      </w:r>
      <w:r>
        <w:rPr>
          <w:rFonts w:ascii="Arial" w:cs="Arial" w:eastAsia="Arial" w:hAnsi="Arial"/>
          <w:sz w:val="16"/>
          <w:szCs w:val="16"/>
          <w:color w:val="auto"/>
        </w:rPr>
        <w:t>The rights of Indemnitee hereunder will be in addition to any other rights Indemnitee may have under the Constituent Documents, or</w:t>
      </w:r>
      <w:r>
        <w:rPr>
          <w:rFonts w:ascii="Arial" w:cs="Arial" w:eastAsia="Arial" w:hAnsi="Arial"/>
          <w:sz w:val="16"/>
          <w:szCs w:val="16"/>
          <w:b w:val="1"/>
          <w:bCs w:val="1"/>
          <w:color w:val="auto"/>
        </w:rPr>
        <w:t xml:space="preserve"> </w:t>
      </w:r>
      <w:r>
        <w:rPr>
          <w:rFonts w:ascii="Arial" w:cs="Arial" w:eastAsia="Arial" w:hAnsi="Arial"/>
          <w:sz w:val="16"/>
          <w:szCs w:val="16"/>
          <w:color w:val="auto"/>
        </w:rPr>
        <w:t>the substantive laws of the Company’s jurisdiction of incorporation, any other contract or otherwise (collectively, “</w:t>
      </w:r>
      <w:r>
        <w:rPr>
          <w:rFonts w:ascii="Arial" w:cs="Arial" w:eastAsia="Arial" w:hAnsi="Arial"/>
          <w:sz w:val="16"/>
          <w:szCs w:val="16"/>
          <w:b w:val="1"/>
          <w:bCs w:val="1"/>
          <w:i w:val="1"/>
          <w:iCs w:val="1"/>
          <w:color w:val="auto"/>
        </w:rPr>
        <w:t>Other Indemnity Provisions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to the extent that Indemnitee otherwise would have any greater right to indemnification under any Other Indemnity Provision, Indemnitee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deemed to have such greater right hereunder and (b) to the extent that any change is made to any Other Indemnity Provision which permits any greater right to indemnification than that provided under this Agreement as of the date hereof, Indemnitee will be deemed to have such greater right hereunder. The Company will not adopt any amendment to any of the Constituent Documents the effect of which would be to deny, diminish or encumber Indemnitee’s right to indemnification under this Agreement or any Other Indemnity Provision.</w:t>
      </w:r>
    </w:p>
    <w:p>
      <w:pPr>
        <w:spacing w:after="0" w:line="113" w:lineRule="exact"/>
        <w:rPr>
          <w:rFonts w:ascii="Arial" w:cs="Arial" w:eastAsia="Arial" w:hAnsi="Arial"/>
          <w:sz w:val="16"/>
          <w:szCs w:val="16"/>
          <w:b w:val="1"/>
          <w:bCs w:val="1"/>
          <w:color w:val="auto"/>
        </w:rPr>
      </w:pPr>
    </w:p>
    <w:p>
      <w:pPr>
        <w:ind w:left="-60" w:right="200" w:firstLine="464"/>
        <w:spacing w:after="0" w:line="287" w:lineRule="auto"/>
        <w:tabs>
          <w:tab w:leader="none" w:pos="65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Liability Insurance and Funding. </w:t>
      </w:r>
      <w:r>
        <w:rPr>
          <w:rFonts w:ascii="Arial" w:cs="Arial" w:eastAsia="Arial" w:hAnsi="Arial"/>
          <w:sz w:val="16"/>
          <w:szCs w:val="16"/>
          <w:color w:val="auto"/>
        </w:rPr>
        <w:t>For the duration of Indemnitee’s service as a director and/or officer of the Company, and thereafter for so long as</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shall be subject to any pending or possible Indemnifiable Claim, the Company shall use commercially reasonable efforts (taking into account the scope and amount of coverage available relative to the cost thereof) to cause to be maintained in effect policies of directors’ and officers’ liability insurance providing coverage for Indemnitee that is at least substantially comparable in scope and amount to that provided by the Company’s policies of directors’ and officers’ liability insurance as of the date of this Agreement. Upon request, the Company shall provide Indemnitee with a copy of all directors’ and officers’ liability insurance applications, binders, policies, declarations, endorsements and other related materials, and shall provide Indemnitee with a reasonable opportunity to review and comment on the same. Without limiting the generality or effect of the two immediately preceding sentences, the Company shall not discontinue or significantly reduce the scope or amount of coverage from one policy period to the next policy period (i) without the prior approval thereof by a majority vote of the Incumbent Directors, even if less than a quorum, or (ii) if at the time that any such discontinuation or significant reduction in the scope or amount of coverage is proposed there are no Incumbent Directors, without the prior written consent of Indemnitee (which consent shall not be unreasonably withheld or delayed). In all policies of directors’ and officers’ liability insurance obtained by the Company, Indemnitee shall be named as an insured in such a manner as to provide Indemnitee the same rights and benefits, subject to the same limitations, as are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300" w:top="274" w:right="279" w:bottom="1440" w:gutter="0" w:footer="0" w:header="0"/>
        </w:sectPr>
      </w:pPr>
    </w:p>
    <w:bookmarkStart w:id="32" w:name="page33"/>
    <w:bookmarkEnd w:id="3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accorded to the Company’s directors and officers most favorably insured by such policy. The Company may, but shall not be required to, create a trust fund, grant a security interest or use other means, including a letter of credit, to ensure the payment of such amounts as may be necessary to satisfy its obligations to indemnify and advance expenses pursuant to this Agreement.</w:t>
      </w:r>
    </w:p>
    <w:p>
      <w:pPr>
        <w:spacing w:after="0" w:line="134" w:lineRule="exact"/>
        <w:rPr>
          <w:sz w:val="20"/>
          <w:szCs w:val="20"/>
          <w:color w:val="auto"/>
        </w:rPr>
      </w:pPr>
    </w:p>
    <w:p>
      <w:pPr>
        <w:ind w:right="40" w:firstLine="464"/>
        <w:spacing w:after="0" w:line="296" w:lineRule="auto"/>
        <w:tabs>
          <w:tab w:leader="none" w:pos="72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Subrogation. </w:t>
      </w:r>
      <w:r>
        <w:rPr>
          <w:rFonts w:ascii="Arial" w:cs="Arial" w:eastAsia="Arial" w:hAnsi="Arial"/>
          <w:sz w:val="16"/>
          <w:szCs w:val="16"/>
          <w:color w:val="auto"/>
        </w:rPr>
        <w:t>In the event of payment under this Agreement, the Company shall be subrogated to the extent of such payment to all of the related rights</w:t>
      </w:r>
      <w:r>
        <w:rPr>
          <w:rFonts w:ascii="Arial" w:cs="Arial" w:eastAsia="Arial" w:hAnsi="Arial"/>
          <w:sz w:val="16"/>
          <w:szCs w:val="16"/>
          <w:b w:val="1"/>
          <w:bCs w:val="1"/>
          <w:color w:val="auto"/>
        </w:rPr>
        <w:t xml:space="preserve"> </w:t>
      </w:r>
      <w:r>
        <w:rPr>
          <w:rFonts w:ascii="Arial" w:cs="Arial" w:eastAsia="Arial" w:hAnsi="Arial"/>
          <w:sz w:val="16"/>
          <w:szCs w:val="16"/>
          <w:color w:val="auto"/>
        </w:rPr>
        <w:t>of recovery of Indemnitee against other persons or entities (other than Indemnitee’s successors), including any entity or enterprise referred to in clause (i) of the definition of “Indemnifiable Claim” in Section 1(g). Indemnitee shall take, at the request of the Company, all actions reasonably necessary to secure such rights, including the execution of all papers reasonably required to evidence such rights (all of Indemnitee’s reasonable Expenses, including attorneys’ fees and charges, related thereto to be reimbursed by or, at the option of Indemnitee, advanced by the Company).</w:t>
      </w:r>
    </w:p>
    <w:p>
      <w:pPr>
        <w:spacing w:after="0" w:line="107" w:lineRule="exact"/>
        <w:rPr>
          <w:rFonts w:ascii="Arial" w:cs="Arial" w:eastAsia="Arial" w:hAnsi="Arial"/>
          <w:sz w:val="16"/>
          <w:szCs w:val="16"/>
          <w:b w:val="1"/>
          <w:bCs w:val="1"/>
          <w:color w:val="auto"/>
        </w:rPr>
      </w:pPr>
    </w:p>
    <w:p>
      <w:pPr>
        <w:ind w:right="80" w:firstLine="464"/>
        <w:spacing w:after="0" w:line="301" w:lineRule="auto"/>
        <w:tabs>
          <w:tab w:leader="none" w:pos="72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Duplication of Payments. </w:t>
      </w:r>
      <w:r>
        <w:rPr>
          <w:rFonts w:ascii="Arial" w:cs="Arial" w:eastAsia="Arial" w:hAnsi="Arial"/>
          <w:sz w:val="16"/>
          <w:szCs w:val="16"/>
          <w:color w:val="auto"/>
        </w:rPr>
        <w:t>The Company shall not be liable under this Agreement to make any payment to Indemnitee in respect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Indemnifiable Losses to the extent Indemnitee has otherwise actually received payment (net of Expenses incurred in connection therewith) under any insurance policy, the Constituent Documents and Other Indemnity Provisions or otherwise (including from any entity or enterprise referred to in clause (i) of the definition of “Indemnifiable Claim” in Section 1(g)) in respect of such Indemnifiable Losses otherwise indemnifiable hereunder.</w:t>
      </w:r>
    </w:p>
    <w:p>
      <w:pPr>
        <w:spacing w:after="0" w:line="103" w:lineRule="exact"/>
        <w:rPr>
          <w:rFonts w:ascii="Arial" w:cs="Arial" w:eastAsia="Arial" w:hAnsi="Arial"/>
          <w:sz w:val="16"/>
          <w:szCs w:val="16"/>
          <w:b w:val="1"/>
          <w:bCs w:val="1"/>
          <w:color w:val="auto"/>
        </w:rPr>
      </w:pPr>
    </w:p>
    <w:p>
      <w:pPr>
        <w:ind w:right="20" w:firstLine="464"/>
        <w:spacing w:after="0" w:line="286" w:lineRule="auto"/>
        <w:tabs>
          <w:tab w:leader="none" w:pos="72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Defense of Claims. </w:t>
      </w:r>
      <w:r>
        <w:rPr>
          <w:rFonts w:ascii="Arial" w:cs="Arial" w:eastAsia="Arial" w:hAnsi="Arial"/>
          <w:sz w:val="16"/>
          <w:szCs w:val="16"/>
          <w:color w:val="auto"/>
        </w:rPr>
        <w:t>The Company shall be entitled to participate in the defense of any Indemnifiable Claim or to assume the defense thereof,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counsel reasonably satisfactory to Indemnitee;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Indemnitee believes, after consultation with counsel selected by Indemnitee, that (a) the use of counsel chosen by the Company to represent Indemnitee would present such counsel with an actual or potential conflict, (b) the named parties in any such Indemnifiable Claim (including any impleaded parties) include both the Company and Indemnitee and Indemnitee shall conclude that there may be one or more legal defenses available to him or her that are different from or in addition to those available to the Company, or (c)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Indemnifiable Claim) at the Company’s expense. The Company shall not be liable to Indemnitee under this Agreement for any amounts paid in settlement of any threatened or pending Indemnifiable Claim effected without the Company’s prior written consent. The Company shall not, without the prior written consent of Indemnitee, effect any settlement of any threatened or pending Indemnifiable Claim to which Indemnitee is, or could have been, a party unless such settlement solely involves the payment of money and includes a complete and unconditional release of Indemnitee from all liability on any claims that are the subject matter of such Indemnifiable Claim. Neither the Company nor Indemnitee shall unreasonably withhold its consent to any proposed settlement;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Indemnitee may withhold consent to any settlement that does not provide a complete and unconditional release of Indemnitee.</w:t>
      </w:r>
    </w:p>
    <w:p>
      <w:pPr>
        <w:spacing w:after="0" w:line="120" w:lineRule="exact"/>
        <w:rPr>
          <w:rFonts w:ascii="Arial" w:cs="Arial" w:eastAsia="Arial" w:hAnsi="Arial"/>
          <w:sz w:val="16"/>
          <w:szCs w:val="16"/>
          <w:b w:val="1"/>
          <w:bCs w:val="1"/>
          <w:color w:val="auto"/>
        </w:rPr>
      </w:pPr>
    </w:p>
    <w:p>
      <w:pPr>
        <w:jc w:val="both"/>
        <w:ind w:right="260" w:firstLine="464"/>
        <w:spacing w:after="0" w:line="262" w:lineRule="auto"/>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Successors and Binding Agreement. </w:t>
      </w:r>
      <w:r>
        <w:rPr>
          <w:rFonts w:ascii="Arial" w:cs="Arial" w:eastAsia="Arial" w:hAnsi="Arial"/>
          <w:sz w:val="18"/>
          <w:szCs w:val="18"/>
          <w:color w:val="auto"/>
        </w:rPr>
        <w:t>(a) The Company shall require any successor (whether direct or indirect, by purchase, merger, consolidation,</w:t>
      </w:r>
      <w:r>
        <w:rPr>
          <w:rFonts w:ascii="Arial" w:cs="Arial" w:eastAsia="Arial" w:hAnsi="Arial"/>
          <w:sz w:val="18"/>
          <w:szCs w:val="18"/>
          <w:b w:val="1"/>
          <w:bCs w:val="1"/>
          <w:color w:val="auto"/>
        </w:rPr>
        <w:t xml:space="preserve"> </w:t>
      </w:r>
      <w:r>
        <w:rPr>
          <w:rFonts w:ascii="Arial" w:cs="Arial" w:eastAsia="Arial" w:hAnsi="Arial"/>
          <w:sz w:val="18"/>
          <w:szCs w:val="18"/>
          <w:color w:val="auto"/>
        </w:rPr>
        <w:t>reorganization or otherwise) to all or substantially all of the business or assets of the Company, by agreement in form and substance satisfactory to Indemnitee and his or her counsel, expressly to assume and agree to perform this Agreement in</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33" w:name="page34"/>
    <w:bookmarkEnd w:id="33"/>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same manner and to the same extent the Company would be required to perform if no such succession had taken place. This Agreement shall be binding upon and inure to the benefit of the Company and any successor to the Company, including any person acquiring directly or indirectly all or substantially all of the business or assets of the Company whether by purchase, merger, consolidation, reorganization or otherwise (and such successor will thereafter be deemed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for purposes of this Agreement), but shall not otherwise be assignable or delegatable by the Company.</w:t>
      </w:r>
    </w:p>
    <w:p>
      <w:pPr>
        <w:spacing w:after="0" w:line="113" w:lineRule="exact"/>
        <w:rPr>
          <w:sz w:val="20"/>
          <w:szCs w:val="20"/>
          <w:color w:val="auto"/>
        </w:rPr>
      </w:pPr>
    </w:p>
    <w:p>
      <w:pPr>
        <w:ind w:right="380" w:firstLine="921"/>
        <w:spacing w:after="0" w:line="268" w:lineRule="auto"/>
        <w:tabs>
          <w:tab w:leader="none" w:pos="116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Indemnitee’s personal or legal representatives, executors, administrators, heirs, distributees, legatees and other successors.</w:t>
      </w:r>
    </w:p>
    <w:p>
      <w:pPr>
        <w:spacing w:after="0" w:line="131" w:lineRule="exact"/>
        <w:rPr>
          <w:rFonts w:ascii="Arial" w:cs="Arial" w:eastAsia="Arial" w:hAnsi="Arial"/>
          <w:sz w:val="18"/>
          <w:szCs w:val="18"/>
          <w:color w:val="auto"/>
        </w:rPr>
      </w:pPr>
    </w:p>
    <w:p>
      <w:pPr>
        <w:jc w:val="both"/>
        <w:ind w:right="60" w:firstLine="921"/>
        <w:spacing w:after="0" w:line="294" w:lineRule="auto"/>
        <w:tabs>
          <w:tab w:leader="none" w:pos="1152"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This Agreement is personal in nature and neither of the parties hereto shall, without the written consent of the other, assign or delegate this Agreement or any rights or obligations hereunder except as expressly provided in Sections 15(a) and 15(b). Without limiting the generality or effect of the foregoing, Indemnitee’s right to receive payments hereunder shall not be assignable, whether by pledge, creation of a security interest or otherwise, other than by a transfer by Indemnitee’s will or by the laws of descent and distribution, and, in the event of any attempted assignment or transfer contrary to this Section 15(c), the Company shall have no liability to pay any amount so attempted to be assigned or transferred.</w:t>
      </w:r>
    </w:p>
    <w:p>
      <w:pPr>
        <w:spacing w:after="0" w:line="109" w:lineRule="exact"/>
        <w:rPr>
          <w:rFonts w:ascii="Arial" w:cs="Arial" w:eastAsia="Arial" w:hAnsi="Arial"/>
          <w:sz w:val="16"/>
          <w:szCs w:val="16"/>
          <w:color w:val="auto"/>
        </w:rPr>
      </w:pPr>
    </w:p>
    <w:p>
      <w:pPr>
        <w:ind w:right="20" w:firstLine="464"/>
        <w:spacing w:after="0" w:line="293" w:lineRule="auto"/>
        <w:tabs>
          <w:tab w:leader="none" w:pos="72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For all purposes of this Agreement, all communications, including notices, consents, requests or approvals, required or permitted to be given</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shall be in writing and shall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one business day after having been sent for next-day delivery by a nationally recognized overnight courier service, addressed to the Company (to the attention of the Secretary of the Company) and to Indemnitee at the applicable address shown on the signature page hereto, or to such other address as either party may have furnished to the other in writing and in accordance herewith, except that notices of changes of address will be effective only upon receipt.</w:t>
      </w:r>
    </w:p>
    <w:p>
      <w:pPr>
        <w:spacing w:after="0" w:line="110" w:lineRule="exact"/>
        <w:rPr>
          <w:rFonts w:ascii="Arial" w:cs="Arial" w:eastAsia="Arial" w:hAnsi="Arial"/>
          <w:sz w:val="16"/>
          <w:szCs w:val="16"/>
          <w:b w:val="1"/>
          <w:bCs w:val="1"/>
          <w:color w:val="auto"/>
        </w:rPr>
      </w:pPr>
    </w:p>
    <w:p>
      <w:pPr>
        <w:jc w:val="both"/>
        <w:ind w:firstLine="464"/>
        <w:spacing w:after="0" w:line="301" w:lineRule="auto"/>
        <w:tabs>
          <w:tab w:leader="none" w:pos="72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This Agreement shall be governed by and construed in accordance with the substantive laws of the State of Delaware, without giving</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to the principles of conflict of laws of such State. The Company and Indemnitee each hereby irrevocably consent to the jurisdiction of the Chancery Court of the State of Delaware for all purposes in connection with any claim, demand, action, suit or proceeding that arises out of or relates to this Agreement and agree that any action, suit or proceeding instituted under this Agreement shall be brought only in the Chancery Court of the State of Delaware.</w:t>
      </w:r>
    </w:p>
    <w:p>
      <w:pPr>
        <w:spacing w:after="0" w:line="103" w:lineRule="exact"/>
        <w:rPr>
          <w:rFonts w:ascii="Arial" w:cs="Arial" w:eastAsia="Arial" w:hAnsi="Arial"/>
          <w:sz w:val="16"/>
          <w:szCs w:val="16"/>
          <w:b w:val="1"/>
          <w:bCs w:val="1"/>
          <w:color w:val="auto"/>
        </w:rPr>
      </w:pPr>
    </w:p>
    <w:p>
      <w:pPr>
        <w:ind w:right="140" w:firstLine="464"/>
        <w:spacing w:after="0" w:line="256" w:lineRule="auto"/>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Validity. </w:t>
      </w:r>
      <w:r>
        <w:rPr>
          <w:rFonts w:ascii="Arial" w:cs="Arial" w:eastAsia="Arial" w:hAnsi="Arial"/>
          <w:sz w:val="18"/>
          <w:szCs w:val="18"/>
          <w:color w:val="auto"/>
        </w:rPr>
        <w:t>If any provision of this Agreement or the application of any provision hereof to any person or circumstance is held invalid, unenforceable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illegal, the remainder of this Agreement and the application of such provision to any other person or circumstance shall not be affected, and the provision so held to be invalid, unenforceable or otherwise illegal shall be reformed to the extent, and only to the extent, necessary to make it enforceable, valid or legal. In the event that any court or other adjudicative body shall decline to reform any provision of this Agreement held to be invalid, unenforceable or otherwise illegal as contemplated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34" w:name="page35"/>
    <w:bookmarkEnd w:id="34"/>
    <w:p>
      <w:pPr>
        <w:ind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 immediately preceding sentence, the parties thereto shall take all such action as may be necessary or appropriate to replace the provision so held to be invalid, unenforceable or otherwise illegal with one or more alternative provisions that effectuate the purpose and intent of the original provisions of this Agreement as fully as possible without being invalid, unenforceable or otherwise illegal.</w:t>
      </w:r>
    </w:p>
    <w:p>
      <w:pPr>
        <w:spacing w:after="0" w:line="134" w:lineRule="exact"/>
        <w:rPr>
          <w:sz w:val="20"/>
          <w:szCs w:val="20"/>
          <w:color w:val="auto"/>
        </w:rPr>
      </w:pPr>
    </w:p>
    <w:p>
      <w:pPr>
        <w:ind w:firstLine="464"/>
        <w:spacing w:after="0" w:line="301" w:lineRule="auto"/>
        <w:tabs>
          <w:tab w:leader="none" w:pos="72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Amendments, Waivers. </w:t>
      </w:r>
      <w:r>
        <w:rPr>
          <w:rFonts w:ascii="Arial" w:cs="Arial" w:eastAsia="Arial" w:hAnsi="Arial"/>
          <w:sz w:val="16"/>
          <w:szCs w:val="16"/>
          <w:color w:val="auto"/>
        </w:rPr>
        <w:t>No provision of this Agreement may be waived, modified, amended, terminated or discharged unless such waiver,</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amendment, termination or discharge is agreed to in writing signed by Indemnitee and the Company. No waiver by either party hereto at any time of any breach by the other party hereto or compliance with any condition or provision of this Agreement to be performed by such other party shall be deemed a waiver of similar or dissimilar provisions or conditions at the same or at any prior or subsequent time.</w:t>
      </w:r>
    </w:p>
    <w:p>
      <w:pPr>
        <w:spacing w:after="0" w:line="103" w:lineRule="exact"/>
        <w:rPr>
          <w:rFonts w:ascii="Arial" w:cs="Arial" w:eastAsia="Arial" w:hAnsi="Arial"/>
          <w:sz w:val="16"/>
          <w:szCs w:val="16"/>
          <w:b w:val="1"/>
          <w:bCs w:val="1"/>
          <w:color w:val="auto"/>
        </w:rPr>
      </w:pPr>
    </w:p>
    <w:p>
      <w:pPr>
        <w:ind w:right="220" w:firstLine="464"/>
        <w:spacing w:after="0" w:line="275" w:lineRule="auto"/>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Complete Agreement. </w:t>
      </w:r>
      <w:r>
        <w:rPr>
          <w:rFonts w:ascii="Arial" w:cs="Arial" w:eastAsia="Arial" w:hAnsi="Arial"/>
          <w:sz w:val="18"/>
          <w:szCs w:val="18"/>
          <w:color w:val="auto"/>
        </w:rPr>
        <w:t>No agreements or representations, oral or otherwise, expressed or implied with respect to the subject matter hereof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made by either party that are not set forth expressly in this Agreement.</w:t>
      </w:r>
    </w:p>
    <w:p>
      <w:pPr>
        <w:spacing w:after="0" w:line="119" w:lineRule="exact"/>
        <w:rPr>
          <w:rFonts w:ascii="Arial" w:cs="Arial" w:eastAsia="Arial" w:hAnsi="Arial"/>
          <w:sz w:val="18"/>
          <w:szCs w:val="18"/>
          <w:b w:val="1"/>
          <w:bCs w:val="1"/>
          <w:color w:val="auto"/>
        </w:rPr>
      </w:pPr>
    </w:p>
    <w:p>
      <w:pPr>
        <w:ind w:firstLine="464"/>
        <w:spacing w:after="0" w:line="286" w:lineRule="auto"/>
        <w:tabs>
          <w:tab w:leader="none" w:pos="72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Legal Fees and Expenses. </w:t>
      </w:r>
      <w:r>
        <w:rPr>
          <w:rFonts w:ascii="Arial" w:cs="Arial" w:eastAsia="Arial" w:hAnsi="Arial"/>
          <w:sz w:val="16"/>
          <w:szCs w:val="16"/>
          <w:color w:val="auto"/>
        </w:rPr>
        <w:t>It is the intent of the Company that Indemnitee not be required to incur legal fees or other Expenses associated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interpretation, enforcement or defense of Indemnitee’s rights under this Agreement by litigation or otherwise because the cost and expense thereof would substantially detract from the benefits intended to be extended to Indemnitee hereunder. Accordingly, without limiting the generality or effect of any other provision hereof, if it should appear to Indemnitee that the Company has failed to comply with any of its obligations under this Agreement (including its obligations under Section 3) or in the event that the Company or any other person takes or threatens to take any action to declare this Agreement void or unenforceable, or institutes any litigation or other action or proceeding designed to deny, or to recover from, Indemnitee the benefits provided or intended to be provided to Indemnitee hereunder, the Company irrevocably authorizes Indemnitee from time to time to retain counsel of Indemnitee’s choice, at the expense of the Company as hereafter provided, to advise and represent Indemnitee in connection with any such interpretation, enforcement or defense, including the initiation or defense of any litigation or other legal action, whether by or against the Company or any director, officer, stockholder or other person affiliated with the Company, in any jurisdiction. Notwithstanding any existing or prior attorney-client relationship between the Company and such counsel, the Company irrevocably consents to Indemnitee’s entering into an attorney-client relationship with such counsel, and in that connection the Company and Indemnitee agree that a confidential relationship shall exist between Indemnitee and such counsel. Without respect to whether Indemnitee prevails, in whole or in part, in connection with any of the foregoing, the Company will pay and be solely financially responsible for any and all attorneys’ and related fees and expenses incurred by Indemnitee in connection with any of the foregoing.</w:t>
      </w:r>
    </w:p>
    <w:p>
      <w:pPr>
        <w:spacing w:after="0" w:line="117" w:lineRule="exact"/>
        <w:rPr>
          <w:rFonts w:ascii="Arial" w:cs="Arial" w:eastAsia="Arial" w:hAnsi="Arial"/>
          <w:sz w:val="16"/>
          <w:szCs w:val="16"/>
          <w:b w:val="1"/>
          <w:bCs w:val="1"/>
          <w:color w:val="auto"/>
        </w:rPr>
      </w:pPr>
    </w:p>
    <w:p>
      <w:pPr>
        <w:ind w:right="60" w:firstLine="464"/>
        <w:spacing w:after="0" w:line="256" w:lineRule="auto"/>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Interpretive Matters. </w:t>
      </w:r>
      <w:r>
        <w:rPr>
          <w:rFonts w:ascii="Arial" w:cs="Arial" w:eastAsia="Arial" w:hAnsi="Arial"/>
          <w:sz w:val="18"/>
          <w:szCs w:val="18"/>
          <w:color w:val="auto"/>
        </w:rPr>
        <w:t>Unless the context of this Agreement otherwise requires, (a) all references in this Agreement to Sections, paragraphs,</w:t>
      </w:r>
      <w:r>
        <w:rPr>
          <w:rFonts w:ascii="Arial" w:cs="Arial" w:eastAsia="Arial" w:hAnsi="Arial"/>
          <w:sz w:val="18"/>
          <w:szCs w:val="18"/>
          <w:b w:val="1"/>
          <w:bCs w:val="1"/>
          <w:color w:val="auto"/>
        </w:rPr>
        <w:t xml:space="preserve"> </w:t>
      </w:r>
      <w:r>
        <w:rPr>
          <w:rFonts w:ascii="Arial" w:cs="Arial" w:eastAsia="Arial" w:hAnsi="Arial"/>
          <w:sz w:val="18"/>
          <w:szCs w:val="18"/>
          <w:color w:val="auto"/>
        </w:rPr>
        <w:t>clauses and other subdivisions refer to the corresponding Sections, paragraphs, clauses and other subdivisions of this Agreement unless expressly provided otherwise, (b) titles appearing at the beginning of any Sections, subsections or other subdivisions of this Agreement are for convenience only, do not constitute any part of such Sections, subsections or other subdivisions and shall be disregarded in construing the language contained in such subdivisions, (c) “it” or “its” or words of 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35" w:name="page36"/>
    <w:bookmarkEnd w:id="3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gender include each other gender, (d) words using the singular or plural number also include the plural or singular number, respectively, (e) the terms “hereof,” “herein,” “hereby” and derivative or similar words refer to this entire Agreement, (f) the terms “Section” or “Exhibit” refer to the specified Section or Exhibit of or to this Agreement, (g) the terms “include,” “includes” and “including” will be deemed to be followed by the words “without limitation,” and (h) the word “or” is disjunctive but not exclusive. Whenever this Agreement refers to a number of days, such number will refer to calendar days unless business days are specified and whenever action must be taken (including the giving of notice or the delivery of documents) under this Agreement during a certain period of time or by a particular date that ends or occurs on a non-business day, then such period or date will be extended until the immediately following business day. As used herein, “business day” means any day other than Saturday, Sunday or a United States federal holiday.</w:t>
      </w:r>
    </w:p>
    <w:p>
      <w:pPr>
        <w:spacing w:after="0" w:line="112" w:lineRule="exact"/>
        <w:rPr>
          <w:sz w:val="20"/>
          <w:szCs w:val="20"/>
          <w:color w:val="auto"/>
        </w:rPr>
      </w:pPr>
    </w:p>
    <w:p>
      <w:pPr>
        <w:ind w:right="20" w:firstLine="464"/>
        <w:spacing w:after="0" w:line="275" w:lineRule="auto"/>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one or more counterparts, each of which will be deemed to be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agreement.</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 Appear On Following Page]</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80" w:right="319" w:bottom="1440" w:gutter="0" w:footer="0" w:header="0"/>
        </w:sectPr>
      </w:pPr>
    </w:p>
    <w:bookmarkStart w:id="36" w:name="page37"/>
    <w:bookmarkEnd w:id="3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Indemnitee has executed, and the Company has caused its duly authorized representative to execute, this Agreement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NOVATEL WIRELESS,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9645 Scranton Road, San Diego, CA 92121</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27940</wp:posOffset>
            </wp:positionV>
            <wp:extent cx="25215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[INDEMNITEE]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298450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[Indemnitee]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280" w:right="439" w:bottom="1440" w:gutter="0" w:footer="0" w:header="0"/>
        </w:sectPr>
      </w:pPr>
    </w:p>
    <w:bookmarkStart w:id="37" w:name="page38"/>
    <w:bookmarkEnd w:id="37"/>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UNDERTAKING</w:t>
      </w:r>
    </w:p>
    <w:p>
      <w:pPr>
        <w:spacing w:after="0" w:line="177" w:lineRule="exact"/>
        <w:rPr>
          <w:sz w:val="20"/>
          <w:szCs w:val="20"/>
          <w:color w:val="auto"/>
        </w:rPr>
      </w:pPr>
    </w:p>
    <w:p>
      <w:pPr>
        <w:ind w:left="460"/>
        <w:spacing w:after="0"/>
        <w:tabs>
          <w:tab w:leader="none" w:pos="7300" w:val="left"/>
          <w:tab w:leader="none" w:pos="7780" w:val="left"/>
        </w:tabs>
        <w:rPr>
          <w:sz w:val="20"/>
          <w:szCs w:val="20"/>
          <w:color w:val="auto"/>
        </w:rPr>
      </w:pPr>
      <w:r>
        <w:rPr>
          <w:rFonts w:ascii="Arial" w:cs="Arial" w:eastAsia="Arial" w:hAnsi="Arial"/>
          <w:sz w:val="18"/>
          <w:szCs w:val="18"/>
          <w:color w:val="auto"/>
        </w:rPr>
        <w:t>This Undertaking is submitted pursuant to the Indemnification Agreement, dated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w:t>
      </w:r>
      <w:r>
        <w:rPr>
          <w:rFonts w:ascii="Arial" w:cs="Arial" w:eastAsia="Arial" w:hAnsi="Arial"/>
          <w:sz w:val="15"/>
          <w:szCs w:val="15"/>
          <w:b w:val="1"/>
          <w:bCs w:val="1"/>
          <w:i w:val="1"/>
          <w:iCs w:val="1"/>
          <w:color w:val="auto"/>
        </w:rPr>
        <w:t>Indemnification Agreement</w:t>
      </w:r>
      <w:r>
        <w:rPr>
          <w:rFonts w:ascii="Arial" w:cs="Arial" w:eastAsia="Arial" w:hAnsi="Arial"/>
          <w:sz w:val="15"/>
          <w:szCs w:val="15"/>
          <w:color w:val="auto"/>
        </w:rPr>
        <w:t>”),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-13970</wp:posOffset>
            </wp:positionV>
            <wp:extent cx="7524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52475" cy="8890"/>
                    </a:xfrm>
                    <a:prstGeom prst="rect">
                      <a:avLst/>
                    </a:prstGeom>
                    <a:noFill/>
                  </pic:spPr>
                </pic:pic>
              </a:graphicData>
            </a:graphic>
          </wp:anchor>
        </w:drawing>
      </w:r>
    </w:p>
    <w:p>
      <w:pPr>
        <w:ind w:right="420" w:firstLine="535"/>
        <w:spacing w:after="0" w:line="261"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undersigned. Capitalized terms used and not otherwise defined herein shall have the respective meanings ascribed to such terms in the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3346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undersigned hereby requests </w:t>
      </w:r>
      <w:r>
        <w:rPr>
          <w:rFonts w:ascii="Arial" w:cs="Arial" w:eastAsia="Arial" w:hAnsi="Arial"/>
          <w:sz w:val="16"/>
          <w:szCs w:val="16"/>
          <w:b w:val="1"/>
          <w:bCs w:val="1"/>
          <w:color w:val="auto"/>
        </w:rPr>
        <w:t>[payment], [advancement], [reimbursement]</w:t>
      </w:r>
      <w:r>
        <w:rPr>
          <w:rFonts w:ascii="Arial" w:cs="Arial" w:eastAsia="Arial" w:hAnsi="Arial"/>
          <w:sz w:val="16"/>
          <w:szCs w:val="16"/>
          <w:color w:val="auto"/>
        </w:rPr>
        <w:t xml:space="preserve"> by the Company of Expenses which the undersigned </w:t>
      </w:r>
      <w:r>
        <w:rPr>
          <w:rFonts w:ascii="Arial" w:cs="Arial" w:eastAsia="Arial" w:hAnsi="Arial"/>
          <w:sz w:val="16"/>
          <w:szCs w:val="16"/>
          <w:b w:val="1"/>
          <w:bCs w:val="1"/>
          <w:color w:val="auto"/>
        </w:rPr>
        <w:t>[has incurred]</w:t>
      </w:r>
    </w:p>
    <w:p>
      <w:pPr>
        <w:spacing w:after="0" w:line="44"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b w:val="1"/>
          <w:bCs w:val="1"/>
          <w:color w:val="auto"/>
        </w:rPr>
        <w:t xml:space="preserve">[reasonably expects to incur] </w:t>
      </w:r>
      <w:r>
        <w:rPr>
          <w:rFonts w:ascii="Arial" w:cs="Arial" w:eastAsia="Arial" w:hAnsi="Arial"/>
          <w:sz w:val="18"/>
          <w:szCs w:val="18"/>
          <w:color w:val="auto"/>
        </w:rPr>
        <w:t>in connection with</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i w:val="1"/>
          <w:iCs w:val="1"/>
          <w:color w:val="auto"/>
        </w:rPr>
        <w:t>Indemnifiable Claim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-17780</wp:posOffset>
            </wp:positionV>
            <wp:extent cx="3346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9"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 xml:space="preserve">The undersigned hereby undertakes to repay the </w:t>
      </w:r>
      <w:r>
        <w:rPr>
          <w:rFonts w:ascii="Arial" w:cs="Arial" w:eastAsia="Arial" w:hAnsi="Arial"/>
          <w:sz w:val="18"/>
          <w:szCs w:val="18"/>
          <w:b w:val="1"/>
          <w:bCs w:val="1"/>
          <w:color w:val="auto"/>
        </w:rPr>
        <w:t>[payment]</w:t>
      </w:r>
      <w:r>
        <w:rPr>
          <w:rFonts w:ascii="Arial" w:cs="Arial" w:eastAsia="Arial" w:hAnsi="Arial"/>
          <w:sz w:val="18"/>
          <w:szCs w:val="18"/>
          <w:color w:val="auto"/>
        </w:rPr>
        <w:t xml:space="preserve">, </w:t>
      </w:r>
      <w:r>
        <w:rPr>
          <w:rFonts w:ascii="Arial" w:cs="Arial" w:eastAsia="Arial" w:hAnsi="Arial"/>
          <w:sz w:val="18"/>
          <w:szCs w:val="18"/>
          <w:b w:val="1"/>
          <w:bCs w:val="1"/>
          <w:color w:val="auto"/>
        </w:rPr>
        <w:t>[advancement]</w:t>
      </w:r>
      <w:r>
        <w:rPr>
          <w:rFonts w:ascii="Arial" w:cs="Arial" w:eastAsia="Arial" w:hAnsi="Arial"/>
          <w:sz w:val="18"/>
          <w:szCs w:val="18"/>
          <w:color w:val="auto"/>
        </w:rPr>
        <w:t xml:space="preserve">, </w:t>
      </w:r>
      <w:r>
        <w:rPr>
          <w:rFonts w:ascii="Arial" w:cs="Arial" w:eastAsia="Arial" w:hAnsi="Arial"/>
          <w:sz w:val="18"/>
          <w:szCs w:val="18"/>
          <w:b w:val="1"/>
          <w:bCs w:val="1"/>
          <w:color w:val="auto"/>
        </w:rPr>
        <w:t>[reimbursement]</w:t>
      </w:r>
      <w:r>
        <w:rPr>
          <w:rFonts w:ascii="Arial" w:cs="Arial" w:eastAsia="Arial" w:hAnsi="Arial"/>
          <w:sz w:val="18"/>
          <w:szCs w:val="18"/>
          <w:color w:val="auto"/>
        </w:rPr>
        <w:t xml:space="preserve"> of Expenses made by the Company to or on behalf of the undersigned in response to the foregoing request if it is determined, following the final disposition of the Indemnifiable Claim and in accordance with Section 7 of the Indemnification Agreement, that the undersigned is not entitled to indemnification by the Company under the Indemnification Agreement with respect to the Indemnifiable Claim.</w:t>
      </w:r>
    </w:p>
    <w:p>
      <w:pPr>
        <w:spacing w:after="0" w:line="142" w:lineRule="exact"/>
        <w:rPr>
          <w:sz w:val="20"/>
          <w:szCs w:val="20"/>
          <w:color w:val="auto"/>
        </w:rPr>
      </w:pPr>
    </w:p>
    <w:p>
      <w:pPr>
        <w:ind w:left="460"/>
        <w:spacing w:after="0"/>
        <w:tabs>
          <w:tab w:leader="none" w:pos="6620" w:val="left"/>
          <w:tab w:leader="none" w:pos="7640" w:val="left"/>
          <w:tab w:leader="none" w:pos="7900" w:val="left"/>
        </w:tabs>
        <w:rPr>
          <w:sz w:val="20"/>
          <w:szCs w:val="20"/>
          <w:color w:val="auto"/>
        </w:rPr>
      </w:pPr>
      <w:r>
        <w:rPr>
          <w:rFonts w:ascii="Arial" w:cs="Arial" w:eastAsia="Arial" w:hAnsi="Arial"/>
          <w:sz w:val="16"/>
          <w:szCs w:val="16"/>
          <w:color w:val="auto"/>
        </w:rPr>
        <w:t>IN WITNESS WHEREOF, the undersigned has executed this Undertaking as of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294005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-13970</wp:posOffset>
            </wp:positionV>
            <wp:extent cx="1117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-13970</wp:posOffset>
            </wp:positionV>
            <wp:extent cx="501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1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[Indemnitee]</w:t>
      </w:r>
    </w:p>
    <w:p>
      <w:pPr>
        <w:sectPr>
          <w:pgSz w:w="11900" w:h="16838" w:orient="portrait"/>
          <w:cols w:equalWidth="0" w:num="1">
            <w:col w:w="11260"/>
          </w:cols>
          <w:pgMar w:left="240" w:top="274" w:right="3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171"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Peter Leparulo</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2009</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Kenneth Leddon</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2009</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connection with the filing of the Quarterly Report on Form 10-Q for the period ended September 30, 2009 (the “Report”), as filed by Novatel Wireless, Inc. (the “Company”) with the Securities and Exchange Commission, each of the undersigned officers of the Company certifies, pursuant to 18 U.S.C. § 1350, as adopted pursuant to § 906 of the Sarbanes-Oxley Act of 2002, that, to such officer’s knowledge:</w:t>
      </w:r>
    </w:p>
    <w:p>
      <w:pPr>
        <w:spacing w:after="0" w:line="140" w:lineRule="exact"/>
        <w:rPr>
          <w:sz w:val="20"/>
          <w:szCs w:val="20"/>
          <w:color w:val="auto"/>
        </w:rPr>
      </w:pPr>
    </w:p>
    <w:p>
      <w:pPr>
        <w:ind w:left="640" w:hanging="17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72" w:lineRule="exact"/>
        <w:rPr>
          <w:sz w:val="20"/>
          <w:szCs w:val="20"/>
          <w:color w:val="auto"/>
        </w:rPr>
      </w:pPr>
    </w:p>
    <w:p>
      <w:pPr>
        <w:spacing w:after="0"/>
        <w:tabs>
          <w:tab w:leader="none" w:pos="7680" w:val="left"/>
          <w:tab w:leader="none" w:pos="8040" w:val="left"/>
        </w:tabs>
        <w:rPr>
          <w:sz w:val="20"/>
          <w:szCs w:val="20"/>
          <w:color w:val="auto"/>
        </w:rPr>
      </w:pPr>
      <w:r>
        <w:rPr>
          <w:rFonts w:ascii="Arial" w:cs="Arial" w:eastAsia="Arial" w:hAnsi="Arial"/>
          <w:sz w:val="18"/>
          <w:szCs w:val="18"/>
          <w:color w:val="auto"/>
        </w:rPr>
        <w:t>Date: November 2, 2009</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Peter Leparulo</w:t>
      </w:r>
    </w:p>
    <w:p>
      <w:pPr>
        <w:jc w:val="center"/>
        <w:ind w:left="582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5820"/>
        <w:spacing w:after="0"/>
        <w:rPr>
          <w:sz w:val="20"/>
          <w:szCs w:val="20"/>
          <w:color w:val="auto"/>
        </w:rPr>
      </w:pPr>
      <w:r>
        <w:rPr>
          <w:rFonts w:ascii="Arial" w:cs="Arial" w:eastAsia="Arial" w:hAnsi="Arial"/>
          <w:sz w:val="14"/>
          <w:szCs w:val="14"/>
          <w:b w:val="1"/>
          <w:bCs w:val="1"/>
          <w:color w:val="auto"/>
        </w:rPr>
        <w:t>(principal executive officer)</w:t>
      </w:r>
    </w:p>
    <w:p>
      <w:pPr>
        <w:spacing w:after="0" w:line="208" w:lineRule="exact"/>
        <w:rPr>
          <w:sz w:val="20"/>
          <w:szCs w:val="20"/>
          <w:color w:val="auto"/>
        </w:rPr>
      </w:pPr>
    </w:p>
    <w:p>
      <w:pPr>
        <w:ind w:left="7660"/>
        <w:spacing w:after="0"/>
        <w:tabs>
          <w:tab w:leader="none" w:pos="79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Kenneth Leddon</w:t>
      </w:r>
    </w:p>
    <w:p>
      <w:pPr>
        <w:jc w:val="center"/>
        <w:ind w:left="582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582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lvl w:ilvl="1">
      <w:lvlJc w:val="left"/>
      <w:lvlText w:val="(%2)"/>
      <w:numFmt w:val="lowerLetter"/>
      <w:start w:val="1"/>
    </w:lvl>
  </w:abstractNum>
  <w:abstractNum w:abstractNumId="7">
    <w:nsid w:val="7C83E458"/>
    <w:multiLevelType w:val="hybridMultilevel"/>
    <w:lvl w:ilvl="0">
      <w:lvlJc w:val="left"/>
      <w:lvlText w:val="(%1)"/>
      <w:numFmt w:val="lowerLetter"/>
      <w:start w:val="2"/>
    </w:lvl>
  </w:abstractNum>
  <w:abstractNum w:abstractNumId="8">
    <w:nsid w:val="257130A3"/>
    <w:multiLevelType w:val="hybridMultilevel"/>
    <w:lvl w:ilvl="0">
      <w:lvlJc w:val="left"/>
      <w:lvlText w:val="%1"/>
      <w:numFmt w:val="decimal"/>
      <w:start w:val="1"/>
    </w:lvl>
    <w:lvl w:ilvl="1">
      <w:lvlJc w:val="left"/>
      <w:lvlText w:val="(%2)"/>
      <w:numFmt w:val="lowerLetter"/>
      <w:start w:val="8"/>
    </w:lvl>
  </w:abstractNum>
  <w:abstractNum w:abstractNumId="9">
    <w:nsid w:val="62BBD95A"/>
    <w:multiLevelType w:val="hybridMultilevel"/>
    <w:lvl w:ilvl="0">
      <w:lvlJc w:val="left"/>
      <w:lvlText w:val="%1."/>
      <w:numFmt w:val="decimal"/>
      <w:start w:val="2"/>
    </w:lvl>
    <w:lvl w:ilvl="1">
      <w:lvlJc w:val="left"/>
      <w:lvlText w:val="%2"/>
      <w:numFmt w:val="lowerLetter"/>
      <w:start w:val="1"/>
    </w:lvl>
  </w:abstractNum>
  <w:abstractNum w:abstractNumId="10">
    <w:nsid w:val="436C6125"/>
    <w:multiLevelType w:val="hybridMultilevel"/>
    <w:lvl w:ilvl="0">
      <w:lvlJc w:val="left"/>
      <w:lvlText w:val="%1."/>
      <w:numFmt w:val="decimal"/>
      <w:start w:val="4"/>
    </w:lvl>
  </w:abstractNum>
  <w:abstractNum w:abstractNumId="11">
    <w:nsid w:val="628C895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
    <w:nsid w:val="333AB105"/>
    <w:multiLevelType w:val="hybridMultilevel"/>
    <w:lvl w:ilvl="0">
      <w:lvlJc w:val="left"/>
      <w:lvlText w:val="(%1)"/>
      <w:numFmt w:val="lowerLetter"/>
      <w:start w:val="3"/>
    </w:lvl>
  </w:abstractNum>
  <w:abstractNum w:abstractNumId="13">
    <w:nsid w:val="721DA317"/>
    <w:multiLevelType w:val="hybridMultilevel"/>
    <w:lvl w:ilvl="0">
      <w:lvlJc w:val="left"/>
      <w:lvlText w:val="(%1)"/>
      <w:numFmt w:val="lowerLetter"/>
      <w:start w:val="4"/>
    </w:lvl>
  </w:abstractNum>
  <w:abstractNum w:abstractNumId="14">
    <w:nsid w:val="2443A858"/>
    <w:multiLevelType w:val="hybridMultilevel"/>
    <w:lvl w:ilvl="0">
      <w:lvlJc w:val="left"/>
      <w:lvlText w:val="%1."/>
      <w:numFmt w:val="decimal"/>
      <w:start w:val="8"/>
    </w:lvl>
  </w:abstractNum>
  <w:abstractNum w:abstractNumId="15">
    <w:nsid w:val="2D1D5AE9"/>
    <w:multiLevelType w:val="hybridMultilevel"/>
    <w:lvl w:ilvl="0">
      <w:lvlJc w:val="left"/>
      <w:lvlText w:val="%1."/>
      <w:numFmt w:val="decimal"/>
      <w:start w:val="12"/>
    </w:lvl>
  </w:abstractNum>
  <w:abstractNum w:abstractNumId="16">
    <w:nsid w:val="6763845E"/>
    <w:multiLevelType w:val="hybridMultilevel"/>
    <w:lvl w:ilvl="0">
      <w:lvlJc w:val="left"/>
      <w:lvlText w:val="%1"/>
      <w:numFmt w:val="decimal"/>
      <w:start w:val="1"/>
    </w:lvl>
    <w:lvl w:ilvl="1">
      <w:lvlJc w:val="left"/>
      <w:lvlText w:val="(%2)"/>
      <w:numFmt w:val="lowerLetter"/>
      <w:start w:val="2"/>
    </w:lvl>
  </w:abstractNum>
  <w:abstractNum w:abstractNumId="17">
    <w:nsid w:val="75A2A8D4"/>
    <w:multiLevelType w:val="hybridMultilevel"/>
    <w:lvl w:ilvl="0">
      <w:lvlJc w:val="left"/>
      <w:lvlText w:val="%1."/>
      <w:numFmt w:val="decimal"/>
      <w:start w:val="16"/>
    </w:lvl>
    <w:lvl w:ilvl="1">
      <w:lvlJc w:val="left"/>
      <w:lvlText w:val="%2"/>
      <w:numFmt w:val="lowerLetter"/>
      <w:start w:val="1"/>
    </w:lvl>
  </w:abstractNum>
  <w:abstractNum w:abstractNumId="18">
    <w:nsid w:val="8EDBDAB"/>
    <w:multiLevelType w:val="hybridMultilevel"/>
    <w:lvl w:ilvl="0">
      <w:lvlJc w:val="left"/>
      <w:lvlText w:val="%1."/>
      <w:numFmt w:val="decimal"/>
      <w:start w:val="19"/>
    </w:lvl>
  </w:abstractNum>
  <w:abstractNum w:abstractNumId="19">
    <w:nsid w:val="79838CB2"/>
    <w:multiLevelType w:val="hybridMultilevel"/>
    <w:lvl w:ilvl="0">
      <w:lvlJc w:val="left"/>
      <w:lvlText w:val="%1."/>
      <w:numFmt w:val="decimal"/>
      <w:start w:val="23"/>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decimal"/>
      <w:start w:val="5"/>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decimal"/>
      <w:start w:val="5"/>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2019-12-10T14:42:45Z</dcterms:created>
  <dcterms:modified xsi:type="dcterms:W3CDTF">2019-12-10T14:42:45Z</dcterms:modified>
</cp:coreProperties>
</file>