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40" w:val="left"/>
          <w:tab w:leader="none" w:pos="7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4640" w:type="dxa"/>
            <w:vAlign w:val="bottom"/>
          </w:tcPr>
          <w:p>
            <w:pPr>
              <w:jc w:val="center"/>
              <w:ind w:right="1864"/>
              <w:spacing w:after="0"/>
              <w:rPr>
                <w:sz w:val="20"/>
                <w:szCs w:val="20"/>
                <w:color w:val="auto"/>
              </w:rPr>
            </w:pPr>
            <w:r>
              <w:rPr>
                <w:rFonts w:ascii="Arial" w:cs="Arial" w:eastAsia="Arial" w:hAnsi="Arial"/>
                <w:sz w:val="18"/>
                <w:szCs w:val="18"/>
                <w:b w:val="1"/>
                <w:bCs w:val="1"/>
                <w:color w:val="auto"/>
                <w:w w:val="88"/>
              </w:rPr>
              <w:t>Delaware</w:t>
            </w:r>
          </w:p>
        </w:tc>
        <w:tc>
          <w:tcPr>
            <w:tcW w:w="3000" w:type="dxa"/>
            <w:vAlign w:val="bottom"/>
          </w:tcPr>
          <w:p>
            <w:pPr>
              <w:jc w:val="right"/>
              <w:ind w:right="2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40" w:type="dxa"/>
            <w:vAlign w:val="bottom"/>
          </w:tcPr>
          <w:p>
            <w:pPr>
              <w:jc w:val="center"/>
              <w:ind w:right="18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0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40" w:type="dxa"/>
            <w:vAlign w:val="bottom"/>
          </w:tcPr>
          <w:p>
            <w:pPr>
              <w:jc w:val="center"/>
              <w:ind w:right="1864"/>
              <w:spacing w:after="0"/>
              <w:rPr>
                <w:sz w:val="20"/>
                <w:szCs w:val="20"/>
                <w:color w:val="auto"/>
              </w:rPr>
            </w:pPr>
            <w:r>
              <w:rPr>
                <w:rFonts w:ascii="Arial" w:cs="Arial" w:eastAsia="Arial" w:hAnsi="Arial"/>
                <w:sz w:val="14"/>
                <w:szCs w:val="14"/>
                <w:b w:val="1"/>
                <w:bCs w:val="1"/>
                <w:color w:val="auto"/>
                <w:w w:val="89"/>
              </w:rPr>
              <w:t>Incorporation or Organization)</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640" w:type="dxa"/>
            <w:vAlign w:val="bottom"/>
          </w:tcPr>
          <w:p>
            <w:pPr>
              <w:jc w:val="center"/>
              <w:ind w:right="1864"/>
              <w:spacing w:after="0"/>
              <w:rPr>
                <w:sz w:val="20"/>
                <w:szCs w:val="20"/>
                <w:color w:val="auto"/>
              </w:rPr>
            </w:pPr>
            <w:r>
              <w:rPr>
                <w:rFonts w:ascii="Arial" w:cs="Arial" w:eastAsia="Arial" w:hAnsi="Arial"/>
                <w:sz w:val="18"/>
                <w:szCs w:val="18"/>
                <w:b w:val="1"/>
                <w:bCs w:val="1"/>
                <w:color w:val="auto"/>
                <w:w w:val="87"/>
              </w:rPr>
              <w:t>9645 Scranton Road, San Diego, CA</w:t>
            </w:r>
          </w:p>
        </w:tc>
        <w:tc>
          <w:tcPr>
            <w:tcW w:w="30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40" w:type="dxa"/>
            <w:vAlign w:val="bottom"/>
          </w:tcPr>
          <w:p>
            <w:pPr>
              <w:jc w:val="center"/>
              <w:ind w:right="18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ind w:left="460"/>
              <w:spacing w:after="0"/>
              <w:rPr>
                <w:sz w:val="20"/>
                <w:szCs w:val="20"/>
                <w:color w:val="auto"/>
              </w:rPr>
            </w:pPr>
            <w:r>
              <w:rPr>
                <w:rFonts w:ascii="Arial" w:cs="Arial" w:eastAsia="Arial" w:hAnsi="Arial"/>
                <w:sz w:val="18"/>
                <w:szCs w:val="18"/>
                <w:color w:val="auto"/>
                <w:w w:val="97"/>
              </w:rPr>
              <w:t>The number of shares of the registrant’s common stock outstanding as of August 6, 2012 was 33,075,856.</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the operations of Enfora, Inc., or Enfora, and any other business, products, technologies or personnel that we may acquire or retain in the future;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marketability of our products given their dependence on wireless telecommunication operators continuing to deliver acceptable wireless services;</w:t>
      </w:r>
    </w:p>
    <w:p>
      <w:pPr>
        <w:spacing w:after="0" w:line="113" w:lineRule="exact"/>
        <w:rPr>
          <w:rFonts w:ascii="Arial" w:cs="Arial" w:eastAsia="Arial" w:hAnsi="Arial"/>
          <w:sz w:val="16"/>
          <w:szCs w:val="16"/>
          <w:color w:val="auto"/>
        </w:rPr>
      </w:pPr>
    </w:p>
    <w:p>
      <w:pPr>
        <w:ind w:left="660" w:right="2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development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our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third-party technology necessary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introducing new products that could contain errors or defects;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including the information in “Item 1A. Risk Factors” in Part I of our Annual Report on Form 10-K for the year ended December 31, 2011. If one or more events related to these or other risks or uncertainties materialize, or if our underlying assumptions prove to be incorrect, actual results may differ materially from what we anticipate.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Home”, “MobiLink”, “Ovation,” “Expedite”, “MiFi.Freedom. My Way”, “Conversa”, “NovaSpeed”, “NovaCore” and “NovaDrive” are trademarks of Novatel Wireless, Inc. “Enfora”, the Enfora logo, “Spider”, “Enabling Information Anywhere”, “Enabler”, “eWide” and “N4A” are trademarks of Enfora, Inc. Other trademarks, trade names or service marks used in this report are the property of their respective owners.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8280" w:type="dxa"/>
            <w:vAlign w:val="bottom"/>
          </w:tcPr>
          <w:p>
            <w:pPr>
              <w:jc w:val="center"/>
              <w:ind w:left="1352"/>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8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spacing w:after="0"/>
              <w:rPr>
                <w:sz w:val="24"/>
                <w:szCs w:val="24"/>
                <w:color w:val="auto"/>
              </w:rPr>
            </w:pPr>
          </w:p>
        </w:tc>
        <w:tc>
          <w:tcPr>
            <w:tcW w:w="8280" w:type="dxa"/>
            <w:vAlign w:val="bottom"/>
          </w:tcPr>
          <w:p>
            <w:pPr>
              <w:jc w:val="center"/>
              <w:ind w:left="1352"/>
              <w:spacing w:after="0"/>
              <w:rPr>
                <w:sz w:val="20"/>
                <w:szCs w:val="20"/>
                <w:color w:val="auto"/>
              </w:rPr>
            </w:pPr>
            <w:r>
              <w:rPr>
                <w:rFonts w:ascii="Arial" w:cs="Arial" w:eastAsia="Arial" w:hAnsi="Arial"/>
                <w:sz w:val="18"/>
                <w:szCs w:val="18"/>
                <w:b w:val="1"/>
                <w:bCs w:val="1"/>
                <w:color w:val="auto"/>
                <w:w w:val="96"/>
              </w:rPr>
              <w:t>NOVATEL WIRELESS, INC.</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828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60" w:type="dxa"/>
            <w:vAlign w:val="bottom"/>
          </w:tcPr>
          <w:p>
            <w:pPr>
              <w:spacing w:after="0"/>
              <w:rPr>
                <w:sz w:val="24"/>
                <w:szCs w:val="24"/>
                <w:color w:val="auto"/>
              </w:rPr>
            </w:pPr>
          </w:p>
        </w:tc>
        <w:tc>
          <w:tcPr>
            <w:tcW w:w="8280" w:type="dxa"/>
            <w:vAlign w:val="bottom"/>
          </w:tcPr>
          <w:p>
            <w:pPr>
              <w:jc w:val="center"/>
              <w:ind w:left="1352"/>
              <w:spacing w:after="0"/>
              <w:rPr>
                <w:sz w:val="20"/>
                <w:szCs w:val="20"/>
                <w:color w:val="auto"/>
              </w:rPr>
            </w:pPr>
            <w:r>
              <w:rPr>
                <w:rFonts w:ascii="Arial" w:cs="Arial" w:eastAsia="Arial" w:hAnsi="Arial"/>
                <w:sz w:val="18"/>
                <w:szCs w:val="18"/>
                <w:b w:val="1"/>
                <w:bCs w:val="1"/>
                <w:color w:val="auto"/>
                <w:w w:val="86"/>
              </w:rPr>
              <w:t>(in thousands, except per share data)</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6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8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47,069</w:t>
            </w:r>
          </w:p>
        </w:tc>
        <w:tc>
          <w:tcPr>
            <w:tcW w:w="0" w:type="dxa"/>
            <w:vAlign w:val="bottom"/>
          </w:tcPr>
          <w:p>
            <w:pPr>
              <w:spacing w:after="0"/>
              <w:rPr>
                <w:sz w:val="1"/>
                <w:szCs w:val="1"/>
                <w:color w:val="auto"/>
              </w:rPr>
            </w:pPr>
          </w:p>
        </w:tc>
      </w:tr>
      <w:tr>
        <w:trPr>
          <w:trHeight w:val="216"/>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36,391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28,267</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2"/>
              </w:rPr>
              <w:t>Accounts receivable, net of allowance for doubtful accounts of $297 at June 30, 2012 and $245 at December 31, 2011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48,033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36,849</w:t>
            </w:r>
          </w:p>
        </w:tc>
        <w:tc>
          <w:tcPr>
            <w:tcW w:w="0" w:type="dxa"/>
            <w:vAlign w:val="bottom"/>
          </w:tcPr>
          <w:p>
            <w:pPr>
              <w:spacing w:after="0"/>
              <w:rPr>
                <w:sz w:val="1"/>
                <w:szCs w:val="1"/>
                <w:color w:val="auto"/>
              </w:rPr>
            </w:pPr>
          </w:p>
        </w:tc>
      </w:tr>
      <w:tr>
        <w:trPr>
          <w:trHeight w:val="216"/>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39,565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42,279</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5,835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147,026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160,187</w:t>
            </w:r>
          </w:p>
        </w:tc>
        <w:tc>
          <w:tcPr>
            <w:tcW w:w="0" w:type="dxa"/>
            <w:vAlign w:val="bottom"/>
          </w:tcPr>
          <w:p>
            <w:pPr>
              <w:spacing w:after="0"/>
              <w:rPr>
                <w:sz w:val="1"/>
                <w:szCs w:val="1"/>
                <w:color w:val="auto"/>
              </w:rPr>
            </w:pPr>
          </w:p>
        </w:tc>
      </w:tr>
      <w:tr>
        <w:trPr>
          <w:trHeight w:val="322"/>
        </w:trPr>
        <w:tc>
          <w:tcPr>
            <w:tcW w:w="9140" w:type="dxa"/>
            <w:vAlign w:val="bottom"/>
            <w:gridSpan w:val="2"/>
          </w:tcPr>
          <w:p>
            <w:pPr>
              <w:spacing w:after="0"/>
              <w:rPr>
                <w:sz w:val="20"/>
                <w:szCs w:val="20"/>
                <w:color w:val="auto"/>
              </w:rPr>
            </w:pPr>
            <w:r>
              <w:rPr>
                <w:rFonts w:ascii="Arial" w:cs="Arial" w:eastAsia="Arial" w:hAnsi="Arial"/>
                <w:sz w:val="18"/>
                <w:szCs w:val="18"/>
                <w:color w:val="auto"/>
                <w:w w:val="93"/>
              </w:rPr>
              <w:t>Property and equipment, net of accumulated depreciation of $63,786 at June 30, 2012 and $59,217 at December 31, 2011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16,886</w:t>
            </w: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18,496</w:t>
            </w:r>
          </w:p>
        </w:tc>
        <w:tc>
          <w:tcPr>
            <w:tcW w:w="0" w:type="dxa"/>
            <w:vAlign w:val="bottom"/>
          </w:tcPr>
          <w:p>
            <w:pPr>
              <w:spacing w:after="0"/>
              <w:rPr>
                <w:sz w:val="1"/>
                <w:szCs w:val="1"/>
                <w:color w:val="auto"/>
              </w:rPr>
            </w:pPr>
          </w:p>
        </w:tc>
      </w:tr>
      <w:tr>
        <w:trPr>
          <w:trHeight w:val="218"/>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10,820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13,495</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w w:val="99"/>
              </w:rPr>
              <w:t>Intangible assets, net of accumulated amortization of $11,072 at June 30, 2012 and $10,899 at December 31, 2011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10,896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35,702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19,772</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82"/>
              </w:rPr>
              <w:t>Other assets</w:t>
            </w:r>
          </w:p>
        </w:tc>
        <w:tc>
          <w:tcPr>
            <w:tcW w:w="8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8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8280" w:type="dxa"/>
            <w:vAlign w:val="bottom"/>
            <w:vMerge w:val="continue"/>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200,421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249,179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80" w:type="dxa"/>
            <w:vAlign w:val="bottom"/>
            <w:shd w:val="clear" w:color="auto" w:fill="CCEEFF"/>
          </w:tcPr>
          <w:p>
            <w:pPr>
              <w:ind w:left="17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43,168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54,030</w:t>
            </w:r>
          </w:p>
        </w:tc>
        <w:tc>
          <w:tcPr>
            <w:tcW w:w="0" w:type="dxa"/>
            <w:vAlign w:val="bottom"/>
          </w:tcPr>
          <w:p>
            <w:pPr>
              <w:spacing w:after="0"/>
              <w:rPr>
                <w:sz w:val="1"/>
                <w:szCs w:val="1"/>
                <w:color w:val="auto"/>
              </w:rPr>
            </w:pPr>
          </w:p>
        </w:tc>
      </w:tr>
      <w:tr>
        <w:trPr>
          <w:trHeight w:val="216"/>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25,375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25,044</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68,543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79,074</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3,866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72,409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83,154</w:t>
            </w:r>
          </w:p>
        </w:tc>
        <w:tc>
          <w:tcPr>
            <w:tcW w:w="0" w:type="dxa"/>
            <w:vAlign w:val="bottom"/>
          </w:tcPr>
          <w:p>
            <w:pPr>
              <w:spacing w:after="0"/>
              <w:rPr>
                <w:sz w:val="1"/>
                <w:szCs w:val="1"/>
                <w:color w:val="auto"/>
              </w:rPr>
            </w:pPr>
          </w:p>
        </w:tc>
      </w:tr>
      <w:tr>
        <w:trPr>
          <w:trHeight w:val="330"/>
        </w:trPr>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140" w:type="dxa"/>
            <w:vAlign w:val="bottom"/>
            <w:gridSpan w:val="2"/>
          </w:tcPr>
          <w:p>
            <w:pPr>
              <w:ind w:left="440"/>
              <w:spacing w:after="0"/>
              <w:rPr>
                <w:sz w:val="20"/>
                <w:szCs w:val="20"/>
                <w:color w:val="auto"/>
              </w:rPr>
            </w:pPr>
            <w:r>
              <w:rPr>
                <w:rFonts w:ascii="Arial" w:cs="Arial" w:eastAsia="Arial" w:hAnsi="Arial"/>
                <w:sz w:val="18"/>
                <w:szCs w:val="18"/>
                <w:color w:val="auto"/>
                <w:w w:val="88"/>
              </w:rPr>
              <w:t>Common stock, par value $0.001; 50,000 shares authorized, 32,950 and 32,262 shares issued and outstanding at June 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gridSpan w:val="2"/>
          </w:tcPr>
          <w:p>
            <w:pPr>
              <w:ind w:left="660"/>
              <w:spacing w:after="0"/>
              <w:rPr>
                <w:sz w:val="20"/>
                <w:szCs w:val="20"/>
                <w:color w:val="auto"/>
              </w:rPr>
            </w:pPr>
            <w:r>
              <w:rPr>
                <w:rFonts w:ascii="Arial" w:cs="Arial" w:eastAsia="Arial" w:hAnsi="Arial"/>
                <w:sz w:val="18"/>
                <w:szCs w:val="18"/>
                <w:color w:val="auto"/>
              </w:rPr>
              <w:t>2012 and December 31, 2011, respectively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434,203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429,813</w:t>
            </w:r>
          </w:p>
        </w:tc>
        <w:tc>
          <w:tcPr>
            <w:tcW w:w="0" w:type="dxa"/>
            <w:vAlign w:val="bottom"/>
          </w:tcPr>
          <w:p>
            <w:pPr>
              <w:spacing w:after="0"/>
              <w:rPr>
                <w:sz w:val="1"/>
                <w:szCs w:val="1"/>
                <w:color w:val="auto"/>
              </w:rPr>
            </w:pPr>
          </w:p>
        </w:tc>
      </w:tr>
      <w:tr>
        <w:trPr>
          <w:trHeight w:val="216"/>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(281,233)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(238,812)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153,012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191,025</w:t>
            </w:r>
          </w:p>
        </w:tc>
        <w:tc>
          <w:tcPr>
            <w:tcW w:w="0" w:type="dxa"/>
            <w:vAlign w:val="bottom"/>
          </w:tcPr>
          <w:p>
            <w:pPr>
              <w:spacing w:after="0"/>
              <w:rPr>
                <w:sz w:val="1"/>
                <w:szCs w:val="1"/>
                <w:color w:val="auto"/>
              </w:rPr>
            </w:pPr>
          </w:p>
        </w:tc>
      </w:tr>
      <w:tr>
        <w:trPr>
          <w:trHeight w:val="217"/>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2,436 common shares at June 30, 2012 and December 31, 2011, respectively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80" w:type="dxa"/>
            <w:vAlign w:val="bottom"/>
            <w:vMerge w:val="restart"/>
          </w:tcPr>
          <w:p>
            <w:pPr>
              <w:ind w:left="4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8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128,012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166,025</w:t>
            </w: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200,421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249,179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102,446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202,596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Cost of net revenues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158,357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147,629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32,176</w:t>
            </w:r>
          </w:p>
        </w:tc>
        <w:tc>
          <w:tcPr>
            <w:tcW w:w="0" w:type="dxa"/>
            <w:vAlign w:val="bottom"/>
          </w:tcPr>
          <w:p>
            <w:pPr>
              <w:spacing w:after="0"/>
              <w:rPr>
                <w:sz w:val="1"/>
                <w:szCs w:val="1"/>
                <w:color w:val="auto"/>
              </w:rPr>
            </w:pPr>
          </w:p>
        </w:tc>
      </w:tr>
      <w:tr>
        <w:trPr>
          <w:trHeight w:val="330"/>
        </w:trPr>
        <w:tc>
          <w:tcPr>
            <w:tcW w:w="76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14,988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Goodwill and intangible assets impairment losses</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27,696</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(42,272)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(42,252)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(42,421)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(25,986)</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computation of basic and diluted 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32,674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32,048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(42,404)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640" w:type="dxa"/>
            <w:vAlign w:val="bottom"/>
            <w:gridSpan w:val="4"/>
          </w:tcPr>
          <w:p>
            <w:pPr>
              <w:jc w:val="center"/>
              <w:ind w:left="2672"/>
              <w:spacing w:after="0"/>
              <w:rPr>
                <w:sz w:val="20"/>
                <w:szCs w:val="20"/>
                <w:color w:val="auto"/>
              </w:rPr>
            </w:pPr>
            <w:r>
              <w:rPr>
                <w:rFonts w:ascii="Arial" w:cs="Arial" w:eastAsia="Arial" w:hAnsi="Arial"/>
                <w:sz w:val="18"/>
                <w:szCs w:val="18"/>
                <w:color w:val="auto"/>
                <w:w w:val="87"/>
              </w:rPr>
              <w:t>See accompanying notes to unaudited consolidated financial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60" w:type="dxa"/>
            <w:vAlign w:val="bottom"/>
            <w:gridSpan w:val="2"/>
          </w:tcPr>
          <w:p>
            <w:pPr>
              <w:jc w:val="right"/>
              <w:ind w:right="181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(42,421)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Loss on sale/disposal of fixed asset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Loss on goodwill and intangible assets impairment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29,337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Net impairment loss on marketable securities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 (benefit)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(11,271)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(10,869)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(23,454)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(17,530)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 maturities/sales</w:t>
            </w:r>
          </w:p>
        </w:tc>
        <w:tc>
          <w:tcPr>
            <w:tcW w:w="1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12,059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(9,059)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 and ESPP net of taxes paid on vested restricted stock units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(31,872)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14,638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47,069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15,197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Marketable equity securities received in settlement of note receivable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June 30, 2012 and the results of the Company’s operations for the three and six months ended June 30, 2012 and 2011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2011. The accounting policies used in preparing these condensed consolidated financial statements are the same as those described in the Company’s Form 10-K with the exception of new accounting pronouncements adopted in 2012.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particularly those related to the condition of the economy, actual results could differ significantly from these estimates.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September 2011, the Financial Accounting Standards Board (FASB) issued Accounting Standards Update (ASU) No. 2011-08 </w:t>
      </w:r>
      <w:r>
        <w:rPr>
          <w:rFonts w:ascii="Arial" w:cs="Arial" w:eastAsia="Arial" w:hAnsi="Arial"/>
          <w:sz w:val="16"/>
          <w:szCs w:val="16"/>
          <w:i w:val="1"/>
          <w:iCs w:val="1"/>
          <w:color w:val="auto"/>
        </w:rPr>
        <w:t>“Intangibles-Goodwill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(Topic 350) — Testing Goodwill for Impairment.” </w:t>
      </w:r>
      <w:r>
        <w:rPr>
          <w:rFonts w:ascii="Arial" w:cs="Arial" w:eastAsia="Arial" w:hAnsi="Arial"/>
          <w:sz w:val="16"/>
          <w:szCs w:val="16"/>
          <w:color w:val="auto"/>
        </w:rPr>
        <w:t>ASU 2011-08 amends the previous guidance under Topic 350 which required an entity to test</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for impairment, on at least an annual basis, by performing the two-step goodwill impairment test described in Topic 350. The amendments in ASU 2011-08 permit an entity to first assess qualitative factors to determine whether it is more likely than not that the fair value of a reporting unit is less than its carrying amount as a basis for determining whether it is necessary to perform the two-step goodwill impairment test. The more likely than not threshold is defined as having likelihood of more than 50 percent. ASU 2011-08 is effective for annual and interim goodwill impairment tests performed for fiscal years beginning after December 15, 2011. The Company has adopted ASU 2011-08 for our financial statement results beginning January 1, 2012 and there was no material impact on the consolidated financial statements upon adoption.</w:t>
      </w:r>
    </w:p>
    <w:p>
      <w:pPr>
        <w:spacing w:after="0" w:line="32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(Topic 220) — Presentation of Comprehensive Income.”</w:t>
      </w:r>
      <w:r>
        <w:rPr>
          <w:rFonts w:ascii="Arial" w:cs="Arial" w:eastAsia="Arial" w:hAnsi="Arial"/>
          <w:sz w:val="18"/>
          <w:szCs w:val="18"/>
          <w:color w:val="auto"/>
        </w:rPr>
        <w:t xml:space="preserve"> ASU 2011-05 requires that all non-owner changes in stockholders’ equity be presented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ASU 2011-05 is effective retrospectively for fiscal years, and interim periods within those years, beginning after December 15, 2011. The Company has adopted ASU 2011-05 and for the 2012 interim periods we elected to present comprehensive income (loss) along with our condensed consolidated statements of operations in a single continuous statement.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2012</w:t>
            </w: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Maturity in</w:t>
            </w:r>
          </w:p>
        </w:tc>
        <w:tc>
          <w:tcPr>
            <w:tcW w:w="3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Amortized</w:t>
            </w:r>
          </w:p>
        </w:tc>
        <w:tc>
          <w:tcPr>
            <w:tcW w:w="4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Unrealized</w:t>
            </w:r>
          </w:p>
        </w:tc>
        <w:tc>
          <w:tcPr>
            <w:tcW w:w="42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5"/>
        </w:trPr>
        <w:tc>
          <w:tcPr>
            <w:tcW w:w="65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3"/>
              </w:rPr>
              <w:t>Years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4"/>
              <w:spacing w:after="0" w:line="148" w:lineRule="exact"/>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78"/>
              </w:rPr>
              <w:t>Losses</w:t>
            </w:r>
          </w:p>
        </w:tc>
        <w:tc>
          <w:tcPr>
            <w:tcW w:w="160" w:type="dxa"/>
            <w:vAlign w:val="bottom"/>
          </w:tcPr>
          <w:p>
            <w:pPr>
              <w:spacing w:after="0"/>
              <w:rPr>
                <w:sz w:val="13"/>
                <w:szCs w:val="13"/>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8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1 or less</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2,181</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5"/>
              </w:rPr>
              <w:t>1 or less</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11,730</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8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1 or less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5,040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5"/>
              </w:rPr>
              <w:t>1 or less</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17,447</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short-term marketable securities</w:t>
            </w: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7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36,398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8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Muncipal bonds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to 2</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80" w:type="dxa"/>
            <w:vAlign w:val="bottom"/>
          </w:tcPr>
          <w:p>
            <w:pPr>
              <w:spacing w:after="0"/>
              <w:rPr>
                <w:sz w:val="19"/>
                <w:szCs w:val="1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marketable securities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10,804</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$ 47,202</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$ 47,211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Maturity in</w:t>
            </w:r>
          </w:p>
        </w:tc>
        <w:tc>
          <w:tcPr>
            <w:tcW w:w="3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Amortized</w:t>
            </w:r>
          </w:p>
        </w:tc>
        <w:tc>
          <w:tcPr>
            <w:tcW w:w="4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Unrealized</w:t>
            </w:r>
          </w:p>
        </w:tc>
        <w:tc>
          <w:tcPr>
            <w:tcW w:w="42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Unrealized</w:t>
            </w:r>
          </w:p>
        </w:tc>
        <w:tc>
          <w:tcPr>
            <w:tcW w:w="1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5"/>
        </w:trPr>
        <w:tc>
          <w:tcPr>
            <w:tcW w:w="65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Years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w w:val="96"/>
              </w:rPr>
              <w:t>Cost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78"/>
              </w:rPr>
              <w:t>Losses</w:t>
            </w:r>
          </w:p>
        </w:tc>
        <w:tc>
          <w:tcPr>
            <w:tcW w:w="160" w:type="dxa"/>
            <w:vAlign w:val="bottom"/>
          </w:tcPr>
          <w:p>
            <w:pPr>
              <w:spacing w:after="0"/>
              <w:rPr>
                <w:sz w:val="13"/>
                <w:szCs w:val="13"/>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8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5"/>
              </w:rPr>
              <w:t>1 or less</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6,913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 or less</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8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5"/>
              </w:rPr>
              <w:t>1 or less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4,319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debentures/bonds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 or less</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Marketable equity securities</w:t>
            </w:r>
          </w:p>
        </w:tc>
        <w:tc>
          <w:tcPr>
            <w:tcW w:w="80" w:type="dxa"/>
            <w:vAlign w:val="bottom"/>
          </w:tcPr>
          <w:p>
            <w:pPr>
              <w:spacing w:after="0"/>
              <w:rPr>
                <w:sz w:val="19"/>
                <w:szCs w:val="19"/>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5"/>
              </w:rPr>
              <w:t>1 or less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28,275</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80" w:type="dxa"/>
            <w:vAlign w:val="bottom"/>
            <w:gridSpan w:val="4"/>
          </w:tcPr>
          <w:p>
            <w:pPr>
              <w:spacing w:after="0"/>
              <w:rPr>
                <w:sz w:val="20"/>
                <w:szCs w:val="20"/>
                <w:color w:val="auto"/>
              </w:rPr>
            </w:pPr>
            <w:r>
              <w:rPr>
                <w:rFonts w:ascii="Arial" w:cs="Arial" w:eastAsia="Arial" w:hAnsi="Arial"/>
                <w:sz w:val="18"/>
                <w:szCs w:val="18"/>
                <w:color w:val="auto"/>
              </w:rPr>
              <w:t>Available-for-sale:</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 to 2</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Municipal bonds</w:t>
            </w:r>
          </w:p>
        </w:tc>
        <w:tc>
          <w:tcPr>
            <w:tcW w:w="8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8"/>
              </w:rPr>
              <w:t>1 to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5,967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 to 2</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4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 long-term marketable securities</w:t>
            </w: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13,498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$ 41,773</w:t>
            </w:r>
          </w:p>
        </w:tc>
        <w:tc>
          <w:tcPr>
            <w:tcW w:w="520" w:type="dxa"/>
            <w:vAlign w:val="bottom"/>
            <w:tcBorders>
              <w:left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condensed consolidated balance sheet at fair market value with the related unrealized gains and losses included in accumulated other comprehensive income (loss) on the condensed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2012, the Company recorded a net unrealized gain of $9,000. The Company’s net unrealized gain is the result of market conditions affecting its fixed-income, debt and equity securities, which are included in accumulated other comprehensive income (loss) in the condensed consolidated balance sheet for the period then ended.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09"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7"/>
          </w:tcPr>
          <w:p>
            <w:pPr>
              <w:ind w:left="440"/>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83"/>
              </w:rPr>
              <w:t>2012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$32,751</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6,814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7,068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39,565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42,279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4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7"/>
          </w:tcPr>
          <w:p>
            <w:pPr>
              <w:ind w:left="440"/>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83"/>
              </w:rPr>
              <w:t>2012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$ 5,716</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6,979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1,787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25,375</w:t>
            </w:r>
          </w:p>
        </w:tc>
        <w:tc>
          <w:tcPr>
            <w:tcW w:w="140" w:type="dxa"/>
            <w:vAlign w:val="bottom"/>
          </w:tcPr>
          <w:p>
            <w:pPr>
              <w:spacing w:after="0"/>
              <w:rPr>
                <w:sz w:val="19"/>
                <w:szCs w:val="19"/>
                <w:color w:val="auto"/>
              </w:rPr>
            </w:pP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25,044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40" w:type="dxa"/>
            <w:vAlign w:val="bottom"/>
            <w:gridSpan w:val="2"/>
          </w:tcPr>
          <w:p>
            <w:pPr>
              <w:spacing w:after="0"/>
              <w:rPr>
                <w:sz w:val="20"/>
                <w:szCs w:val="20"/>
                <w:color w:val="auto"/>
              </w:rPr>
            </w:pPr>
            <w:r>
              <w:rPr>
                <w:rFonts w:ascii="Arial" w:cs="Arial" w:eastAsia="Arial" w:hAnsi="Arial"/>
                <w:sz w:val="18"/>
                <w:szCs w:val="18"/>
                <w:color w:val="auto"/>
                <w:w w:val="96"/>
              </w:rPr>
              <w:t>Accrued warranty obligations consist of the following (in thousands):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w w:val="99"/>
              </w:rPr>
              <w:t>Three Months Ended</w:t>
            </w:r>
          </w:p>
        </w:tc>
        <w:tc>
          <w:tcPr>
            <w:tcW w:w="122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Six Months Ended</w:t>
            </w:r>
          </w:p>
        </w:tc>
        <w:tc>
          <w:tcPr>
            <w:tcW w:w="4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92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Additions charged to operations</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2,730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(909)</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1,709</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2,674</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net revenues in the condensed consolidated statements of operations and comprehensive income (loss) at the time revenue is recognized. In estimating our future warranty obligations, we consider various relevant factors, including the historical frequency and volume of claims, and the cost to replace or repair products under warranty.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June 30, 2012</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December 31, 2011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Impairment</w:t>
            </w:r>
          </w:p>
        </w:tc>
        <w:tc>
          <w:tcPr>
            <w:tcW w:w="80" w:type="dxa"/>
            <w:vAlign w:val="bottom"/>
          </w:tcPr>
          <w:p>
            <w:pPr>
              <w:spacing w:after="0"/>
              <w:rPr>
                <w:sz w:val="14"/>
                <w:szCs w:val="14"/>
                <w:color w:val="auto"/>
              </w:rPr>
            </w:pPr>
          </w:p>
        </w:tc>
        <w:tc>
          <w:tcPr>
            <w:tcW w:w="500" w:type="dxa"/>
            <w:vAlign w:val="bottom"/>
          </w:tcPr>
          <w:p>
            <w:pPr>
              <w:jc w:val="right"/>
              <w:ind w:right="116"/>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(15,477)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Trade name</w:t>
            </w: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(1,862)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(5,693)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5,245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00" w:type="dxa"/>
            <w:vAlign w:val="bottom"/>
            <w:gridSpan w:val="2"/>
          </w:tcPr>
          <w:p>
            <w:pPr>
              <w:spacing w:after="0"/>
              <w:rPr>
                <w:sz w:val="20"/>
                <w:szCs w:val="20"/>
                <w:color w:val="auto"/>
              </w:rPr>
            </w:pPr>
            <w:r>
              <w:rPr>
                <w:rFonts w:ascii="Arial" w:cs="Arial" w:eastAsia="Arial" w:hAnsi="Arial"/>
                <w:sz w:val="18"/>
                <w:szCs w:val="18"/>
                <w:color w:val="auto"/>
              </w:rPr>
              <w:t>Total amortizable purchased intangible assets</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1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(9,073)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(22,790)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10,657</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(7,159)</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35,361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2"/>
                <w:szCs w:val="12"/>
                <w:color w:val="auto"/>
              </w:rPr>
            </w:pPr>
          </w:p>
        </w:tc>
        <w:tc>
          <w:tcPr>
            <w:tcW w:w="50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1,120</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$1,250</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1,647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quarter ended March 31, 2012, the Company recorded an impairment loss of $22.8 million related to a decrease in the estimated fair values of the purchased intangible assets fair values. See Note 4.</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existing purchased intangible assets that is currently estimated to be expensed in the remainder of 2012 and thereafter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w:t>
            </w:r>
          </w:p>
        </w:tc>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2012 (remaining 6 months)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2017</w:t>
            </w: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18"/>
                <w:szCs w:val="18"/>
                <w:color w:val="auto"/>
              </w:rPr>
            </w:pPr>
          </w:p>
        </w:tc>
      </w:tr>
      <w:tr>
        <w:trPr>
          <w:trHeight w:val="330"/>
        </w:trPr>
        <w:tc>
          <w:tcPr>
            <w:tcW w:w="7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10,657</w:t>
            </w:r>
          </w:p>
        </w:tc>
        <w:tc>
          <w:tcPr>
            <w:tcW w:w="1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Additionally, at June 30, 2012 and December 31, 2011, the Company had $239,000 and $341,000, respectively, of acquired software licenses, net of accumulated amortization of $2.0 million and $3.7 million, respectively. The acquired software licenses represent rights to use certain software necessary for commercial sale of the Company’s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for the six month periods ended June 30, 2012 and 2011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M2M Products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4"/>
              </w:rPr>
              <w:t>Solutions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left="162"/>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w:t>
            </w:r>
          </w:p>
        </w:tc>
        <w:tc>
          <w:tcPr>
            <w:tcW w:w="3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$19,772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$22,258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Goodwill impairment during the period</w:t>
            </w:r>
          </w:p>
        </w:tc>
        <w:tc>
          <w:tcPr>
            <w:tcW w:w="33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(6,547)</w:t>
            </w:r>
          </w:p>
        </w:tc>
        <w:tc>
          <w:tcPr>
            <w:tcW w:w="2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13,225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16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380" w:type="dxa"/>
            <w:vAlign w:val="bottom"/>
            <w:vMerge w:val="restart"/>
          </w:tcPr>
          <w:p>
            <w:pPr>
              <w:jc w:val="right"/>
              <w:ind w:right="2432"/>
              <w:spacing w:after="0"/>
              <w:rPr>
                <w:sz w:val="20"/>
                <w:szCs w:val="20"/>
                <w:color w:val="auto"/>
              </w:rPr>
            </w:pPr>
            <w:r>
              <w:rPr>
                <w:rFonts w:ascii="Arial" w:cs="Arial" w:eastAsia="Arial" w:hAnsi="Arial"/>
                <w:sz w:val="18"/>
                <w:szCs w:val="18"/>
                <w:color w:val="auto"/>
              </w:rPr>
              <w:t>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ind w:right="2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first quarter of 2012, based on actual operating results, and reductions in management’s estimates of forecasted operating results of the M2M Products and Solutions reporting unit principally due to an updated view of competitive pressures impacting average selling prices, customer product and technology selections, and the loss of certain customers, the Company determined there were sufficient indicators of impairment present to require an interim impairment analysis.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Based upon fair value tests performed with the assistance of a third party independent appraisal, the Company recorded a preliminary pre-tax goodwill impairment charge of approximately $6.5 million and a preliminary purchased intangible asset charge of approximately $22.8 million during the first quarter of 2012. During the second quarter of 2012, the Company finalized its review of these impairments analyses, which resulted in no adjustments to the pre-tax impairment losses recognized in the first quarter of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financial instruments consist principally of cash and cash equivalents, short-term and long-term marketable securities, and short-term and long-term debt securities. The Company’s cash and cash equivalents consist of its investment in money market securities and treasury bills. The Company’s marketable securities consist primarily of government agency securities, municipal bonds, time deposits and investment-grade corporate bonds. From time to time, the Company may utilize foreign exchange forward contracts. These contracts are valued using pricing models that take into account the currency rates as of the balance sheet date (Level 2 of the fair value hierarchy).</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Assets and liabilities measured at fair value are categorized based on whether or not the inputs are observable in the market and the degree to which the inputs are observable.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fair value of the majority of our cash and cash equivalents and marketable equity securities were determined based on Level 1 inputs. The fair value of our marketable debt securities was determined based on Level 2 inputs. We do not have any securities in the Level 3 category. The Company reviews the fair value hierarchy classification on a quarterly basis. Changes in the observability of valuation inputs may result in a reclassification of levels for certain securities within the fair value hierarchy.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right="4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June 30, 2012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2012</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Level 1</w:t>
            </w:r>
          </w:p>
        </w:tc>
        <w:tc>
          <w:tcPr>
            <w:tcW w:w="52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95"/>
        </w:trPr>
        <w:tc>
          <w:tcPr>
            <w:tcW w:w="700" w:type="dxa"/>
            <w:vAlign w:val="bottom"/>
            <w:tcBorders>
              <w:top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5,645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284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60" w:type="dxa"/>
            <w:vAlign w:val="bottom"/>
            <w:gridSpan w:val="2"/>
          </w:tcPr>
          <w:p>
            <w:pPr>
              <w:spacing w:after="0"/>
              <w:rPr>
                <w:sz w:val="20"/>
                <w:szCs w:val="20"/>
                <w:color w:val="auto"/>
              </w:rPr>
            </w:pPr>
            <w:r>
              <w:rPr>
                <w:rFonts w:ascii="Arial" w:cs="Arial" w:eastAsia="Arial" w:hAnsi="Arial"/>
                <w:sz w:val="18"/>
                <w:szCs w:val="18"/>
                <w:color w:val="auto"/>
              </w:rPr>
              <w:t>Short-term marketable securities:</w:t>
            </w: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Government agency securities</w:t>
            </w: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2,180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11,732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5,041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 / bonds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Total short-term marketable securities</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36,391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440"/>
              <w:spacing w:after="0"/>
              <w:rPr>
                <w:sz w:val="20"/>
                <w:szCs w:val="20"/>
                <w:color w:val="auto"/>
              </w:rPr>
            </w:pPr>
            <w:r>
              <w:rPr>
                <w:rFonts w:ascii="Arial" w:cs="Arial" w:eastAsia="Arial" w:hAnsi="Arial"/>
                <w:sz w:val="18"/>
                <w:szCs w:val="18"/>
                <w:color w:val="auto"/>
              </w:rPr>
              <w:t>Available-for-sale: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agency securities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4,716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2,366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Total long-term marketable securities</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10,820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53,140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transfers between Level 1 and Level 2 securities during the six months ended June 30, 2012. All of our long-term marketable debt securities had maturities of between one and two years in duration at June 30,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1" w:name="page12"/>
    <w:bookmarkEnd w:id="11"/>
    <w:p>
      <w:pPr>
        <w:ind w:right="4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December 31, 2011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3"/>
                <w:szCs w:val="13"/>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3"/>
                <w:szCs w:val="13"/>
                <w:color w:val="auto"/>
              </w:rPr>
            </w:pPr>
          </w:p>
        </w:tc>
        <w:tc>
          <w:tcPr>
            <w:tcW w:w="680" w:type="dxa"/>
            <w:vAlign w:val="bottom"/>
            <w:gridSpan w:val="3"/>
          </w:tcPr>
          <w:p>
            <w:pPr>
              <w:jc w:val="right"/>
              <w:ind w:right="180"/>
              <w:spacing w:after="0" w:line="14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95"/>
        </w:trPr>
        <w:tc>
          <w:tcPr>
            <w:tcW w:w="700" w:type="dxa"/>
            <w:vAlign w:val="bottom"/>
            <w:tcBorders>
              <w:top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25,137</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78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30,921</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780" w:type="dxa"/>
            <w:vAlign w:val="bottom"/>
          </w:tcPr>
          <w:p>
            <w:pPr>
              <w:ind w:left="180"/>
              <w:spacing w:after="0"/>
              <w:rPr>
                <w:sz w:val="20"/>
                <w:szCs w:val="20"/>
                <w:color w:val="auto"/>
              </w:rPr>
            </w:pPr>
            <w:r>
              <w:rPr>
                <w:rFonts w:ascii="Arial" w:cs="Arial" w:eastAsia="Arial" w:hAnsi="Arial"/>
                <w:sz w:val="18"/>
                <w:szCs w:val="18"/>
                <w:color w:val="auto"/>
              </w:rPr>
              <w:t>Government agency securities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6,912</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78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4,321</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 / bonds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780" w:type="dxa"/>
            <w:vAlign w:val="bottom"/>
          </w:tcPr>
          <w:p>
            <w:pPr>
              <w:ind w:left="180"/>
              <w:spacing w:after="0"/>
              <w:rPr>
                <w:sz w:val="20"/>
                <w:szCs w:val="20"/>
                <w:color w:val="auto"/>
              </w:rPr>
            </w:pPr>
            <w:r>
              <w:rPr>
                <w:rFonts w:ascii="Arial" w:cs="Arial" w:eastAsia="Arial" w:hAnsi="Arial"/>
                <w:sz w:val="18"/>
                <w:szCs w:val="18"/>
                <w:color w:val="auto"/>
              </w:rPr>
              <w:t>Marketable equity securities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5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780" w:type="dxa"/>
            <w:vAlign w:val="bottom"/>
          </w:tcPr>
          <w:p>
            <w:pPr>
              <w:ind w:left="180"/>
              <w:spacing w:after="0"/>
              <w:rPr>
                <w:sz w:val="20"/>
                <w:szCs w:val="20"/>
                <w:color w:val="auto"/>
              </w:rPr>
            </w:pPr>
            <w:r>
              <w:rPr>
                <w:rFonts w:ascii="Arial" w:cs="Arial" w:eastAsia="Arial" w:hAnsi="Arial"/>
                <w:sz w:val="18"/>
                <w:szCs w:val="18"/>
                <w:color w:val="auto"/>
              </w:rPr>
              <w:t>Government agency securities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3,738</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78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48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72,683</w:t>
            </w: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25,175</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47,508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included the following amounts for share-based compensation awards in the accompanying unaudited condensed consolidated statements of operations and comprehensive income (loss) for the three and six months ended June 30, 2012 and 2011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2,486</w:t>
            </w:r>
          </w:p>
        </w:tc>
        <w:tc>
          <w:tcPr>
            <w:tcW w:w="100" w:type="dxa"/>
            <w:vAlign w:val="bottom"/>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48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senior management for making decisions and assessing performance as the source of the Company’s reportable segments.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right="8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Computing Products segment—includes our MiFi products, USB and PC-card modems and Embedded Modules that enable data transmission and services via cellular wireless networks.</w:t>
      </w:r>
    </w:p>
    <w:p>
      <w:pPr>
        <w:spacing w:after="0" w:line="50"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M2M Products and Solutions segment was established as a result of our acquisition of Enfora in 2010. It includes our intelligent asset-management solutions utilizing cellular wireless technology, and M2M communication devices, and embedded modules that enable M2M data transmission and services via cellular wireless networks.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2" w:name="page13"/>
    <w:bookmarkEnd w:id="12"/>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revenues and segment operating income (loss) represent the primary financial measures used by senior management to assess performance and include the net revenues, cost of net revenues, sales and other operating expenses for which management is held accountable. Segment expenses include sales and marketing, research and development, administration, and amortization expenses that are directly related to individual segments. Segment earnings (loss) also includes acquisition-related costs, purchase price amortization, restructuring, impairment and integration costs. The table below presents net revenues from external customers, operating income (loss) and identifiable assets for our reportable segments (in thousands):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7"/>
              </w:rPr>
              <w:t>Three Months Ended 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Net revenues by operating segment:</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Mobile Computing Products</w:t>
            </w:r>
          </w:p>
        </w:tc>
        <w:tc>
          <w:tcPr>
            <w:tcW w:w="1460" w:type="dxa"/>
            <w:vAlign w:val="bottom"/>
            <w:tcBorders>
              <w:top w:val="single" w:sz="8" w:color="CCEEFF"/>
            </w:tcBorders>
            <w:gridSpan w:val="2"/>
          </w:tcPr>
          <w:p>
            <w:pPr>
              <w:spacing w:after="0"/>
              <w:rPr>
                <w:sz w:val="18"/>
                <w:szCs w:val="18"/>
                <w:color w:val="auto"/>
              </w:rPr>
            </w:pPr>
          </w:p>
        </w:tc>
        <w:tc>
          <w:tcPr>
            <w:tcW w:w="21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92,552</w:t>
            </w: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5"/>
              </w:rPr>
              <w:t>105,781</w:t>
            </w: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$ 183,431</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$ 155,577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gridSpan w:val="5"/>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102,446</w:t>
            </w:r>
          </w:p>
        </w:tc>
        <w:tc>
          <w:tcPr>
            <w:tcW w:w="4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118,021</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$ 202,596</w:t>
            </w:r>
          </w:p>
        </w:tc>
        <w:tc>
          <w:tcPr>
            <w:tcW w:w="18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$ 179,805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Operating income (loss) :</w:t>
            </w:r>
          </w:p>
        </w:tc>
        <w:tc>
          <w:tcPr>
            <w:tcW w:w="2240" w:type="dxa"/>
            <w:vAlign w:val="bottom"/>
            <w:tcBorders>
              <w:bottom w:val="single" w:sz="8" w:color="CCEEFF"/>
            </w:tcBorders>
            <w:gridSpan w:val="3"/>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1120" w:type="dxa"/>
            <w:vAlign w:val="bottom"/>
            <w:gridSpan w:val="5"/>
          </w:tcPr>
          <w:p>
            <w:pPr>
              <w:jc w:val="right"/>
              <w:ind w:right="120"/>
              <w:spacing w:after="0"/>
              <w:rPr>
                <w:sz w:val="20"/>
                <w:szCs w:val="20"/>
                <w:color w:val="auto"/>
              </w:rPr>
            </w:pPr>
            <w:r>
              <w:rPr>
                <w:rFonts w:ascii="Arial" w:cs="Arial" w:eastAsia="Arial" w:hAnsi="Arial"/>
                <w:sz w:val="18"/>
                <w:szCs w:val="18"/>
                <w:color w:val="auto"/>
              </w:rPr>
              <w:t>$  (4,188)</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w:t>
            </w: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(38,084)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(9,501)</w:t>
            </w:r>
          </w:p>
        </w:tc>
        <w:tc>
          <w:tcPr>
            <w:tcW w:w="0" w:type="dxa"/>
            <w:vAlign w:val="bottom"/>
          </w:tcPr>
          <w:p>
            <w:pPr>
              <w:spacing w:after="0"/>
              <w:rPr>
                <w:sz w:val="1"/>
                <w:szCs w:val="1"/>
                <w:color w:val="auto"/>
              </w:rPr>
            </w:pPr>
          </w:p>
        </w:tc>
      </w:tr>
      <w:tr>
        <w:trPr>
          <w:trHeight w:val="20"/>
        </w:trPr>
        <w:tc>
          <w:tcPr>
            <w:tcW w:w="414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gridSpan w:val="5"/>
            <w:vMerge w:val="continue"/>
          </w:tcPr>
          <w:p>
            <w:pPr>
              <w:spacing w:after="0"/>
              <w:rPr>
                <w:sz w:val="19"/>
                <w:szCs w:val="19"/>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(4,445)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(3,101)</w:t>
            </w:r>
          </w:p>
        </w:tc>
        <w:tc>
          <w:tcPr>
            <w:tcW w:w="1120" w:type="dxa"/>
            <w:vAlign w:val="bottom"/>
            <w:gridSpan w:val="5"/>
          </w:tcPr>
          <w:p>
            <w:pPr>
              <w:jc w:val="right"/>
              <w:ind w:right="120"/>
              <w:spacing w:after="0"/>
              <w:rPr>
                <w:sz w:val="20"/>
                <w:szCs w:val="20"/>
                <w:color w:val="auto"/>
              </w:rPr>
            </w:pPr>
            <w:r>
              <w:rPr>
                <w:rFonts w:ascii="Arial" w:cs="Arial" w:eastAsia="Arial" w:hAnsi="Arial"/>
                <w:sz w:val="18"/>
                <w:szCs w:val="18"/>
                <w:color w:val="auto"/>
              </w:rPr>
              <w:t>$ (42,272)</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126"/>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 by reportable segment:</w:t>
            </w:r>
          </w:p>
        </w:tc>
        <w:tc>
          <w:tcPr>
            <w:tcW w:w="20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102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4"/>
          </w:tcPr>
          <w:p>
            <w:pPr>
              <w:jc w:val="right"/>
              <w:ind w:right="180"/>
              <w:spacing w:after="0"/>
              <w:rPr>
                <w:sz w:val="20"/>
                <w:szCs w:val="20"/>
                <w:color w:val="auto"/>
              </w:rPr>
            </w:pPr>
            <w:r>
              <w:rPr>
                <w:rFonts w:ascii="Arial" w:cs="Arial" w:eastAsia="Arial" w:hAnsi="Arial"/>
                <w:sz w:val="18"/>
                <w:szCs w:val="18"/>
                <w:color w:val="auto"/>
                <w:w w:val="98"/>
              </w:rPr>
              <w:t>$160,784</w:t>
            </w: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181,180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40" w:type="dxa"/>
            <w:vAlign w:val="bottom"/>
            <w:gridSpan w:val="5"/>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200,421</w:t>
            </w:r>
          </w:p>
        </w:tc>
        <w:tc>
          <w:tcPr>
            <w:tcW w:w="180" w:type="dxa"/>
            <w:vAlign w:val="bottom"/>
          </w:tcPr>
          <w:p>
            <w:pPr>
              <w:spacing w:after="0"/>
              <w:rPr>
                <w:sz w:val="19"/>
                <w:szCs w:val="19"/>
                <w:color w:val="auto"/>
              </w:rPr>
            </w:pPr>
          </w:p>
        </w:tc>
        <w:tc>
          <w:tcPr>
            <w:tcW w:w="3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249,179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vMerge w:val="restart"/>
          </w:tcPr>
          <w:p>
            <w:pPr>
              <w:jc w:val="right"/>
              <w:ind w:right="75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3" w:name="page14"/>
    <w:bookmarkEnd w:id="13"/>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operations in the United States, Canada, Europe, Latin America and Asia. The following table details the geographic concentration of the Company’s assets in the United States, Canada, Europe, Latin America and Asia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0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4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$194,200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243,030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92"/>
              <w:spacing w:after="0"/>
              <w:rPr>
                <w:sz w:val="20"/>
                <w:szCs w:val="20"/>
                <w:color w:val="auto"/>
              </w:rPr>
            </w:pPr>
            <w:r>
              <w:rPr>
                <w:rFonts w:ascii="Arial" w:cs="Arial" w:eastAsia="Arial" w:hAnsi="Arial"/>
                <w:sz w:val="18"/>
                <w:szCs w:val="18"/>
                <w:color w:val="auto"/>
              </w:rPr>
              <w:t>4,717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Europe, Latin America and Asia</w:t>
            </w:r>
          </w:p>
        </w:tc>
        <w:tc>
          <w:tcPr>
            <w:tcW w:w="4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1,504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gridSpan w:val="5"/>
          </w:tcPr>
          <w:p>
            <w:pPr>
              <w:jc w:val="right"/>
              <w:ind w:right="1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200,421</w:t>
            </w:r>
          </w:p>
        </w:tc>
        <w:tc>
          <w:tcPr>
            <w:tcW w:w="20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249,179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w w:val="89"/>
              </w:rPr>
              <w:t>The following table details the concentration of the Company’s net revenues by geographic region:</w:t>
            </w: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20" w:type="dxa"/>
            <w:vAlign w:val="bottom"/>
          </w:tcPr>
          <w:p>
            <w:pPr>
              <w:spacing w:after="0"/>
              <w:rPr>
                <w:sz w:val="24"/>
                <w:szCs w:val="24"/>
                <w:color w:val="auto"/>
              </w:rPr>
            </w:pPr>
          </w:p>
        </w:tc>
        <w:tc>
          <w:tcPr>
            <w:tcW w:w="1580" w:type="dxa"/>
            <w:vAlign w:val="bottom"/>
            <w:gridSpan w:val="4"/>
          </w:tcPr>
          <w:p>
            <w:pPr>
              <w:jc w:val="right"/>
              <w:ind w:right="202"/>
              <w:spacing w:after="0"/>
              <w:rPr>
                <w:sz w:val="20"/>
                <w:szCs w:val="20"/>
                <w:color w:val="auto"/>
              </w:rPr>
            </w:pPr>
            <w:r>
              <w:rPr>
                <w:rFonts w:ascii="Arial" w:cs="Arial" w:eastAsia="Arial" w:hAnsi="Arial"/>
                <w:sz w:val="14"/>
                <w:szCs w:val="14"/>
                <w:b w:val="1"/>
                <w:bCs w:val="1"/>
                <w:color w:val="auto"/>
                <w:w w:val="92"/>
              </w:rPr>
              <w:t>Three months ended</w:t>
            </w:r>
          </w:p>
        </w:tc>
        <w:tc>
          <w:tcPr>
            <w:tcW w:w="300" w:type="dxa"/>
            <w:vAlign w:val="bottom"/>
          </w:tcPr>
          <w:p>
            <w:pPr>
              <w:spacing w:after="0"/>
              <w:rPr>
                <w:sz w:val="24"/>
                <w:szCs w:val="24"/>
                <w:color w:val="auto"/>
              </w:rPr>
            </w:pPr>
          </w:p>
        </w:tc>
        <w:tc>
          <w:tcPr>
            <w:tcW w:w="160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and Canada</w:t>
            </w:r>
          </w:p>
        </w:tc>
        <w:tc>
          <w:tcPr>
            <w:tcW w:w="98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92.7%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Latin America</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60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spacing w:after="0"/>
              <w:rPr>
                <w:sz w:val="20"/>
                <w:szCs w:val="20"/>
                <w:color w:val="auto"/>
              </w:rPr>
            </w:pPr>
            <w:r>
              <w:rPr>
                <w:rFonts w:ascii="Arial" w:cs="Arial" w:eastAsia="Arial" w:hAnsi="Arial"/>
                <w:sz w:val="18"/>
                <w:szCs w:val="18"/>
                <w:color w:val="auto"/>
              </w:rPr>
              <w:t>Asia and Australia</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4"/>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cellular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significant portion of the Company’s net revenues are derived from a small number of customers. For the three months ended June 30, 2012, sales to our three largest customers accounted for 63%, 9%, and 5% of net revenues. In the same period in 2011, sales to our three largest customers accounted for 47%, 19%, and 12% of net revenues. For the six months ended June 30, 2012, sales to our three largest customers accounted for 60%, 11%, and 6% of net revenues. In the same period in 2011, sales to our three largest customers accounted for 43%, 20%, and 12% of net revenues. The Company outsources its manufacturing to four third-party contract manufacturers. If one or more of these manufacturers were to experience delays, disruptions, capacity constraints or quality control problems in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jc w:val="both"/>
        <w:ind w:right="4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three and six months ended June 30, 2012, basic and diluted weighted-average common shares outstanding were 32,674,404 and 32,485,173, respectively. During these same periods, weighted-average options, RSUs, and ESPP shares to acquire a total of 6,425,869 and 6,213,505 shares of common stock, respectively, were outstanding but not included in the computation of diluted earnings per share as their effect was anti-dilutive.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three and six months ended June 30, 2011, basic and diluted weighted-average common shares outstanding were 32,048,141 and 31,978,771, respectively. During these same periods, weighted-average options RSUs, and ESPP shares to acquire a total of 4,792,540 and 3,953,808 shares of common stock, respectively, were outstanding but not included in the computation of diluted earnings per share as their effect was anti-dilutive.</w:t>
      </w:r>
    </w:p>
    <w:p>
      <w:pPr>
        <w:spacing w:after="0" w:line="182" w:lineRule="exact"/>
        <w:rPr>
          <w:sz w:val="20"/>
          <w:szCs w:val="20"/>
          <w:color w:val="auto"/>
        </w:rPr>
      </w:pPr>
    </w:p>
    <w:p>
      <w:pPr>
        <w:ind w:left="460" w:right="8720" w:hanging="452"/>
        <w:spacing w:after="0" w:line="391" w:lineRule="auto"/>
        <w:tabs>
          <w:tab w:leader="none" w:pos="17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a number of patent infringement lawsuits in the U.S. and is indirectly participating in other U.S. patent infringement actions pursuant to its contractual indemnification obligations to certain customers. Based on evaluation of these matters and discussions with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Company common stock between February 27, 2007 and September 15, 2008. On February 14, 2011, following extensive discovery, the Company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On November 23, 2011, the court issued an order granting in part and denying in part the motion for summary judgment. On July 9, 2012, the court vacated the final pretrial conference date. Dates for the pretrial conference and trial have not yet been scheduled. The Company intends to defend this litigation vigorously. At this time, there can be no assurance as to the ultimate outcome of this litigation. We have not recorded any significant accruals for contingent liabilities associated with this matter based on our belief that a liability, while possible, is not probable. Further, any possible range of loss cannot be estimated at this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Diego, against the Company, as nominal defendant, and certain of our current and former officers and directors, as defendants. Two other purported shareholders,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Mark Campos and Chris Arnsdorf, separately filed substantially similar lawsuits in the same court on October 20, 2008 and November 5, 2008, respectively.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16, 2009, the plaintiffs filed a consolidated complaint. The consolidated complaint, Case No. 37-2008-00093576-CU-NP-CTL, alleges claims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breaches of fiduciary duties, violations of certain provisions of the California Corporations Code, unjust enrichment, and gross mismanagement. In February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the court granted the defendants’ motion to stay the action pending the resolution of the federal securities class action described above. In July 2010,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executed a memorandum of understanding setting forth the terms to be included in a contemplated settlement. Any settlement would be subject to court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The memorandum of understanding did not contemplate any restitution from the defendants. Following execution of the memorandum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understanding, plaintiffs conducted certain confirmatory discovery and sought to negotiate an award of legal fees as part of the terms to be included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stipulation of settlement. Plaintiffs have since purported to terminate the memorandum of understanding. On January 28, 2011, the court held an informal status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conference, at which plaintiffs requested that the court lift the stay of action. The court declined plaintiffs’ request. Following certain additional confirmatory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discovery and negotiations, on March 2, 2012, the parties executed a Stipulation of Settlement, which settlement was submitted to the court for approval.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preliminarily approved the settlement pursuant to an order dated March 15, 2012. The settlement requires the Company to maintain and/or implement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corporate governance measures and provides for the payment of fees and expenses to the plaintiffs’ counsel of an amount not to exceed $900,000,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$500,000 of which is to be paid out of insurance proceeds, and $400,000 to be paid by the Company. These fees have been paid in accordance with the March 15</w:t>
      </w:r>
      <w:r>
        <w:rPr>
          <w:rFonts w:ascii="Arial" w:cs="Arial" w:eastAsia="Arial" w:hAnsi="Arial"/>
          <w:sz w:val="10"/>
          <w:szCs w:val="10"/>
          <w:color w:val="auto"/>
        </w:rPr>
        <w:t>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order and on May 4, 2012, the court granted final approval of the settlement. The Company recorded the $400,000 in fees in its 2011 financial results.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Company has a credit facility with a bank to allow margin borrowings based on the Company’s investments in cash equivalents and marketable securities held with the bank. This facility is collateralized by the Company’s cash equivalents and marketable securities held with the bank. Borrowings under the facility incur an interest rate at the bank’s base rate plus 1%. This margin account facility provides the Company with the flexibility to access cash for short periods of time and avoids the need to sell marketable securities for these short-term requirements. At June 30, 2012, the Company had approximately $25.2 million in cash equivalents and marketable securities held at this bank. Any monies borrowed and interest incurred are payable on demand, and there is no express expiration date to the credit facility. During August 2012, the Company borrowed $5.0 million against the facility, which remained outstanding as of the date of this report.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loss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780" w:type="dxa"/>
            <w:vAlign w:val="bottom"/>
          </w:tcPr>
          <w:p>
            <w:pPr>
              <w:spacing w:after="0"/>
              <w:rPr>
                <w:sz w:val="14"/>
                <w:szCs w:val="14"/>
                <w:color w:val="auto"/>
              </w:rPr>
            </w:pPr>
          </w:p>
        </w:tc>
        <w:tc>
          <w:tcPr>
            <w:tcW w:w="17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78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$(4,500)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$(3,898)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(42,421)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(25,986)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104</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r>
      <w:tr>
        <w:trPr>
          <w:trHeight w:val="27"/>
        </w:trPr>
        <w:tc>
          <w:tcPr>
            <w:tcW w:w="6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(4,507)</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(3,794)</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(42,404)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(25,980)</w:t>
            </w:r>
          </w:p>
        </w:tc>
      </w:tr>
      <w:tr>
        <w:trPr>
          <w:trHeight w:val="20"/>
        </w:trPr>
        <w:tc>
          <w:tcPr>
            <w:tcW w:w="6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After a review of the four sources of taxable income as of June 30, 2012 (as described above), the Company recognized increases in the valuation allowance primarily related to its U.S.-based deferred tax amounts, resulting from carryforward net operating losses, and Canadian-based deferred tax amounts, resulting from research and development tax credits, generated during the three and six months ended June 30, 2012. These deferred tax benefits, combined with a corresponding charge to income tax expense related to the increased valuation allowance of $1.1 million and $14.4 million for the three and six months ended June 30, 2012, respectively, resulted in an insignificant effective income tax rate for those respective periods. The Company’s valuation allowance was $51.0 million on net deferred tax assets of $52.0 million at June 30, 2012. The net unreserved portion of the Company’s remaining deferred tax assets at June 30, 2012 primarily related to research and development tax credits associated with the Company’s Canadian subsidiary.</w:t>
      </w:r>
    </w:p>
    <w:p>
      <w:pPr>
        <w:spacing w:after="0" w:line="11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For the three and six months ended June 30, 2012, the Company recorded an income tax benefit and income tax expense, including discrete items, of $15,000 and $169,000, respectively. These amounts vary from the income tax benefit that would be computed at the U.S. statutory rate resulting from its operating losses during those same periods primarily due to the aforementioned offsetting increase in the Company’s deferred tax assets valuation allowance. Additionally, for the three months ended June 30, 2012, the Company recorded a $111,000 tax benefit related to the finalization of its intangible assets and goodwill impairment. See Note 4.</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June 30, 2012 and December 31, 2011, the total liability for unrecognized tax benefits was $417,000 and $413,000, respectively, and is included in other long-term liabilities. For the three and six months ended June 30, 2012, the Company included $2,000 and $4,000 respectively, of interest expense related to uncertain tax positions in its condensed consolidated statements of operations and comprehensive income (loss).</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the third quarter of 2012, the Company expects to release $50,000 of its liability for unrecognized tax benefits due to the expiration of the statute of limitations applicable to the 2007 taxable year.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74" w:right="339" w:bottom="1440" w:gutter="0" w:footer="0" w:header="0"/>
        </w:sectPr>
      </w:pPr>
    </w:p>
    <w:bookmarkStart w:id="17" w:name="page18"/>
    <w:bookmarkEnd w:id="17"/>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file U.S., state, and foreign income tax returns in jurisdictions with various statutes of limitations. The California Franchise Tax Board is currently conducting an examination of the Company’s California income tax returns for 2006 and 2007. The Company is also subject to various Federal income tax examinations for the 2003 through 2010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2011 contained in our Annual Report on Form 10-K for the year ended December 31, 2011.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PCI and wireless PC-card modems, and communications and applications software. In addition, our Enfora division provides asset-management solutions utilizing intelligent platforms, customized service-delivery software, and machine-to-machine, or M2M, communications devices.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Bell Mobility, Sprint Nextel, Verizon Wireless, and Virgin Mobile; laptop PC and other original equipment manufacturers, or OEMs, including Dell and Hewlett-Packard; as well as distributors and various companies in other vertical markets. Our M2M customer base is comprised of transportation companies, industrial companies, manufacturers of medical devices and geographical-location devices and providers of security systems. We have strategic relationships with several of these customers for technology development and marketing.</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intend to continue to identify and respond to our customers’ needs by introducing new product designs with an emphasis on supporting cutting-edge, wide area network, or WAN, technology; ease-of-use; performance; size; weight; cost; and power consumption. We manage our products through a structured life-cycle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We have agreements with LG Innotek; Inventec Appliances Corporation, or IAC; Hon Hai Precision Industry Co., LTD; and Benchmark Electronics for the outsourced manufacturing of our products. In addition, we have an agreement with Mobiltron for certain distribution, fulfillment and repair services related to our business in Europe, the Middle East and Africa, or EMEA.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growth and breadth of the demand for wireless access to data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ind w:left="900" w:hanging="325"/>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anticipate introducing additional products during the next 12 months, including 4G broadband-access products, M2M solutions and software applications and platforms. We continue to develop and maintain strategic relationships with wireless and computing industry leaders like, Dell, QUALCOMM, Sprint Nextel, Verizon Wireless, Virgin Mobile, Vodafone, Telefonica, Texas Instruments, Delta Mobile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 of our products. This pressure has the potential to materially adversely affect our results of operations and financial condition in future periods and we cannot predict the magnitude or timing of future reductions in the average selling price of our products.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Many of our products target wireless operators and other customers in North America, Europe, and Asia. We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products to serve these markets, resulting in increased research and development expenses. We have in the past and expect to continue to incur these expenses in future periods prior to recognizing net revenues from sales of these products.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expense; general and administrative costs; and amortization of purchased intangibles.</w:t>
      </w:r>
    </w:p>
    <w:p>
      <w:pPr>
        <w:spacing w:after="0" w:line="132"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Securities and Exchange Commission (“SEC”) filings, stock-exchange fees, and investor-relations expense. General and administrative expenses have been relatively stable and are not directly related to revenue levels.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of purchased intangibles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subject our intangible assets and goodwill to impairment assessments when required which can result in charges when impairment occurs.</w:t>
      </w:r>
    </w:p>
    <w:p>
      <w:pPr>
        <w:spacing w:after="0" w:line="194"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Critical Accounting Policies and Estimates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litigation, provision for warranty costs, income taxes, and share-based compensation expense. The significant accounting policies used in preparation of these consolidated financial statements for the three and six months ended June 30, 2012 are consistent with those discussed in Note 1 to the consolidated financial statements included in our Annual Report on Form 10-K for the year ended December 31, 2011 in all material respects and in Note 1 to the consolidated financial statements included in this report. The critical accounting policies and the significant judgments and estimates used in the preparation of our condensed consolidated financial statements for the three and six months ended June 30, 2012 are consistent with those discussed in our Annual Report on Form 10-K for the year ended December 31, 2011 in the section captioned “Management’s Discussion and Analysis of Financial Condition and Results of Operations — Critical Accounting Policies and Estimates.”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2012 Compared to Three Months Ended June 30, 2011</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June 30, 2012 were $102.4 million, a decrease of $15.6 million or 13.2%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2011.</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net revenues by operating segment and net revenues by product categories during the three months ended June 30, 2012 and June 30, 2011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Net revenues by operating segment:</w:t>
            </w:r>
          </w:p>
        </w:tc>
        <w:tc>
          <w:tcPr>
            <w:tcW w:w="204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Mobile Computing Products</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92,552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102,446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Net revenues by product categories:</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Mobile Broadband Devices</w:t>
            </w:r>
          </w:p>
        </w:tc>
        <w:tc>
          <w:tcPr>
            <w:tcW w:w="20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87,142</w:t>
            </w:r>
          </w:p>
        </w:tc>
        <w:tc>
          <w:tcPr>
            <w:tcW w:w="5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8"/>
              </w:rPr>
              <w:t>101,309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Asset Management Solutions &amp; Services</w:t>
            </w:r>
          </w:p>
        </w:tc>
        <w:tc>
          <w:tcPr>
            <w:tcW w:w="1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102,446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three months ended June 30, 2012 were $92.6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$13.2 million or 12.5% compared to the same period in 2011. The decrease is primarily attributable to lower sales of Mobile Broadband devices caused by increased market competition for select customers.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and Solutions segment for the three months ended June 30, 2012 were $9.9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$12.2 million for the same period last year. The decrease is primarily due to the reduced sales volume and pricing of our 2G GPRS M2M modules in the North American market as it transitions away from 2G GSM networks. We are currently developing CDMA and 3G GSM modules and integrated solutions to address this market. These products are expected to launch later this year.</w:t>
      </w:r>
    </w:p>
    <w:p>
      <w:pPr>
        <w:spacing w:after="0" w:line="113"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 xml:space="preserve">Product Categories. </w:t>
      </w:r>
      <w:r>
        <w:rPr>
          <w:rFonts w:ascii="Arial" w:cs="Arial" w:eastAsia="Arial" w:hAnsi="Arial"/>
          <w:sz w:val="15"/>
          <w:szCs w:val="15"/>
          <w:color w:val="auto"/>
        </w:rPr>
        <w:t>We have categorized the combined product portfolios of the mobile computing and M2M businesses into three categories (1) Mobile</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Devices, (2) Embedded Solutions and (3)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USB modems and PC cards. These devices are sold primarily through wireless operator enterprise and retail channels, telecom equipment distributors and consumer retail chains.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0" w:name="page21"/>
    <w:bookmarkEnd w:id="2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Embedded Solutions products include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Asset Management Solutions and Services are mobile intelligent wireless broadband terminal devices and communication management software, or CMS, that transmit information about the assets into which these products are integrated. These hardware and software products can be bundled or sold separately. The CMS software activates the terminal device onto the wireless network and manages its functionality.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1" w:name="page22"/>
    <w:bookmarkEnd w:id="21"/>
    <w:p>
      <w:pPr>
        <w:ind w:firstLine="456"/>
        <w:spacing w:after="0" w:line="25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Cost of net revenues. </w:t>
      </w:r>
      <w:r>
        <w:rPr>
          <w:rFonts w:ascii="Arial" w:cs="Arial" w:eastAsia="Arial" w:hAnsi="Arial"/>
          <w:sz w:val="18"/>
          <w:szCs w:val="18"/>
          <w:color w:val="auto"/>
        </w:rPr>
        <w:t>Cost of net revenues for the three months ended June 30, 2012 was $79.2 million, or 77.3% of net revenues, as compared to $91.8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77.8% of net revenues, for the same period in 2011. During the second quarter of 2012, the cost of net revenues as a percentage of net revenues benefitted from a favorable mix of 4G MiFi products sold, and from lower quarter over quarter purchased intangible amortization expense decreasing to $289,000 during the quarter ended June 30, 2012 as compared to $1.1 million in the comparable quarter of 2011. The cost of net revenues as a percentage of revenues is expected to fluctuate in future quarters depending on revenue levels, the mix of products sold, competitive pricing, new product introduction costs and other factors.</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three months ended June 30, 2012 was $23.3 million, or a gross margin of 22.7% of net revenues, compared to $26.2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a gross margin of 22.2% of net revenues for the same period in 2011. The gross margin increase was primarily attributable to the changes in net revenues and cost of net revenues as discussed above. We expect that our gross margin percentage will continue to fluctuate from quarter to quarter depending on revenue levels, product mix, competitive selling prices, our ability to reduce product costs and changes in unit volumes.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June 30, 2012 were $14.5 million, or 14.1%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$14.8 million, or 12.6% of net revenues, for the same period in 2011. Research and development expenses for the three months ended June 30, 2012 remained flat as compared to the same period in 2011, as there was a focus to contain operational costs.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expect to maintain our investment in research and development to continue to provide innovative products and services.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June 30, 2012 were $7.3 million, or 7.1%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$8.2 million, or 7.0% of net revenues, for the same period in 2011. The $900,000 decrease for the three months ended June 30, 2012 compared to the same period in 2011 related to lower cooperative advertising and joint marketing expenses in our Mobile Computing Products segment.</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for the three months ended June 30, 2012 were $5.7 million, or 5.6% of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revenues, compared to $5.7 million, or 4.8% of net revenues, for the same period in 2011. General and administrative expenses for the three months ended June 30, 2012 remained flat as compared to the same period in 2011. While we are closely monitoring and working to control general and administrative costs, we expect these costs to be negatively impacted by legal fees to defend the claims described in Note 9 to our consolidated financial statements included in this report. During the second quarter periods in 2012 and 2011, the Company incurred $1.7 and $1.5 million in legal expenses, respectively.</w:t>
      </w:r>
    </w:p>
    <w:p>
      <w:pPr>
        <w:spacing w:after="0" w:line="10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Goodwill and intangible assets impairments. </w:t>
      </w:r>
      <w:r>
        <w:rPr>
          <w:rFonts w:ascii="Arial" w:cs="Arial" w:eastAsia="Arial" w:hAnsi="Arial"/>
          <w:sz w:val="16"/>
          <w:szCs w:val="16"/>
          <w:color w:val="auto"/>
        </w:rPr>
        <w:t>During the first quarter of 2012, based on actual operating results, and reductions in management’s estimates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forecasted operating results of the M2M Products and Solutions reporting unit, principally due to an updated view of competitive pressures impacting average selling prices, customer product and technology selections, and the loss of certain customers, the Company determined there were sufficient indicators of impairment present to require an interim impairment analysis. Based on the fair value tests performed, the Company recorded a preliminary pre-tax goodwill impairment charge of $6.5 million and a preliminary purchased intangible asset charge of $22.8 million during the first quarter of 2012. See Note 4 in the condensed consolidated financial statements for the period ended March 31, 2012 included in this report. There were no pre-tax adjustments to the charge resulting from the finalization of the impairment review during the second quarter of 2012.</w:t>
      </w:r>
    </w:p>
    <w:p>
      <w:pPr>
        <w:spacing w:after="0" w:line="112" w:lineRule="exact"/>
        <w:rPr>
          <w:sz w:val="20"/>
          <w:szCs w:val="20"/>
          <w:color w:val="auto"/>
        </w:rPr>
      </w:pPr>
    </w:p>
    <w:p>
      <w:pPr>
        <w:jc w:val="both"/>
        <w:ind w:right="320" w:firstLine="456"/>
        <w:spacing w:after="0" w:line="310" w:lineRule="auto"/>
        <w:rPr>
          <w:sz w:val="20"/>
          <w:szCs w:val="20"/>
          <w:color w:val="auto"/>
        </w:rPr>
      </w:pPr>
      <w:r>
        <w:rPr>
          <w:rFonts w:ascii="Arial" w:cs="Arial" w:eastAsia="Arial" w:hAnsi="Arial"/>
          <w:sz w:val="16"/>
          <w:szCs w:val="16"/>
          <w:b w:val="1"/>
          <w:bCs w:val="1"/>
          <w:i w:val="1"/>
          <w:iCs w:val="1"/>
          <w:color w:val="auto"/>
        </w:rPr>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amortization of purchased intangible assets for the three months ended June 30, 2012 was $227,000,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$527,000 for the same period 2011. The decrease in amortization expense for the three months ended June 30, 2012 was caused by the lower net asset value of the intangible assets resulting from the impairment charge in the first quarter of 2012.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income, net. </w:t>
      </w:r>
      <w:r>
        <w:rPr>
          <w:rFonts w:ascii="Arial" w:cs="Arial" w:eastAsia="Arial" w:hAnsi="Arial"/>
          <w:sz w:val="18"/>
          <w:szCs w:val="18"/>
          <w:color w:val="auto"/>
        </w:rPr>
        <w:t>Interest income, net, for the three months ended June 30, 2012 was $83,000 as compared to $85,000 for the same period in 2011.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weighted-average interest rate earned by the Company on its cash, cash equivalents and marketable securities was 0.13% and 0.13% in the second quarter of 2012 and 2011, respectively.</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June 30, 2012 was $153,000 as compared to $607,000 for the same period in 2011.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expense in 2011 predominantly related to foreign currency losses on South Korean won denominated trade payables.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benefit for the three months ended June 30, 2012 was $15,000, as compared to an expense of $275,000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2011. During the first quarter of 2012, the Company recorded a preliminary pre-tax goodwill impairment charge of $6.5 million. For the three months ended June 30, 2012, the Company included $111,000 of income tax benefit in its condensed consolidated statements of operation related to the finalization of the impairment charge.</w:t>
      </w:r>
    </w:p>
    <w:p>
      <w:pPr>
        <w:spacing w:after="0" w:line="14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The effective tax rate for the three months ended June 30, 2012 is different than the U.S. statutory rate primarily due to a valuation allowance recorded against additional tax assets generated in the second quarter of 2012, and due to the aforementioned tax benefit related to the goodwill impairment.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Net loss. </w:t>
      </w:r>
      <w:r>
        <w:rPr>
          <w:rFonts w:ascii="Arial" w:cs="Arial" w:eastAsia="Arial" w:hAnsi="Arial"/>
          <w:sz w:val="15"/>
          <w:szCs w:val="15"/>
          <w:color w:val="auto"/>
        </w:rPr>
        <w:t>For the three months ended June 30, 2012, we reported a net loss of $4.5 million, as compared to a net loss of $3.9 million for the same period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2012 Compared to Six Months Ended June 30, 2011</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six months ended June 30, 2012 were $202.6 million, an increase of $22.8 million or 12.7%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net revenues by operating segment and net revenues by product categories during the six months ended June 30, 2012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2011 (in thousands):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6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Net revenues by operating segment:</w:t>
            </w:r>
          </w:p>
        </w:tc>
        <w:tc>
          <w:tcPr>
            <w:tcW w:w="2160" w:type="dxa"/>
            <w:vAlign w:val="bottom"/>
            <w:tcBorders>
              <w:top w:val="single" w:sz="8" w:color="CCEEFF"/>
              <w:bottom w:val="single" w:sz="8" w:color="CCEEFF"/>
            </w:tcBorders>
            <w:shd w:val="clear" w:color="auto" w:fill="CCEEFF"/>
          </w:tcPr>
          <w:p>
            <w:pPr>
              <w:spacing w:after="0"/>
              <w:rPr>
                <w:sz w:val="15"/>
                <w:szCs w:val="15"/>
                <w:color w:val="auto"/>
              </w:rPr>
            </w:pPr>
          </w:p>
        </w:tc>
        <w:tc>
          <w:tcPr>
            <w:tcW w:w="196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Mobile Computing Products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$183,431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$155,577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9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19,165</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202,596</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Net revenues by product categories:</w:t>
            </w: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Mobile Broadband Devices</w:t>
            </w:r>
          </w:p>
        </w:tc>
        <w:tc>
          <w:tcPr>
            <w:tcW w:w="21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$172,758</w:t>
            </w:r>
          </w:p>
        </w:tc>
        <w:tc>
          <w:tcPr>
            <w:tcW w:w="1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$149,547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Asset Management Solutions &amp; Services</w:t>
            </w:r>
          </w:p>
        </w:tc>
        <w:tc>
          <w:tcPr>
            <w:tcW w:w="19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14,886</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202,596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Mobile Computing Products. </w:t>
      </w:r>
      <w:r>
        <w:rPr>
          <w:rFonts w:ascii="Arial" w:cs="Arial" w:eastAsia="Arial" w:hAnsi="Arial"/>
          <w:sz w:val="16"/>
          <w:szCs w:val="16"/>
          <w:color w:val="auto"/>
        </w:rPr>
        <w:t>Net revenues from our Mobile Computing Products segment for the six months ended June 30, 2012 were $183.4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$27.9 million or 17.9% compared to the same period in 2011. The increase in net revenues of our Mobile Computing Products segment was attributable primarily to ongoing product rollouts of our next generation 4G products, including the MiFi Intelligent Mobile Hotspot.</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and Solutions segment for the six months ended June 30, 2012 were $19.2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$24.2 million net revenues from the same period last year. The decrease is primarily due to the reduced sales volume and pricing of our 2G GPRS M2M modules in the North American market as it transitions away from 2G GSM networks. We are currently developing CDMA and 3G GSM modules and integrated solutions to address this market. These products are expected to launch later this year.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right="60" w:firstLine="456"/>
        <w:spacing w:after="0" w:line="318"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Cost of net revenues. </w:t>
      </w:r>
      <w:r>
        <w:rPr>
          <w:rFonts w:ascii="Arial" w:cs="Arial" w:eastAsia="Arial" w:hAnsi="Arial"/>
          <w:sz w:val="15"/>
          <w:szCs w:val="15"/>
          <w:color w:val="auto"/>
        </w:rPr>
        <w:t>Cost of net revenues for the six months ended June 30, 2012 was $158.4 million, or 78.2% of net revenues, as compared to $147.6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or 82.1% of net revenues, for the same period in 2011. The improvement in cost of net revenues as a percentage of net revenues in 2012 resulted from higher sales of 4G products in our Mobile Computing Products segment during the first six months of 2012. The cost of net revenues as a percentage of revenues also benefitted from lower amortization costs associated with purchased intangible assets. Cost of net revenues as a percentage of net revenues is expected to fluctuate in future quarters depending on revenue levels, the mix of products sold, competitive pricing, new product introduction costs and other factors.</w:t>
      </w:r>
    </w:p>
    <w:p>
      <w:pPr>
        <w:spacing w:after="0" w:line="10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six months ended June 30, 2012 was $44.2 million, or a gross margin of 21.8% of net revenues, compared to $32.2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a gross margin of 17.9% of net revenues, for the same period in 2011. The increase in gross margin was primarily attributable to the changes in net revenues and cost of net revenues as discussed above. We expect that our gross margin will continue to fluctuate from quarter to quarter depending on revenue levels, product mix, competitive selling prices, our ability to reduce product costs and changes in unit volumes.</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six months ended June 30, 2012 were $30.3 million, or 14.9%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$30.4 million, or 16.9% of net revenues, for the same period in 2011. Research and development expenses for the six months ended June 30, 2012 remained flat as compared to the same period in 2011, as there was a focus to contain operational costs.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expect to maintain our investment in research and development to continue to provide innovative products and services.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six months ended June 30, 2012 were $15.0 million, or 7.4%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$15.6 million, or 8.7% of net revenues, for the same period in 2011. The $606,000 decrease for the six months ended June 30, 2012 compared to the same period in 2011 was due primarily to lower cooperative advertising and joint marketing expenses.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six months ended June 30, 2012 were $11.2 million, or 5.5%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$10.3 million, or 5.7% of net revenues, for the same period in 2011. The lower expense for the 2011 period was due to an $880,000 benefit recorded in 2011 related to the revision of estimated contingent consideration related to the acquisition of Enfora. While we are closely monitoring and working to control general and administrative costs, we expect these costs to be negatively impacted by legal fees to defend the claims described in Note 9 to our condensed consolidated financial statements included in this report. During the six months ended June 30, 2012 and 2011, the Company incurred $2.7 and $2.5 million in legal expenses, respectively.</w:t>
      </w:r>
    </w:p>
    <w:p>
      <w:pPr>
        <w:spacing w:after="0" w:line="138" w:lineRule="exact"/>
        <w:rPr>
          <w:sz w:val="20"/>
          <w:szCs w:val="20"/>
          <w:color w:val="auto"/>
        </w:rPr>
      </w:pPr>
    </w:p>
    <w:p>
      <w:pPr>
        <w:ind w:right="840" w:firstLine="456"/>
        <w:spacing w:after="0" w:line="339" w:lineRule="auto"/>
        <w:rPr>
          <w:sz w:val="20"/>
          <w:szCs w:val="20"/>
          <w:color w:val="auto"/>
        </w:rPr>
      </w:pPr>
      <w:r>
        <w:rPr>
          <w:rFonts w:ascii="Arial" w:cs="Arial" w:eastAsia="Arial" w:hAnsi="Arial"/>
          <w:sz w:val="16"/>
          <w:szCs w:val="16"/>
          <w:b w:val="1"/>
          <w:bCs w:val="1"/>
          <w:i w:val="1"/>
          <w:iCs w:val="1"/>
          <w:color w:val="auto"/>
        </w:rPr>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decrease in amortization expense for the six months ended June 30, 2012 was due to reduced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purchased intangible assets from Enfora caused by the impairment charge recognized in the first quarter of 2012.</w:t>
      </w:r>
    </w:p>
    <w:p>
      <w:pPr>
        <w:spacing w:after="0" w:line="8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six months ended June 30, 2012 was $166,000 as compared to $243,000 for the same period in 2011.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weighted-average interest rate earned by the Company on its cash, cash equivalents and marketable securities was 0.22% and 0.28% in the first six months of 2012 and 2011,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expense, net. </w:t>
      </w:r>
      <w:r>
        <w:rPr>
          <w:rFonts w:ascii="Arial" w:cs="Arial" w:eastAsia="Arial" w:hAnsi="Arial"/>
          <w:sz w:val="18"/>
          <w:szCs w:val="18"/>
          <w:color w:val="auto"/>
        </w:rPr>
        <w:t>Other expense, net, for the six months ended June 30, 2012 was $146,000 as compared to $485,000 for the same period in 2011.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expense in 2011 related to foreign currency losses on South Korean won denominated trade payables.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for the six months ended June 30, 2012 was $169,000, as compared to $573,000 of expense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2011.</w:t>
      </w:r>
    </w:p>
    <w:p>
      <w:pPr>
        <w:spacing w:after="0" w:line="13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effective tax rate for the six months ended June 30, 2012 is different than the U.S. statutory rate primarily due to a valuation allowance recorded against additional U.S.-based deferred tax assets generated in the first six months of 2012, and expenses attributable to foreign operations.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six months ended June 30, 2012, we reported a net loss of $42.4 million, as compared to a net loss of $26.0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Net income was negatively impacted due to the impairment charge recognized in the first quarter of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 address short term liquidity requirements resulting from working capital changes the Company entered into a margin credit facility with a bank in 2011. The use of this margin credit facility allows the Company to meet short-term cash requirements and avoid selling cash equivalents and marketable securities. Borrowings under this facility are collateralized by Company cash equivalents and marketable securities on deposit at the bank. The Company borrowed $5.0 million against this facility during August 2012 which remained outstanding as of the date of this report.</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September 2009, we filed a shelf registration statement with the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have not issued any securities under this registration statement.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2012</w:t>
            </w:r>
          </w:p>
        </w:tc>
        <w:tc>
          <w:tcPr>
            <w:tcW w:w="154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(unaudited)</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78,483</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100"/>
              <w:spacing w:after="0"/>
              <w:rPr>
                <w:sz w:val="20"/>
                <w:szCs w:val="20"/>
                <w:color w:val="auto"/>
              </w:rPr>
            </w:pPr>
            <w:r>
              <w:rPr>
                <w:rFonts w:ascii="Arial" w:cs="Arial" w:eastAsia="Arial" w:hAnsi="Arial"/>
                <w:sz w:val="18"/>
                <w:szCs w:val="18"/>
                <w:color w:val="auto"/>
                <w:w w:val="87"/>
              </w:rPr>
              <w:t>15,197</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36,391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7"/>
              </w:rPr>
              <w:t>10,820</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62,408</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working capital decreased $2.6 million from December 31, 2011 to June 30, 2012. The decrease was primarily due to the operating loss in the six months ended June 30, 2012, net of non cash related expenses.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June 30, 2012, cash and cash equivalents and marketable securities decreased by $26.4 million from December 31, 2011. The principal component of this net decrease was the cash used by our operating activities of $23.5 million, and cash used to pay for acquisition of property, plant and equipment of $3.6 million.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66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(23,454)</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(17,519)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260" w:type="dxa"/>
            <w:vAlign w:val="bottom"/>
            <w:gridSpan w:val="3"/>
          </w:tcPr>
          <w:p>
            <w:pPr>
              <w:jc w:val="right"/>
              <w:ind w:right="372"/>
              <w:spacing w:after="0"/>
              <w:rPr>
                <w:sz w:val="20"/>
                <w:szCs w:val="20"/>
                <w:color w:val="auto"/>
              </w:rPr>
            </w:pPr>
            <w:r>
              <w:rPr>
                <w:rFonts w:ascii="Arial" w:cs="Arial" w:eastAsia="Arial" w:hAnsi="Arial"/>
                <w:sz w:val="18"/>
                <w:szCs w:val="18"/>
                <w:color w:val="auto"/>
              </w:rPr>
              <w:t>(9,059)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32,780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(677)</w:t>
            </w: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112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(31,872)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47,069</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$ 15,197</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$ 32,013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in operating activities was $23.5 million for the six months ended June 30, 2012 as compared to net cash used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activities of $17.5 million for the same period in 2011. Net cash used for the six months ended June 30, 2012 was attributable to net losses in the period and a net decrease in cash caused by changes in working capital accounts, offset by non-cash charges for impairments of goodwill and intangibles, depreciation and amortization, and share based compensation expense. The net decrease in cash caused by changes in net working capital accounts primarily included increases in accounts receivable and prepaid expenses and other assets, as well as a decrease in accounts payable. For the second quarter 2011, net cash used by operating activities was primarily related to net losses for the period, along with decreases in cash caused by a reduction in accounts payable and an increase in inventory. These were partially offset by an increase in cash caused by a decrease in accounts receivable.</w:t>
      </w:r>
    </w:p>
    <w:p>
      <w:pPr>
        <w:spacing w:after="0" w:line="11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during the six months ended June 30, 2012 was $9.1 million compared to $32.8 million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same period in 2011. Cash used in investing activities during the six months ended June 30, 2012 was related to net purchases of marketable securities of $5.5 million, and purchases of property, plant, and equipment for approximately $3.6 million. Cash provided by investing activities during the same period in 2011 was primarily related to net sales of marketable securities of $36.7 million.</w:t>
      </w:r>
    </w:p>
    <w:p>
      <w:pPr>
        <w:spacing w:after="0" w:line="113"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during the six months ended June 30, 2012 was $688,000, compared to cash used of</w:t>
      </w:r>
    </w:p>
    <w:p>
      <w:pPr>
        <w:spacing w:after="0" w:line="38" w:lineRule="exact"/>
        <w:rPr>
          <w:sz w:val="20"/>
          <w:szCs w:val="20"/>
          <w:color w:val="auto"/>
        </w:rPr>
      </w:pPr>
    </w:p>
    <w:p>
      <w:pPr>
        <w:ind w:right="140"/>
        <w:spacing w:after="0" w:line="361" w:lineRule="auto"/>
        <w:rPr>
          <w:sz w:val="20"/>
          <w:szCs w:val="20"/>
          <w:color w:val="auto"/>
        </w:rPr>
      </w:pPr>
      <w:r>
        <w:rPr>
          <w:rFonts w:ascii="Arial" w:cs="Arial" w:eastAsia="Arial" w:hAnsi="Arial"/>
          <w:sz w:val="15"/>
          <w:szCs w:val="15"/>
          <w:color w:val="auto"/>
        </w:rPr>
        <w:t>$677,000 during the same period in 2011. Net cash provided by financing activities in 2012 was primarily related to cash received for ESPP purchases. Net cash used in financing activities in 2011 was primarily related to payroll taxes paid on behalf of employees for restricted stock units which vested during the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expect to incur ongoing professional fees and expenses to defend litigation filed against us or related to our products, which litigation is discussed in Note 9 to our condensed consolidated financial statements included in this report. These costs cannot be estimated at this time.</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next twelve months, we currently plan to incur approximately $7.0 million for discretionary capital expenditures, including the acquisition of additional software licenses.</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or from other borrowings,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December 31, 2011,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30, 2012,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June 30, 2012, that have materially affected, or are reasonably likely to materially affect, the Company’s internal control over financial reporting.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Backe v. Novatel Wireless, Inc. et al.</w:t>
      </w:r>
      <w:r>
        <w:rPr>
          <w:rFonts w:ascii="Arial" w:cs="Arial" w:eastAsia="Arial" w:hAnsi="Arial"/>
          <w:sz w:val="18"/>
          <w:szCs w:val="18"/>
          <w:color w:val="auto"/>
        </w:rPr>
        <w:t>, United States District Court for the Southern District of California (San Diego), Case No. 3:08-cv-01689-AJB-RBB (consolidated with Case No. 3:08-cv-01714-H-RBB (U.S.D.C., S.D. Cal.)), the court, on July 9, 2012, vacated the final pretrial conference date. Dates for the pretrial conference and trial have not yet been scheduled.</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Jerry Rosenbaum v. Peter Leparulo, et al.</w:t>
      </w:r>
      <w:r>
        <w:rPr>
          <w:rFonts w:ascii="Arial" w:cs="Arial" w:eastAsia="Arial" w:hAnsi="Arial"/>
          <w:sz w:val="16"/>
          <w:szCs w:val="16"/>
          <w:color w:val="auto"/>
        </w:rPr>
        <w:t>, Superior Court of the State of California, County of San Diego, Case No. 37-2008-00093576-CU-NP-CTL, the parties executed a Stipulation of Settlement on March 2, 2012 which was submitted to the court for approval. The court preliminarily approved the settlement pursuant to an order dated March 15, 2012. The settlement required the Company to maintain and/or implement certain corporate governance measures and provided for the payment of fees and expenses to the plaintiffs’ counsel of an amount not to exceed $900,000, $500,000 of which was to be paid out of insurance proceeds and $400,000 to be paid by the Company. These fees have been paid in accordance with the March 15</w:t>
      </w:r>
      <w:r>
        <w:rPr>
          <w:rFonts w:ascii="Arial" w:cs="Arial" w:eastAsia="Arial" w:hAnsi="Arial"/>
          <w:sz w:val="10"/>
          <w:szCs w:val="10"/>
          <w:color w:val="auto"/>
        </w:rPr>
        <w:t>th</w:t>
      </w:r>
      <w:r>
        <w:rPr>
          <w:rFonts w:ascii="Arial" w:cs="Arial" w:eastAsia="Arial" w:hAnsi="Arial"/>
          <w:sz w:val="16"/>
          <w:szCs w:val="16"/>
          <w:color w:val="auto"/>
        </w:rPr>
        <w:t xml:space="preserve"> order and on May 4, 2012, the court granted final approval of the settlement. The Company recorded the $400,000 in fees in its 2011 financial results.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these matters, see Item 3, “Legal Proceedings” in our Annual Report on Form 10-K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Form 10-K for the year ended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000" w:type="dxa"/>
            <w:vAlign w:val="bottom"/>
            <w:gridSpan w:val="3"/>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Exhibit</w:t>
            </w:r>
          </w:p>
        </w:tc>
        <w:tc>
          <w:tcPr>
            <w:tcW w:w="5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200" w:type="dxa"/>
            <w:vAlign w:val="bottom"/>
          </w:tcPr>
          <w:p>
            <w:pPr>
              <w:spacing w:after="0"/>
              <w:rPr>
                <w:sz w:val="14"/>
                <w:szCs w:val="14"/>
                <w:color w:val="auto"/>
              </w:rPr>
            </w:pPr>
          </w:p>
        </w:tc>
      </w:tr>
      <w:tr>
        <w:trPr>
          <w:trHeight w:val="322"/>
        </w:trPr>
        <w:tc>
          <w:tcPr>
            <w:tcW w:w="52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20" w:type="dxa"/>
            <w:vAlign w:val="bottom"/>
          </w:tcPr>
          <w:p>
            <w:pPr>
              <w:spacing w:after="0"/>
              <w:rPr>
                <w:sz w:val="24"/>
                <w:szCs w:val="24"/>
                <w:color w:val="auto"/>
              </w:rPr>
            </w:pPr>
          </w:p>
        </w:tc>
        <w:tc>
          <w:tcPr>
            <w:tcW w:w="10000" w:type="dxa"/>
            <w:vAlign w:val="bottom"/>
            <w:gridSpan w:val="3"/>
          </w:tcPr>
          <w:p>
            <w:pPr>
              <w:ind w:left="220"/>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20" w:type="dxa"/>
            <w:vAlign w:val="bottom"/>
          </w:tcPr>
          <w:p>
            <w:pPr>
              <w:spacing w:after="0"/>
              <w:rPr>
                <w:sz w:val="24"/>
                <w:szCs w:val="24"/>
                <w:color w:val="auto"/>
              </w:rPr>
            </w:pPr>
          </w:p>
        </w:tc>
        <w:tc>
          <w:tcPr>
            <w:tcW w:w="10000" w:type="dxa"/>
            <w:vAlign w:val="bottom"/>
            <w:gridSpan w:val="3"/>
          </w:tcPr>
          <w:p>
            <w:pPr>
              <w:ind w:left="220"/>
              <w:spacing w:after="0"/>
              <w:rPr>
                <w:sz w:val="20"/>
                <w:szCs w:val="20"/>
                <w:color w:val="auto"/>
              </w:rPr>
            </w:pPr>
            <w:r>
              <w:rPr>
                <w:rFonts w:ascii="Arial" w:cs="Arial" w:eastAsia="Arial" w:hAnsi="Arial"/>
                <w:sz w:val="18"/>
                <w:szCs w:val="18"/>
                <w:color w:val="auto"/>
              </w:rPr>
              <w:t>Certification of our Principal Financial Officer pursuant to Section 302 of the Sarbanes-Oxley Act of 2002.</w:t>
            </w: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220" w:type="dxa"/>
            <w:vAlign w:val="bottom"/>
          </w:tcPr>
          <w:p>
            <w:pPr>
              <w:spacing w:after="0"/>
              <w:rPr>
                <w:sz w:val="24"/>
                <w:szCs w:val="24"/>
                <w:color w:val="auto"/>
              </w:rPr>
            </w:pPr>
          </w:p>
        </w:tc>
        <w:tc>
          <w:tcPr>
            <w:tcW w:w="10000" w:type="dxa"/>
            <w:vAlign w:val="bottom"/>
            <w:gridSpan w:val="3"/>
          </w:tcPr>
          <w:p>
            <w:pPr>
              <w:ind w:left="220"/>
              <w:spacing w:after="0"/>
              <w:rPr>
                <w:sz w:val="20"/>
                <w:szCs w:val="20"/>
                <w:color w:val="auto"/>
              </w:rPr>
            </w:pPr>
            <w:r>
              <w:rPr>
                <w:rFonts w:ascii="Arial" w:cs="Arial" w:eastAsia="Arial" w:hAnsi="Arial"/>
                <w:sz w:val="18"/>
                <w:szCs w:val="18"/>
                <w:color w:val="auto"/>
                <w:w w:val="89"/>
              </w:rPr>
              <w:t>Certification of our Principal Executive Officer and Principal Financial Officer pursuant to Section 906 of the Sarbanes-Oxley Act of 2002.</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60" w:hanging="952"/>
        <w:spacing w:after="0" w:line="256"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financial statements and footnotes from the Novatel Wireless, Inc. Quarterly Report on Form 10-Q for the quarter ended June 30, 2012 formatted in Extensible Business Reporting Language (XBRL): (i) Condensed Consolidated Balance Sheets; (ii) Condensed Consolidated Statements of Operations; (iii) Condensed Consolidated Statements of Cash Flows; and (iv) the Notes to Condensed Consolidated Financial Statements.</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240" w:top="274" w:right="59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Kenneth Leddon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Kenneth Leddon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 Peter Leparulo, Chairman and Chief Executive Officer of Novatel Wireless, Inc. (Company), do hereby certify, pursuant to 18 U.S.C. Section 1350, as adopted pursuant to Section 906 of the Sarbanes-Oxley Act of 2002, that to the best of my knowledge:</w:t>
      </w:r>
    </w:p>
    <w:p>
      <w:pPr>
        <w:spacing w:after="0" w:line="51" w:lineRule="exact"/>
        <w:rPr>
          <w:sz w:val="20"/>
          <w:szCs w:val="20"/>
          <w:color w:val="auto"/>
        </w:rPr>
      </w:pPr>
    </w:p>
    <w:p>
      <w:pPr>
        <w:ind w:left="900" w:right="2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2012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 Kenneth Leddon, Senior Vice President and Chief Financial Officer of Novatel Wireless, Inc. (Company), do hereby certify, pursuant to 18 U.S.C. Section 1350, as adopted pursuant to Section 906 of the Sarbanes-Oxley Act of 2002, that to the best of my knowledge:</w:t>
      </w:r>
    </w:p>
    <w:p>
      <w:pPr>
        <w:spacing w:after="0" w:line="51" w:lineRule="exact"/>
        <w:rPr>
          <w:sz w:val="20"/>
          <w:szCs w:val="20"/>
          <w:color w:val="auto"/>
        </w:rPr>
      </w:pPr>
    </w:p>
    <w:p>
      <w:pPr>
        <w:ind w:left="900" w:right="2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2012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Leddon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Senior Vice President and 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9"/>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0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2019-12-09T12:40:37Z</dcterms:created>
  <dcterms:modified xsi:type="dcterms:W3CDTF">2019-12-09T12:40:37Z</dcterms:modified>
</cp:coreProperties>
</file>