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40"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178"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Tender Offer Statement under Section 14(d)(1) or 13(e)(1)</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43"/>
          <w:szCs w:val="43"/>
          <w:b w:val="1"/>
          <w:bCs w:val="1"/>
          <w:color w:val="auto"/>
        </w:rPr>
        <w:t>NOVATEL WIRELESS,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(Name of Subject Company (Issuer))</w:t>
      </w:r>
    </w:p>
    <w:p>
      <w:pPr>
        <w:spacing w:after="0" w:line="1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INSEEGO CORP.</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(Name of Filing Person (Offeror and Affiliate of Issuer))</w:t>
      </w:r>
    </w:p>
    <w:p>
      <w:pPr>
        <w:spacing w:after="0" w:line="20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5.50% Convertible Senior Notes due 2020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66987MAE9</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Lance Bridges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Senior Vice President, General Counsel and Secretary</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9605 Scranton Road, Suite 300</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San Diego, CA 92121</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(858) 812-3400</w:t>
      </w:r>
    </w:p>
    <w:p>
      <w:pPr>
        <w:jc w:val="center"/>
        <w:ind w:right="20"/>
        <w:spacing w:after="0" w:line="225" w:lineRule="auto"/>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to Receive Notices and Communications on Behalf of Filing Persons)</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Teri O’Brien, Esq.</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Paul Hastings LLP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4747 Executive Drive, 12th Floor</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San Diego, CA 92121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CALCULATION OF FILING FEE</w:t>
            </w:r>
          </w:p>
        </w:tc>
      </w:tr>
      <w:tr>
        <w:trPr>
          <w:trHeight w:val="81"/>
        </w:trPr>
        <w:tc>
          <w:tcPr>
            <w:tcW w:w="400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5800" w:type="dxa"/>
            <w:vAlign w:val="bottom"/>
            <w:tcBorders>
              <w:bottom w:val="single" w:sz="8" w:color="auto"/>
            </w:tcBorders>
          </w:tcPr>
          <w:p>
            <w:pPr>
              <w:spacing w:after="0"/>
              <w:rPr>
                <w:sz w:val="7"/>
                <w:szCs w:val="7"/>
                <w:color w:val="auto"/>
              </w:rPr>
            </w:pPr>
          </w:p>
        </w:tc>
      </w:tr>
      <w:tr>
        <w:trPr>
          <w:trHeight w:val="142"/>
        </w:trPr>
        <w:tc>
          <w:tcPr>
            <w:tcW w:w="4000" w:type="dxa"/>
            <w:vAlign w:val="bottom"/>
            <w:tcBorders>
              <w:left w:val="single" w:sz="8" w:color="auto"/>
              <w:bottom w:val="single" w:sz="8" w:color="auto"/>
            </w:tcBorders>
          </w:tcPr>
          <w:p>
            <w:pPr>
              <w:jc w:val="center"/>
              <w:ind w:left="1699"/>
              <w:spacing w:after="0" w:line="142" w:lineRule="exact"/>
              <w:rPr>
                <w:sz w:val="20"/>
                <w:szCs w:val="20"/>
                <w:color w:val="auto"/>
              </w:rPr>
            </w:pPr>
            <w:r>
              <w:rPr>
                <w:rFonts w:ascii="Times New Roman" w:cs="Times New Roman" w:eastAsia="Times New Roman" w:hAnsi="Times New Roman"/>
                <w:sz w:val="14"/>
                <w:szCs w:val="14"/>
                <w:b w:val="1"/>
                <w:bCs w:val="1"/>
                <w:color w:val="auto"/>
              </w:rPr>
              <w:t>Transaction Valuation</w:t>
            </w:r>
            <w:r>
              <w:rPr>
                <w:rFonts w:ascii="Times New Roman" w:cs="Times New Roman" w:eastAsia="Times New Roman" w:hAnsi="Times New Roman"/>
                <w:sz w:val="12"/>
                <w:szCs w:val="12"/>
                <w:b w:val="1"/>
                <w:bCs w:val="1"/>
                <w:color w:val="auto"/>
              </w:rPr>
              <w:t>(1)</w:t>
            </w:r>
          </w:p>
        </w:tc>
        <w:tc>
          <w:tcPr>
            <w:tcW w:w="1640" w:type="dxa"/>
            <w:vAlign w:val="bottom"/>
            <w:tcBorders>
              <w:bottom w:val="single" w:sz="8" w:color="auto"/>
              <w:right w:val="single" w:sz="8" w:color="auto"/>
            </w:tcBorders>
          </w:tcPr>
          <w:p>
            <w:pPr>
              <w:spacing w:after="0"/>
              <w:rPr>
                <w:sz w:val="12"/>
                <w:szCs w:val="12"/>
                <w:color w:val="auto"/>
              </w:rPr>
            </w:pPr>
          </w:p>
        </w:tc>
        <w:tc>
          <w:tcPr>
            <w:tcW w:w="58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 of Filing Fee</w:t>
            </w:r>
            <w:r>
              <w:rPr>
                <w:rFonts w:ascii="Times New Roman" w:cs="Times New Roman" w:eastAsia="Times New Roman" w:hAnsi="Times New Roman"/>
                <w:sz w:val="12"/>
                <w:szCs w:val="12"/>
                <w:b w:val="1"/>
                <w:bCs w:val="1"/>
                <w:color w:val="auto"/>
              </w:rPr>
              <w:t>(2)</w:t>
            </w:r>
          </w:p>
        </w:tc>
      </w:tr>
      <w:tr>
        <w:trPr>
          <w:trHeight w:val="210"/>
        </w:trPr>
        <w:tc>
          <w:tcPr>
            <w:tcW w:w="4000" w:type="dxa"/>
            <w:vAlign w:val="bottom"/>
            <w:tcBorders>
              <w:left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8"/>
                <w:szCs w:val="18"/>
                <w:color w:val="auto"/>
              </w:rPr>
              <w:t>$111,600,000</w:t>
            </w:r>
          </w:p>
        </w:tc>
        <w:tc>
          <w:tcPr>
            <w:tcW w:w="1640" w:type="dxa"/>
            <w:vAlign w:val="bottom"/>
            <w:tcBorders>
              <w:bottom w:val="single" w:sz="8" w:color="auto"/>
              <w:right w:val="single" w:sz="8" w:color="auto"/>
            </w:tcBorders>
          </w:tcPr>
          <w:p>
            <w:pPr>
              <w:spacing w:after="0"/>
              <w:rPr>
                <w:sz w:val="18"/>
                <w:szCs w:val="18"/>
                <w:color w:val="auto"/>
              </w:rPr>
            </w:pPr>
          </w:p>
        </w:tc>
        <w:tc>
          <w:tcPr>
            <w:tcW w:w="5800" w:type="dxa"/>
            <w:vAlign w:val="bottom"/>
            <w:tcBorders>
              <w:bottom w:val="single" w:sz="8" w:color="auto"/>
              <w:right w:val="single" w:sz="8" w:color="auto"/>
            </w:tcBorders>
          </w:tcPr>
          <w:p>
            <w:pPr>
              <w:jc w:val="right"/>
              <w:ind w:right="2459"/>
              <w:spacing w:after="0"/>
              <w:rPr>
                <w:sz w:val="20"/>
                <w:szCs w:val="20"/>
                <w:color w:val="auto"/>
              </w:rPr>
            </w:pPr>
            <w:r>
              <w:rPr>
                <w:rFonts w:ascii="Times New Roman" w:cs="Times New Roman" w:eastAsia="Times New Roman" w:hAnsi="Times New Roman"/>
                <w:sz w:val="18"/>
                <w:szCs w:val="18"/>
                <w:color w:val="auto"/>
              </w:rPr>
              <w:t>$12,934.44</w:t>
            </w:r>
          </w:p>
        </w:tc>
      </w:tr>
    </w:tbl>
    <w:p>
      <w:pPr>
        <w:ind w:right="100" w:firstLine="8"/>
        <w:spacing w:after="0" w:line="253" w:lineRule="auto"/>
        <w:tabs>
          <w:tab w:leader="none" w:pos="2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purposes of determining the amount of the filing fee. Pursuant to Rule 0-11(b)(2) and Rule 0-11(a)(4) of the Securities Exchange Act of 1934, as amended, the Transaction Valuation was calculated based on the average of the bid and ask price for each $1,000 principal amount of the Novatel Wireless, Inc. 5.50% Convertible Senior Notes due 2020 (which are sought for exchange) (the “</w:t>
      </w:r>
      <w:r>
        <w:rPr>
          <w:rFonts w:ascii="Times New Roman" w:cs="Times New Roman" w:eastAsia="Times New Roman" w:hAnsi="Times New Roman"/>
          <w:sz w:val="18"/>
          <w:szCs w:val="18"/>
          <w:b w:val="1"/>
          <w:bCs w:val="1"/>
          <w:color w:val="auto"/>
        </w:rPr>
        <w:t>Novatel Wireless Notes</w:t>
      </w:r>
      <w:r>
        <w:rPr>
          <w:rFonts w:ascii="Times New Roman" w:cs="Times New Roman" w:eastAsia="Times New Roman" w:hAnsi="Times New Roman"/>
          <w:sz w:val="18"/>
          <w:szCs w:val="18"/>
          <w:color w:val="auto"/>
        </w:rPr>
        <w:t>”) on the over-the-counter market on December 6, 2016. The Transaction Valuation was calculated assuming that all outstanding Novatel Wireless Notes are being exchanged per the exchange offer for the 5.50% Convertible Senior Notes due 2022 of Inseego Corp.</w:t>
      </w:r>
    </w:p>
    <w:p>
      <w:pPr>
        <w:spacing w:after="0" w:line="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 has been calculated pursuant to Rule 0-11 of the Securities Exchange Act of 1934, as amended.</w:t>
      </w:r>
    </w:p>
    <w:p>
      <w:pPr>
        <w:sectPr>
          <w:pgSz w:w="11900" w:h="16838" w:orient="portrait"/>
          <w:cols w:equalWidth="0" w:num="1">
            <w:col w:w="11440"/>
          </w:cols>
          <w:pgMar w:left="240" w:top="362" w:right="219" w:bottom="1440" w:gutter="0" w:footer="0" w:header="0"/>
        </w:sectPr>
      </w:pPr>
    </w:p>
    <w:bookmarkStart w:id="1" w:name="page2"/>
    <w:bookmarkEnd w:id="1"/>
    <w:p>
      <w:pPr>
        <w:ind w:left="460" w:hanging="452"/>
        <w:spacing w:after="0" w:line="282" w:lineRule="auto"/>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0880"/>
          </w:cols>
          <w:pgMar w:left="240" w:top="243" w:right="779" w:bottom="1440" w:gutter="0" w:footer="0" w:header="0"/>
        </w:sectPr>
      </w:pPr>
    </w:p>
    <w:p>
      <w:pPr>
        <w:spacing w:after="0" w:line="18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Amount Previously Paid: $12,934.44</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Form or Registration No.: S-4</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Filing Party: Inseego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Filed: December 7, 2016</w:t>
      </w:r>
    </w:p>
    <w:p>
      <w:pPr>
        <w:spacing w:after="0" w:line="200" w:lineRule="exact"/>
        <w:rPr>
          <w:sz w:val="20"/>
          <w:szCs w:val="20"/>
          <w:color w:val="auto"/>
        </w:rPr>
      </w:pPr>
    </w:p>
    <w:p>
      <w:pPr>
        <w:sectPr>
          <w:pgSz w:w="11900" w:h="16838" w:orient="portrait"/>
          <w:cols w:equalWidth="0" w:num="2">
            <w:col w:w="6340" w:space="720"/>
            <w:col w:w="3820"/>
          </w:cols>
          <w:pgMar w:left="240" w:top="243" w:right="779" w:bottom="1440" w:gutter="0" w:footer="0" w:header="0"/>
          <w:type w:val="continuous"/>
        </w:sectPr>
      </w:pPr>
    </w:p>
    <w:p>
      <w:pPr>
        <w:spacing w:after="0" w:line="34" w:lineRule="exact"/>
        <w:rPr>
          <w:sz w:val="20"/>
          <w:szCs w:val="20"/>
          <w:color w:val="auto"/>
        </w:rPr>
      </w:pPr>
    </w:p>
    <w:p>
      <w:pPr>
        <w:ind w:left="460" w:hanging="452"/>
        <w:spacing w:after="0"/>
        <w:tabs>
          <w:tab w:leader="none" w:pos="46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131" w:lineRule="exact"/>
        <w:rPr>
          <w:sz w:val="20"/>
          <w:szCs w:val="20"/>
          <w:color w:val="auto"/>
        </w:rPr>
      </w:pPr>
    </w:p>
    <w:p>
      <w:pPr>
        <w:ind w:left="460" w:right="6680" w:hanging="6"/>
        <w:spacing w:after="0" w:line="226" w:lineRule="exact"/>
        <w:tabs>
          <w:tab w:leader="none" w:pos="906"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third-party tender offer subject to Rule 14d-1.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13e-4.</w:t>
      </w:r>
    </w:p>
    <w:p>
      <w:pPr>
        <w:ind w:left="900" w:hanging="446"/>
        <w:spacing w:after="0"/>
        <w:tabs>
          <w:tab w:leader="none" w:pos="9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9" w:lineRule="exact"/>
        <w:rPr>
          <w:rFonts w:ascii="MS PGothic" w:cs="MS PGothic" w:eastAsia="MS PGothic" w:hAnsi="MS PGothic"/>
          <w:sz w:val="18"/>
          <w:szCs w:val="18"/>
          <w:color w:val="auto"/>
        </w:rPr>
      </w:pPr>
    </w:p>
    <w:p>
      <w:pPr>
        <w:ind w:left="900" w:hanging="446"/>
        <w:spacing w:after="0"/>
        <w:tabs>
          <w:tab w:leader="none" w:pos="9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7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131" w:lineRule="exact"/>
        <w:rPr>
          <w:sz w:val="20"/>
          <w:szCs w:val="20"/>
          <w:color w:val="auto"/>
        </w:rPr>
      </w:pPr>
    </w:p>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9" w:lineRule="exact"/>
        <w:rPr>
          <w:rFonts w:ascii="MS PGothic" w:cs="MS PGothic" w:eastAsia="MS PGothic" w:hAnsi="MS PGothic"/>
          <w:sz w:val="18"/>
          <w:szCs w:val="18"/>
          <w:color w:val="auto"/>
        </w:rPr>
      </w:pPr>
    </w:p>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240" w:top="243" w:right="77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TO</w:t>
      </w:r>
    </w:p>
    <w:p>
      <w:pPr>
        <w:spacing w:after="0" w:line="225"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This Amendment No. 2 (this “</w:t>
      </w:r>
      <w:r>
        <w:rPr>
          <w:rFonts w:ascii="Times New Roman" w:cs="Times New Roman" w:eastAsia="Times New Roman" w:hAnsi="Times New Roman"/>
          <w:sz w:val="18"/>
          <w:szCs w:val="18"/>
          <w:b w:val="1"/>
          <w:bCs w:val="1"/>
          <w:color w:val="auto"/>
        </w:rPr>
        <w:t>Amendment No. 2</w:t>
      </w:r>
      <w:r>
        <w:rPr>
          <w:rFonts w:ascii="Times New Roman" w:cs="Times New Roman" w:eastAsia="Times New Roman" w:hAnsi="Times New Roman"/>
          <w:sz w:val="18"/>
          <w:szCs w:val="18"/>
          <w:color w:val="auto"/>
        </w:rPr>
        <w:t>”) amends and supplements the Tender Offer Statement on Schedule TO filed by Inseego Corp., a Delaware corporation (“</w:t>
      </w:r>
      <w:r>
        <w:rPr>
          <w:rFonts w:ascii="Times New Roman" w:cs="Times New Roman" w:eastAsia="Times New Roman" w:hAnsi="Times New Roman"/>
          <w:sz w:val="18"/>
          <w:szCs w:val="18"/>
          <w:b w:val="1"/>
          <w:bCs w:val="1"/>
          <w:color w:val="auto"/>
        </w:rPr>
        <w:t>Inseego</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with a filing date of December 8, 2016, as amended on December 23, 2016 (as so amended or supplemented, the “</w:t>
      </w:r>
      <w:r>
        <w:rPr>
          <w:rFonts w:ascii="Times New Roman" w:cs="Times New Roman" w:eastAsia="Times New Roman" w:hAnsi="Times New Roman"/>
          <w:sz w:val="18"/>
          <w:szCs w:val="18"/>
          <w:b w:val="1"/>
          <w:bCs w:val="1"/>
          <w:color w:val="auto"/>
        </w:rPr>
        <w:t>Schedule TO</w:t>
      </w:r>
      <w:r>
        <w:rPr>
          <w:rFonts w:ascii="Times New Roman" w:cs="Times New Roman" w:eastAsia="Times New Roman" w:hAnsi="Times New Roman"/>
          <w:sz w:val="18"/>
          <w:szCs w:val="18"/>
          <w:color w:val="auto"/>
        </w:rPr>
        <w:t>”), relating to an offer by Inseego to exchange (such offer to exchange, together with the consent solicitation as described in the Schedule TO, the “</w:t>
      </w:r>
      <w:r>
        <w:rPr>
          <w:rFonts w:ascii="Times New Roman" w:cs="Times New Roman" w:eastAsia="Times New Roman" w:hAnsi="Times New Roman"/>
          <w:sz w:val="18"/>
          <w:szCs w:val="18"/>
          <w:b w:val="1"/>
          <w:bCs w:val="1"/>
          <w:color w:val="auto"/>
        </w:rPr>
        <w:t>Exchange Offer and Solicitation</w:t>
      </w:r>
      <w:r>
        <w:rPr>
          <w:rFonts w:ascii="Times New Roman" w:cs="Times New Roman" w:eastAsia="Times New Roman" w:hAnsi="Times New Roman"/>
          <w:sz w:val="18"/>
          <w:szCs w:val="18"/>
          <w:color w:val="auto"/>
        </w:rPr>
        <w:t>”) up to $120,000,000 aggregate principal amount of 5.50% Convertible Senior Notes due 2022 to be issued by Inseego for up to $120,000,000 aggregate principal amount of 5.50% Convertible Senior Notes due 2020 issued by Novatel Wireless, Inc., a Delaware corporation and wholly owned subsidiary of Inseego. A Registration Statement on Form S-4 (File No. 333-214966)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relating to the exchange offer and related consent solicitation was filed with the SEC on December 7, 2016 and was declared effective by the SEC on January 4, 2017. The Exchange Offer and Solicitation is made upon the terms and subject to the conditions contained in the Prospectus, dated January 4, 2017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relating to the Registration Statement, and the related letter of transmittal and consent (the “</w:t>
      </w:r>
      <w:r>
        <w:rPr>
          <w:rFonts w:ascii="Times New Roman" w:cs="Times New Roman" w:eastAsia="Times New Roman" w:hAnsi="Times New Roman"/>
          <w:sz w:val="18"/>
          <w:szCs w:val="18"/>
          <w:b w:val="1"/>
          <w:bCs w:val="1"/>
          <w:color w:val="auto"/>
        </w:rPr>
        <w:t>Letter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Transmittal</w:t>
      </w:r>
      <w:r>
        <w:rPr>
          <w:rFonts w:ascii="Times New Roman" w:cs="Times New Roman" w:eastAsia="Times New Roman" w:hAnsi="Times New Roman"/>
          <w:sz w:val="18"/>
          <w:szCs w:val="18"/>
          <w:color w:val="auto"/>
        </w:rPr>
        <w:t>”), which are incorporated by reference as exhibits (a)(1) and (a)(3), respectively, hereto.</w:t>
      </w:r>
    </w:p>
    <w:p>
      <w:pPr>
        <w:spacing w:after="0" w:line="190" w:lineRule="exact"/>
        <w:rPr>
          <w:sz w:val="20"/>
          <w:szCs w:val="20"/>
          <w:color w:val="auto"/>
        </w:rPr>
      </w:pPr>
    </w:p>
    <w:p>
      <w:pPr>
        <w:ind w:right="260" w:firstLine="456"/>
        <w:spacing w:after="0" w:line="289" w:lineRule="auto"/>
        <w:rPr>
          <w:sz w:val="20"/>
          <w:szCs w:val="20"/>
          <w:color w:val="auto"/>
        </w:rPr>
      </w:pPr>
      <w:r>
        <w:rPr>
          <w:rFonts w:ascii="Times New Roman" w:cs="Times New Roman" w:eastAsia="Times New Roman" w:hAnsi="Times New Roman"/>
          <w:sz w:val="17"/>
          <w:szCs w:val="17"/>
          <w:color w:val="auto"/>
        </w:rPr>
        <w:t>Only those items amended and/or supplemented are reported in this Amendment No. 2. Except as specifically provided herein, the information contained in the Schedule TO remains unchanged, and this Amendment No. 2 does not modify any of the information previously reported on the Schedule TO. This Amendment No. 2 should be read in conjunction with the Schedule TO, the Prospectus, the Registration Statement, and the Letter of Transmittal.</w:t>
      </w:r>
    </w:p>
    <w:p>
      <w:pPr>
        <w:spacing w:after="0" w:line="158"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This Amendment No. 2 is being filed consistent with the reporting requirements of Rule 13e-4(c)(4) promulgated under the Securities Exchange Act of 1934, as amended.</w:t>
      </w:r>
    </w:p>
    <w:p>
      <w:pPr>
        <w:spacing w:after="0" w:line="162" w:lineRule="exact"/>
        <w:rPr>
          <w:sz w:val="20"/>
          <w:szCs w:val="20"/>
          <w:color w:val="auto"/>
        </w:rPr>
      </w:pPr>
    </w:p>
    <w:p>
      <w:pPr>
        <w:ind w:right="420" w:firstLine="456"/>
        <w:spacing w:after="0" w:line="266" w:lineRule="auto"/>
        <w:rPr>
          <w:sz w:val="20"/>
          <w:szCs w:val="20"/>
          <w:color w:val="auto"/>
        </w:rPr>
      </w:pPr>
      <w:r>
        <w:rPr>
          <w:rFonts w:ascii="Times New Roman" w:cs="Times New Roman" w:eastAsia="Times New Roman" w:hAnsi="Times New Roman"/>
          <w:sz w:val="18"/>
          <w:szCs w:val="18"/>
          <w:color w:val="auto"/>
        </w:rPr>
        <w:t>All information contained in the Prospectus and the Letter of Transmittal, and any amendments or any other supplements thereto relating to the Exchange Offer and Solicitation, are hereby expressly incorporated herein by reference in response to all items in this Amendment No. 2, except that the information is hereby amended and supplemented to the extent specifically provided herein.</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4. Terms of the Transaction.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Item 4(a) of the Schedule TO is hereby amended and supplemented by adding the following:</w:t>
      </w:r>
    </w:p>
    <w:p>
      <w:pPr>
        <w:spacing w:after="0" w:line="11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Exchange Offer and Solicitation expired immediately following 11:59 p.m., New York City time, on January 5, 2017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On January 6, 2017, Inseego announced that holders of $119,750,000 aggregate principal amount of Novatel Wireless Notes, representing 99.79% of the principal amount of Novatel Wireless Notes outstanding upon commencement of the Exchange Offer and Solicitation were validly tendered and not validly withdrawn prior to the Expiration Date and had delivered consents to the proposed amendment to the Novatel Wireless Notes and the Novatel Wireless Indenture. All of the Novatel Wireless Notes validly tendered and not withdrawn have been accepted by Inseego for exchange pursuant to the terms of the Exchange Offer and Solicitation. An aggregate principal amount of $250,000 Novatel Wireless Notes will remain outstanding following the consummation of the Exchange Offer and Solicitation.</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Inseego expects that the settlement of the Exchange Offer and Solicitation will occur on January 9, 2017.</w:t>
      </w:r>
    </w:p>
    <w:p>
      <w:pPr>
        <w:spacing w:after="0" w:line="225"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As Inseego also received the necessary consents to amend the Novatel Wireless Notes and the Novatel Wireless Indenture, those Novatel Wireless Notes that will remain outstanding following the settlement of the Exchange Offer and Solicitation will be subject to the terms of a supplemental indenture implementing the amendments approved by the consenting holders.</w:t>
      </w:r>
    </w:p>
    <w:p>
      <w:pPr>
        <w:spacing w:after="0" w:line="176"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full text of Inseego’s press release relating to the announcement of the expiration and results of the Exchange Offer and Solicitation is incorporated herein by reference to Exhibit 99.1 of the Current Report on Form 8-K filed by Inseego on January 6, 2017.”</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266"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12.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 Index attached hereto is incorporated by reference.</w:t>
      </w:r>
    </w:p>
    <w:p>
      <w:pPr>
        <w:spacing w:after="0" w:line="158"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759"/>
          </w:cols>
          <w:pgMar w:left="700" w:top="266"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statement is true, complete and correct.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768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INSEEGO CORP.</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6, 2017</w:t>
            </w:r>
          </w:p>
        </w:tc>
        <w:tc>
          <w:tcPr>
            <w:tcW w:w="768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  /s/ Michael A. Newman</w:t>
            </w:r>
          </w:p>
        </w:tc>
      </w:tr>
      <w:tr>
        <w:trPr>
          <w:trHeight w:val="189"/>
        </w:trPr>
        <w:tc>
          <w:tcPr>
            <w:tcW w:w="37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40" w:type="dxa"/>
            <w:vAlign w:val="bottom"/>
            <w:tcBorders>
              <w:top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Michael A. Newman</w:t>
            </w:r>
          </w:p>
        </w:tc>
      </w:tr>
      <w:tr>
        <w:trPr>
          <w:trHeight w:val="236"/>
        </w:trPr>
        <w:tc>
          <w:tcPr>
            <w:tcW w:w="3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bl>
    <w:p>
      <w:pPr>
        <w:sectPr>
          <w:pgSz w:w="11900" w:h="16838" w:orient="portrait"/>
          <w:cols w:equalWidth="0" w:num="1">
            <w:col w:w="11420"/>
          </w:cols>
          <w:pgMar w:left="240" w:top="266" w:right="2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10600" w:type="dxa"/>
            <w:vAlign w:val="bottom"/>
          </w:tcPr>
          <w:p>
            <w:pPr>
              <w:ind w:left="42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4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(a)(1)</w:t>
            </w:r>
          </w:p>
        </w:tc>
        <w:tc>
          <w:tcPr>
            <w:tcW w:w="10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Prospectus, dated January 4, 2017 (incorporated herein by reference to Inseego’s filing on January 5, 2017, pursuant to Rule 424(b)(3) under</w:t>
            </w:r>
          </w:p>
        </w:tc>
      </w:tr>
      <w:tr>
        <w:trPr>
          <w:trHeight w:val="234"/>
        </w:trPr>
        <w:tc>
          <w:tcPr>
            <w:tcW w:w="820" w:type="dxa"/>
            <w:vAlign w:val="bottom"/>
          </w:tcPr>
          <w:p>
            <w:pPr>
              <w:spacing w:after="0"/>
              <w:rPr>
                <w:sz w:val="20"/>
                <w:szCs w:val="20"/>
                <w:color w:val="auto"/>
              </w:rPr>
            </w:pPr>
          </w:p>
        </w:tc>
        <w:tc>
          <w:tcPr>
            <w:tcW w:w="10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Securities Act of 1933, as amended).</w:t>
            </w:r>
          </w:p>
        </w:tc>
      </w:tr>
      <w:tr>
        <w:trPr>
          <w:trHeight w:val="30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10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 to certain stockholders, dated November 8, 2016 (incorporated herein by reference to Exhibit 99.1 to the Form 8-K filed by Inseego</w:t>
            </w:r>
          </w:p>
        </w:tc>
      </w:tr>
      <w:tr>
        <w:trPr>
          <w:trHeight w:val="234"/>
        </w:trPr>
        <w:tc>
          <w:tcPr>
            <w:tcW w:w="820" w:type="dxa"/>
            <w:vAlign w:val="bottom"/>
          </w:tcPr>
          <w:p>
            <w:pPr>
              <w:spacing w:after="0"/>
              <w:rPr>
                <w:sz w:val="20"/>
                <w:szCs w:val="20"/>
                <w:color w:val="auto"/>
              </w:rPr>
            </w:pPr>
          </w:p>
        </w:tc>
        <w:tc>
          <w:tcPr>
            <w:tcW w:w="10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 on November 9, 2016).</w:t>
            </w:r>
          </w:p>
        </w:tc>
      </w:tr>
      <w:tr>
        <w:trPr>
          <w:trHeight w:val="32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(a)(3)**</w:t>
            </w:r>
          </w:p>
        </w:tc>
        <w:tc>
          <w:tcPr>
            <w:tcW w:w="10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Letter of Transmittal and Consent.</w:t>
            </w:r>
          </w:p>
        </w:tc>
      </w:tr>
      <w:tr>
        <w:trPr>
          <w:trHeight w:val="30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(a)(4)</w:t>
            </w:r>
          </w:p>
        </w:tc>
        <w:tc>
          <w:tcPr>
            <w:tcW w:w="106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Form of Second Supplemental Indenture, between Novatel Wireless, Inc., Inseego Corp. and Wilmington Trust, National Association, as trustee</w:t>
            </w:r>
          </w:p>
        </w:tc>
      </w:tr>
      <w:tr>
        <w:trPr>
          <w:trHeight w:val="234"/>
        </w:trPr>
        <w:tc>
          <w:tcPr>
            <w:tcW w:w="820" w:type="dxa"/>
            <w:vAlign w:val="bottom"/>
          </w:tcPr>
          <w:p>
            <w:pPr>
              <w:spacing w:after="0"/>
              <w:rPr>
                <w:sz w:val="20"/>
                <w:szCs w:val="20"/>
                <w:color w:val="auto"/>
              </w:rPr>
            </w:pPr>
          </w:p>
        </w:tc>
        <w:tc>
          <w:tcPr>
            <w:tcW w:w="10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(incorporated by reference to Exhibit 4.4 of the Registration Statement on Form S-4 filed by Inseego Corp. on December 7, 2016).</w:t>
            </w:r>
          </w:p>
        </w:tc>
      </w:tr>
      <w:tr>
        <w:trPr>
          <w:trHeight w:val="30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(a)(5)</w:t>
            </w:r>
          </w:p>
        </w:tc>
        <w:tc>
          <w:tcPr>
            <w:tcW w:w="10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Novatel Wireless, Inc.’s 5.50% Convertible Senior Note due 2020 (incorporated by reference to Exhibit 4.1 of the Current Report on</w:t>
            </w:r>
          </w:p>
        </w:tc>
      </w:tr>
      <w:tr>
        <w:trPr>
          <w:trHeight w:val="234"/>
        </w:trPr>
        <w:tc>
          <w:tcPr>
            <w:tcW w:w="820" w:type="dxa"/>
            <w:vAlign w:val="bottom"/>
          </w:tcPr>
          <w:p>
            <w:pPr>
              <w:spacing w:after="0"/>
              <w:rPr>
                <w:sz w:val="20"/>
                <w:szCs w:val="20"/>
                <w:color w:val="auto"/>
              </w:rPr>
            </w:pPr>
          </w:p>
        </w:tc>
        <w:tc>
          <w:tcPr>
            <w:tcW w:w="10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8-K filed by Novatel Wireless, Inc. on June 10, 2015).</w:t>
            </w:r>
          </w:p>
        </w:tc>
      </w:tr>
      <w:tr>
        <w:trPr>
          <w:trHeight w:val="30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(a)(6)</w:t>
            </w:r>
          </w:p>
        </w:tc>
        <w:tc>
          <w:tcPr>
            <w:tcW w:w="10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Indenture, between Inseego Corp. and Wilmington Trust, National Association, as trustee (incorporated by reference to Exhibit 4.1 of</w:t>
            </w:r>
          </w:p>
        </w:tc>
      </w:tr>
      <w:tr>
        <w:trPr>
          <w:trHeight w:val="234"/>
        </w:trPr>
        <w:tc>
          <w:tcPr>
            <w:tcW w:w="820" w:type="dxa"/>
            <w:vAlign w:val="bottom"/>
          </w:tcPr>
          <w:p>
            <w:pPr>
              <w:spacing w:after="0"/>
              <w:rPr>
                <w:sz w:val="20"/>
                <w:szCs w:val="20"/>
                <w:color w:val="auto"/>
              </w:rPr>
            </w:pPr>
          </w:p>
        </w:tc>
        <w:tc>
          <w:tcPr>
            <w:tcW w:w="10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Registration Statement on Form S-4 filed by Inseego Corp. on December 7, 2016).</w:t>
            </w:r>
          </w:p>
        </w:tc>
      </w:tr>
      <w:tr>
        <w:trPr>
          <w:trHeight w:val="30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(a)(7)</w:t>
            </w:r>
          </w:p>
        </w:tc>
        <w:tc>
          <w:tcPr>
            <w:tcW w:w="10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Inseego Corp.’s 5.50% Convertible Senior Note due 2022 (incorporated by reference to Exhibit 4.1 of the Registration Statement on</w:t>
            </w:r>
          </w:p>
        </w:tc>
      </w:tr>
      <w:tr>
        <w:trPr>
          <w:trHeight w:val="234"/>
        </w:trPr>
        <w:tc>
          <w:tcPr>
            <w:tcW w:w="820" w:type="dxa"/>
            <w:vAlign w:val="bottom"/>
          </w:tcPr>
          <w:p>
            <w:pPr>
              <w:spacing w:after="0"/>
              <w:rPr>
                <w:sz w:val="20"/>
                <w:szCs w:val="20"/>
                <w:color w:val="auto"/>
              </w:rPr>
            </w:pPr>
          </w:p>
        </w:tc>
        <w:tc>
          <w:tcPr>
            <w:tcW w:w="10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S-4 filed by Inseego Corp. on December 7, 2016).</w:t>
            </w:r>
          </w:p>
        </w:tc>
      </w:tr>
      <w:tr>
        <w:trPr>
          <w:trHeight w:val="32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(a)(8)*</w:t>
            </w:r>
          </w:p>
        </w:tc>
        <w:tc>
          <w:tcPr>
            <w:tcW w:w="10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Press Release, dated December 8, 2016.</w:t>
            </w:r>
          </w:p>
        </w:tc>
      </w:tr>
      <w:tr>
        <w:trPr>
          <w:trHeight w:val="32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(a)(9)</w:t>
            </w:r>
          </w:p>
        </w:tc>
        <w:tc>
          <w:tcPr>
            <w:tcW w:w="10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Press Release, dated December 12, 2016 (incorporated by reference to the Form 425 filed by Inseego Corp. on December 12, 2016).</w:t>
            </w:r>
          </w:p>
        </w:tc>
      </w:tr>
      <w:tr>
        <w:trPr>
          <w:trHeight w:val="32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(a)(10)</w:t>
            </w:r>
          </w:p>
        </w:tc>
        <w:tc>
          <w:tcPr>
            <w:tcW w:w="10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Investor Presentation (incorporated by reference to the Form 425 filed by Inseego Corp. on December 12, 2016).</w:t>
            </w:r>
          </w:p>
        </w:tc>
      </w:tr>
      <w:tr>
        <w:trPr>
          <w:trHeight w:val="30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(a)(11)</w:t>
            </w:r>
          </w:p>
        </w:tc>
        <w:tc>
          <w:tcPr>
            <w:tcW w:w="10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Press Release, dated January 6, 2017 (incorporated by reference to Exhibit 99.1 of the Current Report on Form 8-K filed by Inseego Corp. on</w:t>
            </w:r>
          </w:p>
        </w:tc>
      </w:tr>
      <w:tr>
        <w:trPr>
          <w:trHeight w:val="234"/>
        </w:trPr>
        <w:tc>
          <w:tcPr>
            <w:tcW w:w="820" w:type="dxa"/>
            <w:vAlign w:val="bottom"/>
          </w:tcPr>
          <w:p>
            <w:pPr>
              <w:spacing w:after="0"/>
              <w:rPr>
                <w:sz w:val="20"/>
                <w:szCs w:val="20"/>
                <w:color w:val="auto"/>
              </w:rPr>
            </w:pPr>
          </w:p>
        </w:tc>
        <w:tc>
          <w:tcPr>
            <w:tcW w:w="10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January 6, 2017).</w:t>
            </w:r>
          </w:p>
        </w:tc>
      </w:tr>
    </w:tbl>
    <w:p>
      <w:pPr>
        <w:spacing w:after="0" w:line="90" w:lineRule="exact"/>
        <w:rPr>
          <w:sz w:val="20"/>
          <w:szCs w:val="20"/>
          <w:color w:val="auto"/>
        </w:rPr>
      </w:pPr>
    </w:p>
    <w:p>
      <w:pPr>
        <w:ind w:left="1040" w:hanging="103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(d)(1)</w:t>
            </w:r>
          </w:p>
        </w:tc>
        <w:tc>
          <w:tcPr>
            <w:tcW w:w="105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Indenture, dated as of June 10, 2015, between Novatel Wireless, Inc. and Wilmington Trust, National Association, as trustee (incorporated by</w:t>
            </w:r>
          </w:p>
        </w:tc>
      </w:tr>
      <w:tr>
        <w:trPr>
          <w:trHeight w:val="234"/>
        </w:trPr>
        <w:tc>
          <w:tcPr>
            <w:tcW w:w="740" w:type="dxa"/>
            <w:vAlign w:val="bottom"/>
          </w:tcPr>
          <w:p>
            <w:pPr>
              <w:spacing w:after="0"/>
              <w:rPr>
                <w:sz w:val="20"/>
                <w:szCs w:val="20"/>
                <w:color w:val="auto"/>
              </w:rPr>
            </w:pPr>
          </w:p>
        </w:tc>
        <w:tc>
          <w:tcPr>
            <w:tcW w:w="10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reference to Exhibit 4.1 of the Current Report on Form 8-K filed by Novatel Wireless, Inc. on June 10, 2015).</w:t>
            </w:r>
          </w:p>
        </w:tc>
      </w:tr>
      <w:tr>
        <w:trPr>
          <w:trHeight w:val="30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(d)(2)</w:t>
            </w:r>
          </w:p>
        </w:tc>
        <w:tc>
          <w:tcPr>
            <w:tcW w:w="10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First Supplemental Indenture, dated November 8, 2016, among Novatel Wireless, Inc., Inseego Corp. and Wilmington Trust, National</w:t>
            </w:r>
          </w:p>
        </w:tc>
      </w:tr>
      <w:tr>
        <w:trPr>
          <w:trHeight w:val="234"/>
        </w:trPr>
        <w:tc>
          <w:tcPr>
            <w:tcW w:w="740" w:type="dxa"/>
            <w:vAlign w:val="bottom"/>
          </w:tcPr>
          <w:p>
            <w:pPr>
              <w:spacing w:after="0"/>
              <w:rPr>
                <w:sz w:val="20"/>
                <w:szCs w:val="20"/>
                <w:color w:val="auto"/>
              </w:rPr>
            </w:pPr>
          </w:p>
        </w:tc>
        <w:tc>
          <w:tcPr>
            <w:tcW w:w="10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Association (incorporated by reference to Exhibit 4.2 of the Current Report on Form 8-K filed by Inseego Corp. on November 9, 2016).</w:t>
            </w:r>
          </w:p>
        </w:tc>
      </w:tr>
      <w:tr>
        <w:trPr>
          <w:trHeight w:val="30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(d)(3)</w:t>
            </w:r>
          </w:p>
        </w:tc>
        <w:tc>
          <w:tcPr>
            <w:tcW w:w="10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Investors’ Rights Agreement, dated September 8, 2014, by and between Novatel Wireless, Inc. and HC2 Holdings 2, Inc. (incorporated by</w:t>
            </w:r>
          </w:p>
        </w:tc>
      </w:tr>
      <w:tr>
        <w:trPr>
          <w:trHeight w:val="234"/>
        </w:trPr>
        <w:tc>
          <w:tcPr>
            <w:tcW w:w="740" w:type="dxa"/>
            <w:vAlign w:val="bottom"/>
          </w:tcPr>
          <w:p>
            <w:pPr>
              <w:spacing w:after="0"/>
              <w:rPr>
                <w:sz w:val="20"/>
                <w:szCs w:val="20"/>
                <w:color w:val="auto"/>
              </w:rPr>
            </w:pPr>
          </w:p>
        </w:tc>
        <w:tc>
          <w:tcPr>
            <w:tcW w:w="10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reference to Exhibit 4.2 to the Current Report on Form 8-K filed by Novatel Wireless, Inc. on September 8, 2014).</w:t>
            </w:r>
          </w:p>
        </w:tc>
      </w:tr>
    </w:tbl>
    <w:p>
      <w:pPr>
        <w:sectPr>
          <w:pgSz w:w="11900" w:h="16838" w:orient="portrait"/>
          <w:cols w:equalWidth="0" w:num="1">
            <w:col w:w="11420"/>
          </w:cols>
          <w:pgMar w:left="240" w:top="266" w:right="2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(d)(4)</w:t>
            </w:r>
          </w:p>
        </w:tc>
        <w:tc>
          <w:tcPr>
            <w:tcW w:w="105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Warrant to Purchase Common Stock issued to HC2 Holdings 2, Inc., dated September 8, 2014 (incorporated by reference to Exhibit 4.1 to the</w:t>
            </w:r>
          </w:p>
        </w:tc>
      </w:tr>
      <w:tr>
        <w:trPr>
          <w:trHeight w:val="234"/>
        </w:trPr>
        <w:tc>
          <w:tcPr>
            <w:tcW w:w="780" w:type="dxa"/>
            <w:vAlign w:val="bottom"/>
          </w:tcPr>
          <w:p>
            <w:pPr>
              <w:spacing w:after="0"/>
              <w:rPr>
                <w:sz w:val="20"/>
                <w:szCs w:val="20"/>
                <w:color w:val="auto"/>
              </w:rPr>
            </w:pPr>
          </w:p>
        </w:tc>
        <w:tc>
          <w:tcPr>
            <w:tcW w:w="10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Report on Form 8-K filed by Novatel Wireless, Inc. on September 8, 2014).</w:t>
            </w:r>
          </w:p>
        </w:tc>
      </w:tr>
      <w:tr>
        <w:trPr>
          <w:trHeight w:val="30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(d)(5)</w:t>
            </w:r>
          </w:p>
        </w:tc>
        <w:tc>
          <w:tcPr>
            <w:tcW w:w="10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Warrant to Purchase Common Stock issued to HC2 Holdings 2, Inc., dated March 26, 2015 (incorporated by reference to Exhibit 4.1 to the</w:t>
            </w:r>
          </w:p>
        </w:tc>
      </w:tr>
      <w:tr>
        <w:trPr>
          <w:trHeight w:val="234"/>
        </w:trPr>
        <w:tc>
          <w:tcPr>
            <w:tcW w:w="780" w:type="dxa"/>
            <w:vAlign w:val="bottom"/>
          </w:tcPr>
          <w:p>
            <w:pPr>
              <w:spacing w:after="0"/>
              <w:rPr>
                <w:sz w:val="20"/>
                <w:szCs w:val="20"/>
                <w:color w:val="auto"/>
              </w:rPr>
            </w:pPr>
          </w:p>
        </w:tc>
        <w:tc>
          <w:tcPr>
            <w:tcW w:w="10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Report on Form 8-K filed by Novatel Wireless, Inc. on April 1, 2015).</w:t>
            </w:r>
          </w:p>
        </w:tc>
      </w:tr>
      <w:tr>
        <w:trPr>
          <w:trHeight w:val="30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(d)(6)</w:t>
            </w:r>
          </w:p>
        </w:tc>
        <w:tc>
          <w:tcPr>
            <w:tcW w:w="105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Amended and Restated Inseego Corp. 2000 Employee Stock Purchase Plan (incorporated herein by reference to Appendix A to the Form 14A</w:t>
            </w:r>
          </w:p>
        </w:tc>
      </w:tr>
      <w:tr>
        <w:trPr>
          <w:trHeight w:val="234"/>
        </w:trPr>
        <w:tc>
          <w:tcPr>
            <w:tcW w:w="780" w:type="dxa"/>
            <w:vAlign w:val="bottom"/>
          </w:tcPr>
          <w:p>
            <w:pPr>
              <w:spacing w:after="0"/>
              <w:rPr>
                <w:sz w:val="20"/>
                <w:szCs w:val="20"/>
                <w:color w:val="auto"/>
              </w:rPr>
            </w:pPr>
          </w:p>
        </w:tc>
        <w:tc>
          <w:tcPr>
            <w:tcW w:w="10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filed by Novatel Wireless, Inc. on May 2, 2011).</w:t>
            </w:r>
          </w:p>
        </w:tc>
      </w:tr>
      <w:tr>
        <w:trPr>
          <w:trHeight w:val="30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(d)(7)</w:t>
            </w:r>
          </w:p>
        </w:tc>
        <w:tc>
          <w:tcPr>
            <w:tcW w:w="10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Amended and Restated Inseego Corp. 2000 Stock Incentive Plan (incorporated herein by reference to Exhibit 10.1 to the Quarterly Report on</w:t>
            </w:r>
          </w:p>
        </w:tc>
      </w:tr>
      <w:tr>
        <w:trPr>
          <w:trHeight w:val="234"/>
        </w:trPr>
        <w:tc>
          <w:tcPr>
            <w:tcW w:w="780" w:type="dxa"/>
            <w:vAlign w:val="bottom"/>
          </w:tcPr>
          <w:p>
            <w:pPr>
              <w:spacing w:after="0"/>
              <w:rPr>
                <w:sz w:val="20"/>
                <w:szCs w:val="20"/>
                <w:color w:val="auto"/>
              </w:rPr>
            </w:pPr>
          </w:p>
        </w:tc>
        <w:tc>
          <w:tcPr>
            <w:tcW w:w="10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10-Q for the fiscal quarter ended June 30, 2007, filed by Novatel Wireless, Inc. on August 9, 2007).</w:t>
            </w:r>
          </w:p>
        </w:tc>
      </w:tr>
      <w:tr>
        <w:trPr>
          <w:trHeight w:val="30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(d)(8)</w:t>
            </w:r>
          </w:p>
        </w:tc>
        <w:tc>
          <w:tcPr>
            <w:tcW w:w="10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Amended and Restated Inseego Corp. 2009 Omnibus Incentive Compensation Plan (incorporated herein by reference to Exhibit 10.1 to the</w:t>
            </w:r>
          </w:p>
        </w:tc>
      </w:tr>
      <w:tr>
        <w:trPr>
          <w:trHeight w:val="234"/>
        </w:trPr>
        <w:tc>
          <w:tcPr>
            <w:tcW w:w="780" w:type="dxa"/>
            <w:vAlign w:val="bottom"/>
          </w:tcPr>
          <w:p>
            <w:pPr>
              <w:spacing w:after="0"/>
              <w:rPr>
                <w:sz w:val="20"/>
                <w:szCs w:val="20"/>
                <w:color w:val="auto"/>
              </w:rPr>
            </w:pPr>
          </w:p>
        </w:tc>
        <w:tc>
          <w:tcPr>
            <w:tcW w:w="10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Report on Form 8-K filed by Novatel Wireless, Inc. on June 20, 2016).</w:t>
            </w:r>
          </w:p>
        </w:tc>
      </w:tr>
      <w:tr>
        <w:trPr>
          <w:trHeight w:val="30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(d)(9)</w:t>
            </w:r>
          </w:p>
        </w:tc>
        <w:tc>
          <w:tcPr>
            <w:tcW w:w="10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Amended and Restated Inseego Corp. 2015 Incentive Compensation Plan (incorporated herein by reference to Exhibit 4.3 to the Registration</w:t>
            </w:r>
          </w:p>
        </w:tc>
      </w:tr>
      <w:tr>
        <w:trPr>
          <w:trHeight w:val="234"/>
        </w:trPr>
        <w:tc>
          <w:tcPr>
            <w:tcW w:w="780" w:type="dxa"/>
            <w:vAlign w:val="bottom"/>
          </w:tcPr>
          <w:p>
            <w:pPr>
              <w:spacing w:after="0"/>
              <w:rPr>
                <w:sz w:val="20"/>
                <w:szCs w:val="20"/>
                <w:color w:val="auto"/>
              </w:rPr>
            </w:pPr>
          </w:p>
        </w:tc>
        <w:tc>
          <w:tcPr>
            <w:tcW w:w="10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Statement on Form S-8 filed by Novatel Wireless, Inc. on October 1, 2015).</w:t>
            </w:r>
          </w:p>
        </w:tc>
      </w:tr>
      <w:tr>
        <w:trPr>
          <w:trHeight w:val="30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(d)(10)</w:t>
            </w:r>
          </w:p>
        </w:tc>
        <w:tc>
          <w:tcPr>
            <w:tcW w:w="10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Contribution Agreement, dated November 8, 2016, by and between Novatel Wireless, Inc. and Inseego Corp. (incorporated by reference to</w:t>
            </w:r>
          </w:p>
        </w:tc>
      </w:tr>
      <w:tr>
        <w:trPr>
          <w:trHeight w:val="234"/>
        </w:trPr>
        <w:tc>
          <w:tcPr>
            <w:tcW w:w="780" w:type="dxa"/>
            <w:vAlign w:val="bottom"/>
          </w:tcPr>
          <w:p>
            <w:pPr>
              <w:spacing w:after="0"/>
              <w:rPr>
                <w:sz w:val="20"/>
                <w:szCs w:val="20"/>
                <w:color w:val="auto"/>
              </w:rPr>
            </w:pPr>
          </w:p>
        </w:tc>
        <w:tc>
          <w:tcPr>
            <w:tcW w:w="10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Exhibit 10.1 to the Current Report on Form 8-K filed by Inseego Corp. on November 9, 2016).</w:t>
            </w:r>
          </w:p>
        </w:tc>
      </w:tr>
    </w:tbl>
    <w:p>
      <w:pPr>
        <w:spacing w:after="0" w:line="90" w:lineRule="exact"/>
        <w:rPr>
          <w:sz w:val="20"/>
          <w:szCs w:val="20"/>
          <w:color w:val="auto"/>
        </w:rPr>
      </w:pPr>
    </w:p>
    <w:p>
      <w:pPr>
        <w:ind w:left="1040" w:hanging="1032"/>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31" w:lineRule="exact"/>
        <w:rPr>
          <w:sz w:val="20"/>
          <w:szCs w:val="20"/>
          <w:color w:val="auto"/>
        </w:rPr>
      </w:pPr>
    </w:p>
    <w:p>
      <w:pPr>
        <w:ind w:right="6120" w:firstLine="8"/>
        <w:spacing w:after="0" w:line="282" w:lineRule="auto"/>
        <w:tabs>
          <w:tab w:leader="none" w:pos="4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Schedule TO dated December 8, 2016. ** Previously filed with the Schedule TO dated December 23, 2016.</w:t>
      </w:r>
    </w:p>
    <w:sectPr>
      <w:pgSz w:w="11900" w:h="16838" w:orient="portrait"/>
      <w:cols w:equalWidth="0" w:num="1">
        <w:col w:w="11280"/>
      </w:cols>
      <w:pgMar w:left="240" w:top="37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Letter"/>
      <w:start w:val="7"/>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2019-12-06T06:04:04Z</dcterms:created>
  <dcterms:modified xsi:type="dcterms:W3CDTF">2019-12-06T06:04:04Z</dcterms:modified>
</cp:coreProperties>
</file>