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133350</wp:posOffset>
            </wp:positionV>
            <wp:extent cx="1320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7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41275</wp:posOffset>
            </wp:positionV>
            <wp:extent cx="1320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8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60"/>
              <w:spacing w:after="0"/>
              <w:rPr>
                <w:sz w:val="20"/>
                <w:szCs w:val="20"/>
                <w:color w:val="auto"/>
              </w:rPr>
            </w:pPr>
            <w:r>
              <w:rPr>
                <w:rFonts w:ascii="Arial" w:cs="Arial" w:eastAsia="Arial" w:hAnsi="Arial"/>
                <w:sz w:val="18"/>
                <w:szCs w:val="18"/>
                <w:b w:val="1"/>
                <w:bCs w:val="1"/>
                <w:color w:val="auto"/>
              </w:rPr>
              <w:t>Commission file number: 001-38358</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120015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383"/>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60" w:type="dxa"/>
            <w:vAlign w:val="bottom"/>
            <w:gridSpan w:val="2"/>
          </w:tcPr>
          <w:p>
            <w:pPr>
              <w:jc w:val="center"/>
              <w:ind w:right="1848"/>
              <w:spacing w:after="0"/>
              <w:rPr>
                <w:sz w:val="20"/>
                <w:szCs w:val="20"/>
                <w:color w:val="auto"/>
              </w:rPr>
            </w:pPr>
            <w:r>
              <w:rPr>
                <w:rFonts w:ascii="Arial" w:cs="Arial" w:eastAsia="Arial" w:hAnsi="Arial"/>
                <w:sz w:val="32"/>
                <w:szCs w:val="32"/>
                <w:b w:val="1"/>
                <w:bCs w:val="1"/>
                <w:color w:val="auto"/>
                <w:w w:val="99"/>
              </w:rPr>
              <w:t>INSEEGO CORP.</w:t>
            </w:r>
          </w:p>
        </w:tc>
      </w:tr>
      <w:tr>
        <w:trPr>
          <w:trHeight w:val="192"/>
        </w:trPr>
        <w:tc>
          <w:tcPr>
            <w:tcW w:w="20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80" w:type="dxa"/>
            <w:vAlign w:val="bottom"/>
          </w:tcPr>
          <w:p>
            <w:pPr>
              <w:spacing w:after="0"/>
              <w:rPr>
                <w:sz w:val="16"/>
                <w:szCs w:val="16"/>
                <w:color w:val="auto"/>
              </w:rPr>
            </w:pPr>
          </w:p>
        </w:tc>
      </w:tr>
      <w:tr>
        <w:trPr>
          <w:trHeight w:val="378"/>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(State or Other Jurisdiction</w:t>
            </w:r>
          </w:p>
        </w:tc>
        <w:tc>
          <w:tcPr>
            <w:tcW w:w="3780" w:type="dxa"/>
            <w:vAlign w:val="bottom"/>
          </w:tcPr>
          <w:p>
            <w:pPr>
              <w:spacing w:after="0"/>
              <w:rPr>
                <w:sz w:val="15"/>
                <w:szCs w:val="15"/>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 Incorporation or Organization)</w:t>
            </w:r>
          </w:p>
        </w:tc>
        <w:tc>
          <w:tcPr>
            <w:tcW w:w="3780" w:type="dxa"/>
            <w:vAlign w:val="bottom"/>
          </w:tcPr>
          <w:p>
            <w:pPr>
              <w:spacing w:after="0"/>
              <w:rPr>
                <w:sz w:val="16"/>
                <w:szCs w:val="16"/>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9605 Scranton Road, Suite 300</w:t>
            </w:r>
          </w:p>
        </w:tc>
        <w:tc>
          <w:tcPr>
            <w:tcW w:w="3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San Diego, California</w:t>
            </w:r>
          </w:p>
        </w:tc>
        <w:tc>
          <w:tcPr>
            <w:tcW w:w="526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92121</w:t>
            </w:r>
          </w:p>
        </w:tc>
      </w:tr>
      <w:tr>
        <w:trPr>
          <w:trHeight w:val="218"/>
        </w:trPr>
        <w:tc>
          <w:tcPr>
            <w:tcW w:w="2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780" w:type="dxa"/>
            <w:vAlign w:val="bottom"/>
          </w:tcPr>
          <w:p>
            <w:pPr>
              <w:spacing w:after="0"/>
              <w:rPr>
                <w:sz w:val="18"/>
                <w:szCs w:val="18"/>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189230</wp:posOffset>
            </wp:positionV>
            <wp:extent cx="1191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8"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6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60" w:type="dxa"/>
            <w:vAlign w:val="bottom"/>
          </w:tcPr>
          <w:p>
            <w:pPr>
              <w:ind w:left="13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6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Yes</w:t>
      </w:r>
      <w:r>
        <w:rPr>
          <w:rFonts w:ascii="MS PGothic" w:cs="MS PGothic" w:eastAsia="MS PGothic" w:hAnsi="MS PGothic"/>
          <w:sz w:val="17"/>
          <w:szCs w:val="17"/>
          <w:color w:val="auto"/>
        </w:rPr>
        <w:t>☐</w:t>
      </w:r>
      <w:r>
        <w:rPr>
          <w:rFonts w:ascii="Arial" w:cs="Arial" w:eastAsia="Arial" w:hAnsi="Arial"/>
          <w:sz w:val="17"/>
          <w:szCs w:val="17"/>
          <w:color w:val="auto"/>
        </w:rPr>
        <w:t xml:space="preserve"> No x The number of shares of the registrant’s common stock outstanding as of August 6, 2018 was 72,412,170.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11"/>
        </w:trPr>
        <w:tc>
          <w:tcPr>
            <w:tcW w:w="874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I—FINANCIAL INFORMATION</w:t>
              </w:r>
            </w:hyperlink>
          </w:p>
        </w:tc>
        <w:tc>
          <w:tcPr>
            <w:tcW w:w="460" w:type="dxa"/>
            <w:vAlign w:val="bottom"/>
          </w:tcPr>
          <w:p>
            <w:pPr>
              <w:spacing w:after="0"/>
              <w:rPr>
                <w:sz w:val="24"/>
                <w:szCs w:val="24"/>
                <w:color w:val="auto"/>
              </w:rPr>
            </w:pP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4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Loss (Unaudited)</w:t>
              </w:r>
            </w:hyperlink>
          </w:p>
        </w:tc>
        <w:tc>
          <w:tcPr>
            <w:tcW w:w="4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(Unaudited)</w:t>
              </w:r>
            </w:hyperlink>
          </w:p>
        </w:tc>
        <w:tc>
          <w:tcPr>
            <w:tcW w:w="4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4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21">
              <w:r>
                <w:rPr>
                  <w:rFonts w:ascii="Arial" w:cs="Arial" w:eastAsia="Arial" w:hAnsi="Arial"/>
                  <w:sz w:val="18"/>
                  <w:szCs w:val="18"/>
                  <w:color w:val="auto"/>
                </w:rPr>
                <w:t>Management’s Discussion and Analysis of Financial Condition and Results of Operations</w:t>
              </w:r>
            </w:hyperlink>
          </w:p>
        </w:tc>
        <w:tc>
          <w:tcPr>
            <w:tcW w:w="460" w:type="dxa"/>
            <w:vAlign w:val="bottom"/>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Quantitative and Qualitative Disclosures About Market Risk</w:t>
              </w:r>
            </w:hyperlink>
          </w:p>
        </w:tc>
        <w:tc>
          <w:tcPr>
            <w:tcW w:w="4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Controls and Procedures</w:t>
              </w:r>
            </w:hyperlink>
          </w:p>
        </w:tc>
        <w:tc>
          <w:tcPr>
            <w:tcW w:w="4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PART II—OTHER INFORMATION</w:t>
              </w:r>
            </w:hyperlink>
          </w:p>
        </w:tc>
        <w:tc>
          <w:tcPr>
            <w:tcW w:w="460" w:type="dxa"/>
            <w:vAlign w:val="bottom"/>
          </w:tcPr>
          <w:p>
            <w:pPr>
              <w:spacing w:after="0"/>
              <w:rPr>
                <w:sz w:val="24"/>
                <w:szCs w:val="24"/>
                <w:color w:val="auto"/>
              </w:rPr>
            </w:pPr>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6">
              <w:r>
                <w:rPr>
                  <w:rFonts w:ascii="Arial" w:cs="Arial" w:eastAsia="Arial" w:hAnsi="Arial"/>
                  <w:sz w:val="18"/>
                  <w:szCs w:val="18"/>
                  <w:color w:val="auto"/>
                </w:rPr>
                <w:t>Legal Proceedings</w:t>
              </w:r>
            </w:hyperlink>
          </w:p>
        </w:tc>
        <w:tc>
          <w:tcPr>
            <w:tcW w:w="4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tcPr>
          <w:p>
            <w:pPr>
              <w:ind w:left="60"/>
              <w:spacing w:after="0"/>
              <w:rPr>
                <w:rFonts w:ascii="Arial" w:cs="Arial" w:eastAsia="Arial" w:hAnsi="Arial"/>
                <w:sz w:val="18"/>
                <w:szCs w:val="18"/>
                <w:color w:val="auto"/>
              </w:rPr>
            </w:pPr>
            <w:hyperlink w:anchor="page36">
              <w:r>
                <w:rPr>
                  <w:rFonts w:ascii="Arial" w:cs="Arial" w:eastAsia="Arial" w:hAnsi="Arial"/>
                  <w:sz w:val="18"/>
                  <w:szCs w:val="18"/>
                  <w:color w:val="auto"/>
                </w:rPr>
                <w:t>Risk Factors</w:t>
              </w:r>
            </w:hyperlink>
          </w:p>
        </w:tc>
        <w:tc>
          <w:tcPr>
            <w:tcW w:w="4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36">
              <w:r>
                <w:rPr>
                  <w:rFonts w:ascii="Arial" w:cs="Arial" w:eastAsia="Arial" w:hAnsi="Arial"/>
                  <w:sz w:val="18"/>
                  <w:szCs w:val="18"/>
                  <w:color w:val="auto"/>
                </w:rPr>
                <w:t>Unregistered Sales of Equity Securities and Use of Proceeds</w:t>
              </w:r>
            </w:hyperlink>
          </w:p>
        </w:tc>
        <w:tc>
          <w:tcPr>
            <w:tcW w:w="4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6">
              <w:r>
                <w:rPr>
                  <w:rFonts w:ascii="Arial" w:cs="Arial" w:eastAsia="Arial" w:hAnsi="Arial"/>
                  <w:sz w:val="18"/>
                  <w:szCs w:val="18"/>
                  <w:color w:val="auto"/>
                </w:rPr>
                <w:t>Defaults Upon Senior Securities</w:t>
              </w:r>
            </w:hyperlink>
          </w:p>
        </w:tc>
        <w:tc>
          <w:tcPr>
            <w:tcW w:w="4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6">
              <w:r>
                <w:rPr>
                  <w:rFonts w:ascii="Arial" w:cs="Arial" w:eastAsia="Arial" w:hAnsi="Arial"/>
                  <w:sz w:val="18"/>
                  <w:szCs w:val="18"/>
                  <w:color w:val="auto"/>
                </w:rPr>
                <w:t>Mine Safety Disclosures</w:t>
              </w:r>
            </w:hyperlink>
          </w:p>
        </w:tc>
        <w:tc>
          <w:tcPr>
            <w:tcW w:w="4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8040" w:type="dxa"/>
            <w:vAlign w:val="bottom"/>
          </w:tcPr>
          <w:p>
            <w:pPr>
              <w:ind w:left="60"/>
              <w:spacing w:after="0"/>
              <w:rPr>
                <w:rFonts w:ascii="Arial" w:cs="Arial" w:eastAsia="Arial" w:hAnsi="Arial"/>
                <w:sz w:val="18"/>
                <w:szCs w:val="18"/>
                <w:color w:val="auto"/>
              </w:rPr>
            </w:pPr>
            <w:hyperlink w:anchor="page36">
              <w:r>
                <w:rPr>
                  <w:rFonts w:ascii="Arial" w:cs="Arial" w:eastAsia="Arial" w:hAnsi="Arial"/>
                  <w:sz w:val="18"/>
                  <w:szCs w:val="18"/>
                  <w:color w:val="auto"/>
                </w:rPr>
                <w:t>Other Information</w:t>
              </w:r>
            </w:hyperlink>
          </w:p>
        </w:tc>
        <w:tc>
          <w:tcPr>
            <w:tcW w:w="4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8040" w:type="dxa"/>
            <w:vAlign w:val="bottom"/>
          </w:tcPr>
          <w:p>
            <w:pPr>
              <w:ind w:left="60"/>
              <w:spacing w:after="0"/>
              <w:rPr>
                <w:rFonts w:ascii="Arial" w:cs="Arial" w:eastAsia="Arial" w:hAnsi="Arial"/>
                <w:sz w:val="18"/>
                <w:szCs w:val="18"/>
                <w:color w:val="auto"/>
              </w:rPr>
            </w:pPr>
            <w:hyperlink w:anchor="page37">
              <w:r>
                <w:rPr>
                  <w:rFonts w:ascii="Arial" w:cs="Arial" w:eastAsia="Arial" w:hAnsi="Arial"/>
                  <w:sz w:val="18"/>
                  <w:szCs w:val="18"/>
                  <w:color w:val="auto"/>
                </w:rPr>
                <w:t>Exhibits</w:t>
              </w:r>
            </w:hyperlink>
          </w:p>
        </w:tc>
        <w:tc>
          <w:tcPr>
            <w:tcW w:w="46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SIGNATURES</w:t>
              </w:r>
            </w:hyperlink>
          </w:p>
        </w:tc>
        <w:tc>
          <w:tcPr>
            <w:tcW w:w="4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bl>
    <w:p>
      <w:pPr>
        <w:sectPr>
          <w:pgSz w:w="11900" w:h="16838" w:orient="portrait"/>
          <w:cols w:equalWidth="0" w:num="1">
            <w:col w:w="9200"/>
          </w:cols>
          <w:pgMar w:left="1360" w:top="364" w:right="1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8"/>
        </w:trPr>
        <w:tc>
          <w:tcPr>
            <w:tcW w:w="8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9"/>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7"/>
        </w:trPr>
        <w:tc>
          <w:tcPr>
            <w:tcW w:w="8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21,198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 for doubtful accounts of $2,510 and $2,683,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15,674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12,937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20,403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9,101</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61,417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66,437</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$28,991 and $28,138,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assets, net of accumulated depreciation of $10,439 and $9,039, respectively</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7,563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$27,922 and $25,473,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38,671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34,358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37,681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864</w:t>
            </w:r>
          </w:p>
        </w:tc>
      </w:tr>
      <w:tr>
        <w:trPr>
          <w:trHeight w:val="284"/>
        </w:trPr>
        <w:tc>
          <w:tcPr>
            <w:tcW w:w="88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142,486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158,207</w:t>
            </w:r>
          </w:p>
        </w:tc>
      </w:tr>
      <w:tr>
        <w:trPr>
          <w:trHeight w:val="237"/>
        </w:trPr>
        <w:tc>
          <w:tcPr>
            <w:tcW w:w="8800" w:type="dxa"/>
            <w:vAlign w:val="bottom"/>
            <w:tcBorders>
              <w:bottom w:val="single" w:sz="8" w:color="CCEEFF"/>
            </w:tcBorders>
            <w:shd w:val="clear" w:color="auto" w:fill="CCEEFF"/>
          </w:tcPr>
          <w:p>
            <w:pPr>
              <w:ind w:left="2620"/>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29,332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35,397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27,558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3,075</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67,172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59,965</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88,913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84,773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44,055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5,261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9,768</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207,129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203,822</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8800" w:type="dxa"/>
            <w:vAlign w:val="bottom"/>
          </w:tcPr>
          <w:p>
            <w:pPr>
              <w:ind w:left="280"/>
              <w:spacing w:after="0"/>
              <w:rPr>
                <w:sz w:val="20"/>
                <w:szCs w:val="20"/>
                <w:color w:val="auto"/>
              </w:rPr>
            </w:pPr>
            <w:r>
              <w:rPr>
                <w:rFonts w:ascii="Arial" w:cs="Arial" w:eastAsia="Arial" w:hAnsi="Arial"/>
                <w:sz w:val="16"/>
                <w:szCs w:val="16"/>
                <w:color w:val="auto"/>
                <w:w w:val="94"/>
              </w:rPr>
              <w:t>Common stock, par value $0.001; 150,000,000 shares authorized, 59,742,747 and 58,644,559 shares issued and outstanding,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880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522,033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519,531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4,604</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(584,469)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(569,759)</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deficit attributable to Inseego Corp.</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(45,565)</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(45,615)</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142,486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158,207</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44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6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82,027</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17,316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16,648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35,169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33,275</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49,057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95,790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115,302</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67,638</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6,998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13,860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12,842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 net of recoveries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17"/>
        </w:trPr>
        <w:tc>
          <w:tcPr>
            <w:tcW w:w="652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31,400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42,684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62,590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81,887</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33,415</w:t>
            </w:r>
          </w:p>
        </w:tc>
        <w:tc>
          <w:tcPr>
            <w:tcW w:w="0" w:type="dxa"/>
            <w:vAlign w:val="bottom"/>
          </w:tcPr>
          <w:p>
            <w:pPr>
              <w:spacing w:after="0"/>
              <w:rPr>
                <w:sz w:val="1"/>
                <w:szCs w:val="1"/>
                <w:color w:val="auto"/>
              </w:rPr>
            </w:pP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11,689</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5,635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14,159</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20,131</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1,809</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2,252</w:t>
            </w:r>
          </w:p>
        </w:tc>
        <w:tc>
          <w:tcPr>
            <w:tcW w:w="0" w:type="dxa"/>
            <w:vAlign w:val="bottom"/>
          </w:tcPr>
          <w:p>
            <w:pPr>
              <w:spacing w:after="0"/>
              <w:rPr>
                <w:sz w:val="1"/>
                <w:szCs w:val="1"/>
                <w:color w:val="auto"/>
              </w:rPr>
            </w:pPr>
          </w:p>
        </w:tc>
      </w:tr>
      <w:tr>
        <w:trPr>
          <w:trHeight w:val="217"/>
        </w:trPr>
        <w:tc>
          <w:tcPr>
            <w:tcW w:w="6520" w:type="dxa"/>
            <w:vAlign w:val="bottom"/>
          </w:tcPr>
          <w:p>
            <w:pPr>
              <w:ind w:left="500"/>
              <w:spacing w:after="0"/>
              <w:rPr>
                <w:sz w:val="20"/>
                <w:szCs w:val="20"/>
                <w:color w:val="auto"/>
              </w:rPr>
            </w:pPr>
            <w:r>
              <w:rPr>
                <w:rFonts w:ascii="Arial" w:cs="Arial" w:eastAsia="Arial" w:hAnsi="Arial"/>
                <w:sz w:val="16"/>
                <w:szCs w:val="16"/>
                <w:color w:val="auto"/>
              </w:rPr>
              <w:t>Total operating costs and expenses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18,479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36,606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50,040</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(9,037)</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expense, net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(27,290)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(28,151)</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used in computation of net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61,468,129</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57,970,033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61,096,886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57,726,475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(28,151)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2,225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3,272</w:t>
            </w: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(24,879)</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(28,151)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7,662</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on impairment of abandoned product line,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1,407</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Provision for excess and obsolete inventory,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5,082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Unrealized foreign currency transaction loss,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2,844</w:t>
            </w: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7,194</w:t>
            </w: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(5,391)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(12,940)</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intangible assets and additions to capitalized software 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term loans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18,000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issuance costs related to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borrowings under (repayment of) DigiCore bank and overdraft facilities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under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Principal payments on mortgage bond</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7"/>
              </w:rPr>
              <w:t>Proceeds from stock option exercises and employee stock purchase plan, net of taxes paid on vested restricted stock units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16,822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r>
      <w:tr>
        <w:trPr>
          <w:trHeight w:val="217"/>
        </w:trPr>
        <w:tc>
          <w:tcPr>
            <w:tcW w:w="8800" w:type="dxa"/>
            <w:vAlign w:val="bottom"/>
          </w:tcPr>
          <w:p>
            <w:pPr>
              <w:ind w:left="11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9,894</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18,897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11,366</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Cash paid during the year for:</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3,757</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Transfer of inventories to rental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2,750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Issuance of common stock under amended earn-out agreement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2,638</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Additional debt discount on exchange of convertible senior notes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3,600</w:t>
            </w: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160" w:firstLine="432"/>
        <w:spacing w:after="0" w:line="288"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June 30, 2018 and the results of the Company’s operations for the three and six months ended June 30, 2018 and 2017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2017. Certain prior period amounts were reclassified to conform to the current period presentation. These reclassifications did not affect total revenues, costs and expenses, net loss, assets, liabilities or stockholders’ equity. Except as set forth below, the accounting policies used in preparing these unaudited condensed consolidated financial statements are the same as those described in the Company’s Annual Report on Form 10-K for the year ended December 31, 2017. The results of operations for the interim periods presented are not necessarily indicative of results to be expected for any other interim period or for the year as a whole.</w:t>
      </w:r>
    </w:p>
    <w:p>
      <w:pPr>
        <w:spacing w:after="0" w:line="11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For the three months ended June 30, 2018 and 2017, the Company incurred a net loss of $6.7 million and $12.0 million, respectively. The Company has a history of operating and net losses and overall usage of cash from operating and investing activities.</w:t>
      </w:r>
    </w:p>
    <w:p>
      <w:pPr>
        <w:spacing w:after="0" w:line="116"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During the three months ended June 30, 2018, the Company continued certain restructuring initiatives that were commenced during the first quarter of 2018. These restructuring initiatives are aimed at reducing the Company’s operating expenses in an effort to increase operating cash flows to eventually be sufficient to offset debt service costs and cash flows from investing activities. On August 6, 2018, subsequent to the balance sheet date, the Company completed a private placement of 12,062,000 shares of common stock and warrants to purchase an additional 4,221,700 shares of common stock, subject to adjustment for stock splits, reverse stock splits, stock dividends and similar transactions, to certain accredited investors for gross proceeds of $19.7 million in cash (see Note 12</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 The Company’s management believes that its cash and cash equivalents, together with anticipated cash flows from operations, will be sufficient to meet its working capital needs for the next twelve months following the filing date of this report. The Company’s ability to transition to attaining profitable operations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23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Company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the Company, or at all. In addition, in order to obtain additional borrowings, the Company must comply with certain requirements under the Credit Agreement and the Inseego Indenture (each as defined below). If additional funds are raised by the issuance of equity securities, the Company’s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These estimates and assumptions affect the reported amounts of assets, liabilities, revenues and expenses, and the disclosure of contingent liabilities. Actual results could differ materially from these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53"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180" w:firstLine="405"/>
        <w:spacing w:after="0" w:line="277" w:lineRule="auto"/>
        <w:rPr>
          <w:sz w:val="20"/>
          <w:szCs w:val="20"/>
          <w:color w:val="auto"/>
        </w:rPr>
      </w:pPr>
      <w:r>
        <w:rPr>
          <w:rFonts w:ascii="Arial" w:cs="Arial" w:eastAsia="Arial" w:hAnsi="Arial"/>
          <w:sz w:val="18"/>
          <w:szCs w:val="18"/>
          <w:color w:val="auto"/>
        </w:rPr>
        <w:t>Significant changes to the Company’s accounting policies, as a result of the adoption of the new revenue recognition guidance on January 1, 2018, are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Internet of Things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80"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six months ended June 30, 2018 and 2017, net revenues by product grouping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31,741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43,265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60,621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82,027</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6"/>
                <w:szCs w:val="16"/>
                <w:color w:val="auto"/>
              </w:rPr>
              <w:t>17,316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16,648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35,169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33,275</w:t>
            </w:r>
          </w:p>
        </w:tc>
      </w:tr>
      <w:tr>
        <w:trPr>
          <w:trHeight w:val="47"/>
        </w:trPr>
        <w:tc>
          <w:tcPr>
            <w:tcW w:w="6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49,057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95,790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115,302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geographic disaggregation information in Note 8, </w:t>
      </w:r>
      <w:r>
        <w:rPr>
          <w:rFonts w:ascii="Arial" w:cs="Arial" w:eastAsia="Arial" w:hAnsi="Arial"/>
          <w:sz w:val="18"/>
          <w:szCs w:val="18"/>
          <w:i w:val="1"/>
          <w:iCs w:val="1"/>
          <w:color w:val="auto"/>
        </w:rPr>
        <w:t>Geographic Information and Concentrations of Risk</w:t>
      </w:r>
      <w:r>
        <w:rPr>
          <w:rFonts w:ascii="Arial" w:cs="Arial" w:eastAsia="Arial" w:hAnsi="Arial"/>
          <w:sz w:val="18"/>
          <w:szCs w:val="18"/>
          <w:color w:val="auto"/>
        </w:rPr>
        <w:t>.</w:t>
      </w:r>
    </w:p>
    <w:p>
      <w:pPr>
        <w:spacing w:after="0" w:line="33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VoLTE based wireless home phones and cloud management software. The solutions are offered under the MiFi brand for consumer and business markets, and under the Skyus brand for industrial IoT markets.</w:t>
      </w:r>
    </w:p>
    <w:p>
      <w:pPr>
        <w:spacing w:after="0" w:line="28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is comprised of the Ctrack telematics platforms, which provide fleet vehicle, aviation ground</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and asset tracking and performance information, and other telematics applications, and the Company’s Device Management System (“DMS”), a hosted SaaS platform that helps organizations manage the selection, deployment and spend of their customer’s wireless assets, helping them save money on personnel and telecom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 xml:space="preserve">The Company adopted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These standards provide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Revenues for 2018 are reported under ASC 606, while prior period amounts are not adjusted and continue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87"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w:t>
      </w:r>
    </w:p>
    <w:p>
      <w:pPr>
        <w:sectPr>
          <w:pgSz w:w="11900" w:h="16838" w:orient="portrait"/>
          <w:cols w:equalWidth="0" w:num="1">
            <w:col w:w="11420"/>
          </w:cols>
          <w:pgMar w:left="240" w:top="553"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53" w:right="239" w:bottom="1440" w:gutter="0" w:footer="0" w:header="0"/>
          <w:type w:val="continuous"/>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vast majority of its revenues, that its contracts with customers are either a purchase order or a combination of a purchase order with a master supply agreement.</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6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are not affected by contingent events that could impact the transaction price. The Company does not offer price concessions and does not accept payment that is less than the price stated when it accepts the purchase order, except in rare credit-related circumstances.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If the customer chooses to lease the monitoring device, the Company recognizes the revenue for the monitoring device over the term of the contract. The Company records such revenue in accordance with the Financial Accounting Standards Board (the “FASB”) Accounting Standards Codification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 as it has determined that they qualify as operating leases (ownership of the device does not transfer to the other party). For the three and six months ended June 30, 2018, the Company recognized revenues of approximately $2.2 million and $4.4 million, respectively, under ASC 840.</w:t>
      </w:r>
    </w:p>
    <w:p>
      <w:pPr>
        <w:spacing w:after="0" w:line="290"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4" w:lineRule="exact"/>
        <w:rPr>
          <w:sz w:val="20"/>
          <w:szCs w:val="20"/>
          <w:color w:val="auto"/>
        </w:rPr>
      </w:pPr>
    </w:p>
    <w:p>
      <w:pPr>
        <w:ind w:left="660" w:right="44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w:t>
      </w:r>
    </w:p>
    <w:p>
      <w:pPr>
        <w:sectPr>
          <w:pgSz w:w="11900" w:h="16838" w:orient="portrait"/>
          <w:cols w:equalWidth="0" w:num="1">
            <w:col w:w="11380"/>
          </w:cols>
          <w:pgMar w:left="240" w:top="553" w:right="2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553" w:right="27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recognizes revenue on a net basis. The portion of the gross amount billed to customers that is remitted by the Company to another party is not reflected as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62" w:lineRule="exact"/>
        <w:rPr>
          <w:sz w:val="20"/>
          <w:szCs w:val="20"/>
          <w:color w:val="auto"/>
        </w:rPr>
      </w:pPr>
    </w:p>
    <w:p>
      <w:pPr>
        <w:ind w:right="32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jc w:val="both"/>
        <w:ind w:right="200" w:firstLine="392"/>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June 30, 2018.</w:t>
      </w:r>
    </w:p>
    <w:p>
      <w:pPr>
        <w:spacing w:after="0" w:line="2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5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Revenue from the Company’s SaaS subscription services represent a single promise to provide continuous access to its software solutions and their processing capabilities in the form of a service through one of the Company’s or hosted data centers.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Revenue from the Company’s subscription services is recognized over time on a ratable basis over the contract term beginning on the date that the service is made available to the customer.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3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ectPr>
          <w:pgSz w:w="11900" w:h="16838" w:orient="portrait"/>
          <w:cols w:equalWidth="0" w:num="1">
            <w:col w:w="11420"/>
          </w:cols>
          <w:pgMar w:left="240" w:top="55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53"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33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 and Transition Disclosures</w:t>
      </w:r>
    </w:p>
    <w:p>
      <w:pPr>
        <w:spacing w:after="0" w:line="33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Adoption of the new standards related to revenue recognition did not have a material impact on the Company’s consolidated financial statements and is not expected to have a material impact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23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restricted cash and restricted cash equivalents be included as components of total cash and cash equivalents in the statement of cash flows. The Company implemented this guidance in the first quarter of 2018 using a retrospective transition method for each period presented. The following line items in the Company’s unaudited condensed consolidated statement of cash flows for the six months ended June 30, 2017 have been adjusted to reflect the adoption of this new guidance: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4"/>
                <w:szCs w:val="14"/>
                <w:color w:val="auto"/>
              </w:rPr>
            </w:pPr>
          </w:p>
        </w:tc>
        <w:tc>
          <w:tcPr>
            <w:tcW w:w="10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(12,940)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8,855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11,366</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i w:val="1"/>
          <w:iCs w:val="1"/>
          <w:color w:val="252525"/>
        </w:rPr>
        <w:t>—</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measurement and recognition of expected credit losses for financial assets held. This guidance is effective for interim and annual</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beginning after December 15, 2019. Early adoption is permitted. The Company is currently assessing the impact of this guidance.</w:t>
      </w:r>
    </w:p>
    <w:p>
      <w:pPr>
        <w:spacing w:after="0" w:line="220" w:lineRule="exact"/>
        <w:rPr>
          <w:sz w:val="20"/>
          <w:szCs w:val="20"/>
          <w:color w:val="auto"/>
        </w:rPr>
      </w:pPr>
    </w:p>
    <w:p>
      <w:pPr>
        <w:ind w:right="140" w:firstLine="405"/>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establishes the principles to report transparent and economically neutral information about the assets and liabilities that arise from leases. This guidance results in the Company providing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Early adoption is permitted. Originally, entities were required to adopt ASU 2016-02 using a modified retrospective transition approach for all leases existing at, or entered into after, the date of initial application. However, in July 2018, the FASB issued ASU 2018-11, </w:t>
      </w:r>
      <w:r>
        <w:rPr>
          <w:rFonts w:ascii="Arial" w:cs="Arial" w:eastAsia="Arial" w:hAnsi="Arial"/>
          <w:sz w:val="16"/>
          <w:szCs w:val="16"/>
          <w:i w:val="1"/>
          <w:iCs w:val="1"/>
          <w:color w:val="auto"/>
        </w:rPr>
        <w:t>Leases (Topic 842): 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w:t>
      </w:r>
      <w:r>
        <w:rPr>
          <w:rFonts w:ascii="Arial" w:cs="Arial" w:eastAsia="Arial" w:hAnsi="Arial"/>
          <w:sz w:val="16"/>
          <w:szCs w:val="16"/>
          <w:color w:val="auto"/>
        </w:rPr>
        <w:t>, which now allows entities the option of recognizing the cumulative effect of applying the new standard as an adjustment to the opening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balance of retained earnings in the year of adoption while continuing to present all prior periods under previous lease accounting guidance. In July 2018, the FASB also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which clarifies how to apply certain aspects of ASU 2016-02. The Company has compiled its lease inventory and is currently evaluating the contracts and assessing the impact of this guidance.</w:t>
      </w:r>
    </w:p>
    <w:p>
      <w:pPr>
        <w:spacing w:after="0" w:line="28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became effective for the Company on January 1, 2018. ASC 606 outlines a single comprehensive model for entities to use in accounting for revenue arising from contracts with customers and supersedes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including industry-specific guidance. The new guidance requires entities to apportion consideration from contracts to performance obligations on a relative SSP basis, based on a five-step model. Under ASC 606, revenue is recognized when a customer obtains control of a promised good or service and is recognized in an amount that reflects the consideration that the entity expects to receive in exchange for the good or service. In addition, ASC 606 also includes subtopic ASC 340-40, </w:t>
      </w:r>
      <w:r>
        <w:rPr>
          <w:rFonts w:ascii="Arial" w:cs="Arial" w:eastAsia="Arial" w:hAnsi="Arial"/>
          <w:sz w:val="17"/>
          <w:szCs w:val="17"/>
          <w:i w:val="1"/>
          <w:iCs w:val="1"/>
          <w:color w:val="auto"/>
        </w:rPr>
        <w:t>Other Assets and Deferred Costs</w:t>
      </w:r>
      <w:r>
        <w:rPr>
          <w:rFonts w:ascii="Arial" w:cs="Arial" w:eastAsia="Arial" w:hAnsi="Arial"/>
          <w:sz w:val="17"/>
          <w:szCs w:val="17"/>
          <w:i w:val="1"/>
          <w:iCs w:val="1"/>
          <w:color w:val="252525"/>
        </w:rPr>
        <w:t>—</w:t>
      </w:r>
      <w:r>
        <w:rPr>
          <w:rFonts w:ascii="Arial" w:cs="Arial" w:eastAsia="Arial" w:hAnsi="Arial"/>
          <w:sz w:val="17"/>
          <w:szCs w:val="17"/>
          <w:i w:val="1"/>
          <w:iCs w:val="1"/>
          <w:color w:val="auto"/>
        </w:rPr>
        <w:t>Contracts</w:t>
      </w:r>
    </w:p>
    <w:p>
      <w:pPr>
        <w:sectPr>
          <w:pgSz w:w="11900" w:h="16838" w:orient="portrait"/>
          <w:cols w:equalWidth="0" w:num="1">
            <w:col w:w="11420"/>
          </w:cols>
          <w:pgMar w:left="240" w:top="553"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53"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(“ASC 340-40”), which provides guidance on accounting for certain revenue related costs including costs associated with obtaining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fulfilling a contract.</w:t>
      </w:r>
    </w:p>
    <w:p>
      <w:pPr>
        <w:spacing w:after="0" w:line="27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 January 1, 2018, the Company adopted ASC 606 using the modified retrospective transition method. Adoption of the new guidance did not have a material impact on the Company’s condensed consolidated financial statements but did significantly impact its disclosures for revenue. Refer to the revenue recognition accounting policy above for updated revenue disclosures which are required by the new guidance.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net,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9,244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14,331</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24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3,693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6,072</w:t>
            </w:r>
          </w:p>
        </w:tc>
      </w:tr>
      <w:tr>
        <w:trPr>
          <w:trHeight w:val="47"/>
        </w:trPr>
        <w:tc>
          <w:tcPr>
            <w:tcW w:w="88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20,403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00" w:type="dxa"/>
            <w:vAlign w:val="bottom"/>
          </w:tcPr>
          <w:p>
            <w:pPr>
              <w:jc w:val="right"/>
              <w:ind w:right="14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24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47"/>
        </w:trPr>
        <w:tc>
          <w:tcPr>
            <w:tcW w:w="8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47"/>
        </w:trPr>
        <w:tc>
          <w:tcPr>
            <w:tcW w:w="8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47"/>
        </w:trPr>
        <w:tc>
          <w:tcPr>
            <w:tcW w:w="8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Acquisition-related liabilities</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21,099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13,186</w:t>
            </w:r>
          </w:p>
        </w:tc>
        <w:tc>
          <w:tcPr>
            <w:tcW w:w="0" w:type="dxa"/>
            <w:vAlign w:val="bottom"/>
          </w:tcPr>
          <w:p>
            <w:pPr>
              <w:spacing w:after="0"/>
              <w:rPr>
                <w:sz w:val="1"/>
                <w:szCs w:val="1"/>
                <w:color w:val="auto"/>
              </w:rPr>
            </w:pP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5,129</w:t>
            </w:r>
          </w:p>
        </w:tc>
        <w:tc>
          <w:tcPr>
            <w:tcW w:w="0" w:type="dxa"/>
            <w:vAlign w:val="bottom"/>
          </w:tcPr>
          <w:p>
            <w:pPr>
              <w:spacing w:after="0"/>
              <w:rPr>
                <w:sz w:val="1"/>
                <w:szCs w:val="1"/>
                <w:color w:val="auto"/>
              </w:rPr>
            </w:pPr>
          </w:p>
        </w:tc>
      </w:tr>
      <w:tr>
        <w:trPr>
          <w:trHeight w:val="47"/>
        </w:trPr>
        <w:tc>
          <w:tcPr>
            <w:tcW w:w="87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 and other current liabilities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27,558</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7"/>
                <w:szCs w:val="7"/>
                <w:color w:val="auto"/>
              </w:rPr>
              <w:t>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87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80" w:right="80" w:hanging="172"/>
        <w:spacing w:after="0" w:line="220" w:lineRule="auto"/>
        <w:tabs>
          <w:tab w:leader="none" w:pos="21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 xml:space="preserve">The Company and the former stockholders of R.E.R. Enterprises, Inc. (“RER”) entered into a mutual general release and settlement agreement resolving this matter on July 26, 2018, subsequent to the balance sheet date (see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333"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18,836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21,198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9,894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18,897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9,894</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restricted cash included collateral requirements related to the Company’s corporate credit card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21" w:lineRule="exact"/>
        <w:rPr>
          <w:sz w:val="20"/>
          <w:szCs w:val="20"/>
          <w:color w:val="auto"/>
        </w:rPr>
      </w:pPr>
    </w:p>
    <w:p>
      <w:pPr>
        <w:jc w:val="both"/>
        <w:ind w:right="100" w:firstLine="405"/>
        <w:spacing w:after="0" w:line="274" w:lineRule="auto"/>
        <w:rPr>
          <w:sz w:val="20"/>
          <w:szCs w:val="20"/>
          <w:color w:val="auto"/>
        </w:rPr>
      </w:pPr>
      <w:r>
        <w:rPr>
          <w:rFonts w:ascii="Arial" w:cs="Arial" w:eastAsia="Arial" w:hAnsi="Arial"/>
          <w:sz w:val="17"/>
          <w:szCs w:val="17"/>
          <w:color w:val="auto"/>
        </w:rPr>
        <w:t>The balances in goodwill and other intangible assets were primarily a result of the Company’s acquisitions of DigiCore Holdings Limited and RER and its wholly-owned subsidiary and principal operating asset, Feeney Wireless, LLC (which has been renamed Inseego North America, LLC) (“FW”).</w:t>
      </w:r>
    </w:p>
    <w:p>
      <w:pPr>
        <w:jc w:val="both"/>
        <w:ind w:right="80"/>
        <w:spacing w:after="0" w:line="261"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Annual Report on Form 10-K for the year ended December 31, 2017 for a discussion of the components of goodwill and additional information regarding other intangible assets.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53"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1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0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6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302"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six months ended June 30, 2018.</w:t>
      </w:r>
    </w:p>
    <w:p>
      <w:pPr>
        <w:spacing w:after="0" w:line="208" w:lineRule="exact"/>
        <w:rPr>
          <w:sz w:val="20"/>
          <w:szCs w:val="20"/>
          <w:color w:val="auto"/>
        </w:rPr>
      </w:pPr>
    </w:p>
    <w:p>
      <w:pPr>
        <w:ind w:right="1500" w:firstLine="432"/>
        <w:spacing w:after="0" w:line="465" w:lineRule="auto"/>
        <w:rPr>
          <w:sz w:val="20"/>
          <w:szCs w:val="20"/>
          <w:color w:val="auto"/>
        </w:rPr>
      </w:pPr>
      <w:r>
        <w:rPr>
          <w:rFonts w:ascii="Arial" w:cs="Arial" w:eastAsia="Arial" w:hAnsi="Arial"/>
          <w:sz w:val="18"/>
          <w:szCs w:val="18"/>
          <w:color w:val="auto"/>
        </w:rPr>
        <w:t xml:space="preserve">The Company had no financial instruments measured at fair value on a recurring basis as of June 30, 2018 and December 31, 2017. </w:t>
      </w:r>
      <w:r>
        <w:rPr>
          <w:rFonts w:ascii="Arial" w:cs="Arial" w:eastAsia="Arial" w:hAnsi="Arial"/>
          <w:sz w:val="18"/>
          <w:szCs w:val="18"/>
          <w:b w:val="1"/>
          <w:bCs w:val="1"/>
          <w:i w:val="1"/>
          <w:iCs w:val="1"/>
          <w:color w:val="auto"/>
        </w:rPr>
        <w:t>Other Financial Instruments</w:t>
      </w:r>
    </w:p>
    <w:p>
      <w:pPr>
        <w:spacing w:after="0" w:line="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5, </w:t>
      </w:r>
      <w:r>
        <w:rPr>
          <w:rFonts w:ascii="Arial" w:cs="Arial" w:eastAsia="Arial" w:hAnsi="Arial"/>
          <w:sz w:val="18"/>
          <w:szCs w:val="18"/>
          <w:i w:val="1"/>
          <w:iCs w:val="1"/>
          <w:color w:val="auto"/>
        </w:rPr>
        <w:t>Debt</w:t>
      </w:r>
      <w:r>
        <w:rPr>
          <w:rFonts w:ascii="Arial" w:cs="Arial" w:eastAsia="Arial" w:hAnsi="Arial"/>
          <w:sz w:val="18"/>
          <w:szCs w:val="18"/>
          <w:color w:val="auto"/>
        </w:rPr>
        <w:t>). The Company carries its Convertible Notes at amortized cost. The debt and equity components of the Convertible Notes were measured using Level 3 inputs and are not measured on a recurring basis. The fair value of the liability component of the Convertible Notes, which approximates the carrying value of such notes, was $88.9 million and $84.8 million as of June 30, 2018 and December 31, 2017,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 Credit Agreements</w:t>
      </w:r>
    </w:p>
    <w:p>
      <w:pPr>
        <w:spacing w:after="0" w:line="117"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October 31, 2014, the Company entered into a five-year senior secured revolving credit facility in the amount of $25.0 million (the “Revolver”) with Wells Fargo Bank, National Association, as lender. Concurrently with the acquisition of FW, the Company amended the Revolver to include FW as a borrower and Loan Party, as defined by the agreement. On November 17, 2015, the Revolver was amended to increase the maximum borrowing capacity</w:t>
      </w:r>
    </w:p>
    <w:p>
      <w:pPr>
        <w:ind w:right="120"/>
        <w:spacing w:after="0" w:line="255" w:lineRule="auto"/>
        <w:rPr>
          <w:sz w:val="20"/>
          <w:szCs w:val="20"/>
          <w:color w:val="auto"/>
        </w:rPr>
      </w:pPr>
      <w:r>
        <w:rPr>
          <w:rFonts w:ascii="Arial" w:cs="Arial" w:eastAsia="Arial" w:hAnsi="Arial"/>
          <w:sz w:val="18"/>
          <w:szCs w:val="18"/>
          <w:color w:val="auto"/>
        </w:rPr>
        <w:t>to $48.0 million. On March 20, 2017, at the Company’s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244"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The Company terminated the Revolver on May 8, 2017, in connection with the execution of a credit agreement between the Company and Lakestar Semi Inc., a private investment fund managed by Soros Fund Management LLC, dated as of May 8, 2017 (the “Prior Credit Agreement”). The Prior Credit Agreement provided for a $20.0 million secured term loan with a maturity date of May 8, 2018. In conjunction with the closing of the Prior Credit Agreement, the Company received proceeds of $18.0 million, net of a $2.0 million debt discount, and paid issuance costs of approximately $0.4 million.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53"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On August 23, 2017, upon entering into the Credit Agreement described below, the Company used a portion of the proceeds of the new Term Loan (as defined below) to repay all outstanding amounts under and terminate the Prior Credit Agreement. There was no early termination fee paid in connection with the termination of the Prior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color w:val="auto"/>
        </w:rPr>
        <w:t>On August 23, 2017, the Company and certain of its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w:t>
      </w:r>
    </w:p>
    <w:p>
      <w:pPr>
        <w:ind w:right="20"/>
        <w:spacing w:after="0" w:line="281" w:lineRule="auto"/>
        <w:rPr>
          <w:sz w:val="20"/>
          <w:szCs w:val="20"/>
          <w:color w:val="auto"/>
        </w:rPr>
      </w:pPr>
      <w:r>
        <w:rPr>
          <w:rFonts w:ascii="Arial" w:cs="Arial" w:eastAsia="Arial" w:hAnsi="Arial"/>
          <w:sz w:val="16"/>
          <w:szCs w:val="16"/>
          <w:color w:val="auto"/>
        </w:rPr>
        <w:t>$48.0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w:t>
      </w:r>
    </w:p>
    <w:p>
      <w:pPr>
        <w:spacing w:after="0" w:line="2"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$14.9 million of its outstanding Inseego Notes (as defined below)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281"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consisted of the following at June 30, 2018 and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48,000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48,000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 unamortized debt discount and debt issuance costs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(3,945)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44,801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effective interest rate on the Term Loan was 13.45% for the six months ended June 30, 2018. The following table sets forth total interest expense recognized related to the Term Loan during the three and six months ended June 30,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660" w:type="dxa"/>
            <w:vAlign w:val="bottom"/>
          </w:tcPr>
          <w:p>
            <w:pPr>
              <w:jc w:val="right"/>
              <w:ind w:right="32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Pr>
          <w:p>
            <w:pPr>
              <w:spacing w:after="0"/>
              <w:rPr>
                <w:sz w:val="16"/>
                <w:szCs w:val="16"/>
                <w:color w:val="auto"/>
              </w:rPr>
            </w:pPr>
          </w:p>
        </w:tc>
        <w:tc>
          <w:tcPr>
            <w:tcW w:w="1660" w:type="dxa"/>
            <w:vAlign w:val="bottom"/>
          </w:tcPr>
          <w:p>
            <w:pPr>
              <w:jc w:val="right"/>
              <w:ind w:right="462"/>
              <w:spacing w:after="0"/>
              <w:rPr>
                <w:sz w:val="20"/>
                <w:szCs w:val="20"/>
                <w:color w:val="auto"/>
              </w:rPr>
            </w:pPr>
            <w:r>
              <w:rPr>
                <w:rFonts w:ascii="Arial" w:cs="Arial" w:eastAsia="Arial" w:hAnsi="Arial"/>
                <w:sz w:val="14"/>
                <w:szCs w:val="14"/>
                <w:b w:val="1"/>
                <w:bCs w:val="1"/>
                <w:color w:val="auto"/>
              </w:rPr>
              <w:t>June 30, 2018</w:t>
            </w: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2,267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20" w:type="dxa"/>
            <w:vAlign w:val="bottom"/>
          </w:tcPr>
          <w:p>
            <w:pPr>
              <w:spacing w:after="0"/>
              <w:rPr>
                <w:sz w:val="20"/>
                <w:szCs w:val="20"/>
                <w:color w:val="auto"/>
              </w:rPr>
            </w:pPr>
          </w:p>
        </w:tc>
        <w:tc>
          <w:tcPr>
            <w:tcW w:w="1740" w:type="dxa"/>
            <w:vAlign w:val="bottom"/>
          </w:tcPr>
          <w:p>
            <w:pPr>
              <w:jc w:val="right"/>
              <w:ind w:right="42"/>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666</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3,013</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198"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June 10, 2015, Novatel Wireless, Inc., a wholly owned subsidiary of Inseego Corp. (“Novatel Wireless”),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0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Novatel Wireless Notes are governed by the terms of an indenture, dated June 10, 2015 (as amended, the “Novatel Wireless Indenture”), between Novatel Wireless, as issuer, Inseego Corp. and Wilmington Trust, National Association, as trustee. The Novatel Wireless Notes are senior unsecured obligations of Novatel Wireless and bear interest at a rate of 5.50% per year, payable semi-annually in arrears on June 15 and December 15 of each year, beginning on December 15, 2015. The</w:t>
      </w:r>
    </w:p>
    <w:p>
      <w:pPr>
        <w:sectPr>
          <w:pgSz w:w="11900" w:h="16838" w:orient="portrait"/>
          <w:cols w:equalWidth="0" w:num="1">
            <w:col w:w="11420"/>
          </w:cols>
          <w:pgMar w:left="240" w:top="553"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53"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289" w:lineRule="exact"/>
        <w:rPr>
          <w:sz w:val="20"/>
          <w:szCs w:val="20"/>
          <w:color w:val="auto"/>
        </w:rPr>
      </w:pPr>
    </w:p>
    <w:p>
      <w:pPr>
        <w:ind w:right="420" w:firstLine="392"/>
        <w:spacing w:after="0" w:line="277" w:lineRule="auto"/>
        <w:rPr>
          <w:sz w:val="20"/>
          <w:szCs w:val="20"/>
          <w:color w:val="auto"/>
        </w:rPr>
      </w:pPr>
      <w:r>
        <w:rPr>
          <w:rFonts w:ascii="Arial" w:cs="Arial" w:eastAsia="Arial" w:hAnsi="Arial"/>
          <w:sz w:val="18"/>
          <w:szCs w:val="18"/>
          <w:color w:val="auto"/>
        </w:rPr>
        <w:t>Following the settlement of the exchange offer and consent solicitation described below, approximately $0.2 million aggregate principal amount of Novatel Wireless Notes remain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On January 9, 2017, in connection with the settlement of an exchange offer and consent solicitation with respect to the Novatel Wireless Notes, the Company issued approximately $119.8 million aggregate principal amount of 5.50% convertible senior notes due 2022 (the “Inseego Notes” and collectively with the Novatel Wireless Notes, the “Convertible Notes”). The Inseego Notes were issued in exchange for the approximately $119.8 million aggregate principal amount of outstanding Novatel Wireless Notes that were validly tendered and accepted for exchange and subsequently canceled.</w:t>
      </w:r>
    </w:p>
    <w:p>
      <w:pPr>
        <w:spacing w:after="0" w:line="262"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Inseego Notes are governed by the terms of an indenture, dated January 9, 2017 (the “Inseego Indenture”), between the Company, as issuer, and Wilmington Trust, National Association, as trustee. The Inseego Notes are senior unsecured obligations of the Company and bear interest from, and including, December 15, 2016, at a rate of 5.50% per year, payable semi-annually in arrears on June 15 and December 15 of each year, beginning on June 15, 2017. The Inseego Notes will mature on June 15, 2022, unless earlier converted, redeemed or repurchased.</w:t>
      </w:r>
    </w:p>
    <w:p>
      <w:pPr>
        <w:spacing w:after="0" w:line="2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Inseego Notes will be convertible into cash, shares of the Company’s common stock, or a combination thereof, at the election of the Company, at an initial conversion rate of 212.7660 shares of common stock per $1,000 principal amount of the Inseego Notes, which corresponds to an initial conversion price of $4.70 per share of the Company’s common stock. The conversion rate is subject to adjustment from time to time upon the occurrence of certain events, including, but not limited to, the issuance of stock dividends and payment of cash dividends. Under certain limited circumstances which are described in the Inseego Indenture, holders may convert their Inseego Notes prior to the close of business on the business day immediately preceding December 15, 2021. On or after December 15, 2021, the holders may convert any of their Inseego Notes at any time prior to the close of business on the business day immediately preceding the maturity date.</w:t>
      </w:r>
    </w:p>
    <w:p>
      <w:pPr>
        <w:spacing w:after="0" w:line="13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Under certain limited circumstances which are described in the Inseego Indenture, the Company may redeem all or a portion of the Inseego Notes at its option on or after June 15, 2018, at a redemption price equal to 100% of the principal amount of the Inseego Notes to be redeemed, plus any accrued and unpaid interest on such Inseego Notes. 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 record date to receive the related interest.</w:t>
      </w:r>
    </w:p>
    <w:p>
      <w:pPr>
        <w:spacing w:after="0" w:line="128" w:lineRule="exact"/>
        <w:rPr>
          <w:sz w:val="20"/>
          <w:szCs w:val="20"/>
          <w:color w:val="auto"/>
        </w:rPr>
      </w:pPr>
    </w:p>
    <w:p>
      <w:pPr>
        <w:ind w:right="500" w:firstLine="392"/>
        <w:spacing w:after="0" w:line="264" w:lineRule="auto"/>
        <w:rPr>
          <w:sz w:val="20"/>
          <w:szCs w:val="20"/>
          <w:color w:val="auto"/>
        </w:rPr>
      </w:pPr>
      <w:r>
        <w:rPr>
          <w:rFonts w:ascii="Arial" w:cs="Arial" w:eastAsia="Arial" w:hAnsi="Arial"/>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w:t>
      </w:r>
    </w:p>
    <w:p>
      <w:pPr>
        <w:spacing w:after="0" w:line="289" w:lineRule="exact"/>
        <w:rPr>
          <w:sz w:val="20"/>
          <w:szCs w:val="20"/>
          <w:color w:val="auto"/>
        </w:rPr>
      </w:pPr>
    </w:p>
    <w:p>
      <w:pPr>
        <w:jc w:val="both"/>
        <w:ind w:right="40" w:firstLine="405"/>
        <w:spacing w:after="0" w:line="342" w:lineRule="auto"/>
        <w:rPr>
          <w:sz w:val="20"/>
          <w:szCs w:val="20"/>
          <w:color w:val="auto"/>
        </w:rPr>
      </w:pPr>
      <w:r>
        <w:rPr>
          <w:rFonts w:ascii="Arial" w:cs="Arial" w:eastAsia="Arial" w:hAnsi="Arial"/>
          <w:sz w:val="16"/>
          <w:szCs w:val="16"/>
          <w:color w:val="auto"/>
        </w:rPr>
        <w:t>The Inseego Indenture also provides for customary events of default. Upon the occurrence of certain events of bankruptcy, insolvency or reorganization involving the Company, 100% of the principal and accrued and unpaid interest of the Inseego Notes will automatically become immediately due and payable.</w:t>
      </w:r>
    </w:p>
    <w:p>
      <w:pPr>
        <w:spacing w:after="0" w:line="23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53"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220" w:firstLine="392"/>
        <w:spacing w:after="0" w:line="259" w:lineRule="auto"/>
        <w:rPr>
          <w:sz w:val="20"/>
          <w:szCs w:val="20"/>
          <w:color w:val="auto"/>
        </w:rPr>
      </w:pPr>
      <w:r>
        <w:rPr>
          <w:rFonts w:ascii="Arial" w:cs="Arial" w:eastAsia="Arial" w:hAnsi="Arial"/>
          <w:sz w:val="18"/>
          <w:szCs w:val="18"/>
          <w:color w:val="auto"/>
        </w:rPr>
        <w:t>On August 23, 2017, in connection with the Credit Agreement described above, the Company and certain of the Lenders entered into a Note Purchase Agreement (the “Note Purchase Agreement”) pursuant to which the Company repurchased approximately $14.9 million of outstanding Inseego Notes from such Lenders in exchange for $11.9 million deemed to have been loaned to the Company pursuant to the Credit Agreement and the accrued and unpaid interest on such notes.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consisted of the following at June 30, 2018 and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r>
      <w:tr>
        <w:trPr>
          <w:trHeight w:val="237"/>
        </w:trPr>
        <w:tc>
          <w:tcPr>
            <w:tcW w:w="878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(16,212)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(20,352)</w:t>
            </w:r>
          </w:p>
        </w:tc>
      </w:tr>
      <w:tr>
        <w:trPr>
          <w:trHeight w:val="33"/>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88,913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84,773</w:t>
            </w: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The effective interest rate on the liability component of the Convertible Notes was 15.82% for the six months ended June 30, 2018. The following table sets forth total interest expense recognized related to the Convertible Notes during the three and six months ended June 30, 2018 and 2017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4,460</w:t>
            </w: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4,025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7,031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8,023</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21"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4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760" w:type="dxa"/>
            <w:vAlign w:val="bottom"/>
            <w:tcBorders>
              <w:bottom w:val="single" w:sz="8" w:color="CCEEFF"/>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760" w:type="dxa"/>
            <w:vAlign w:val="bottom"/>
          </w:tcPr>
          <w:p>
            <w:pPr>
              <w:spacing w:after="0"/>
              <w:rPr>
                <w:sz w:val="19"/>
                <w:szCs w:val="19"/>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193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316</w:t>
            </w:r>
          </w:p>
        </w:tc>
      </w:tr>
      <w:tr>
        <w:trPr>
          <w:trHeight w:val="47"/>
        </w:trPr>
        <w:tc>
          <w:tcPr>
            <w:tcW w:w="6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760" w:type="dxa"/>
            <w:vAlign w:val="bottom"/>
          </w:tcPr>
          <w:p>
            <w:pPr>
              <w:spacing w:after="0"/>
              <w:rPr>
                <w:sz w:val="19"/>
                <w:szCs w:val="19"/>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450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643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1,352</w:t>
            </w:r>
          </w:p>
        </w:tc>
      </w:tr>
      <w:tr>
        <w:trPr>
          <w:trHeight w:val="47"/>
        </w:trPr>
        <w:tc>
          <w:tcPr>
            <w:tcW w:w="65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CCEEFF"/>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0260" w:type="dxa"/>
            <w:vAlign w:val="bottom"/>
          </w:tcPr>
          <w:p>
            <w:pPr>
              <w:ind w:left="5020"/>
              <w:spacing w:after="0"/>
              <w:rPr>
                <w:sz w:val="20"/>
                <w:szCs w:val="20"/>
                <w:color w:val="auto"/>
              </w:rPr>
            </w:pPr>
            <w:r>
              <w:rPr>
                <w:rFonts w:ascii="Arial" w:cs="Arial" w:eastAsia="Arial" w:hAnsi="Arial"/>
                <w:sz w:val="18"/>
                <w:szCs w:val="18"/>
                <w:b w:val="1"/>
                <w:bCs w:val="1"/>
                <w:color w:val="auto"/>
              </w:rPr>
              <w:t>INSEEGO CORP.</w:t>
            </w:r>
          </w:p>
        </w:tc>
        <w:tc>
          <w:tcPr>
            <w:tcW w:w="1140" w:type="dxa"/>
            <w:vAlign w:val="bottom"/>
          </w:tcPr>
          <w:p>
            <w:pPr>
              <w:spacing w:after="0"/>
              <w:rPr>
                <w:sz w:val="18"/>
                <w:szCs w:val="18"/>
                <w:color w:val="auto"/>
              </w:rPr>
            </w:pPr>
          </w:p>
        </w:tc>
      </w:tr>
      <w:tr>
        <w:trPr>
          <w:trHeight w:val="234"/>
        </w:trPr>
        <w:tc>
          <w:tcPr>
            <w:tcW w:w="10260" w:type="dxa"/>
            <w:vAlign w:val="bottom"/>
          </w:tcPr>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tc>
        <w:tc>
          <w:tcPr>
            <w:tcW w:w="1140" w:type="dxa"/>
            <w:vAlign w:val="bottom"/>
          </w:tcPr>
          <w:p>
            <w:pPr>
              <w:spacing w:after="0"/>
              <w:rPr>
                <w:sz w:val="20"/>
                <w:szCs w:val="20"/>
                <w:color w:val="auto"/>
              </w:rPr>
            </w:pPr>
          </w:p>
        </w:tc>
      </w:tr>
      <w:tr>
        <w:trPr>
          <w:trHeight w:val="567"/>
        </w:trPr>
        <w:tc>
          <w:tcPr>
            <w:tcW w:w="102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140" w:type="dxa"/>
            <w:vAlign w:val="bottom"/>
          </w:tcPr>
          <w:p>
            <w:pPr>
              <w:spacing w:after="0"/>
              <w:rPr>
                <w:sz w:val="24"/>
                <w:szCs w:val="24"/>
                <w:color w:val="auto"/>
              </w:rPr>
            </w:pPr>
          </w:p>
        </w:tc>
      </w:tr>
      <w:tr>
        <w:trPr>
          <w:trHeight w:val="405"/>
        </w:trPr>
        <w:tc>
          <w:tcPr>
            <w:tcW w:w="10260" w:type="dxa"/>
            <w:vAlign w:val="bottom"/>
          </w:tcPr>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tc>
        <w:tc>
          <w:tcPr>
            <w:tcW w:w="1140" w:type="dxa"/>
            <w:vAlign w:val="bottom"/>
          </w:tcPr>
          <w:p>
            <w:pPr>
              <w:spacing w:after="0"/>
              <w:rPr>
                <w:sz w:val="24"/>
                <w:szCs w:val="24"/>
                <w:color w:val="auto"/>
              </w:rPr>
            </w:pPr>
          </w:p>
        </w:tc>
      </w:tr>
      <w:tr>
        <w:trPr>
          <w:trHeight w:val="135"/>
        </w:trPr>
        <w:tc>
          <w:tcPr>
            <w:tcW w:w="10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2016</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6,356,203</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3,877,000</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(146,039)</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(3,520,681)</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2017</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6,566,483</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1,795,642</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(620,350)</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(920,564)</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June 30, 2018</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6,821,211</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0260" w:type="dxa"/>
            <w:vAlign w:val="bottom"/>
          </w:tcPr>
          <w:p>
            <w:pPr>
              <w:ind w:left="40"/>
              <w:spacing w:after="0"/>
              <w:rPr>
                <w:sz w:val="20"/>
                <w:szCs w:val="20"/>
                <w:color w:val="auto"/>
              </w:rPr>
            </w:pPr>
            <w:r>
              <w:rPr>
                <w:rFonts w:ascii="Arial" w:cs="Arial" w:eastAsia="Arial" w:hAnsi="Arial"/>
                <w:sz w:val="16"/>
                <w:szCs w:val="16"/>
                <w:color w:val="auto"/>
              </w:rPr>
              <w:t>Exercisable — June 30, 2018</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2,524,208</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At June 30, 2018, total unrecognized compensation expense related to stock options was $2.9 million, which is expected to be recognized over a weighted-average period of 2.03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2016</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2,975,800</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1,480,301</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(1,193,721)</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(2,206,403)</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2017</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1,055,977</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384,912</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(546,308)</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(399,293)</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June 30, 2018</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495,288</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At June 30, 2018, total unrecognized compensation expense related to RSUs was $0.8 million, which is expected to be recognized over a weighted-average period of 1.88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EPS was as follows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(28,124)</w:t>
            </w:r>
          </w:p>
        </w:tc>
      </w:tr>
      <w:tr>
        <w:trPr>
          <w:trHeight w:val="224"/>
        </w:trPr>
        <w:tc>
          <w:tcPr>
            <w:tcW w:w="628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20" w:type="dxa"/>
            <w:vAlign w:val="bottom"/>
          </w:tcPr>
          <w:p>
            <w:pPr>
              <w:spacing w:after="0"/>
              <w:rPr>
                <w:sz w:val="19"/>
                <w:szCs w:val="19"/>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w w:val="99"/>
              </w:rPr>
              <w:t>61,468,129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w w:val="97"/>
              </w:rPr>
              <w:t>57,970,033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61,096,886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57,726,475</w:t>
            </w:r>
          </w:p>
        </w:tc>
      </w:tr>
      <w:tr>
        <w:trPr>
          <w:trHeight w:val="47"/>
        </w:trPr>
        <w:tc>
          <w:tcPr>
            <w:tcW w:w="6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6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the three and six months ended June 30, 2018, the computation of diluted EPS excluded 9,203,129 shares related to warrants, stock options and RSUs as their effect would have been anti-dilutive. For the three and six months ended June 30,</w:t>
      </w:r>
    </w:p>
    <w:p>
      <w:pPr>
        <w:sectPr>
          <w:pgSz w:w="11900" w:h="16838" w:orient="portrait"/>
          <w:cols w:equalWidth="0" w:num="1">
            <w:col w:w="11420"/>
          </w:cols>
          <w:pgMar w:left="240" w:top="55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53"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2017, the computation of diluted EPS excluded 9,174,585 shares related to warrants, stock options and RSUs as their effect would have been anti-dilutive.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32,562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44,565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62,668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83,913</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10,208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10,111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20,893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19,940</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12,229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11,449</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49,057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59,913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95,790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115,302</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117"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For the three months ended June 30, 2018, one customer accounted for 45.1% of net revenues. For the three months ended June 30, 2017, two customers accounted for 47.1% and 12.1% of net revenues, respectively. For the six months ended June 30, 2018 and 2017, one customer accounted for 46.9% and 50.4% of net revenues, respectively.</w:t>
      </w:r>
    </w:p>
    <w:p>
      <w:pPr>
        <w:spacing w:after="0" w:line="23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June 30, 2018, one customer accounted for 30.8% of accounts receivable, net. As of December 31, 2017, one customer accounted for 23.9% of accounts receivable, net.</w:t>
      </w:r>
    </w:p>
    <w:p>
      <w:pPr>
        <w:spacing w:after="0" w:line="275" w:lineRule="exact"/>
        <w:rPr>
          <w:sz w:val="20"/>
          <w:szCs w:val="20"/>
          <w:color w:val="auto"/>
        </w:rPr>
      </w:pPr>
    </w:p>
    <w:p>
      <w:pPr>
        <w:ind w:right="8680" w:firstLine="8"/>
        <w:spacing w:after="0" w:line="376"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w:t>
      </w:r>
    </w:p>
    <w:p>
      <w:pPr>
        <w:spacing w:after="0" w:line="3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28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May 27, 2015, a patent infringement action was brought against Novatel Wireless by Carucel Investments, L.P. (“Carucel”), a non-practicing entity (</w:t>
      </w:r>
      <w:r>
        <w:rPr>
          <w:rFonts w:ascii="Arial" w:cs="Arial" w:eastAsia="Arial" w:hAnsi="Arial"/>
          <w:sz w:val="18"/>
          <w:szCs w:val="18"/>
          <w:i w:val="1"/>
          <w:iCs w:val="1"/>
          <w:color w:val="auto"/>
        </w:rPr>
        <w:t>Carucel Investments, L.P. v. Novatel Wireless, Inc., et al., U.S.D.C. S.D. Florida, Civil Action No. 0:15-cv-61116-BB</w:t>
      </w:r>
      <w:r>
        <w:rPr>
          <w:rFonts w:ascii="Arial" w:cs="Arial" w:eastAsia="Arial" w:hAnsi="Arial"/>
          <w:sz w:val="18"/>
          <w:szCs w:val="18"/>
          <w:color w:val="auto"/>
        </w:rPr>
        <w:t>). The complaint alleged that certain MiFi mobile hotspots manufactured by Novatel Wireless infringed claims of patents owned by Carucel. On April 10, 2017, judgment was entered in favor of Novatel Wireless. Carucel filed to appeal certain orders in the litigation and on July 13, 2018, the U.S. Federal Circuit Court of Appeals affirmed the judgment.</w:t>
      </w:r>
    </w:p>
    <w:p>
      <w:pPr>
        <w:spacing w:after="0" w:line="134"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July 26, 2018, subsequent to the balance sheet date,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issue 500,000 shares of the Company’s common stock to the former stockholders of RER, (iii) within 12 months following the execution of the Settlement Agreement, deliver to the former stockholders of RER an additional $1.0 million in cash, common stock, or a combination thereof, at the Company’s option, (iv) within 24 months following the execution of the Settlement Agreement deliver to the former stockholders of RER an additional $1.0 million in cash, common stock, or a combination thereof, at the Company’s option, and (v) file one or more registration statements with respect to the resale of the shares of the Company’s common stock issued to the former stockholders of RER pursuant to the Settlement Agreement. On July 26, 2018, as a result of the Settlement Agreement, the Company’s acquisition-related liabilities of $21.1 million were reduced to approximately $4.0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3"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The Company’s income tax provision of $0.3 million and $0.6 million for the three months ended June 30, 2018 and 2017, respectively, and $0.7 million and $0.9 million for the six months ended June 30, 2018 and 2017, respectively, consists primarily of foreign income taxes at certain of the Company’s international entities and minimum state taxes for its U.S.-based entities. The Company has income tax expense rather than an expected benefit based on statutory rates due primarily to losses at U.S. and international subsidiaries whose net operating losses are fully reserved.</w:t>
      </w:r>
    </w:p>
    <w:p>
      <w:pPr>
        <w:spacing w:after="0" w:line="28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December 22, 2017, the Tax Cuts and Jobs Act (the “Tax Act”) significantly revised the U.S. corporate income tax law, by among other things, reducing the corporate income tax rate to 21% for tax years beginning in 2018, limiting the deduction for interest expense, implementing a modified territorial system that includes a one-time transition tax on deemed repatriated earnings of foreign subsidiaries, and creating new taxes on certain foreign sourced earnings.</w:t>
      </w:r>
    </w:p>
    <w:p>
      <w:pPr>
        <w:spacing w:after="0" w:line="295"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 xml:space="preserve">In 2017, in accordance with the SEC issued Staff Accounting Bulletin No. 118, </w:t>
      </w:r>
      <w:r>
        <w:rPr>
          <w:rFonts w:ascii="Arial" w:cs="Arial" w:eastAsia="Arial" w:hAnsi="Arial"/>
          <w:sz w:val="17"/>
          <w:szCs w:val="17"/>
          <w:i w:val="1"/>
          <w:iCs w:val="1"/>
          <w:color w:val="auto"/>
        </w:rPr>
        <w:t>Income Tax Accounting Implications of the Tax Cuts and Jobs Act</w:t>
      </w:r>
      <w:r>
        <w:rPr>
          <w:rFonts w:ascii="Arial" w:cs="Arial" w:eastAsia="Arial" w:hAnsi="Arial"/>
          <w:sz w:val="17"/>
          <w:szCs w:val="17"/>
          <w:color w:val="auto"/>
        </w:rPr>
        <w:t xml:space="preserve"> (“SAB 118”), the Company recorded provisional estimates related to the Tax Act. The Company continues to analyze the Tax Act, and in certain areas, has made reasonable estimates of the effects on its condensed consolidated financial statements and tax disclosures. The ultimate impact may differ from these provisional amounts due to, among other things, additional analysis, changes in interpretations and assumptions the Company has made, additional Internal Revenue Service guidance that may be issued and actions it may take as a result of the Tax Act. The accounting is expected to be complete when the Company’s 2017 U.S. corporate income tax return is filed in the fourth quarter of 2018.</w:t>
      </w:r>
    </w:p>
    <w:p>
      <w:pPr>
        <w:spacing w:after="0" w:line="287"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color w:val="auto"/>
        </w:rPr>
        <w:t>Further, the Tax Act includes U.S. taxation on foreign intangible income, effective January 1, 2018. The FASB allows an entity to make an accounting policy election to either recognize deferred taxes for temporary basis differences expected to reverse as foreign intangible income in future years or provide for the tax expense related to the foreign intangible income as a period cost in the year it is incurred. The Company has not recorded any provisional amount for deferred taxes on the foreign intangible income because it is still collecting and analyzing the data needed to make the accounting policy election.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12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In the third quarter of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$6.2 million and be completed when the Richardson, TX lease expires in June 2020.</w:t>
      </w:r>
    </w:p>
    <w:p>
      <w:pPr>
        <w:spacing w:after="0" w:line="26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the first and second quarters of 2017, the Company commenced certain restructuring initiatives intended to continue to improve its strategic focus on its most profitable business lines and consolidate operations of its subsidiaries with those of the Company, including reductions-in-force, further reorganization of executive level management and the consolidation of certain of its facilities (the “2017 Initiatives”). The 2017 Initiatives cost a total of approximately $4.4 million and were completed in May 2018.</w:t>
      </w:r>
    </w:p>
    <w:p>
      <w:pPr>
        <w:spacing w:after="0" w:line="29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the first quarter of 2018, the Company commenced certain restructuring initiatives intended to continue to consolidate operations of its subsidiaries with those of the Company, including reductions-in-force and the consolidation of certain of its facilities (the “2018 Initiatives”). The 2018 Initiatives are expected to cost a total of approximately $1.0 million and to be completed in December 2018.</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53"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six months ended June 30,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at</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Balance at 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auto"/>
                <w:w w:val="86"/>
              </w:rPr>
              <w:t>Cumulative Costs</w:t>
            </w:r>
          </w:p>
        </w:tc>
      </w:tr>
      <w:tr>
        <w:trPr>
          <w:trHeight w:val="182"/>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December 31, 2017</w:t>
            </w:r>
          </w:p>
        </w:tc>
        <w:tc>
          <w:tcPr>
            <w:tcW w:w="1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Adjustment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Arial" w:cs="Arial" w:eastAsia="Arial" w:hAnsi="Arial"/>
                <w:sz w:val="14"/>
                <w:szCs w:val="14"/>
                <w:b w:val="1"/>
                <w:bCs w:val="1"/>
                <w:color w:val="auto"/>
                <w:w w:val="91"/>
              </w:rPr>
              <w:t>Incurred to Date</w:t>
            </w:r>
          </w:p>
        </w:tc>
      </w:tr>
      <w:tr>
        <w:trPr>
          <w:trHeight w:val="203"/>
        </w:trPr>
        <w:tc>
          <w:tcPr>
            <w:tcW w:w="320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3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4,131</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2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814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1,791</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3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2017 Initiatives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3,412</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Facility Exit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Other Related Costs</w:t>
            </w:r>
          </w:p>
        </w:tc>
        <w:tc>
          <w:tcPr>
            <w:tcW w:w="2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675</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3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 Initiatives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546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774</w:t>
            </w:r>
          </w:p>
        </w:tc>
      </w:tr>
      <w:tr>
        <w:trPr>
          <w:trHeight w:val="33"/>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1,360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11,068</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balance of the restructuring liability at June 30, 2018 consists of approximately $1.0 million in current liabilities and $0.4 million in long-term liabilities.</w:t>
      </w:r>
    </w:p>
    <w:p>
      <w:pPr>
        <w:spacing w:after="0" w:line="116"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 xml:space="preserve">During the six months ended June 30, 2018, the Company wrote down the value of certain inventory by approximately $0.4 million related to the abandonment of certain product lines that management decided to exit. The Company accounted for the adjustment in accordance with the ASC 330, </w:t>
      </w:r>
      <w:r>
        <w:rPr>
          <w:rFonts w:ascii="Arial" w:cs="Arial" w:eastAsia="Arial" w:hAnsi="Arial"/>
          <w:sz w:val="18"/>
          <w:szCs w:val="18"/>
          <w:i w:val="1"/>
          <w:iCs w:val="1"/>
          <w:color w:val="auto"/>
        </w:rPr>
        <w:t>Inventory</w:t>
      </w:r>
      <w:r>
        <w:rPr>
          <w:rFonts w:ascii="Arial" w:cs="Arial" w:eastAsia="Arial" w:hAnsi="Arial"/>
          <w:sz w:val="18"/>
          <w:szCs w:val="18"/>
          <w:color w:val="auto"/>
        </w:rPr>
        <w:t>, and included the adjustment in impairment of abandoned product line, net of recoveries, within cost of net revenues in the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w:t>
      </w:r>
      <w:r>
        <w:rPr>
          <w:rFonts w:ascii="Arial" w:cs="Arial" w:eastAsia="Arial" w:hAnsi="Arial"/>
          <w:sz w:val="18"/>
          <w:szCs w:val="18"/>
          <w:i w:val="1"/>
          <w:iCs w:val="1"/>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7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 xml:space="preserve">On July 26, 2018, the Company and the former stockholders of RER entered into a mutual general release and settlement agreement resolving litigation that had been pending in the Court of Chancery of the State of Delaware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279"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On August 6, 2018, the Company completed a private placement of 12,062,000 shares of common stock and warrants to purchase an additional 4,221,700 shares of common stock, subject to adjustment for stock splits, reverse stock splits, stock dividends and similar transactions, to certain accredited investors for gross proceeds of $19.7 million in cash. Each warrant has an initial exercise price of $2.52 per share, subject to adjustment for stock splits, reverse stock splits, stock dividends and similar transactions, will be exercisable at any time on or after February 6, 2019, and will expire on August 6, 2023. The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July 2018, the Company granted 466,500 RSUs and 2,368,750 stock options to employees of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3" w:right="2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right="34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and services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benefits of our recent reorganization transactions;</w:t>
      </w:r>
    </w:p>
    <w:p>
      <w:pPr>
        <w:spacing w:after="0" w:line="225" w:lineRule="exact"/>
        <w:rPr>
          <w:rFonts w:ascii="Arial" w:cs="Arial" w:eastAsia="Arial" w:hAnsi="Arial"/>
          <w:sz w:val="18"/>
          <w:szCs w:val="18"/>
          <w:color w:val="auto"/>
        </w:rPr>
      </w:pPr>
    </w:p>
    <w:p>
      <w:pPr>
        <w:ind w:left="620" w:right="44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benefits of recent restructuring activities and cost-reduction initiatives including reductions-in-force, reorganization of executive level management and the consolidation of certain of our facilities;</w:t>
      </w:r>
    </w:p>
    <w:p>
      <w:pPr>
        <w:spacing w:after="0" w:line="62" w:lineRule="exact"/>
        <w:rPr>
          <w:rFonts w:ascii="Arial" w:cs="Arial" w:eastAsia="Arial" w:hAnsi="Arial"/>
          <w:sz w:val="18"/>
          <w:szCs w:val="18"/>
          <w:color w:val="auto"/>
        </w:rPr>
      </w:pPr>
    </w:p>
    <w:p>
      <w:pPr>
        <w:ind w:left="620" w:right="68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62"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2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meet the product performance needs of our customers in wireless broadband data access in Internet of Things (“IoT”) markets;</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ectPr>
          <w:pgSz w:w="11900" w:h="16838" w:orient="portrait"/>
          <w:cols w:equalWidth="0" w:num="1">
            <w:col w:w="11340"/>
          </w:cols>
          <w:pgMar w:left="240" w:top="796" w:right="319" w:bottom="1149" w:gutter="0" w:footer="0" w:header="0"/>
        </w:sect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40"/>
          </w:cols>
          <w:pgMar w:left="240" w:top="796" w:right="319" w:bottom="1149" w:gutter="0" w:footer="0" w:header="0"/>
          <w:type w:val="continuous"/>
        </w:sectPr>
      </w:pPr>
    </w:p>
    <w:bookmarkStart w:id="21" w:name="page22"/>
    <w:bookmarkEnd w:id="21"/>
    <w:p>
      <w:pPr>
        <w:jc w:val="both"/>
        <w:ind w:right="20" w:firstLine="405"/>
        <w:spacing w:after="0" w:line="279"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2017. If one or more events related to these or other risks or uncertainties materialize, or if our underlying assumptions prove to be incorrect, actual results may differ materially from what we anticipate.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“Inseego” and the Inseego logo are trademarks or registered trademarks of Inseego. “Novatel Wireless”, the Novatel Wireless logo, “MiFi”, “MiFi Intelligent Mobile Hotspot” and “MiFi Freedom. My Way.” are trademarks or registered trademarks of Novatel Wireless, Inc. (“Novatel Wireless”). “DigiCore”, “Ctrack” and the Ctrack logo are trademarks or registered trademarks of DigiCore Holdings Limited (“DigiCore” or “Ctrack”). “Inseego North America”, “Skyus” and “Crossroads” are trademarks or registered trademarks of Inseego North America, LLC. Other trademarks, trade names or service marks used in this report are the property of their respective owners.</w:t>
      </w:r>
    </w:p>
    <w:p>
      <w:pPr>
        <w:spacing w:after="0" w:line="29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owned subsidiaries.</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530" w:right="339" w:bottom="1440" w:gutter="0" w:footer="0" w:header="0"/>
        </w:sectPr>
      </w:pPr>
    </w:p>
    <w:bookmarkStart w:id="22" w:name="page23"/>
    <w:bookmarkEnd w:id="22"/>
    <w:p>
      <w:pPr>
        <w:ind w:right="100" w:firstLine="392"/>
        <w:spacing w:after="0" w:line="259"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the accompanying notes included in Part I, Item 1 of this report, as well as the audited consolidated financial statements and accompanying notes and Management’s Discussion and Analysis of Financial Condition and Results of Operations for the year ended December 31, 2017, contained in our Annual Report on Form 10-K for the year ended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Inseego is a leader in the design and development of products and solutions that enable high performance mobile applications for large enterprise verticals, service providers and small and medium-sized businesses around the globe. Our product portfolio consists of enterprise SaaS solutions and IoT and mobile solutions, which together form the backbone of compelling, intelligent, reliable and secure IoT services with deep business intelligence. Inseego’s products and solutions power mission critical applications with a “zero unscheduled downtime” mandate, such as asset tracking, fleet management, industrial IoT, SD WAN failover management and mobile broadband services. Our solutions are powered by our key innovations in purpose built SaaS cloud platforms, IoT and mobile technologies, including the newly emerging 5G technology.</w:t>
      </w:r>
    </w:p>
    <w:p>
      <w:pPr>
        <w:spacing w:after="0" w:line="2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and commitment to quality and innovation that makes us a preferred global partner of service providers, distributors, value-added resellers, system integrators, enterprises, small and medium-sized businesses and consumers.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8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Inseego sells SaaS, software and services solutions across multiple mobile and industrial IoT vertical markets, including fleet management, vehicle telematics, aviation (ground service) telematics, usage-based insurance, stolen vehicle recovery, asset tracking, monitoring, business connectivity and subscription management. Our SaaS platforms are device-agnostic and provide a standardized, scalable way to order, connect and manage remote assets and improve business operations. The platforms are flexible and support both on-premise server or cloud-based deployments and are the basis for the delivery of a wide range of IoT services in multiple industries.</w:t>
      </w:r>
    </w:p>
    <w:p>
      <w:pPr>
        <w:spacing w:after="0" w:line="29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Solutions (“DMS”), a hosted SaaS platform that helps organizations manage the selection, deployment and spend of their wireless assets by helping them to save money on personnel and telecom expenses.</w:t>
      </w:r>
    </w:p>
    <w:p>
      <w:pPr>
        <w:spacing w:after="0" w:line="28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provide intelligent wireless hardware products for the worldwide mobile communications and industrial IoT markets. Our hardware products address multiple vertical markets including fleet and commercial telematics, after-market telematics, smart city infrastructure management, remote monitoring and control, security and connected home and wireless surveillance systems. Our broad range of products principally includes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 remotely. Our products currently operate on every major cellular wireless technology platform. Our mobile hotspots, sold under the MiFi brand, are actively used by millions of customers to provide subscribers with secure and convenient high-speed access to corporate, public and personal information through the Internet and enterprise networks. Our wireless routers and USB modems serve as gateways to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286"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We sell our intelligent mobile hotspots primarily to wireless operators either directly or through strategic relationships. Our mobile-hotspot customer base is comprised of wireless operators, including Verizon Wireless in the U.S., as well as distributors and various companies in other vertical markets and geographies.</w:t>
      </w:r>
    </w:p>
    <w:p>
      <w:pPr>
        <w:spacing w:after="0" w:line="28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sell our wireless routers for industrial IoT, integrated telematics and mobile tracking hardware devices through our direct sales force and through distributors. The customer base for our wireless router products is comprised of transportation companies, industrial enterprises, manufacturers, application service providers, system integrators and distributors in various industries, including fleet and vehicle transportation, aviation, energy and industrial automation, security and safety, medical monitoring and government. Integrated telematics devices are also sold by Ctrack and provided as part of the integrated Ctrack SaaS solution.</w:t>
      </w:r>
    </w:p>
    <w:p>
      <w:pPr>
        <w:spacing w:after="0" w:line="29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In the first quarter of 2018, the Company restructured its net revenues into two distinct product groupings, specifically IoT &amp; Mobile Solutions and Enterprise SaaS Solutions. IoT &amp; Mobile Solutions is comprised of intelligent hotspot and</w:t>
      </w:r>
    </w:p>
    <w:p>
      <w:pPr>
        <w:sectPr>
          <w:pgSz w:w="11900" w:h="16838" w:orient="portrait"/>
          <w:cols w:equalWidth="0" w:num="1">
            <w:col w:w="11400"/>
          </w:cols>
          <w:pgMar w:left="240" w:top="476"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76" w:right="259" w:bottom="1440" w:gutter="0" w:footer="0" w:header="0"/>
          <w:type w:val="continuous"/>
        </w:sectPr>
      </w:pPr>
    </w:p>
    <w:bookmarkStart w:id="23" w:name="page24"/>
    <w:bookmarkEnd w:id="23"/>
    <w:p>
      <w:pPr>
        <w:jc w:val="both"/>
        <w:ind w:right="600"/>
        <w:spacing w:after="0" w:line="264" w:lineRule="auto"/>
        <w:rPr>
          <w:sz w:val="20"/>
          <w:szCs w:val="20"/>
          <w:color w:val="auto"/>
        </w:rPr>
      </w:pPr>
      <w:r>
        <w:rPr>
          <w:rFonts w:ascii="Arial" w:cs="Arial" w:eastAsia="Arial" w:hAnsi="Arial"/>
          <w:sz w:val="18"/>
          <w:szCs w:val="18"/>
          <w:color w:val="auto"/>
        </w:rPr>
        <w:t>industrial IoT products including the MiFi and Skyus branded products and solutions. Enterprise SaaS Solutions is comprised of the Ctrack telematics platforms, which provide fleet, vehicle, aviation, asset and other telematics applications and DMS. Both IoT &amp; Mobile Solutions and Enterprise SaaS Solutions include hardware and software required for their respective solution.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tier-one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96"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6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9"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activities, such as awareness and lead generation programs as well as product marketing. Other marketing initiatives include public relations, seminars and co-branding with partners.</w:t>
      </w:r>
    </w:p>
    <w:p>
      <w:pPr>
        <w:spacing w:after="0" w:line="25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ectPr>
          <w:pgSz w:w="11900" w:h="16838" w:orient="portrait"/>
          <w:cols w:equalWidth="0" w:num="1">
            <w:col w:w="11420"/>
          </w:cols>
          <w:pgMar w:left="240" w:top="530"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30" w:right="239" w:bottom="1440" w:gutter="0" w:footer="0" w:header="0"/>
          <w:type w:val="continuous"/>
        </w:sectPr>
      </w:pPr>
    </w:p>
    <w:bookmarkStart w:id="24" w:name="page25"/>
    <w:bookmarkEnd w:id="24"/>
    <w:p>
      <w:pPr>
        <w:jc w:val="both"/>
        <w:ind w:right="24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 as well as discontinued operations, if any.</w:t>
      </w:r>
    </w:p>
    <w:p>
      <w:pPr>
        <w:spacing w:after="0" w:line="28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and/or borrowing additional funds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Annual Report on Form 10-K for the year ended December 31, 2017, we have disclosed those accounting policies that we consider to be significant in determining our results of operations and financial condition. Except as disclosed below, there have been no material changes to those policies that we consider to be significant since the filing of our Annual Report on Form 10-K for the year ended December 31, 2017. The accounting principles used in preparing our unaudited condensed consolidated financial statements conform in all material respects to accounting principles generally accepted in the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Significant changes to our accounting policies, as a result of adopting the new revenue recognition guidance on January 1, 2018, are discussed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80"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six months ended June 30, 2018 and 2017, net revenues by product grouping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31,741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43,265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60,621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82,027</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6"/>
                <w:szCs w:val="16"/>
                <w:color w:val="auto"/>
              </w:rPr>
              <w:t>17,316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16,648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35,169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33,275</w:t>
            </w:r>
          </w:p>
        </w:tc>
      </w:tr>
      <w:tr>
        <w:trPr>
          <w:trHeight w:val="47"/>
        </w:trPr>
        <w:tc>
          <w:tcPr>
            <w:tcW w:w="6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49,057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95,790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115,302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For the three and six months ended June 30, 2018 and 2017, net revenues by geographic region based on shipping destination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32,562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44,565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62,668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83,913</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10,208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10,111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20,893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19,940</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12,229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11,449</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49,057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59,913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95,790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115,302</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5" w:name="page26"/>
    <w:bookmarkEnd w:id="25"/>
    <w:p>
      <w:pPr>
        <w:ind w:right="80" w:firstLine="405"/>
        <w:spacing w:after="0" w:line="264"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VoLTE based wireless home phones and cloud management software. The solutions are offered under the MiFi brand for consumer and business markets, and under the Skyus brand for industrial IoT markets.</w:t>
      </w:r>
    </w:p>
    <w:p>
      <w:pPr>
        <w:spacing w:after="0" w:line="28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is comprised of the Ctrack telematics platforms, which provide fleet vehicle, aviation ground</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and asset tracking and performance information, and other telematics applications, and DMS.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 xml:space="preserve">The Company adopted Accounting Standards Update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These standards provide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Revenues for 2018 are reported under ASC 606, while prior period amounts are not adjusted and continue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87"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17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are not affected by contingent events that could impact the transaction price. The Company does not offer price concessions and does not accept payment that is less than the price stated when it accepts the purchase order, except in rare credit-related circumstances.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ind w:right="40" w:firstLine="392"/>
        <w:spacing w:after="0" w:line="264"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 xml:space="preserve">SaaS and Other Services. </w:t>
      </w:r>
      <w:r>
        <w:rPr>
          <w:rFonts w:ascii="Arial" w:cs="Arial" w:eastAsia="Arial" w:hAnsi="Arial"/>
          <w:sz w:val="18"/>
          <w:szCs w:val="18"/>
          <w:color w:val="auto"/>
        </w:rPr>
        <w:t>SaaS subscription revenue is recognized over time on a ratable basis over the contract term beginning on the date that its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w:t>
      </w:r>
    </w:p>
    <w:p>
      <w:pPr>
        <w:sectPr>
          <w:pgSz w:w="11900" w:h="16838" w:orient="portrait"/>
          <w:cols w:equalWidth="0" w:num="1">
            <w:col w:w="11400"/>
          </w:cols>
          <w:pgMar w:left="240" w:top="530" w:right="25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530" w:right="259" w:bottom="1440" w:gutter="0" w:footer="0" w:header="0"/>
          <w:type w:val="continuous"/>
        </w:sectPr>
      </w:pPr>
    </w:p>
    <w:bookmarkStart w:id="26" w:name="page27"/>
    <w:bookmarkEnd w:id="26"/>
    <w:p>
      <w:pPr>
        <w:ind w:right="220"/>
        <w:spacing w:after="0" w:line="257" w:lineRule="auto"/>
        <w:rPr>
          <w:sz w:val="20"/>
          <w:szCs w:val="20"/>
          <w:color w:val="auto"/>
        </w:rPr>
      </w:pPr>
      <w:r>
        <w:rPr>
          <w:rFonts w:ascii="Arial" w:cs="Arial" w:eastAsia="Arial" w:hAnsi="Arial"/>
          <w:sz w:val="18"/>
          <w:szCs w:val="18"/>
          <w:color w:val="auto"/>
        </w:rPr>
        <w:t xml:space="preserve">point in time as discussed above in the hardware revenue recognition disclosure. If the customer chooses to lease the monitoring device, the Company recognizes the revenue for the monitoring device over the term of the contract. The Company records such revenue in accordance with the Financial Accounting Standards Board (the “FASB”)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 as it has determined that they qualify as operating leases (ownership of the device does not transfer to the other party). For the three and six months ended June 30, 2018, the Company recognized revenues of approximately $2.2 million and $4.4 million, respectively, under ASC 840.</w:t>
      </w:r>
    </w:p>
    <w:p>
      <w:pPr>
        <w:spacing w:after="0" w:line="296"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4" w:lineRule="exact"/>
        <w:rPr>
          <w:sz w:val="20"/>
          <w:szCs w:val="20"/>
          <w:color w:val="auto"/>
        </w:rPr>
      </w:pPr>
    </w:p>
    <w:p>
      <w:pPr>
        <w:ind w:left="660" w:right="48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62" w:lineRule="exact"/>
        <w:rPr>
          <w:sz w:val="20"/>
          <w:szCs w:val="20"/>
          <w:color w:val="auto"/>
        </w:rPr>
      </w:pPr>
    </w:p>
    <w:p>
      <w:pPr>
        <w:ind w:right="32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June 30, 2018.</w:t>
      </w:r>
    </w:p>
    <w:p>
      <w:pPr>
        <w:spacing w:after="0" w:line="2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Determining whether products and services are considered distinct performance obligations that should be accounted for separately versus together may require significant judgment. The Company considered the performance obligations in its</w:t>
      </w:r>
    </w:p>
    <w:p>
      <w:pPr>
        <w:sectPr>
          <w:pgSz w:w="11900" w:h="16838" w:orient="portrait"/>
          <w:cols w:equalWidth="0" w:num="1">
            <w:col w:w="11420"/>
          </w:cols>
          <w:pgMar w:left="240" w:top="5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30" w:right="239" w:bottom="1440" w:gutter="0" w:footer="0" w:header="0"/>
          <w:type w:val="continuous"/>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customer master supply agreements and determined that, for the majority of its revenue, the Company generally satisfies performance obligations at a point in time upon delivery of the product to the customer.</w:t>
      </w:r>
    </w:p>
    <w:p>
      <w:pPr>
        <w:spacing w:after="0" w:line="27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Revenue from the Company’s SaaS subscription services represent a single promise to provide continuous access to its software solutions and their processing capabilities in the form of a service through one of the Company’s or hosted data centers.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Revenue from the Company’s subscription services is recognized over time on a ratable basis over the contract term beginning on the date that the service is made available to the customer.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3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33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 and Transition Disclosures</w:t>
      </w:r>
    </w:p>
    <w:p>
      <w:pPr>
        <w:spacing w:after="0" w:line="33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Adoption of the new standards related to revenue recognition did not have a material impact on the Company’s consolidated financial statements and is not expected to have a material impact in future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Three Months Ended June 30, 2017</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Net revenues</w:t>
      </w:r>
      <w:r>
        <w:rPr>
          <w:rFonts w:ascii="Arial" w:cs="Arial" w:eastAsia="Arial" w:hAnsi="Arial"/>
          <w:sz w:val="17"/>
          <w:szCs w:val="17"/>
          <w:color w:val="auto"/>
        </w:rPr>
        <w:t>. Net revenues for the three months ended June 30, 2018 were $49.1 million, compared to $59.9 million for the same period in 2017.</w:t>
      </w:r>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31,741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43,265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17,316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16,648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net revenues is primarily a result of reduced sales from mobile hotspots and home</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as key customers focus on our upcoming 5G products.</w:t>
      </w:r>
    </w:p>
    <w:p>
      <w:pPr>
        <w:spacing w:after="0" w:line="279"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i w:val="1"/>
          <w:iCs w:val="1"/>
          <w:color w:val="auto"/>
        </w:rPr>
        <w:t xml:space="preserve">Enterprise SaaS Solutions. </w:t>
      </w:r>
      <w:r>
        <w:rPr>
          <w:rFonts w:ascii="Arial" w:cs="Arial" w:eastAsia="Arial" w:hAnsi="Arial"/>
          <w:sz w:val="17"/>
          <w:szCs w:val="17"/>
          <w:color w:val="auto"/>
        </w:rPr>
        <w:t>The increase in Enterprise SaaS Solutions net revenues is primarily a result of increased revenues from Ctrack, partially</w:t>
      </w:r>
      <w:r>
        <w:rPr>
          <w:rFonts w:ascii="Arial" w:cs="Arial" w:eastAsia="Arial" w:hAnsi="Arial"/>
          <w:sz w:val="17"/>
          <w:szCs w:val="17"/>
          <w:i w:val="1"/>
          <w:iCs w:val="1"/>
          <w:color w:val="auto"/>
        </w:rPr>
        <w:t xml:space="preserve"> </w:t>
      </w:r>
      <w:r>
        <w:rPr>
          <w:rFonts w:ascii="Arial" w:cs="Arial" w:eastAsia="Arial" w:hAnsi="Arial"/>
          <w:sz w:val="17"/>
          <w:szCs w:val="17"/>
          <w:color w:val="auto"/>
        </w:rPr>
        <w:t>offset by a slight decline in DMS revenues due to price concessions related to signing multi-year deals with key customers.</w:t>
      </w:r>
    </w:p>
    <w:p>
      <w:pPr>
        <w:spacing w:after="0" w:line="25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June 30, 2018 was $31.4 million, or 64.0% of net revenues, compared to $42.7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71.2% of net revenues, for the same period in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35,615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5,662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1,336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31,400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42,684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cost of net revenues is primarily a result of decreased sales along with a lower cost per</w:t>
      </w:r>
      <w:r>
        <w:rPr>
          <w:rFonts w:ascii="Arial" w:cs="Arial" w:eastAsia="Arial" w:hAnsi="Arial"/>
          <w:sz w:val="18"/>
          <w:szCs w:val="18"/>
          <w:i w:val="1"/>
          <w:iCs w:val="1"/>
          <w:color w:val="auto"/>
        </w:rPr>
        <w:t xml:space="preserve"> </w:t>
      </w:r>
      <w:r>
        <w:rPr>
          <w:rFonts w:ascii="Arial" w:cs="Arial" w:eastAsia="Arial" w:hAnsi="Arial"/>
          <w:sz w:val="18"/>
          <w:szCs w:val="18"/>
          <w:color w:val="auto"/>
        </w:rPr>
        <w:t>unit as a result of changing contract manufacturers.</w:t>
      </w:r>
    </w:p>
    <w:p>
      <w:pPr>
        <w:spacing w:after="0" w:line="27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increase in Enterprise SaaS Solutions cost of net revenues is primarily a result of product mix and price concessions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signing multi-year deals with key customers.</w:t>
      </w:r>
    </w:p>
    <w:p>
      <w:pPr>
        <w:spacing w:after="0" w:line="27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net of recoveries, reflects additional write downs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value of certain inventory related to product lines that were abandoned during the fourth quarter of 2016, net of recoveries related to the subsequent sale of such abandoned products.</w:t>
      </w:r>
    </w:p>
    <w:p>
      <w:pPr>
        <w:spacing w:after="0" w:line="28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June 30, 2018 was $17.7 million, or a gross margin of 36.0%, compared to $17.2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28.8% for the same period in 2017. The increase in gross profit was primarily attributable to the improved gross margins that resulted from changing contract manufacturers, which has offset the decline in revenues as discussed above.</w:t>
      </w:r>
    </w:p>
    <w:p>
      <w:pPr>
        <w:spacing w:after="0" w:line="289"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for the three months ended June 30, 2018 were $5.0 million, or 10.1% of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compared to $5.4 million, or 9.0% of net revenues, for the same period in 2017. The decrease in research and development expenses was primarily a result of our cost containment initiatives, including reductions in our workforce over the past 27 months.</w:t>
      </w:r>
    </w:p>
    <w:p>
      <w:pPr>
        <w:spacing w:after="0" w:line="27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June 30, 2018 were $5.6 million, or 11.5%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$7.0 million, or 11.7% of net revenues, for the same period in 2017. The decrease was primarily a result of our cost containment initiatives, including reductions in our workforce over the past 27 months.</w:t>
      </w:r>
    </w:p>
    <w:p>
      <w:pPr>
        <w:spacing w:after="0" w:line="289"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2018 were $6.3 million, or 12.8%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$8.1 million, or 13.5% of net revenues, for the same period in 2017. The decrease was primarily a result of our cost containment initiatives, including reductions in our workforce over the past 27 months.</w:t>
      </w:r>
    </w:p>
    <w:p>
      <w:pPr>
        <w:spacing w:after="0" w:line="285" w:lineRule="exact"/>
        <w:rPr>
          <w:sz w:val="20"/>
          <w:szCs w:val="20"/>
          <w:color w:val="auto"/>
        </w:rPr>
      </w:pPr>
    </w:p>
    <w:p>
      <w:pPr>
        <w:ind w:right="18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June 30, 2018 and 2017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and $0.9 million, respectively.</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Restructuring charges, net of recoveries. </w:t>
      </w:r>
      <w:r>
        <w:rPr>
          <w:rFonts w:ascii="Arial" w:cs="Arial" w:eastAsia="Arial" w:hAnsi="Arial"/>
          <w:sz w:val="17"/>
          <w:szCs w:val="17"/>
          <w:color w:val="auto"/>
        </w:rPr>
        <w:t>Restructuring charges, net of recoveries, for the three months ended June 30, 2018 and 2017 were</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$0.6 million and $1.4 million, respectively, and primarily consisted of severance costs incurred in connection with the reduction of our workforce, as well as facility exit related costs.</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expense, net, for the three months ended June 30, 2018 was $5.1 million, compared to interest expense, net, of</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$4.9 million for the same period in 2017. The increase in interest expense is primarily a result of the interest expense and amortization of the debt discount and debt issuance costs related to our Term Loan, as discussed below.</w:t>
      </w:r>
    </w:p>
    <w:p>
      <w:pPr>
        <w:spacing w:after="0" w:line="29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three months ended June 30, 2018 was $0.4 million, which primarily consisted of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gains and losses. Other expense, net, for the three months ended June 30, 2017 was $1.0 million, which primarily related to the termination of the Revolver, as defined below.</w:t>
      </w:r>
    </w:p>
    <w:p>
      <w:pPr>
        <w:spacing w:after="0" w:line="28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three months ended June 30, 2018 and 2017 was $0.3 million and $0.6 million, respectively,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certain of our profitable entities in foreign jurisdictions.</w:t>
      </w:r>
    </w:p>
    <w:p>
      <w:pPr>
        <w:spacing w:after="0" w:line="279"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b w:val="1"/>
          <w:bCs w:val="1"/>
          <w:i w:val="1"/>
          <w:iCs w:val="1"/>
          <w:color w:val="auto"/>
        </w:rPr>
        <w:t xml:space="preserve">Net loss attributable to noncontrolling interests. </w:t>
      </w:r>
      <w:r>
        <w:rPr>
          <w:rFonts w:ascii="Arial" w:cs="Arial" w:eastAsia="Arial" w:hAnsi="Arial"/>
          <w:sz w:val="17"/>
          <w:szCs w:val="17"/>
          <w:color w:val="auto"/>
        </w:rPr>
        <w:t>For the three months ended June 30, 2018, net loss attributable to noncontrolling interests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$19,000, compared to net loss attributable to noncontrolling interest of $13,000 for the same period in 2017.</w:t>
      </w:r>
    </w:p>
    <w:p>
      <w:pPr>
        <w:sectPr>
          <w:pgSz w:w="11900" w:h="16838" w:orient="portrait"/>
          <w:cols w:equalWidth="0" w:num="1">
            <w:col w:w="11420"/>
          </w:cols>
          <w:pgMar w:left="240" w:top="476"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76"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Six Months Ended June 30, 2018 Compared to Six Months Ended June 30, 2017</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Net revenues</w:t>
      </w:r>
      <w:r>
        <w:rPr>
          <w:rFonts w:ascii="Arial" w:cs="Arial" w:eastAsia="Arial" w:hAnsi="Arial"/>
          <w:sz w:val="17"/>
          <w:szCs w:val="17"/>
          <w:color w:val="auto"/>
        </w:rPr>
        <w:t>. Net revenues for the six months ended June 30, 2018 were $95.8 million, compared to $115.3 million for the same period in 2017.</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60,621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82,027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24"/>
        </w:trPr>
        <w:tc>
          <w:tcPr>
            <w:tcW w:w="67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35,169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33,275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47"/>
        </w:trPr>
        <w:tc>
          <w:tcPr>
            <w:tcW w:w="67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95,790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net revenues is primarily a result of reduced sales from mobile hotspots and home</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as key customers focus on our upcoming 5G products, partially offset by improved IoT sales.</w:t>
      </w:r>
    </w:p>
    <w:p>
      <w:pPr>
        <w:spacing w:after="0" w:line="224"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i w:val="1"/>
          <w:iCs w:val="1"/>
          <w:color w:val="auto"/>
        </w:rPr>
        <w:t xml:space="preserve">Enterprise SaaS Solutions. </w:t>
      </w:r>
      <w:r>
        <w:rPr>
          <w:rFonts w:ascii="Arial" w:cs="Arial" w:eastAsia="Arial" w:hAnsi="Arial"/>
          <w:sz w:val="17"/>
          <w:szCs w:val="17"/>
          <w:color w:val="auto"/>
        </w:rPr>
        <w:t>The increase in Enterprise SaaS Solutions net revenues is primarily a result of increased revenues from Ctrack, partially</w:t>
      </w:r>
      <w:r>
        <w:rPr>
          <w:rFonts w:ascii="Arial" w:cs="Arial" w:eastAsia="Arial" w:hAnsi="Arial"/>
          <w:sz w:val="17"/>
          <w:szCs w:val="17"/>
          <w:i w:val="1"/>
          <w:iCs w:val="1"/>
          <w:color w:val="auto"/>
        </w:rPr>
        <w:t xml:space="preserve"> </w:t>
      </w:r>
      <w:r>
        <w:rPr>
          <w:rFonts w:ascii="Arial" w:cs="Arial" w:eastAsia="Arial" w:hAnsi="Arial"/>
          <w:sz w:val="17"/>
          <w:szCs w:val="17"/>
          <w:color w:val="auto"/>
        </w:rPr>
        <w:t>offset by a slight decline in DMS revenues due to price concessions related to signing multi-year deals with key customers.</w:t>
      </w:r>
    </w:p>
    <w:p>
      <w:pPr>
        <w:spacing w:after="0" w:line="14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six months ended June 30, 2018 was $62.6 million, or 65.3% of net revenues, compared to $81.9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71.0% of net revenues, for the same period in 2017.</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cost of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IoT &amp; Mobile Solutions</w:t>
            </w:r>
          </w:p>
        </w:tc>
        <w:tc>
          <w:tcPr>
            <w:tcW w:w="5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48,375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67,638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24"/>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13,860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12,842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7"/>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62,590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81,887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cost of net revenues is primarily a result of decreased sales along with a lower cost per</w:t>
      </w:r>
      <w:r>
        <w:rPr>
          <w:rFonts w:ascii="Arial" w:cs="Arial" w:eastAsia="Arial" w:hAnsi="Arial"/>
          <w:sz w:val="18"/>
          <w:szCs w:val="18"/>
          <w:i w:val="1"/>
          <w:iCs w:val="1"/>
          <w:color w:val="auto"/>
        </w:rPr>
        <w:t xml:space="preserve"> </w:t>
      </w:r>
      <w:r>
        <w:rPr>
          <w:rFonts w:ascii="Arial" w:cs="Arial" w:eastAsia="Arial" w:hAnsi="Arial"/>
          <w:sz w:val="18"/>
          <w:szCs w:val="18"/>
          <w:color w:val="auto"/>
        </w:rPr>
        <w:t>unit as a result of changing contract manufacturers.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The increase in Enterprise SaaS Solutions cost of net revenues is primarily a result of increased sales and product mix.</w:t>
      </w:r>
    </w:p>
    <w:p>
      <w:pPr>
        <w:spacing w:after="0" w:line="35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reflects the additional write down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related to product lines which were abandoned during the fourth quarter of 2016, net of recoveries related to the subsequent sale of such abandoned products.</w:t>
      </w:r>
    </w:p>
    <w:p>
      <w:pPr>
        <w:spacing w:after="0" w:line="23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2018 was $33.2 million, or a gross margin of 34.7%, compared to $33.4 million, or a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of 29.0%, for the same period in 2017. The decrease in gross profit was primarily attributable to the decline in revenues, partially offset by the improvement in gross margins as a result of changing contract manufacturers.</w:t>
      </w:r>
    </w:p>
    <w:p>
      <w:pPr>
        <w:spacing w:after="0" w:line="23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six months ended June 30, 2018 were $9.9 million, or 10.4%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$11.7 million, or 10.1% of net revenues, for the same period in 2017. The decrease was primarily a result of our cost containment initiatives, including reductions in our workforce over the past 27 months.</w:t>
      </w:r>
    </w:p>
    <w:p>
      <w:pPr>
        <w:spacing w:after="0" w:line="235"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six months ended June 30, 2018 were $11.1 million, or 11.5%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$14.2 million, or 12.3% of net revenues, for the same period in 2017. The decrease was primarily a result of our cost containment initiatives, including reductions in our workforce over the past 27 months.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6" w:right="239" w:bottom="1440" w:gutter="0" w:footer="0" w:header="0"/>
        </w:sectPr>
      </w:pPr>
    </w:p>
    <w:bookmarkStart w:id="30" w:name="page31"/>
    <w:bookmarkEnd w:id="30"/>
    <w:p>
      <w:pPr>
        <w:ind w:right="20" w:firstLine="405"/>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six months ended June 30, 2018 were $12.8 million, or 13.4%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$20.1 million, or 17.5% of net revenues, for the same period in 2017. General and administrative expenses decreased for the six months ended June 30, 2018 primarily as a result of non-recurring legal costs incurred during 2017 and our cost containment initiatives, including reductions in our workforce over the past 27 months.</w:t>
      </w:r>
    </w:p>
    <w:p>
      <w:pPr>
        <w:spacing w:after="0" w:line="237" w:lineRule="exact"/>
        <w:rPr>
          <w:sz w:val="20"/>
          <w:szCs w:val="20"/>
          <w:color w:val="auto"/>
        </w:rPr>
      </w:pPr>
    </w:p>
    <w:p>
      <w:pPr>
        <w:ind w:right="30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six months ended June 30, 2018 and 2017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 million and $1.8 million, respectively.</w:t>
      </w:r>
    </w:p>
    <w:p>
      <w:pPr>
        <w:spacing w:after="0" w:line="22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net of recoveries. </w:t>
      </w:r>
      <w:r>
        <w:rPr>
          <w:rFonts w:ascii="Arial" w:cs="Arial" w:eastAsia="Arial" w:hAnsi="Arial"/>
          <w:sz w:val="18"/>
          <w:szCs w:val="18"/>
          <w:color w:val="auto"/>
        </w:rPr>
        <w:t>Restructuring charges, net of recoveries, for the six months ended June 30, 2018 and 2017 were $0.9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$2.3 million, respectively, and predominantly consisted of severance costs incurred in connection with the reduction of our workforce, as well as facility exit related costs.</w:t>
      </w:r>
    </w:p>
    <w:p>
      <w:pPr>
        <w:spacing w:after="0" w:line="235"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six months ended June 30, 2018 and 2017 was $10.2 million and $9.0 million,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interest expense is primarily a result of the interest expense and amortization of the debt discount and debt issuance costs related to our Term Loan, as discussed below.</w:t>
      </w:r>
    </w:p>
    <w:p>
      <w:pPr>
        <w:spacing w:after="0" w:line="23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six months ended June 30, 2018 was $0.4 million, which primarily related to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gains and losses, compared to other expense, net, of $1.6 million for the same period in 2017, which primarily related to the termination of the Revolver, as defined below.</w:t>
      </w:r>
    </w:p>
    <w:p>
      <w:pPr>
        <w:spacing w:after="0" w:line="20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six months ended June 30, 2018 and 2017 was $0.7 million and $0.9 million, respectively,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certain of our profitable entities in foreign jurisdictions.</w:t>
      </w:r>
    </w:p>
    <w:p>
      <w:pPr>
        <w:spacing w:after="0" w:line="27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interests. </w:t>
      </w:r>
      <w:r>
        <w:rPr>
          <w:rFonts w:ascii="Arial" w:cs="Arial" w:eastAsia="Arial" w:hAnsi="Arial"/>
          <w:sz w:val="18"/>
          <w:szCs w:val="18"/>
          <w:color w:val="auto"/>
        </w:rPr>
        <w:t>Net loss attributable to noncontrolling interests was $29,000 and $27,000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principal sources of liquidity are our existing cash and cash equivalents and cash generated from operations. As of June 30, 2018, we had cash and cash equivalents of $18.8 million compared with cash and cash equivalents of $21.2 million as of December 31, 2017.</w:t>
      </w:r>
    </w:p>
    <w:p>
      <w:pPr>
        <w:spacing w:after="0" w:line="27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On August 6, 2018, the Company completed a private placement of 12,062,000 shares of common stock and warrants to purchase an additional 4,221,700 shares of common stock, for gross proceeds of $19.7 million in 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Credit Agreements</w:t>
      </w:r>
    </w:p>
    <w:p>
      <w:pPr>
        <w:spacing w:after="0" w:line="19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October 31, 2014, we entered into a five-year senior secured revolving credit facility in the amount of $25.0 million (the “Revolver”) with Wells Fargo Bank, National Association, as lender. On November 17, 2015, the Revolver was amended to increase the maximum borrowing capacity to $48.0 million. On March 20, 2017, at our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29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terminated the Revolver on May 8, 2017, in connection with the execution of a Credit Agreement with Lakestar Semi Inc., a private investment fund managed by Soros Fund Management LLC, dated as of May 8, 2017 (the “Prior Credit Agreement”). The Prior Credit Agreement provided for a $20.0 million secured term loan with a maturity date of May 8, 2018.</w:t>
      </w:r>
    </w:p>
    <w:p>
      <w:pPr>
        <w:spacing w:after="0" w:line="289"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On August 23, 2017, upon entering into the Credit Agreement described below, we used a portion of the proceeds of the new Term Loan (as defined below) to repay all outstanding amounts under and terminate the Prior Credit Agreement. There was no early termination fee paid in connection with the termination of the Prior Credit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7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August 23, 2017, we, and certain of our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us with a term loan in the principal amount of $48.0 million (the “Term Loan”) with a maturity date of August 23, 2020 (the “Maturity Date”). In conjunction with the closing of the Term Loan, we received proceeds</w:t>
      </w:r>
    </w:p>
    <w:p>
      <w:pPr>
        <w:spacing w:after="0" w:line="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of $46.9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(as defined below) pursuant to the terms of</w:t>
      </w:r>
    </w:p>
    <w:p>
      <w:pPr>
        <w:sectPr>
          <w:pgSz w:w="11900" w:h="16838" w:orient="portrait"/>
          <w:cols w:equalWidth="0" w:num="1">
            <w:col w:w="11400"/>
          </w:cols>
          <w:pgMar w:left="240" w:top="476" w:right="25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76" w:right="259" w:bottom="1440" w:gutter="0" w:footer="0" w:header="0"/>
          <w:type w:val="continuous"/>
        </w:sectPr>
      </w:pPr>
    </w:p>
    <w:bookmarkStart w:id="31" w:name="page32"/>
    <w:bookmarkEnd w:id="31"/>
    <w:p>
      <w:pPr>
        <w:ind w:right="60"/>
        <w:spacing w:after="0" w:line="264" w:lineRule="auto"/>
        <w:rPr>
          <w:sz w:val="20"/>
          <w:szCs w:val="20"/>
          <w:color w:val="auto"/>
        </w:rPr>
      </w:pPr>
      <w:r>
        <w:rPr>
          <w:rFonts w:ascii="Arial" w:cs="Arial" w:eastAsia="Arial" w:hAnsi="Arial"/>
          <w:sz w:val="18"/>
          <w:szCs w:val="18"/>
          <w:color w:val="auto"/>
        </w:rPr>
        <w:t>the Note Purchase Agreement (as defined below). Additionally, in conjunction with the closing of the Term Loan, we issued 2,000,000 shares of our common stock to the Lenders with a market value of approximately $2.3 million, accrued an exit fee of approximately $0.6 million, and paid issuance costs of approximately $0.5 million.</w:t>
      </w:r>
    </w:p>
    <w:p>
      <w:pPr>
        <w:spacing w:after="0" w:line="289" w:lineRule="exact"/>
        <w:rPr>
          <w:sz w:val="20"/>
          <w:szCs w:val="20"/>
          <w:color w:val="auto"/>
        </w:rPr>
      </w:pPr>
    </w:p>
    <w:p>
      <w:pPr>
        <w:jc w:val="both"/>
        <w:ind w:right="50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our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June 10, 2015, Novatel Wireless issued $120.0 million of 5.50% convertible senior notes due 2020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219"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aggregate principal amount of the 5.50% convertible senior notes due 2022 (the “Inseego Notes” and collectively with the Novatel Wireless Notes, the “Convertible Notes”). The Inseego Notes were issued in exchange for the approximately $119.8 million aggregate principal amount of outstanding Novatel Wireless Notes that were validly tendered and accepted for exchange and subsequently canceled. 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 The Inseego Notes permit the Company to have a senior credit facility up to a maximum amount of $48.0 million.</w:t>
      </w:r>
    </w:p>
    <w:p>
      <w:pPr>
        <w:spacing w:after="0" w:line="23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exchange of the Novatel Wireless Notes for the Inseego Notes was treated as a debt modification in accordance with applicable FASB guidance and the Company recognized $3.6 million as an additional component of debt discount and additional paid-in capital attributed to the increase in the fair value of the embedded conversion feature of the Inseego Notes before and after modification.</w:t>
      </w:r>
    </w:p>
    <w:p>
      <w:pPr>
        <w:spacing w:after="0" w:line="235"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The Inseego Notes will mature on June 15, 2022, unless earlier converted, redeemed or repurchased. The Inseego Notes will be convertible into cash, shares of our common stock, or a combination thereof, at our election, at an initial conversion price of $4.70 per share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160" w:firstLine="392"/>
        <w:spacing w:after="0" w:line="312" w:lineRule="auto"/>
        <w:rPr>
          <w:sz w:val="20"/>
          <w:szCs w:val="20"/>
          <w:color w:val="auto"/>
        </w:rPr>
      </w:pPr>
      <w:r>
        <w:rPr>
          <w:rFonts w:ascii="Arial" w:cs="Arial" w:eastAsia="Arial" w:hAnsi="Arial"/>
          <w:sz w:val="16"/>
          <w:szCs w:val="16"/>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 the Credit Agreement and the accrued and unpaid interest on such notes.</w:t>
      </w:r>
    </w:p>
    <w:p>
      <w:pPr>
        <w:spacing w:after="0" w:line="2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the filing date of this report, the following aggregate principal amounts remain outstanding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Inseego Notes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104,875</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Novatel Wireless Notes</w:t>
            </w: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10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105,125</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Merger Agreement</w:t>
      </w:r>
    </w:p>
    <w:p>
      <w:pPr>
        <w:spacing w:after="0" w:line="225"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Pursuant to the amended merger agreement with respect to our acquisition of R.E.R. Enterprises, Inc. (“RER”) and its wholly-owned subsidiary and principal operating asset, Feeney Wireless, LLC (which has been renamed Inseego North America, LLC) (“FW”), the Company agreed to pay a total of $15.0 million in deferred purchase price in five cash installments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2" w:name="page33"/>
    <w:bookmarkEnd w:id="32"/>
    <w:p>
      <w:pPr>
        <w:ind w:right="380"/>
        <w:spacing w:after="0" w:line="277" w:lineRule="auto"/>
        <w:rPr>
          <w:sz w:val="20"/>
          <w:szCs w:val="20"/>
          <w:color w:val="auto"/>
        </w:rPr>
      </w:pPr>
      <w:r>
        <w:rPr>
          <w:rFonts w:ascii="Arial" w:cs="Arial" w:eastAsia="Arial" w:hAnsi="Arial"/>
          <w:sz w:val="18"/>
          <w:szCs w:val="18"/>
          <w:color w:val="auto"/>
        </w:rPr>
        <w:t>over a four-year period, beginning in March 2016. The Company also agreed to pay a total of approximately $6.1 million in cash over a four-year period, beginning in March 2016.</w:t>
      </w:r>
    </w:p>
    <w:p>
      <w:pPr>
        <w:spacing w:after="0" w:line="116"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July 26, 2018, subsequent to the balance sheet date,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issue 500,000 shares of the Company’s common stock to the former stockholders of RER, (iii) within 12 months following the execution of the Settlement Agreement, deliver to the former stockholders of RER an additional $1.0 million in cash, common stock, or a combination thereof, at the Company’s option, (iv) within 24 months following the execution of the Settlement Agreement deliver to the former stockholders of RER an additional $1.0 million in cash, common stock, or a combination thereof, at the Company’s option, and (v) file one or more registration statements with respect to the resale of the shares of the Company’s common stock issued to the former stockholders of RER pursuant to the Settlement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(12,940)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(2,762)</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16,822</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352</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1,472</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21,259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9,894</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11,366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was $0.9 million for the six months ended June 30, 2018, compared to net cash used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activities of $12.9 million for the same period in 2017. Net cash provided by operating activities for the six months ended June 30, 2018 was primarily attributable to non-cash charges for depreciation and amortization, including the amortization of debt discount and debt issuance costs, provision for excess and obsolete inventory and share-based compensation expense, partially offset by the net loss in the period and net cash used in working capital. Net cash used in operating activities for the six months ended June 30, 2017 was primarily attributable to the net loss in the period and net cash used in working capital, partially offset by and non-cash charges for depreciation and amortization, including the amortization of debt discount and debt issuance costs, loss on impairment of abandoned product line and share-based compensation expense.</w:t>
      </w:r>
    </w:p>
    <w:p>
      <w:pPr>
        <w:spacing w:after="0" w:line="28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six months ended June 30, 2018 was $1.7 million, compared to net cash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of $2.8 million for the same period in 2017. Cash used in investing activities during the six months ended June 30, 2018 and 2017 was primarily related to the purchases of property, plant and equipment and capitalization of certain costs related to the research and development of software to be sold in our solutions.</w:t>
      </w:r>
    </w:p>
    <w:p>
      <w:pPr>
        <w:spacing w:after="0" w:line="29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during the six months ended June 30, 2018 was $0.2 million, compared to net cash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financing activities of $16.8 million for the same period in 2017. Net cash used in financing activities during the six months ended June 30, 2018 was primarily related to net repayments of DigiCore bank and overdraft facilities, principal payments under capital lease obligations and taxes paid on vested restricted stock units, partially offset by proceeds received from stock option exercises and the employee stock purchase plan. Net cash provided by financing activities for the same period in 2017 was primarily related to net proceeds from the Prior Credit Agreement and net borrowing under DigiCore bank and overdraft facilities, partially offset by taxes paid on vested restricted stock units and principal payments under capital lease obligations.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we had available cash and cash equivalents totaling $18.8 million and a working capital deficit of $5.8 million.</w:t>
      </w:r>
    </w:p>
    <w:p>
      <w:pPr>
        <w:spacing w:after="0" w:line="27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restructuring initiatives commenced in the second quarter of 2017 and the first quarter of 2018 are aimed at significantly reducing our cost of revenues and operating expenses in an effort to increase operating cash flows to eventually be sufficient to offset debt service costs and cash flows from investing activities. Our ability to transition to attaining more profitable operations and generating positive cash flow is dependent upon achieving a level of revenues adequate to support our evolving cost structure. If events or circumstances occur such that we do not meet our operating plan as expected, we may be required to raise capital, reduce planned research and development activities, incur additional restructuring charges or reduce other operating expenses which could have an adverse impact on our ability to achieve our intended business objectives. We believe that our cash and cash equivalents, together with anticipated cash flows from operations, will be sufficient to meet our working capital needs for the next twelve months following the filing date of this report.</w:t>
      </w:r>
    </w:p>
    <w:p>
      <w:pPr>
        <w:spacing w:after="0" w:line="27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22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us, or at all. In addition, in order to obtain additional borrowings, we must comply with certain requirements under the Credit Agreement. If additional funds are raised by the issuance of equity securities, our stockholders could experience dilution of their ownership interests and securities issued may have rights senior to those of the holders of our common stock. If additional funds are raised by the issuance of debt securities, we may be subject to additional limitations on our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During the six months ended June 30, 2018, there were no material changes to our contractual obligations and commercial commitments from those disclosed in our Annual Report on Form 10-K for the year ended December 31, 2017.</w:t>
      </w:r>
    </w:p>
    <w:p>
      <w:pPr>
        <w:spacing w:after="0" w:line="116"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Settlement Agreement described above, which was executed subsequent to the balance sheet date, provides for full settlement of all claims against the former stockholders of RER, including all counterclaims related thereto, in exchange for the Company’s payment of approximately $4 million in cash and common stock. This Settlement Agreement reduces the Company’s acquisition-related liabilities by approximately $17 million from approximately $21.1 million previously accrued (consisting of $15.8 million in cash and $5.3 million in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337"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25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During the six months ended June 30, 2018, there were no material changes in the quantitative or qualitative aspects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our Annual Report on Form 10-K for the year ended December 31, 2017.</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30" w:right="259" w:bottom="1440" w:gutter="0" w:footer="0" w:header="0"/>
        </w:sectPr>
      </w:pPr>
    </w:p>
    <w:bookmarkStart w:id="34" w:name="page35"/>
    <w:bookmarkEnd w:id="34"/>
    <w:p>
      <w:pPr>
        <w:ind w:right="280"/>
        <w:spacing w:after="0" w:line="308" w:lineRule="auto"/>
        <w:rPr>
          <w:sz w:val="20"/>
          <w:szCs w:val="20"/>
          <w:color w:val="auto"/>
        </w:rPr>
      </w:pPr>
      <w:r>
        <w:rPr>
          <w:rFonts w:ascii="Arial" w:cs="Arial" w:eastAsia="Arial" w:hAnsi="Arial"/>
          <w:sz w:val="17"/>
          <w:szCs w:val="17"/>
          <w:color w:val="auto"/>
        </w:rPr>
        <w:t>of the Company’s disclosure controls and procedures as of June 30, 2018, the end of the period covered by this report. Based on the foregoing, our Chief Executive Officer and Chief Financial Officer concluded that our disclosure controls and procedures were effective as of June 30,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June 30, 2018,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584"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 xml:space="preserve">The disclosure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11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Company’s Annual Report on Form 10-K for the year ended December 31, 2017.</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unregistered sales of the Company’s equity securities during the three-month period ended June 30, 2018.</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80" w:right="2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19"/>
          </w:tcPr>
          <w:p>
            <w:pPr>
              <w:ind w:left="120"/>
              <w:spacing w:after="0"/>
              <w:rPr>
                <w:sz w:val="20"/>
                <w:szCs w:val="20"/>
                <w:color w:val="auto"/>
              </w:rPr>
            </w:pPr>
            <w:r>
              <w:rPr>
                <w:rFonts w:ascii="Arial" w:cs="Arial" w:eastAsia="Arial" w:hAnsi="Arial"/>
                <w:sz w:val="18"/>
                <w:szCs w:val="18"/>
                <w:b w:val="1"/>
                <w:bCs w:val="1"/>
                <w:i w:val="1"/>
                <w:iCs w:val="1"/>
                <w:color w:val="auto"/>
              </w:rPr>
              <w:t>Exhibits.</w:t>
            </w:r>
          </w:p>
        </w:tc>
      </w:tr>
      <w:tr>
        <w:trPr>
          <w:trHeight w:val="399"/>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16"/>
          </w:tcPr>
          <w:p>
            <w:pPr>
              <w:spacing w:after="0"/>
              <w:rPr>
                <w:sz w:val="20"/>
                <w:szCs w:val="20"/>
                <w:color w:val="auto"/>
              </w:rPr>
            </w:pPr>
            <w:r>
              <w:rPr>
                <w:rFonts w:ascii="Arial" w:cs="Arial" w:eastAsia="Arial" w:hAnsi="Arial"/>
                <w:sz w:val="14"/>
                <w:szCs w:val="14"/>
                <w:b w:val="1"/>
                <w:bCs w:val="1"/>
                <w:color w:val="auto"/>
              </w:rPr>
              <w:t>Description</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6"/>
          </w:tcPr>
          <w:p>
            <w:pPr>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Agreement and Plan of Merger, dated March 27, 2015, by and among Novatel Wireless, Inc., Duck Acquisition, Inc., R.E.R. Enterprises,</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Inc., the stockholders of R.E.R. Enterprises, Inc. and Ethan Ralston, as the representative of the stockholders of R.E.R. Enterprises, Inc.</w:t>
              </w:r>
            </w:hyperlink>
          </w:p>
        </w:tc>
        <w:tc>
          <w:tcPr>
            <w:tcW w:w="80" w:type="dxa"/>
            <w:vAlign w:val="bottom"/>
            <w:tcBorders>
              <w:top w:val="single" w:sz="8" w:color="0000FF"/>
            </w:tcBorders>
          </w:tcPr>
          <w:p>
            <w:pPr>
              <w:spacing w:after="0"/>
              <w:rPr>
                <w:sz w:val="17"/>
                <w:szCs w:val="17"/>
                <w:color w:val="auto"/>
              </w:rPr>
            </w:pPr>
          </w:p>
        </w:tc>
        <w:tc>
          <w:tcPr>
            <w:tcW w:w="380" w:type="dxa"/>
            <w:vAlign w:val="bottom"/>
            <w:gridSpan w:val="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(incorporated by reference to Exhibit 2.1 to the Company’s Current Report on Form 8-K, filed April 1,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11"/>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Amendment No. 1 to Agreement and Plan of Merger, dated January 5, 2016, by and among Novatel Wireless, Inc., Duck Acquisition, Inc.,</w:t>
              </w:r>
            </w:hyperlink>
          </w:p>
        </w:tc>
        <w:tc>
          <w:tcPr>
            <w:tcW w:w="24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R.E.R. Enterprises, Inc., certain stockholders of R.E.R. Enterprises, Inc. and Ethan Ralston, as the representative of the R.E.R. stockholders</w:t>
              </w:r>
            </w:hyperlink>
          </w:p>
        </w:tc>
        <w:tc>
          <w:tcPr>
            <w:tcW w:w="18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(incorporated by reference to Exhibit 2.1 to the Company’s Current Report on Form 8-K, filed January 11,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Transaction Implementation Agreement, dated June 18, 2015, by and between Novatel Wireless, Inc. and DigiCore Holdings Limited</w:t>
              </w:r>
            </w:hyperlink>
          </w:p>
        </w:tc>
        <w:tc>
          <w:tcPr>
            <w:tcW w:w="620" w:type="dxa"/>
            <w:vAlign w:val="bottom"/>
            <w:gridSpan w:val="8"/>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(incorporated by reference to Exhibit 2.1 to the Company’s Current Report on Form 8-K, filed June 24,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15"/>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Amended and Restated Certificate of Incorporation (incorporated by reference to Exhibit 3.1 to the Company’s Current Report on Form 8-K,</w:t>
              </w:r>
            </w:hyperlink>
          </w:p>
        </w:tc>
        <w:tc>
          <w:tcPr>
            <w:tcW w:w="8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filed November 9,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14"/>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Amended and Restated Bylaws (incorporated by reference to Exhibit 3.2 to the Company’s Current Report on Form 8-K, filed November 9,</w:t>
              </w:r>
            </w:hyperlink>
          </w:p>
        </w:tc>
        <w:tc>
          <w:tcPr>
            <w:tcW w:w="16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22">
              <w:r>
                <w:rPr>
                  <w:rFonts w:ascii="Arial" w:cs="Arial" w:eastAsia="Arial" w:hAnsi="Arial"/>
                  <w:sz w:val="18"/>
                  <w:szCs w:val="18"/>
                  <w:color w:val="0000FF"/>
                  <w:w w:val="86"/>
                </w:rPr>
                <w:t>2016).</w:t>
              </w:r>
            </w:hyperlink>
          </w:p>
        </w:tc>
        <w:tc>
          <w:tcPr>
            <w:tcW w:w="13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2"/>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Certificate of Designation of Series D Junior Participating Preferred Stock of Inseego Corp. (incorporated by reference to Exhibit 3.1 to the</w:t>
              </w:r>
            </w:hyperlink>
          </w:p>
        </w:tc>
        <w:tc>
          <w:tcPr>
            <w:tcW w:w="200" w:type="dxa"/>
            <w:vAlign w:val="bottom"/>
            <w:gridSpan w:val="4"/>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Company’s Current Report on Form 8-K, filed January 22, 2018).</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6"/>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Change in Control and Severance Agreement, dated June 6, 2018, by and between the Company and Dan Mondor (incorporated by reference</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to Exhibit 10.1 to the Company’s Current Report on Form 8-K filed June 6, 2018).</w:t>
              </w:r>
            </w:hyperlink>
          </w:p>
        </w:tc>
        <w:tc>
          <w:tcPr>
            <w:tcW w:w="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ind w:right="80"/>
        <w:spacing w:after="0" w:line="277" w:lineRule="auto"/>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Amendment to Inseego Corp. 2009 Omnibus Incentive Compensation Plan, effective June 6, 2018 (incorporated by reference to Exhibit 10.2</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to the Company’s Current Report on Form 8-K filed June 8, 2018).</w:t>
        </w:r>
      </w:hyperlink>
    </w:p>
    <w:p>
      <w:pPr>
        <w:spacing w:after="0" w:line="62" w:lineRule="exact"/>
        <w:rPr>
          <w:sz w:val="20"/>
          <w:szCs w:val="20"/>
          <w:color w:val="auto"/>
        </w:rPr>
      </w:pPr>
    </w:p>
    <w:p>
      <w:pPr>
        <w:ind w:right="200"/>
        <w:spacing w:after="0" w:line="277" w:lineRule="auto"/>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Inseego Corp. 2018 Omnibus Incentive Compensation Plan (incorporated by reference to Exhibit 10.1 to the Company’s Current Report on</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Form 8-K filed July 13, 2018).</w:t>
        </w:r>
      </w:hyperlink>
    </w:p>
    <w:p>
      <w:pPr>
        <w:spacing w:after="0" w:line="99" w:lineRule="exact"/>
        <w:rPr>
          <w:sz w:val="20"/>
          <w:szCs w:val="20"/>
          <w:color w:val="auto"/>
        </w:rPr>
      </w:pPr>
    </w:p>
    <w:p>
      <w:pPr>
        <w:sectPr>
          <w:pgSz w:w="11900" w:h="16838" w:orient="portrait"/>
          <w:cols w:equalWidth="0" w:num="2">
            <w:col w:w="460" w:space="720"/>
            <w:col w:w="10240"/>
          </w:cols>
          <w:pgMar w:left="240" w:top="580"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9820" w:type="dxa"/>
            <w:vAlign w:val="bottom"/>
            <w:tcBorders>
              <w:bottom w:val="single" w:sz="8" w:color="0000FF"/>
            </w:tcBorders>
            <w:gridSpan w:val="5"/>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Amended and Restated Inseego Corp. 2000 Employee Stock Purchase Plan (incorporated by reference to Exhibit 10.2 to the Company’s</w:t>
              </w:r>
            </w:hyperlink>
          </w:p>
        </w:tc>
        <w:tc>
          <w:tcPr>
            <w:tcW w:w="360" w:type="dxa"/>
            <w:vAlign w:val="bottom"/>
            <w:gridSpan w:val="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358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Current Report on Form 8-K filed July 13, 2018).</w:t>
              </w:r>
            </w:hyperlink>
          </w:p>
        </w:tc>
        <w:tc>
          <w:tcPr>
            <w:tcW w:w="6600" w:type="dxa"/>
            <w:vAlign w:val="bottom"/>
            <w:gridSpan w:val="6"/>
          </w:tcPr>
          <w:p>
            <w:pPr>
              <w:spacing w:after="0"/>
              <w:rPr>
                <w:sz w:val="17"/>
                <w:szCs w:val="17"/>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180" w:type="dxa"/>
            <w:vAlign w:val="bottom"/>
            <w:gridSpan w:val="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83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00" w:type="dxa"/>
            <w:vAlign w:val="bottom"/>
            <w:gridSpan w:val="4"/>
          </w:tcPr>
          <w:p>
            <w:pPr>
              <w:spacing w:after="0"/>
              <w:rPr>
                <w:sz w:val="24"/>
                <w:szCs w:val="24"/>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180" w:type="dxa"/>
            <w:vAlign w:val="bottom"/>
            <w:gridSpan w:val="8"/>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Principal Executive Officer pursuant to 18 U.S.C. Section 1350, as adopted pursuant to Section 906 of the Sarbanes-Oxley</w:t>
              </w:r>
            </w:hyperlink>
          </w:p>
        </w:tc>
      </w:tr>
      <w:tr>
        <w:trPr>
          <w:trHeight w:val="196"/>
        </w:trPr>
        <w:tc>
          <w:tcPr>
            <w:tcW w:w="1140" w:type="dxa"/>
            <w:vAlign w:val="bottom"/>
          </w:tcPr>
          <w:p>
            <w:pPr>
              <w:spacing w:after="0"/>
              <w:rPr>
                <w:sz w:val="17"/>
                <w:szCs w:val="17"/>
                <w:color w:val="auto"/>
              </w:rPr>
            </w:pPr>
          </w:p>
        </w:tc>
        <w:tc>
          <w:tcPr>
            <w:tcW w:w="998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41">
              <w:r>
                <w:rPr>
                  <w:rFonts w:ascii="Arial" w:cs="Arial" w:eastAsia="Arial" w:hAnsi="Arial"/>
                  <w:sz w:val="18"/>
                  <w:szCs w:val="18"/>
                  <w:color w:val="0000FF"/>
                </w:rPr>
                <w:t>Act of 2002.</w:t>
              </w:r>
            </w:hyperlink>
          </w:p>
        </w:tc>
        <w:tc>
          <w:tcPr>
            <w:tcW w:w="2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2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80" w:type="dxa"/>
            <w:vAlign w:val="bottom"/>
            <w:gridSpan w:val="8"/>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Act of 2002.</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80" w:type="dxa"/>
            <w:vAlign w:val="bottom"/>
            <w:gridSpan w:val="7"/>
          </w:tcPr>
          <w:p>
            <w:pPr>
              <w:spacing w:after="0" w:line="20" w:lineRule="exact"/>
              <w:rPr>
                <w:sz w:val="1"/>
                <w:szCs w:val="1"/>
                <w:color w:val="auto"/>
              </w:rPr>
            </w:pPr>
          </w:p>
        </w:tc>
      </w:tr>
      <w:tr>
        <w:trPr>
          <w:trHeight w:val="384"/>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gridSpan w:val="8"/>
          </w:tcPr>
          <w:p>
            <w:pPr>
              <w:spacing w:after="0"/>
              <w:rPr>
                <w:sz w:val="20"/>
                <w:szCs w:val="20"/>
                <w:color w:val="auto"/>
              </w:rPr>
            </w:pPr>
            <w:r>
              <w:rPr>
                <w:rFonts w:ascii="Arial" w:cs="Arial" w:eastAsia="Arial" w:hAnsi="Arial"/>
                <w:sz w:val="18"/>
                <w:szCs w:val="18"/>
                <w:color w:val="auto"/>
                <w:w w:val="90"/>
              </w:rPr>
              <w:t>The following financial statements and footnotes from the Inseego Corp. Quarterly Report on Form 10-Q for the quarter ended June 30, 2018</w:t>
            </w:r>
          </w:p>
        </w:tc>
      </w:tr>
      <w:tr>
        <w:trPr>
          <w:trHeight w:val="216"/>
        </w:trPr>
        <w:tc>
          <w:tcPr>
            <w:tcW w:w="1140" w:type="dxa"/>
            <w:vAlign w:val="bottom"/>
          </w:tcPr>
          <w:p>
            <w:pPr>
              <w:spacing w:after="0"/>
              <w:rPr>
                <w:sz w:val="18"/>
                <w:szCs w:val="18"/>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auto"/>
                <w:w w:val="92"/>
              </w:rPr>
              <w:t>formatted in eXtensible Business Reporting Language (XBRL): (i) Condensed Consolidated Balance Sheets; (ii) Condensed Consolidated</w:t>
            </w:r>
          </w:p>
        </w:tc>
      </w:tr>
      <w:tr>
        <w:trPr>
          <w:trHeight w:val="216"/>
        </w:trPr>
        <w:tc>
          <w:tcPr>
            <w:tcW w:w="1140" w:type="dxa"/>
            <w:vAlign w:val="bottom"/>
          </w:tcPr>
          <w:p>
            <w:pPr>
              <w:spacing w:after="0"/>
              <w:rPr>
                <w:sz w:val="18"/>
                <w:szCs w:val="18"/>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auto"/>
                <w:w w:val="92"/>
              </w:rPr>
              <w:t>Statements of Operations; (iii) Condensed Consolidated Statements of Comprehensive Loss; (iv) Condensed Consolidated Statements of</w:t>
            </w:r>
          </w:p>
        </w:tc>
      </w:tr>
      <w:tr>
        <w:trPr>
          <w:trHeight w:val="230"/>
        </w:trPr>
        <w:tc>
          <w:tcPr>
            <w:tcW w:w="1140" w:type="dxa"/>
            <w:vAlign w:val="bottom"/>
          </w:tcPr>
          <w:p>
            <w:pPr>
              <w:spacing w:after="0"/>
              <w:rPr>
                <w:sz w:val="20"/>
                <w:szCs w:val="20"/>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auto"/>
              </w:rPr>
              <w:t>Cash Flows; and (v) the Notes to Condensed Consolidated Financial Statements.</w:t>
            </w:r>
          </w:p>
        </w:tc>
      </w:tr>
    </w:tbl>
    <w:p>
      <w:pPr>
        <w:spacing w:after="0" w:line="148" w:lineRule="exact"/>
        <w:rPr>
          <w:sz w:val="20"/>
          <w:szCs w:val="20"/>
          <w:color w:val="auto"/>
        </w:rPr>
      </w:pPr>
    </w:p>
    <w:p>
      <w:pPr>
        <w:ind w:left="1180" w:right="400" w:hanging="1145"/>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16" w:lineRule="exact"/>
        <w:rPr>
          <w:sz w:val="20"/>
          <w:szCs w:val="20"/>
          <w:color w:val="auto"/>
        </w:rPr>
      </w:pPr>
    </w:p>
    <w:p>
      <w:pPr>
        <w:ind w:left="1180" w:hanging="1145"/>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8, 2018</w:t>
            </w:r>
          </w:p>
        </w:tc>
        <w:tc>
          <w:tcPr>
            <w:tcW w:w="4520" w:type="dxa"/>
            <w:vAlign w:val="bottom"/>
            <w:gridSpan w:val="2"/>
          </w:tcPr>
          <w:p>
            <w:pPr>
              <w:ind w:left="3060"/>
              <w:spacing w:after="0"/>
              <w:rPr>
                <w:sz w:val="20"/>
                <w:szCs w:val="20"/>
                <w:color w:val="auto"/>
              </w:rPr>
            </w:pPr>
            <w:r>
              <w:rPr>
                <w:rFonts w:ascii="Arial" w:cs="Arial" w:eastAsia="Arial" w:hAnsi="Arial"/>
                <w:sz w:val="18"/>
                <w:szCs w:val="18"/>
                <w:color w:val="auto"/>
              </w:rPr>
              <w:t>Inseego Corp.</w:t>
            </w:r>
          </w:p>
        </w:tc>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92"/>
        </w:trPr>
        <w:tc>
          <w:tcPr>
            <w:tcW w:w="3560" w:type="dxa"/>
            <w:vAlign w:val="bottom"/>
          </w:tcPr>
          <w:p>
            <w:pPr>
              <w:spacing w:after="0"/>
              <w:rPr>
                <w:sz w:val="24"/>
                <w:szCs w:val="24"/>
                <w:color w:val="auto"/>
              </w:rPr>
            </w:pPr>
          </w:p>
        </w:tc>
        <w:tc>
          <w:tcPr>
            <w:tcW w:w="4520" w:type="dxa"/>
            <w:vAlign w:val="bottom"/>
            <w:gridSpan w:val="2"/>
          </w:tcPr>
          <w:p>
            <w:pPr>
              <w:ind w:left="3060"/>
              <w:spacing w:after="0"/>
              <w:rPr>
                <w:sz w:val="20"/>
                <w:szCs w:val="20"/>
                <w:color w:val="auto"/>
              </w:rPr>
            </w:pPr>
            <w:r>
              <w:rPr>
                <w:rFonts w:ascii="Arial" w:cs="Arial" w:eastAsia="Arial" w:hAnsi="Arial"/>
                <w:sz w:val="18"/>
                <w:szCs w:val="18"/>
                <w:color w:val="auto"/>
              </w:rPr>
              <w:t>By:</w:t>
            </w:r>
          </w:p>
        </w:tc>
        <w:tc>
          <w:tcPr>
            <w:tcW w:w="740" w:type="dxa"/>
            <w:vAlign w:val="bottom"/>
          </w:tcPr>
          <w:p>
            <w:pPr>
              <w:ind w:left="54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63"/>
              <w:spacing w:after="0"/>
              <w:rPr>
                <w:sz w:val="20"/>
                <w:szCs w:val="20"/>
                <w:color w:val="auto"/>
              </w:rPr>
            </w:pPr>
            <w:r>
              <w:rPr>
                <w:rFonts w:ascii="Arial" w:cs="Arial" w:eastAsia="Arial" w:hAnsi="Arial"/>
                <w:sz w:val="16"/>
                <w:szCs w:val="16"/>
                <w:color w:val="auto"/>
              </w:rPr>
              <w:t>DAN MONDOR</w:t>
            </w:r>
          </w:p>
        </w:tc>
      </w:tr>
      <w:tr>
        <w:trPr>
          <w:trHeight w:val="27"/>
        </w:trPr>
        <w:tc>
          <w:tcPr>
            <w:tcW w:w="35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83"/>
              <w:spacing w:after="0"/>
              <w:rPr>
                <w:sz w:val="20"/>
                <w:szCs w:val="20"/>
                <w:color w:val="auto"/>
              </w:rPr>
            </w:pPr>
            <w:r>
              <w:rPr>
                <w:rFonts w:ascii="Arial" w:cs="Arial" w:eastAsia="Arial" w:hAnsi="Arial"/>
                <w:sz w:val="14"/>
                <w:szCs w:val="14"/>
                <w:b w:val="1"/>
                <w:bCs w:val="1"/>
                <w:color w:val="auto"/>
                <w:w w:val="97"/>
              </w:rPr>
              <w:t>Dan Mondor</w:t>
            </w:r>
          </w:p>
        </w:tc>
      </w:tr>
      <w:tr>
        <w:trPr>
          <w:trHeight w:val="257"/>
        </w:trPr>
        <w:tc>
          <w:tcPr>
            <w:tcW w:w="35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3560" w:type="dxa"/>
            <w:vAlign w:val="bottom"/>
          </w:tcPr>
          <w:p>
            <w:pPr>
              <w:spacing w:after="0"/>
              <w:rPr>
                <w:sz w:val="24"/>
                <w:szCs w:val="24"/>
                <w:color w:val="auto"/>
              </w:rPr>
            </w:pPr>
          </w:p>
        </w:tc>
        <w:tc>
          <w:tcPr>
            <w:tcW w:w="4520" w:type="dxa"/>
            <w:vAlign w:val="bottom"/>
            <w:gridSpan w:val="2"/>
          </w:tcPr>
          <w:p>
            <w:pPr>
              <w:ind w:left="3060"/>
              <w:spacing w:after="0"/>
              <w:rPr>
                <w:sz w:val="20"/>
                <w:szCs w:val="20"/>
                <w:color w:val="auto"/>
              </w:rPr>
            </w:pPr>
            <w:r>
              <w:rPr>
                <w:rFonts w:ascii="Arial" w:cs="Arial" w:eastAsia="Arial" w:hAnsi="Arial"/>
                <w:sz w:val="18"/>
                <w:szCs w:val="18"/>
                <w:color w:val="auto"/>
              </w:rPr>
              <w:t>By:</w:t>
            </w:r>
          </w:p>
        </w:tc>
        <w:tc>
          <w:tcPr>
            <w:tcW w:w="740" w:type="dxa"/>
            <w:vAlign w:val="bottom"/>
          </w:tcPr>
          <w:p>
            <w:pPr>
              <w:ind w:left="46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43"/>
              <w:spacing w:after="0"/>
              <w:rPr>
                <w:sz w:val="20"/>
                <w:szCs w:val="20"/>
                <w:color w:val="auto"/>
              </w:rPr>
            </w:pPr>
            <w:r>
              <w:rPr>
                <w:rFonts w:ascii="Arial" w:cs="Arial" w:eastAsia="Arial" w:hAnsi="Arial"/>
                <w:sz w:val="16"/>
                <w:szCs w:val="16"/>
                <w:color w:val="auto"/>
                <w:w w:val="97"/>
              </w:rPr>
              <w:t>STEPHEN SMITH</w:t>
            </w:r>
          </w:p>
        </w:tc>
      </w:tr>
      <w:tr>
        <w:trPr>
          <w:trHeight w:val="27"/>
        </w:trPr>
        <w:tc>
          <w:tcPr>
            <w:tcW w:w="35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63"/>
              <w:spacing w:after="0"/>
              <w:rPr>
                <w:sz w:val="20"/>
                <w:szCs w:val="20"/>
                <w:color w:val="auto"/>
              </w:rPr>
            </w:pPr>
            <w:r>
              <w:rPr>
                <w:rFonts w:ascii="Arial" w:cs="Arial" w:eastAsia="Arial" w:hAnsi="Arial"/>
                <w:sz w:val="14"/>
                <w:szCs w:val="14"/>
                <w:b w:val="1"/>
                <w:bCs w:val="1"/>
                <w:color w:val="auto"/>
                <w:w w:val="91"/>
              </w:rPr>
              <w:t>Stephen Smith</w:t>
            </w:r>
          </w:p>
        </w:tc>
      </w:tr>
      <w:tr>
        <w:trPr>
          <w:trHeight w:val="257"/>
        </w:trPr>
        <w:tc>
          <w:tcPr>
            <w:tcW w:w="35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Financial Officer</w:t>
            </w:r>
          </w:p>
        </w:tc>
      </w:tr>
      <w:tr>
        <w:trPr>
          <w:trHeight w:val="836"/>
        </w:trPr>
        <w:tc>
          <w:tcPr>
            <w:tcW w:w="3560" w:type="dxa"/>
            <w:vAlign w:val="bottom"/>
          </w:tcPr>
          <w:p>
            <w:pPr>
              <w:spacing w:after="0"/>
              <w:rPr>
                <w:sz w:val="24"/>
                <w:szCs w:val="24"/>
                <w:color w:val="auto"/>
              </w:rPr>
            </w:pPr>
          </w:p>
        </w:tc>
        <w:tc>
          <w:tcPr>
            <w:tcW w:w="3720" w:type="dxa"/>
            <w:vAlign w:val="bottom"/>
          </w:tcPr>
          <w:p>
            <w:pPr>
              <w:jc w:val="right"/>
              <w:ind w:right="1430"/>
              <w:spacing w:after="0"/>
              <w:rPr>
                <w:sz w:val="20"/>
                <w:szCs w:val="20"/>
                <w:color w:val="auto"/>
              </w:rPr>
            </w:pPr>
            <w:r>
              <w:rPr>
                <w:rFonts w:ascii="Arial" w:cs="Arial" w:eastAsia="Arial" w:hAnsi="Arial"/>
                <w:sz w:val="18"/>
                <w:szCs w:val="18"/>
                <w:color w:val="auto"/>
              </w:rPr>
              <w:t>38</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17" w:lineRule="exact"/>
        <w:rPr>
          <w:sz w:val="20"/>
          <w:szCs w:val="20"/>
          <w:color w:val="auto"/>
        </w:rPr>
      </w:pPr>
    </w:p>
    <w:p>
      <w:pPr>
        <w:ind w:left="620" w:hanging="180"/>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17" w:lineRule="exact"/>
        <w:rPr>
          <w:sz w:val="20"/>
          <w:szCs w:val="20"/>
          <w:color w:val="auto"/>
        </w:rPr>
      </w:pPr>
    </w:p>
    <w:p>
      <w:pPr>
        <w:ind w:left="620" w:hanging="180"/>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Stephen Smith</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319" w:lineRule="exact"/>
        <w:rPr>
          <w:sz w:val="20"/>
          <w:szCs w:val="20"/>
          <w:color w:val="auto"/>
        </w:rPr>
      </w:pPr>
    </w:p>
    <w:p>
      <w:pPr>
        <w:ind w:left="1360" w:right="900" w:hanging="305"/>
        <w:spacing w:after="0" w:line="277"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2018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60" w:right="90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2018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Stephen Smith</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18" Type="http://schemas.openxmlformats.org/officeDocument/2006/relationships/hyperlink" Target="http://www.sec.gov/Archives/edgar/data/1022652/000162828015002127/exhibit21-mergeragreement.htm" TargetMode="External"/><Relationship Id="rId19" Type="http://schemas.openxmlformats.org/officeDocument/2006/relationships/hyperlink" Target="http://www.sec.gov/Archives/edgar/data/1022652/000102265216000071/mifi20160105ex21fwmergeram.htm" TargetMode="External"/><Relationship Id="rId20" Type="http://schemas.openxmlformats.org/officeDocument/2006/relationships/hyperlink" Target="http://www.sec.gov/Archives/edgar/data/1022652/000102265215000016/a20150618exhibit21.htm" TargetMode="External"/><Relationship Id="rId21" Type="http://schemas.openxmlformats.org/officeDocument/2006/relationships/hyperlink" Target="http://www.sec.gov/Archives/edgar/data/1022652/000119312516763609/d261554dex31.htm" TargetMode="External"/><Relationship Id="rId22" Type="http://schemas.openxmlformats.org/officeDocument/2006/relationships/hyperlink" Target="http://www.sec.gov/Archives/edgar/data/1022652/000119312516763609/d261554dex32.htm" TargetMode="External"/><Relationship Id="rId23" Type="http://schemas.openxmlformats.org/officeDocument/2006/relationships/hyperlink" Target="http://www.sec.gov/Archives/edgar/data/1022652/000119312518015371/d525985dex31.htm" TargetMode="External"/><Relationship Id="rId24" Type="http://schemas.openxmlformats.org/officeDocument/2006/relationships/hyperlink" Target="http://www.sec.gov/Archives/edgar/data/1022652/000102265218000034/insg20180606ex101mondorcha.htm" TargetMode="External"/><Relationship Id="rId25" Type="http://schemas.openxmlformats.org/officeDocument/2006/relationships/hyperlink" Target="http://www.sec.gov/Archives/edgar/data/1022652/000102265218000034/insg20180606ex102inseego20.htm" TargetMode="External"/><Relationship Id="rId26" Type="http://schemas.openxmlformats.org/officeDocument/2006/relationships/hyperlink" Target="http://www.sec.gov/Archives/edgar/data/1022652/000102265218000039/insg20180713ex101inseegoco.htm" TargetMode="External"/><Relationship Id="rId27" Type="http://schemas.openxmlformats.org/officeDocument/2006/relationships/hyperlink" Target="http://www.sec.gov/Archives/edgar/data/1022652/000102265218000039/insg20180713ex102amended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2019-12-28T19:52:09Z</dcterms:created>
  <dcterms:modified xsi:type="dcterms:W3CDTF">2019-12-28T19:52:09Z</dcterms:modified>
</cp:coreProperties>
</file>