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2010</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0" w:right="259" w:bottom="1440" w:gutter="0" w:footer="0" w:header="0"/>
        </w:sectPr>
      </w:pPr>
    </w:p>
    <w:p>
      <w:pPr>
        <w:ind w:left="33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135" w:lineRule="exact"/>
        <w:rPr>
          <w:sz w:val="24"/>
          <w:szCs w:val="24"/>
          <w:color w:val="auto"/>
        </w:rPr>
      </w:pPr>
    </w:p>
    <w:p>
      <w:pPr>
        <w:sectPr>
          <w:pgSz w:w="11900" w:h="16838" w:orient="portrait"/>
          <w:cols w:equalWidth="0" w:num="3">
            <w:col w:w="6060" w:space="720"/>
            <w:col w:w="520" w:space="720"/>
            <w:col w:w="338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0-31659</w:t>
      </w:r>
    </w:p>
    <w:p>
      <w:pPr>
        <w:sectPr>
          <w:pgSz w:w="11900" w:h="16838" w:orient="portrait"/>
          <w:cols w:equalWidth="0" w:num="1">
            <w:col w:w="11400"/>
          </w:cols>
          <w:pgMar w:left="240" w:top="230" w:right="259" w:bottom="1440" w:gutter="0" w:footer="0" w:header="0"/>
          <w:type w:val="continuous"/>
        </w:sectPr>
      </w:pP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00"/>
          </w:cols>
          <w:pgMar w:left="240" w:top="230" w:right="259" w:bottom="1440" w:gutter="0" w:footer="0" w:header="0"/>
          <w:type w:val="continuous"/>
        </w:sectPr>
      </w:pPr>
    </w:p>
    <w:p>
      <w:pPr>
        <w:spacing w:after="0" w:line="27"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86-0824673</w:t>
      </w:r>
    </w:p>
    <w:p>
      <w:pPr>
        <w:spacing w:after="0" w:line="47" w:lineRule="exact"/>
        <w:rPr>
          <w:sz w:val="24"/>
          <w:szCs w:val="24"/>
          <w:color w:val="auto"/>
        </w:rPr>
      </w:pPr>
    </w:p>
    <w:p>
      <w:pPr>
        <w:sectPr>
          <w:pgSz w:w="11900" w:h="16838" w:orient="portrait"/>
          <w:cols w:equalWidth="0" w:num="2">
            <w:col w:w="7600" w:space="720"/>
            <w:col w:w="3080"/>
          </w:cols>
          <w:pgMar w:left="240" w:top="230" w:right="259" w:bottom="1440" w:gutter="0" w:footer="0" w:header="0"/>
          <w:type w:val="continuous"/>
        </w:sectPr>
      </w:pPr>
    </w:p>
    <w:p>
      <w:pPr>
        <w:jc w:val="center"/>
        <w:ind w:right="1880"/>
        <w:spacing w:after="0"/>
        <w:rPr>
          <w:sz w:val="20"/>
          <w:szCs w:val="20"/>
          <w:color w:val="auto"/>
        </w:rPr>
      </w:pPr>
      <w:r>
        <w:rPr>
          <w:rFonts w:ascii="Arial" w:cs="Arial" w:eastAsia="Arial" w:hAnsi="Arial"/>
          <w:sz w:val="14"/>
          <w:szCs w:val="14"/>
          <w:b w:val="1"/>
          <w:bCs w:val="1"/>
          <w:color w:val="auto"/>
        </w:rPr>
        <w:t>(State or Other Jurisdiction</w:t>
      </w:r>
    </w:p>
    <w:p>
      <w:pPr>
        <w:jc w:val="center"/>
        <w:ind w:right="188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500" w:space="720"/>
            <w:col w:w="3180"/>
          </w:cols>
          <w:pgMar w:left="240" w:top="230" w:right="259" w:bottom="1440" w:gutter="0" w:footer="0" w:header="0"/>
          <w:type w:val="continuous"/>
        </w:sectPr>
      </w:pPr>
    </w:p>
    <w:p>
      <w:pPr>
        <w:spacing w:after="0" w:line="25"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9645 Scranton Road</w:t>
      </w:r>
    </w:p>
    <w:p>
      <w:pPr>
        <w:spacing w:after="0" w:line="44" w:lineRule="exact"/>
        <w:rPr>
          <w:sz w:val="24"/>
          <w:szCs w:val="24"/>
          <w:color w:val="auto"/>
        </w:rPr>
      </w:pPr>
    </w:p>
    <w:p>
      <w:pPr>
        <w:ind w:left="2000"/>
        <w:spacing w:after="0"/>
        <w:rPr>
          <w:sz w:val="20"/>
          <w:szCs w:val="20"/>
          <w:color w:val="auto"/>
        </w:rPr>
      </w:pPr>
      <w:r>
        <w:rPr>
          <w:rFonts w:ascii="Arial" w:cs="Arial" w:eastAsia="Arial" w:hAnsi="Arial"/>
          <w:sz w:val="16"/>
          <w:szCs w:val="16"/>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92121</w:t>
      </w:r>
    </w:p>
    <w:p>
      <w:pPr>
        <w:spacing w:after="0" w:line="56" w:lineRule="exact"/>
        <w:rPr>
          <w:sz w:val="24"/>
          <w:szCs w:val="24"/>
          <w:color w:val="auto"/>
        </w:rPr>
      </w:pPr>
    </w:p>
    <w:p>
      <w:pPr>
        <w:sectPr>
          <w:pgSz w:w="11900" w:h="16838" w:orient="portrait"/>
          <w:cols w:equalWidth="0" w:num="2">
            <w:col w:w="7800" w:space="720"/>
            <w:col w:w="2880"/>
          </w:cols>
          <w:pgMar w:left="240" w:top="230" w:right="2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50" w:lineRule="exact"/>
        <w:rPr>
          <w:sz w:val="24"/>
          <w:szCs w:val="24"/>
          <w:color w:val="auto"/>
        </w:rPr>
      </w:pPr>
    </w:p>
    <w:p>
      <w:pPr>
        <w:sectPr>
          <w:pgSz w:w="11900" w:h="16838" w:orient="portrait"/>
          <w:cols w:equalWidth="0" w:num="2">
            <w:col w:w="7740" w:space="720"/>
            <w:col w:w="2940"/>
          </w:cols>
          <w:pgMar w:left="240" w:top="230"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Registrant’s telephone number, including area code: (858) 320-8800</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 None</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ectPr>
          <w:pgSz w:w="11900" w:h="16838" w:orient="portrait"/>
          <w:cols w:equalWidth="0" w:num="1">
            <w:col w:w="11400"/>
          </w:cols>
          <w:pgMar w:left="240" w:top="230" w:right="259" w:bottom="1440" w:gutter="0" w:footer="0" w:header="0"/>
          <w:type w:val="continuous"/>
        </w:sectPr>
      </w:pPr>
    </w:p>
    <w:p>
      <w:pPr>
        <w:spacing w:after="0" w:line="43"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8640" w:space="180"/>
            <w:col w:w="240" w:space="100"/>
            <w:col w:w="160" w:space="180"/>
            <w:col w:w="200" w:space="100"/>
            <w:col w:w="1600"/>
          </w:cols>
          <w:pgMar w:left="240" w:top="230" w:right="259" w:bottom="1440" w:gutter="0" w:footer="0" w:header="0"/>
          <w:type w:val="continuous"/>
        </w:sectPr>
      </w:pPr>
    </w:p>
    <w:p>
      <w:pPr>
        <w:spacing w:after="0" w:line="14"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5">
            <w:col w:w="8800" w:space="160"/>
            <w:col w:w="260" w:space="100"/>
            <w:col w:w="140" w:space="240"/>
            <w:col w:w="200" w:space="100"/>
            <w:col w:w="1400"/>
          </w:cols>
          <w:pgMar w:left="240" w:top="230" w:right="259" w:bottom="1440" w:gutter="0" w:footer="0" w:header="0"/>
          <w:type w:val="continuous"/>
        </w:sect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firstLine="342"/>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240"/>
        <w:spacing w:after="0" w:line="207" w:lineRule="exact"/>
        <w:tabs>
          <w:tab w:leader="none" w:pos="2200" w:val="left"/>
          <w:tab w:leader="none" w:pos="3800" w:val="left"/>
          <w:tab w:leader="none" w:pos="5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 w:lineRule="exact"/>
        <w:rPr>
          <w:sz w:val="24"/>
          <w:szCs w:val="24"/>
          <w:color w:val="auto"/>
        </w:rPr>
      </w:pPr>
    </w:p>
    <w:p>
      <w:pPr>
        <w:ind w:left="3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ind w:firstLine="342"/>
        <w:spacing w:after="0" w:line="295"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2010, as reported by The Nasdaq Global Select Market, was approximately $181,452,639.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ind w:left="360"/>
        <w:spacing w:after="0"/>
        <w:rPr>
          <w:sz w:val="20"/>
          <w:szCs w:val="20"/>
          <w:color w:val="auto"/>
        </w:rPr>
      </w:pPr>
      <w:r>
        <w:rPr>
          <w:rFonts w:ascii="Arial" w:cs="Arial" w:eastAsia="Arial" w:hAnsi="Arial"/>
          <w:sz w:val="18"/>
          <w:szCs w:val="18"/>
          <w:color w:val="auto"/>
        </w:rPr>
        <w:t>The number of shares of the Registrant’s common stock outstanding as of March 14, 2011 was 32,031,734.</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860" w:firstLine="342"/>
        <w:spacing w:after="0" w:line="332" w:lineRule="auto"/>
        <w:rPr>
          <w:sz w:val="20"/>
          <w:szCs w:val="20"/>
          <w:color w:val="auto"/>
        </w:rPr>
      </w:pPr>
      <w:r>
        <w:rPr>
          <w:rFonts w:ascii="Arial" w:cs="Arial" w:eastAsia="Arial" w:hAnsi="Arial"/>
          <w:sz w:val="16"/>
          <w:szCs w:val="16"/>
          <w:color w:val="auto"/>
        </w:rPr>
        <w:t>Portions of the Registrant’s definitive proxy statement for the 2011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4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w w:val="96"/>
              </w:rPr>
              <w:t>TABLE OF CONTENTS</w:t>
            </w:r>
          </w:p>
        </w:tc>
        <w:tc>
          <w:tcPr>
            <w:tcW w:w="340" w:type="dxa"/>
            <w:vAlign w:val="bottom"/>
          </w:tcPr>
          <w:p>
            <w:pPr>
              <w:spacing w:after="0"/>
              <w:rPr>
                <w:sz w:val="19"/>
                <w:szCs w:val="19"/>
                <w:color w:val="auto"/>
              </w:rPr>
            </w:pPr>
          </w:p>
        </w:tc>
      </w:tr>
      <w:tr>
        <w:trPr>
          <w:trHeight w:val="353"/>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16"/>
        </w:trPr>
        <w:tc>
          <w:tcPr>
            <w:tcW w:w="11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160" w:type="dxa"/>
            <w:vAlign w:val="bottom"/>
            <w:gridSpan w:val="2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8900" w:type="dxa"/>
            <w:vAlign w:val="bottom"/>
            <w:gridSpan w:val="1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1B.</w:t>
            </w:r>
          </w:p>
        </w:tc>
        <w:tc>
          <w:tcPr>
            <w:tcW w:w="980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80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Legal Proceedings</w:t>
              </w:r>
            </w:hyperlink>
          </w:p>
        </w:tc>
        <w:tc>
          <w:tcPr>
            <w:tcW w:w="848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98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Reserved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98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7.</w:t>
            </w:r>
          </w:p>
        </w:tc>
        <w:tc>
          <w:tcPr>
            <w:tcW w:w="98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350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554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w:t>
            </w:r>
          </w:p>
        </w:tc>
        <w:tc>
          <w:tcPr>
            <w:tcW w:w="980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44">
              <w:r>
                <w:rPr>
                  <w:rFonts w:ascii="Arial" w:cs="Arial" w:eastAsia="Arial" w:hAnsi="Arial"/>
                  <w:sz w:val="18"/>
                  <w:szCs w:val="18"/>
                  <w:color w:val="0000EE"/>
                  <w:w w:val="86"/>
                </w:rPr>
                <w:t>Controls and Procedures</w:t>
              </w:r>
            </w:hyperlink>
          </w:p>
        </w:tc>
        <w:tc>
          <w:tcPr>
            <w:tcW w:w="4620" w:type="dxa"/>
            <w:vAlign w:val="bottom"/>
            <w:tcBorders>
              <w:top w:val="single" w:sz="8" w:color="0000EE"/>
            </w:tcBorders>
            <w:gridSpan w:val="11"/>
          </w:tcPr>
          <w:p>
            <w:pPr>
              <w:spacing w:after="0"/>
              <w:rPr>
                <w:sz w:val="24"/>
                <w:szCs w:val="24"/>
                <w:color w:val="auto"/>
              </w:rPr>
            </w:pPr>
          </w:p>
        </w:tc>
        <w:tc>
          <w:tcPr>
            <w:tcW w:w="344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9B.</w:t>
            </w:r>
          </w:p>
        </w:tc>
        <w:tc>
          <w:tcPr>
            <w:tcW w:w="980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10.</w:t>
            </w:r>
          </w:p>
        </w:tc>
        <w:tc>
          <w:tcPr>
            <w:tcW w:w="980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Directors, Executive Officers and Corporate Governance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80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12.</w:t>
            </w:r>
          </w:p>
        </w:tc>
        <w:tc>
          <w:tcPr>
            <w:tcW w:w="980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448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15.</w:t>
            </w:r>
          </w:p>
        </w:tc>
        <w:tc>
          <w:tcPr>
            <w:tcW w:w="98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and Financial Statement Schedules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160" w:type="dxa"/>
            <w:vAlign w:val="bottom"/>
            <w:gridSpan w:val="2"/>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
        </w:trPr>
        <w:tc>
          <w:tcPr>
            <w:tcW w:w="1080" w:type="dxa"/>
            <w:vAlign w:val="bottom"/>
            <w:shd w:val="clear" w:color="auto" w:fill="0000EE"/>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096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INDEX TO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1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gridSpan w:val="6"/>
          </w:tcPr>
          <w:p>
            <w:pPr>
              <w:jc w:val="center"/>
              <w:ind w:right="4960"/>
              <w:spacing w:after="0"/>
              <w:rPr>
                <w:sz w:val="20"/>
                <w:szCs w:val="20"/>
                <w:color w:val="auto"/>
              </w:rPr>
            </w:pPr>
            <w:r>
              <w:rPr>
                <w:rFonts w:ascii="Arial" w:cs="Arial" w:eastAsia="Arial" w:hAnsi="Arial"/>
                <w:sz w:val="18"/>
                <w:szCs w:val="18"/>
                <w:color w:val="auto"/>
              </w:rPr>
              <w:t>i</w:t>
            </w:r>
          </w:p>
        </w:tc>
        <w:tc>
          <w:tcPr>
            <w:tcW w:w="34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Enfora and any other business, products, technologies or personnel that we may acquire in the future;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respectively, and government regulations;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companies and achieve expected acquisition synergies;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of sufficient product quantities;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unexpected deterioration of global economic conditions on the demand for our products.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“Novatel Wireless”, the Novatel Wireless logo, “MiFi”, “MiFi Intelligent Mobile Hotspot”, “MiFi OS”, “MiFi Home”, “MobiLink”, “Ovation”, “Expedite”, “Freedom Box”, “Merlin”, “MiFi. Freedom. My Way.”, “Conversa”, “TotalMobileInternet”, “NovaSpeed”, “NovaCore” and “NovaDrive” are trademarks of Novatel Wireless, Inc. “Enfora”, the Enfora logo, “Spider”, “Enabling Information Anywhere”, “Enabler”, “Wide” and “N4A” are trademarks of Enfora, Inc. Other trademarks, trade names or service marks used in this report are the property of their respective owners.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principally includes intelligent mobile hotspots, USB modems, embedded PCI and wireless PC-card modems, and communications and applications software. In addition, through our acquisition of Enfora, Inc. (“Enfora”) on November 30, 2010, our product portfolio was expanded to include asset-management solutions utilizing wireless technology and machine-to-machine (M2M) communications devices.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products operate on a majority of the world’s wireless networks. Our mobile hotspots and modems provide subscribers with secure and convenient high speed access to corporate, public and personal information through the Internet and enterprise networks. Our M2M products enable devices to communicate with each other and with server-based application infrastructure.</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Telefonica, Verizon Wireless, Virgin Mobile, and Vodafone; laptop PC and other original equipment manufacturers (OEMs), including Dell; as well as distributors and various companies in other vertical markets. Our M2M customer base is comprised of transportation companies, industrial companies, manufacturers of medical devices and geographical-location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years ended December 31, 2010, 2009, and 2008, net revenues recognized from sales of our products were $338.9 million, $337.4 million, and $321.0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incorporated in 1996 under the laws of the State of Delaware.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objective is to be a leading provider of wireless broadband access and M2M communications solutions. The key elements of our strategy are to:</w:t>
      </w:r>
    </w:p>
    <w:p>
      <w:pPr>
        <w:spacing w:after="0" w:line="113" w:lineRule="exact"/>
        <w:rPr>
          <w:sz w:val="20"/>
          <w:szCs w:val="20"/>
          <w:color w:val="auto"/>
        </w:rPr>
      </w:pPr>
    </w:p>
    <w:p>
      <w:pPr>
        <w:ind w:left="780" w:right="20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Broaden Our Product Offerings. </w:t>
      </w:r>
      <w:r>
        <w:rPr>
          <w:rFonts w:ascii="Arial" w:cs="Arial" w:eastAsia="Arial" w:hAnsi="Arial"/>
          <w:sz w:val="16"/>
          <w:szCs w:val="16"/>
          <w:color w:val="auto"/>
        </w:rPr>
        <w:t>We intend to diversify and continue to broaden our product lines in the following areas: intelligent mobile hotspots,</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and applications software, USB modems, embedded modules, asset-management solutions, and M2M communications devices.</w:t>
      </w:r>
    </w:p>
    <w:p>
      <w:pPr>
        <w:spacing w:after="0" w:line="4" w:lineRule="exact"/>
        <w:rPr>
          <w:rFonts w:ascii="Arial" w:cs="Arial" w:eastAsia="Arial" w:hAnsi="Arial"/>
          <w:sz w:val="16"/>
          <w:szCs w:val="16"/>
          <w:color w:val="auto"/>
        </w:rPr>
      </w:pPr>
    </w:p>
    <w:p>
      <w:pPr>
        <w:ind w:left="780" w:right="58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Our Third Generation (3G) and Fourth Generation (4G) Wireless Product Offerings Worldwide. </w:t>
      </w:r>
      <w:r>
        <w:rPr>
          <w:rFonts w:ascii="Arial" w:cs="Arial" w:eastAsia="Arial" w:hAnsi="Arial"/>
          <w:sz w:val="16"/>
          <w:szCs w:val="16"/>
          <w:color w:val="auto"/>
        </w:rPr>
        <w:t>We intend to continue expanding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of wireless products with leading wireless operators and OEMs worldwide. Our products operate on every major wireless technology, including 3G networks: EV-DO, HSDPA and HSUPA; and 4G networks: LTE, dual carrier HSPA+, and WiMAX.</w:t>
      </w:r>
    </w:p>
    <w:p>
      <w:pPr>
        <w:spacing w:after="0" w:line="25" w:lineRule="exact"/>
        <w:rPr>
          <w:rFonts w:ascii="Arial" w:cs="Arial" w:eastAsia="Arial" w:hAnsi="Arial"/>
          <w:sz w:val="16"/>
          <w:szCs w:val="16"/>
          <w:color w:val="auto"/>
        </w:rPr>
      </w:pPr>
    </w:p>
    <w:p>
      <w:pPr>
        <w:ind w:left="780" w:hanging="326"/>
        <w:spacing w:after="0" w:line="255"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Lead the Intelligent Mobile Hotspot Product Category</w:t>
      </w:r>
      <w:r>
        <w:rPr>
          <w:rFonts w:ascii="Arial" w:cs="Arial" w:eastAsia="Arial" w:hAnsi="Arial"/>
          <w:sz w:val="18"/>
          <w:szCs w:val="18"/>
          <w:color w:val="auto"/>
        </w:rPr>
        <w:t>. We developed the MiFi</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Intelligent Mobile Hotspot, a new category in wireless mobile data</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In May 2009, the first nationwide commercial deployment of MiFi hotspots was launched by Verizon Wireless. Since that time, approximately 20 additional operators around the world have commercially launched MiFi for both 3G and 4G technologies. We have multiple next-generation versions of MiFi hotspots currently in development and we plan to continue to lead the market with innovative MiFi products and software applications.</w:t>
      </w:r>
    </w:p>
    <w:p>
      <w:pPr>
        <w:spacing w:after="0" w:line="61" w:lineRule="exact"/>
        <w:rPr>
          <w:rFonts w:ascii="Arial" w:cs="Arial" w:eastAsia="Arial" w:hAnsi="Arial"/>
          <w:sz w:val="18"/>
          <w:szCs w:val="18"/>
          <w:color w:val="auto"/>
        </w:rPr>
      </w:pPr>
    </w:p>
    <w:p>
      <w:pPr>
        <w:ind w:left="780" w:right="4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relationships with wireless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increase our worldwide market position. In the United States and internationally, we are working closely with wireless operators to introduce new products that will optimize their high-speed 4G wireless data networks. We are also working with wireless operators to expand the opportunities for M2M communications solutions.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00" w:hanging="326"/>
        <w:spacing w:after="0" w:line="323"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Leverage Strategic Relationships. </w:t>
      </w:r>
      <w:r>
        <w:rPr>
          <w:rFonts w:ascii="Arial" w:cs="Arial" w:eastAsia="Arial" w:hAnsi="Arial"/>
          <w:sz w:val="15"/>
          <w:szCs w:val="15"/>
          <w:color w:val="auto"/>
        </w:rPr>
        <w:t>We believe that strategic relationships with wireless carriers and enterprises that utilize mobile computing</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are critical to our ability to leverage sales opportunities and ensure that our technology investments address customer needs. Through strategic relationships, we believe that we can increase market penetration and differentiate our products by leveraging resources, including sales, marketing, and distribution systems. We also intend to address new market opportunities through innovation with our strategic partners.</w:t>
      </w:r>
    </w:p>
    <w:p>
      <w:pPr>
        <w:spacing w:after="0" w:line="16" w:lineRule="exact"/>
        <w:rPr>
          <w:rFonts w:ascii="Arial" w:cs="Arial" w:eastAsia="Arial" w:hAnsi="Arial"/>
          <w:sz w:val="15"/>
          <w:szCs w:val="15"/>
          <w:color w:val="auto"/>
        </w:rPr>
      </w:pPr>
    </w:p>
    <w:p>
      <w:pPr>
        <w:ind w:left="78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Target Key Vertical Market Opportunities and Penetrate New Markets. </w:t>
      </w:r>
      <w:r>
        <w:rPr>
          <w:rFonts w:ascii="Arial" w:cs="Arial" w:eastAsia="Arial" w:hAnsi="Arial"/>
          <w:sz w:val="18"/>
          <w:szCs w:val="18"/>
          <w:color w:val="auto"/>
        </w:rPr>
        <w:t>We believe that continuing developments in wireless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additional vertical market opportunities and more applications for our products. Currently, we market our wireless access and M2M solutions to key vertical industry segments by offering innovative products that are intended to increase productivity, reduce costs and create operational efficiencies.</w:t>
      </w:r>
    </w:p>
    <w:p>
      <w:pPr>
        <w:spacing w:after="0" w:line="62"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functionality and intellectual property to our products and develop new</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software applications to enhance the overall value and ease of use that our products provide to our customers and end users.</w:t>
      </w:r>
    </w:p>
    <w:p>
      <w:pPr>
        <w:spacing w:after="0" w:line="4"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Acquire Companies that Accelerate the Growth of Our Business</w:t>
      </w:r>
      <w:r>
        <w:rPr>
          <w:rFonts w:ascii="Arial" w:cs="Arial" w:eastAsia="Arial" w:hAnsi="Arial"/>
          <w:sz w:val="18"/>
          <w:szCs w:val="18"/>
          <w:color w:val="auto"/>
        </w:rPr>
        <w:t>. We will continue to seek strategic acquisitions of companies in closely aligned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technologies that will provide synergistic growth in revenue and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the wireless broadband technology industry in the following reportable segments:</w:t>
      </w:r>
    </w:p>
    <w:p>
      <w:pPr>
        <w:spacing w:after="0" w:line="90" w:lineRule="exact"/>
        <w:rPr>
          <w:sz w:val="20"/>
          <w:szCs w:val="20"/>
          <w:color w:val="auto"/>
        </w:rPr>
      </w:pPr>
    </w:p>
    <w:p>
      <w:pPr>
        <w:ind w:left="920" w:right="80" w:firstLine="1"/>
        <w:spacing w:after="0" w:line="268" w:lineRule="auto"/>
        <w:tabs>
          <w:tab w:leader="none" w:pos="1159"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Computing Products—includes our MiFi products, USB and PC-card modems and embedded modules that enable data transmission ad services via cellular wireless networks.</w:t>
      </w:r>
    </w:p>
    <w:p>
      <w:pPr>
        <w:spacing w:after="0" w:line="50" w:lineRule="exact"/>
        <w:rPr>
          <w:rFonts w:ascii="Arial" w:cs="Arial" w:eastAsia="Arial" w:hAnsi="Arial"/>
          <w:sz w:val="18"/>
          <w:szCs w:val="18"/>
          <w:color w:val="auto"/>
        </w:rPr>
      </w:pPr>
    </w:p>
    <w:p>
      <w:pPr>
        <w:ind w:left="920" w:right="240" w:firstLine="1"/>
        <w:spacing w:after="0" w:line="268" w:lineRule="auto"/>
        <w:tabs>
          <w:tab w:leader="none" w:pos="1169" w:val="left"/>
        </w:tabs>
        <w:numPr>
          <w:ilvl w:val="0"/>
          <w:numId w:val="6"/>
        </w:numPr>
        <w:rPr>
          <w:rFonts w:ascii="Arial" w:cs="Arial" w:eastAsia="Arial" w:hAnsi="Arial"/>
          <w:sz w:val="18"/>
          <w:szCs w:val="18"/>
          <w:color w:val="auto"/>
        </w:rPr>
      </w:pPr>
      <w:r>
        <w:rPr>
          <w:rFonts w:ascii="Arial" w:cs="Arial" w:eastAsia="Arial" w:hAnsi="Arial"/>
          <w:sz w:val="18"/>
          <w:szCs w:val="18"/>
          <w:color w:val="auto"/>
        </w:rPr>
        <w:t>M2M Products and Solutions—includes our intelligent asset-management solutions utilizing wireless technology and M2M communications acquired with our acquisition of Enfora (Note 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our segments, see Note 10 to our consolidated financial statements.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Mobile Computing Products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 growing portfolio of leading-edge technology solutions that enable data transmission and services via cellular wireless networks. In 2010, our hotspots and modems operated primarily on third-generation (3G) wireless technology. In 2011, we plan to upgrade our entire line of hotspots and modems to fourth-generation (4G) air interfaces, including dual-carrier HSPA+, LTE and WiMax.</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major Mobile Computing product lines:</w:t>
      </w:r>
    </w:p>
    <w:p>
      <w:pPr>
        <w:spacing w:after="0" w:line="8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MiFi</w:t>
      </w:r>
      <w:r>
        <w:rPr>
          <w:rFonts w:ascii="Arial" w:cs="Arial" w:eastAsia="Arial" w:hAnsi="Arial"/>
          <w:sz w:val="11"/>
          <w:szCs w:val="11"/>
          <w:b w:val="1"/>
          <w:bCs w:val="1"/>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Intelligent Mobile Hotspot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our flagship product. Introduced in 2009, it has quickly become a leading brand in mobile communications. MiFi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hotspots are gaining acceptance as the best connectivity option for Wi-Fi-enabled devices such as the iPad, Kindle, tablets, PCs, MP3 players, and gaming devices. MiFi hotspots function by connecting to a cellular-telephone network and creating a secure Wi-Fi signal that can connect to as many as five devices simultaneously. We have sold approximately 2 million MiFi devices since launching this product family. MiFi hotspots accounted for 49%, 24%, and 0% of revenue in 2010, 2009, and 2008, respectively.</w:t>
      </w:r>
    </w:p>
    <w:p>
      <w:pPr>
        <w:spacing w:after="0" w:line="1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strategy for the MiFi platform is to add additional features beyond basic connectivity. In 2010 we introduced the MiFi OS, with on-board application processing and storage that has the capability to run software applications. We are optimistic that the MiFi OS will become a platform for a wide range of applications that will interface with the rapidly growing number of Wi-Fi-enabled devices.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Core Products, </w:t>
      </w:r>
      <w:r>
        <w:rPr>
          <w:rFonts w:ascii="Arial" w:cs="Arial" w:eastAsia="Arial" w:hAnsi="Arial"/>
          <w:sz w:val="16"/>
          <w:szCs w:val="16"/>
          <w:color w:val="auto"/>
        </w:rPr>
        <w:t>including USB and PC-Card Modems, continue to be widely-used devices to access wireless broadband networks. Like cell phones,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 to the cellular network. We introduced both of these connectivity devices in North America, and continue to provide the most advanced wireless access in the industry. USB and PC-Card Modems accounted for 46%, 50%, and 73% of revenue in 2010, 2009, and 2008, respectively.</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Embedded Modules </w:t>
      </w:r>
      <w:r>
        <w:rPr>
          <w:rFonts w:ascii="Arial" w:cs="Arial" w:eastAsia="Arial" w:hAnsi="Arial"/>
          <w:sz w:val="16"/>
          <w:szCs w:val="16"/>
          <w:color w:val="auto"/>
        </w:rPr>
        <w:t>are utilized in a wide range of computing devices, such as laptop PCs, netbooks and various other electronic products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wireless broadband access. Embedded modules accounted for 3%, 26%, and 27% of revenue in 2010, 2009, and 2008, respectively.</w:t>
      </w:r>
    </w:p>
    <w:p>
      <w:pPr>
        <w:spacing w:after="0" w:line="8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Embedded modules are expected to be a significant growth area for Novatel Wireless in 2011. A surge of new electronic devices, combined with the upgrade of wireless broadband networks to high-speed 4G technology, is providing us with new opportunities to provide embedded modules to OEMs. We are aggressively pursuing these opportunities, and have achieved design wins with a number of major manufacturers.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mobile communications software suite, which resides on the mobile subscriber’s computing device, is an object-oriented application that enables a user to gain quick and simple access to advanced connectivity features such as SMS, multimedia messaging and virtual private networking.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also offers video telephony and wireless local area networks, or WLAN management capabilities. The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graphical user interface and underlying functionality are designed to be modular, easily configurable and expandable in order to enable our customers to differentiate their product offerings.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is engineered to work with all our wireless modems.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M2M Products and Solutions</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Enfora was acquired on November 30, 2010, and therefore contributed to our 2010 revenue only during the month of December. This accounted for 2% of 2010 consolidated revenue. Our M2M products and wireless intelligent asset-management solutions acquired with Enfora operate primarily on second-generation wireless technology. We plan to upgrade these products to 3G and 4G technologies in cases where the improved performance provides a competitive advantage. Enfora’s product lines consist of the following:</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Spider</w:t>
      </w:r>
      <w:r>
        <w:rPr>
          <w:rFonts w:ascii="Arial" w:cs="Arial" w:eastAsia="Arial" w:hAnsi="Arial"/>
          <w:sz w:val="11"/>
          <w:szCs w:val="11"/>
          <w:b w:val="1"/>
          <w:bCs w:val="1"/>
          <w:i w:val="1"/>
          <w:iCs w:val="1"/>
          <w:color w:val="auto"/>
        </w:rPr>
        <w:t>®</w:t>
      </w:r>
      <w:r>
        <w:rPr>
          <w:rFonts w:ascii="Arial" w:cs="Arial" w:eastAsia="Arial" w:hAnsi="Arial"/>
          <w:sz w:val="18"/>
          <w:szCs w:val="18"/>
          <w:b w:val="1"/>
          <w:bCs w:val="1"/>
          <w:i w:val="1"/>
          <w:iCs w:val="1"/>
          <w:color w:val="auto"/>
        </w:rPr>
        <w:t xml:space="preserve"> MT, SA &amp; AT Integrated Solutions &amp; Accessories </w:t>
      </w:r>
      <w:r>
        <w:rPr>
          <w:rFonts w:ascii="Arial" w:cs="Arial" w:eastAsia="Arial" w:hAnsi="Arial"/>
          <w:sz w:val="18"/>
          <w:szCs w:val="18"/>
          <w:color w:val="auto"/>
        </w:rPr>
        <w:t>bring together essential elements for monitoring and managing mobile and fixed assets,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tracking and telemetric, along with workforce tracking and management. These solutions are based on the N4A distributed intelligent architecture, which revolutionizes the way enterprise clients manage their assets through a robust series of software management tools. We add value by developing solutions to meet the needs of specific customers with a particular emphasis on select vertical markets including; transportation &amp; logistics, security &amp; asset tracking, industrial automation &amp; smart grid, and remote patient monitoring. These solutions can then be scaled from the smallest fleet customer to company-wide enterprise deployments.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Enabler</w:t>
      </w:r>
      <w:r>
        <w:rPr>
          <w:rFonts w:ascii="Arial" w:cs="Arial" w:eastAsia="Arial" w:hAnsi="Arial"/>
          <w:sz w:val="10"/>
          <w:szCs w:val="10"/>
          <w:b w:val="1"/>
          <w:bCs w:val="1"/>
          <w:i w:val="1"/>
          <w:iCs w:val="1"/>
          <w:color w:val="auto"/>
        </w:rPr>
        <w:t>®</w:t>
      </w:r>
      <w:r>
        <w:rPr>
          <w:rFonts w:ascii="Arial" w:cs="Arial" w:eastAsia="Arial" w:hAnsi="Arial"/>
          <w:sz w:val="16"/>
          <w:szCs w:val="16"/>
          <w:b w:val="1"/>
          <w:bCs w:val="1"/>
          <w:i w:val="1"/>
          <w:iCs w:val="1"/>
          <w:color w:val="auto"/>
        </w:rPr>
        <w:t xml:space="preserve"> III &amp; HS Embedded Solutions </w:t>
      </w:r>
      <w:r>
        <w:rPr>
          <w:rFonts w:ascii="Arial" w:cs="Arial" w:eastAsia="Arial" w:hAnsi="Arial"/>
          <w:sz w:val="16"/>
          <w:szCs w:val="16"/>
          <w:color w:val="auto"/>
        </w:rPr>
        <w:t>are GSM based and are integrated into various products or equipment so that those assets may communicate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computers. This is the essence of “machine-to-machine” applications—enabling back-end IT systems to receive data from remote assets. A common example is vehicle modules that transmit data about location, engine conditions, and abnormal situations to critical decision support or monitoring systems.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N4A™ Software and Design Services </w:t>
      </w:r>
      <w:r>
        <w:rPr>
          <w:rFonts w:ascii="Arial" w:cs="Arial" w:eastAsia="Arial" w:hAnsi="Arial"/>
          <w:sz w:val="18"/>
          <w:szCs w:val="18"/>
          <w:color w:val="auto"/>
        </w:rPr>
        <w:t>include software contained in our N4A Communications &amp; Management asset monitoring and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and royalties for intellectual property. The category also includes design services that we provide to other companies, primarily for asset management solutions and custom product designs.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customer base is comprised of wireless operators, distributors, OEMs, and various companies in vertical markets. Our wireless-operator customers include AT&amp;T, Bell Mobility, Sprint Nextel, Telefonica, Verizon Wireless, Virgin Mobile and Vodafone. OEM customers include Dell and Hewlett-Packard. The acquisition of Enfora significantly diversified our customer base, adding approximately 120 customers, including Linear Technology and United Technologies.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strategic technology, development and marketing relationships with several of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780" w:right="24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62"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OEMs</w:t>
      </w:r>
      <w:r>
        <w:rPr>
          <w:rFonts w:ascii="Arial" w:cs="Arial" w:eastAsia="Arial" w:hAnsi="Arial"/>
          <w:sz w:val="18"/>
          <w:szCs w:val="18"/>
          <w:color w:val="auto"/>
        </w:rPr>
        <w:t>. Our OEM customers integrate our products into devices that they manufacture and sell through their own direct sales forces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channels. Our products are capable of being integrated into a broad range of devices, including laptop PCs, notebooks, netbooks and other mobile computing devices. We seek to build strong relationships with our OEM partners by working closely with them and providing radio frequency, or RF, design consulting, performance optimization, software integration and customization and application engineering support during the integration of our products.</w:t>
      </w:r>
    </w:p>
    <w:p>
      <w:pPr>
        <w:spacing w:after="0" w:line="61" w:lineRule="exact"/>
        <w:rPr>
          <w:rFonts w:ascii="Arial" w:cs="Arial" w:eastAsia="Arial" w:hAnsi="Arial"/>
          <w:sz w:val="18"/>
          <w:szCs w:val="18"/>
          <w:color w:val="auto"/>
        </w:rPr>
      </w:pPr>
    </w:p>
    <w:p>
      <w:pPr>
        <w:ind w:left="780" w:right="60" w:hanging="326"/>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M2M customers</w:t>
      </w:r>
      <w:r>
        <w:rPr>
          <w:rFonts w:ascii="Arial" w:cs="Arial" w:eastAsia="Arial" w:hAnsi="Arial"/>
          <w:sz w:val="18"/>
          <w:szCs w:val="18"/>
          <w:color w:val="auto"/>
        </w:rPr>
        <w:t>. We believe the M2M market provides substantial opportunities for growth. Machine-to-machine and smart-systems technologies are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integrated into a growing number of manufactured devices and machines—whether fixed, movable or fully mobile. We have strong positions in many of the high-growth segments of the M2M market. These include transportation, industrial automation, energy, security, and healthcare. We expect to work with these customers to develop customized solutions that incorporate our software and other intellectual property, providing significant product differentiation.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continue to develop and maintain strategic relationships with wireless and computing industry leaders like Alcatel-Lucent, Dell, QUALCOMM, Sprint Nextel, Verizon Wireless, Virgin Mobile, Vodafone and Telefonica. Enfora has strategic relationships with Texas Instruments, Motorola Mobility Holdings and major software vendors. Through strategic relationships, we have been able to increase market penetration by leveraging the resources and technology of our channel partners.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sell our Mobile Computing products primarily to wireless operators either directly or through strategic relationships, as well as to OEM partners and distributors located worldwide. Most of our Mobile Computing product sales to wireless operators and OEM partners are sold directly by our sales force, or to a lesser degree, through distributors.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sell our M2M Products and Solutions primarily to enterprises in the following industries: transportation; energy and industrial automation; security and safety; and medical monitoring. We sell our M2M Products and Solutions primarily through our own direct sales force in a model that is primarily direct touch with indirect fulfillment.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significant portion of our mobile-computing broadband solutions revenue comes from a small number of customers. However, our M2M revenue comes from a global customer base.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net revenues from sales to Verizon Wireless and Sprint Nextel represented approximately 56% and 17%, respectively, of our total net revenues for the year ended December 31,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to our consolidated financial statements for a discussion of our revenue and asset concentrations by geographic location.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Mobile Computing and M2M Products and Solutions development efforts are focused on innovative new wireless broadband solutions and improving the functionality, design and performance of our existing products. Our research and development expenses for the years ended December 31, 2010, 2009, and 2008 were $48.9 million, $44.9 million, and $34.7 million, respectively. We did not recover any costs from vendor-funded development contracts during the years ended December 31, 2010 and 2009. We recovered $1.7 million from vendor-funded development contracts during the year ended December 31, 2008.</w:t>
      </w:r>
    </w:p>
    <w:p>
      <w:pPr>
        <w:spacing w:after="0" w:line="113"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both segments, we intend to continue to identify and respond to our customers’ needs by introducing new product designs with an emphasis on supporting cutting edge wireless data technology, ease-of-use, performance, weight, cost and power consumption.</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780" w:right="2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Advanced Radio Frequency and Hardware Design. </w:t>
      </w:r>
      <w:r>
        <w:rPr>
          <w:rFonts w:ascii="Arial" w:cs="Arial" w:eastAsia="Arial" w:hAnsi="Arial"/>
          <w:sz w:val="18"/>
          <w:szCs w:val="18"/>
          <w:color w:val="auto"/>
        </w:rPr>
        <w:t>Advanced Radio Frequency, or RF, design is a key technology that determines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devices. We have specialized in 700/800/900/1800/1900/2100 and 2500 MHz designs for digital cellular, packet data, CDMA, HSPA, WiMAX, and LTE technology. Our expertise in RF, baseband, and firmware technology contributes to the performance, cost advantages and small size of our products.</w:t>
      </w:r>
    </w:p>
    <w:p>
      <w:pPr>
        <w:spacing w:after="0" w:line="62"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Miniaturization and System Integration</w:t>
      </w:r>
      <w:r>
        <w:rPr>
          <w:rFonts w:ascii="Arial" w:cs="Arial" w:eastAsia="Arial" w:hAnsi="Arial"/>
          <w:sz w:val="16"/>
          <w:szCs w:val="16"/>
          <w:color w:val="auto"/>
        </w:rPr>
        <w:t>. Our expertise includes the integration of RF and baseband chipsets and PCB technologies. We will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augment our miniaturization technology, working to further reduce the size and cost of current and future products.</w:t>
      </w:r>
    </w:p>
    <w:p>
      <w:pPr>
        <w:spacing w:after="0" w:line="4"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Firmware Development. </w:t>
      </w:r>
      <w:r>
        <w:rPr>
          <w:rFonts w:ascii="Arial" w:cs="Arial" w:eastAsia="Arial" w:hAnsi="Arial"/>
          <w:sz w:val="18"/>
          <w:szCs w:val="18"/>
          <w:color w:val="auto"/>
        </w:rPr>
        <w:t>We have specialized in integrating and customizing 3G and 4G firmware to meet carrier and regulatory requirements.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end-to-end solutions to our customers that integrate the modem hardware, with customized firmware that runs on the modem processor and the modem-manager software that controls its operation.</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Embedded Operating System. </w:t>
      </w:r>
      <w:r>
        <w:rPr>
          <w:rFonts w:ascii="Arial" w:cs="Arial" w:eastAsia="Arial" w:hAnsi="Arial"/>
          <w:sz w:val="16"/>
          <w:szCs w:val="16"/>
          <w:color w:val="auto"/>
        </w:rPr>
        <w:t>We have developed an embedded operating system that runs applications on our mobile hotspot products.</w:t>
      </w:r>
    </w:p>
    <w:p>
      <w:pPr>
        <w:spacing w:after="0" w:line="113" w:lineRule="exact"/>
        <w:rPr>
          <w:rFonts w:ascii="Arial" w:cs="Arial" w:eastAsia="Arial" w:hAnsi="Arial"/>
          <w:sz w:val="16"/>
          <w:szCs w:val="16"/>
          <w:color w:val="auto"/>
        </w:rPr>
      </w:pPr>
    </w:p>
    <w:p>
      <w:pPr>
        <w:ind w:left="780" w:right="78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M2M Solutions</w:t>
      </w:r>
      <w:r>
        <w:rPr>
          <w:rFonts w:ascii="Arial" w:cs="Arial" w:eastAsia="Arial" w:hAnsi="Arial"/>
          <w:sz w:val="16"/>
          <w:szCs w:val="16"/>
          <w:color w:val="auto"/>
        </w:rPr>
        <w:t>. We have developed customized asset-tracking systems and service-delivery platforms that utilize advanced radio-frequency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specialized software that interfaces with the information technology systems of our customers.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hardware components used in our solutions are produced by contract manufacturers. Their services include component procurement, assembly, testing, quality control, fulfillment and delivery. We currently have manufacturing agreements in place with the following companies: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Computing Products</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LG Innotek Co., Ltd, or “LG Innotek”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Inventec Appliances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Hon Hai Precision Industry Co., Ltd.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M2M Products and Solutions</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Benchmark Electronics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Flextronics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These contract manufacturers are located in Asia, primarily China, Thailand, and Korea, and are able to produce our products using relatively low-cost labor and modern state-of-the-art equipment and facilities.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believe that additional manufacturing efficiencies are realized due to our product architecture and our commitment to process design. Direct materials for our products consist of custom tooled parts such as printed circuit boards, molded plastic components and fabricated metal components, semi-custom parts such as batteries and cables, as well as industry-standard components such as ASICs, RF power amplifiers, flash memory, transistors, integrated circuits, piezo-electric filters, duplexers, inductors, resistors and capacitors. Many of the components used in our products are similar to those used in cellular telephone handsets, helping to reduce our component costs through the use of standard parts.</w:t>
      </w:r>
    </w:p>
    <w:p>
      <w:pPr>
        <w:spacing w:after="0" w:line="1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operations organization manages our relationships with the contract manufacturers as well as other key suppliers. Our operations team focuses on supply chain management, quality, cost optimization, customer order management and new product introduction.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Computing Products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wireless broadband access solutions rely on and benefit from our portfolio of intellectual property, including patents and trademarks. We currently own 35 United States patents, two of which are also registered in Canada. In addition, we currently have 41 patent applications pending. From time to time, we also seek to have our patents registered in selected foreign jurisdictions. The patents that we currently own expire at various times between 2011 and 2023.</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licensed software and other intellectual property for use in our products from third-parties, such as QUALCOMM. In the case of QUALCOMM, these licenses allow us to manufacture CDMA, UMTS, HSPA,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EV-DO, and LTE-based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of our intellectual property that incorporates the technology licensed to us by QUALCOMM. This license allows QUALCOMM to make, use, sell or dispose of such products and the related components.</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also hold a number of trademarks including Expedite, MiFi, MiFi OS, MiFi Intelligent Mobile Hotspot, MobiLink, Ovation, Conversa, NovaSpeed, NovaCore and NovaDrive.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M2M Products and Solutions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M2M products and solutions incorporate patents, licensed technology, and trade secrets gained from our deep experience at providing customized solutions for our customers.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currently own three United States patents related to M2M products and solutions. In addition, we currently have 17 patent applications pending. From time to time, we also seek to have our patents registered in selected foreign jurisdictions. The patents that we currently own expire at various times between 2021 and 2024.</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have licensed software and other intellectual property for use in our products from various third-parties, such as Ericsson and Interdigital Communications Corporation. These licenses allow us to use the licensed intellectual property for the worldwide manufacture and sale of GSM-based wireless devices. We pay royalties in connection with such sales. The licenses do not have a specified term and may be terminated by either party for cause or upon the occurrence of other specified events.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hold a number of trademarks including Enfora, Spider, Enabling Information Anywhere, Enabler, Wide, and N4A.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wireless broadband access and M2M solutions is rapidly evolving and highly competitive. It is likely to continue to be significantly affected by the evolution of new wireless technology standards, additional companies entering the market, new product introductions and the product pricing and other market activities of industry participants. 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 and leverage our strategic relationships. Significant progress was made during 2010 in terms of developing new products and expanding our customer base.</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and potential competitors include:</w:t>
      </w:r>
    </w:p>
    <w:p>
      <w:pPr>
        <w:spacing w:after="0" w:line="51" w:lineRule="exact"/>
        <w:rPr>
          <w:sz w:val="20"/>
          <w:szCs w:val="20"/>
          <w:color w:val="auto"/>
        </w:rPr>
      </w:pPr>
    </w:p>
    <w:p>
      <w:pPr>
        <w:ind w:left="5680" w:right="1720" w:hanging="5226"/>
        <w:spacing w:after="0" w:line="440" w:lineRule="auto"/>
        <w:tabs>
          <w:tab w:leader="none" w:pos="7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data modem providers, such as Huawei, ZTE, Sierra Wireless, UTStarcom, Sony-Ericsson, LG Innotek and Samsung; 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M2M module providers, such as Sierra Wireless, Telit Wireless Solutions, and Gemalto;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chipset providers, such as QUALCOMM, Motorola, and Ericsson.</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believe that we have advantages over each of our primary competitors due in varying measure to the technical and engineering design of our products, the broad range of customized solutions that we offer, the ease-of-use of our products, our ability to adapt our products to specific customer needs and our competitive pricing. As the market for wireless data solutions expands, other entrants may seek to compete with us either directly or indirectly.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2010, we had 489 employees, including 252 in research and development, 109 in sales and marketing, 64 in operations, and 64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 xml:space="preserve">We maintain an Internet website at </w:t>
      </w:r>
      <w:r>
        <w:rPr>
          <w:rFonts w:ascii="Arial" w:cs="Arial" w:eastAsia="Arial" w:hAnsi="Arial"/>
          <w:sz w:val="15"/>
          <w:szCs w:val="15"/>
          <w:i w:val="1"/>
          <w:iCs w:val="1"/>
          <w:u w:val="single" w:color="auto"/>
          <w:color w:val="auto"/>
        </w:rPr>
        <w:t>www.novatelwireless.com</w:t>
      </w:r>
      <w:r>
        <w:rPr>
          <w:rFonts w:ascii="Arial" w:cs="Arial" w:eastAsia="Arial" w:hAnsi="Arial"/>
          <w:sz w:val="15"/>
          <w:szCs w:val="15"/>
          <w:color w:val="auto"/>
        </w:rPr>
        <w:t>. The information contained on our website or that can be accessed through our website does not constitute a part of this report. We make available, free of charge through our Internet website, our annual reports on Form 10-K, quarterly reports on Form</w:t>
      </w:r>
    </w:p>
    <w:p>
      <w:pPr>
        <w:spacing w:after="0" w:line="255" w:lineRule="auto"/>
        <w:rPr>
          <w:sz w:val="20"/>
          <w:szCs w:val="20"/>
          <w:color w:val="auto"/>
        </w:rPr>
      </w:pPr>
      <w:r>
        <w:rPr>
          <w:rFonts w:ascii="Arial" w:cs="Arial" w:eastAsia="Arial" w:hAnsi="Arial"/>
          <w:sz w:val="18"/>
          <w:szCs w:val="18"/>
          <w:color w:val="auto"/>
        </w:rPr>
        <w:t>10-Q, current reports on Form 8-K, and amendments to those reports filed or furnished pursuant to Section 13(a) or 15(d) of the Securities Exchange Act of 1934, as amended, or the Exchange Act, as soon as reasonably practicable after we electronically file or furnish this information to the Securities and Exchange Commission, or SEC.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An investment in our common stock involves various risks. 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wireless broadband data access products and services is rapidly evolving and highly competitive. We may be unable to compete effectively.</w:t>
      </w:r>
    </w:p>
    <w:p>
      <w:pPr>
        <w:spacing w:after="0" w:line="1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market for wireless broadband data access products and services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wireless M2M devices and solutions as well as other wireless devices. Our current competitors include:</w:t>
      </w:r>
    </w:p>
    <w:p>
      <w:pPr>
        <w:spacing w:after="0" w:line="5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wireless data modem providers, such as Huawei, ZTE, Option International, Sierra Wireless, Kyocera, UTStarcom and Sony-Ericsson;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chipset providers, such as QUALCOMM and Ericsson;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M2M device and solution providers, such as Sierra Wireless, nPhase and Jasper Wireless, Inc.</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performance competitive, we must, among other things, continue to invest significant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product margins and loss of our market share. Our failure to compete successfully could seriously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develop and timely introduce new products successfully, we may lose key customers or product orders and our business could be harmed.</w:t>
      </w:r>
    </w:p>
    <w:p>
      <w:pPr>
        <w:spacing w:after="0" w:line="12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that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and might impact the timing of the product development and customer approval process. In addition, as we introduce new products or new versions of our existing products,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 as part of our business, we enter into contracts with some customers pursuant to which we develop products for later sale to that customer. Our ability to generate future revenue and operating income under any such contracts depends upon, among other factors, our ability to timely and profitably develop products that are suitable for manufacturing in a cost effective manner and that meet defined product design, technical and performance specifications. Our ability to maximize the benefits of these contracts is subject to the following risks:</w:t>
      </w:r>
    </w:p>
    <w:p>
      <w:pPr>
        <w:spacing w:after="0" w:line="62" w:lineRule="exact"/>
        <w:rPr>
          <w:sz w:val="20"/>
          <w:szCs w:val="20"/>
          <w:color w:val="auto"/>
        </w:rPr>
      </w:pPr>
    </w:p>
    <w:p>
      <w:pPr>
        <w:ind w:left="780" w:right="8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customer support and warranty costs. If these or other costs are actually higher than our estimated costs, our gross margins and operating margins on the corresponding products sold will be less than anticipated.</w:t>
      </w:r>
    </w:p>
    <w:p>
      <w:pPr>
        <w:spacing w:after="0" w:line="59" w:lineRule="exact"/>
        <w:rPr>
          <w:rFonts w:ascii="Arial" w:cs="Arial" w:eastAsia="Arial" w:hAnsi="Arial"/>
          <w:sz w:val="18"/>
          <w:szCs w:val="18"/>
          <w:color w:val="auto"/>
        </w:rPr>
      </w:pPr>
    </w:p>
    <w:p>
      <w:pPr>
        <w:ind w:left="780" w:hanging="326"/>
        <w:spacing w:after="0" w:line="298"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unable to commit the necessary engineering, program management and other resources or are otherwise unable to successfully develop products as required by the terms of these contracts, our customers might suspend or cancel the applicable program or terminate the related contracts, we may not be entitled to recover any costs that we incurred for research and development, sales and marketing, production and otherwise, and we may be subject to additional costs such as contractual penalties.</w:t>
      </w:r>
    </w:p>
    <w:p>
      <w:pPr>
        <w:spacing w:after="0" w:line="31" w:lineRule="exact"/>
        <w:rPr>
          <w:rFonts w:ascii="Arial" w:cs="Arial" w:eastAsia="Arial" w:hAnsi="Arial"/>
          <w:sz w:val="16"/>
          <w:szCs w:val="16"/>
          <w:color w:val="auto"/>
        </w:rPr>
      </w:pPr>
    </w:p>
    <w:p>
      <w:pPr>
        <w:ind w:left="780" w:right="20" w:hanging="326"/>
        <w:spacing w:after="0" w:line="298"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deliver in a timely manner a product that is suitable for manufacture in a cost effective manner or if a customer determines that a prototype product we delivered does not meet the agreed-upon specifications including receiving wireless operator approval, we may be unable to commercially launch the product, we may have to reduce the price we charge for this product if it does launch, or we may be required to pay damages to the customer. These circumstances may also result in excess or obsolete inventory charges that may materially impact our financial results.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In November 2010, we completed our acquisition of Enfora. We may acquire additional businesses, assets, or technologies in the future. If we make any acquisitions, we could take any or all of the following actions, any one of which could adversely affect our business, financial condition, results of operations or share price:</w:t>
      </w:r>
    </w:p>
    <w:p>
      <w:pPr>
        <w:spacing w:after="0" w:line="6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Acquisitions, including the Enfora acquisition, also entail numerous other risks, including: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 substantial accounting charges for restructuring and other expenses, amortization of purchased technology and intangible assets and stock-based compensation expense, any of which could materially adversely affect our operating results. We may not be able to realize the anticipated benefits of or successfully integrate with our existing business the businesses, products, technologies or personnel that we acquire, and our failure to do so could harm our business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or deterioration in global economic conditions could have a material adverse effect on our results of operations and financial condition.</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weak or deteriorating economic conditions globally, we could experience lower demand for our products, which could adversely impact our results of operations.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 an inability on the part of our customers to obtain credit to finance purchases of our products and reduced demand by the ultimate end-users of our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continue to monitor market conditions, we cannot predict future market conditions or their impact on demand for our products.</w:t>
      </w:r>
    </w:p>
    <w:p>
      <w:pPr>
        <w:spacing w:after="0" w:line="27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failure to predict carrier and end user customer preferences among the many evolving wireless industry standards could hurt our ability to introduce and sell new products.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these standards in relevant respects. We are currently focused on engineering and manufacturing products that comply with several different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key element of our business strategy is to penetrate new markets by developing new products through strategic relationships with industry participants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16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Our business could be negatively affected by an adverse change in our dealings with these customers.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significant portion of our net revenues come from only a few customers. Our revenue could be materially adversely affected if we are unable to retain the level of business of any of our significant customers and if we are unable to offset this loss fully from alternative customers. We expect that a small number of customers will continue to account for a substantial portion of our revenue for the foreseeable future and any impairment of our relationship with, or the material financial impairment of, these customers could adversely affect our business.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a majority of our current customers purchase our products pursuant to contracts that do not require them to purchase any specific minimum quantity of units other than the number of units ordered on an individual purchase order that might be issued to us from time to time. These customers have no contractual obligation to continue to purchase our products and if they do not continue to make purchases consistent with their historical purchase levels, our net revenue would decline if we are unable to increase sales from other existing or new customers.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many of whom are already customers, it would be difficult to replace revenue resulting from the loss of any significant existing customer or from a material reduction in the volume of business we conduct with any significant existing customer. Consolidation among our customers may further concentrate our business to a more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 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success of our business depends, in part, on the capacity, affordability, reliability and prevalence of wireless data networks provided by wireless telecommunications operators and on which our products operate.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5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Various risks arise if companies and industries quickly evolve. If our business or industry develops more quickly than our ability to respond, our ability to meet customer demand in a timely and efficient manner could be challenged. We may also experience development, certification or production delays as we seek to meet increased demand for our products or unanticipated product requirements. Our failure to properly manage the developments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currently outsource our manufacturing to LG Innotek, Inventec Appliances Corporation, Hon Hai Precision Industry Co., Ltd., Benchmark Electronics and Flextronics. If one of these third-party manufacturers were to experience delays, disruptions, capacity constraints or quality control problems in its manufacturing operations, product shipments to our customers could be delayed or rejected by them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and that has been accepted.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if a third-party manufacturer were to negatively change the product pricing and other terms under which it agrees to manufacture for us and we are unable to locate a suitable alternative manufacturer, our manufacturing costs could significantly increase.</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corresponding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and timing of delivery of units that a customer orders from us on the subsequently issued purchase order differs materially from the number of units in respect of which we contractually ordered our manufacturer to procure component parts,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been in the past and may in the future be materially adversely affected by our ability to manage our current or finished goods inventory levels and respond to short-term or unexpected shifts in customer demand as to quantities or our customer’s product delivery schedule.</w:t>
      </w:r>
    </w:p>
    <w:p>
      <w:pPr>
        <w:spacing w:after="0" w:line="201"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sole source suppliers for some components used in our products. The availability and sale of those finished products would be harmed if any of these suppliers is not able to meet our demand and production schedule and alternative suitable components are not available on acceptable terms, if at all.</w:t>
      </w:r>
    </w:p>
    <w:p>
      <w:pPr>
        <w:ind w:firstLine="456"/>
        <w:spacing w:after="0" w:line="287" w:lineRule="auto"/>
        <w:rPr>
          <w:sz w:val="20"/>
          <w:szCs w:val="20"/>
          <w:color w:val="auto"/>
        </w:rPr>
      </w:pPr>
      <w:r>
        <w:rPr>
          <w:rFonts w:ascii="Arial" w:cs="Arial" w:eastAsia="Arial" w:hAnsi="Arial"/>
          <w:sz w:val="16"/>
          <w:szCs w:val="16"/>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or their availability has been subsequently interrupted for reasons outside our control. For example, some of our product components are manufactured in Japan, which recently experienced a significant earthquake. Although to date, we have not received any reports of damage to our supplier facilities, some of these manufacturers experienced temporary suspension of production due to power outages. If there is a shortage or interruption in the availability to us of any such components, and we cannot timely obtain a commercially and technologically suitable substitute or make sufficient and timely design or other product modifications to permit the use of such a substitute component,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the original cost of the component in our costed bill of materials, then our results of operations would be adversely affected.</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contract with a number of suppliers in Japan. As a result of the effects of the earthquake and tsunami that occurred in Japan, our Japanese suppliers may be unable to deliver sufficient quantities of components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may be unable to deliver components in a timely manner, which could have a material adverse affect on our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party to litigation that could be costly to defend and distracting to management.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the date of this report, a class action lawsuit has been filed on behalf of persons who allegedly purchased our common stock between February 27, 2007 and November 10, 2008. The lawsuit names us and certain of our current and former officers as defendants. The complaint alleges generally that we issued materially false and misleading statements during the relevant time period regarding the strength of our products and market share, our financial results and internal controls.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Also as of the date of this report, we have been named as a nominal defendant in a purported shareholder derivative lawsuit filed in California state court. The complaint also names as defendants certain of our current and former officers and directors. The complaint alleges claims for breach of fiduciary duties, unjust enrichment and gross mismanagement.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194"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Third parties have in the past and may claim in the future that we, or our customers or suppliers, have violated their intellectual property rights. Defending an infringement or misappropriation claim, for example, regardless of the merits or success of the claim, could result in our incurring substantial legal and other costs. These claims could also divert our engineering and other human resources and management attention and cause harm to our reputation. These claims can be difficult and costly to assess and defend. A successful infringement claim related to our products could result in, among other things, our becoming liable for damages and litigation costs or unexpected and costly engineering changes to affected products.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have to modify our product design, if possible, so it does not infringe, or 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number of putative patent infringement claims have been filed by various plaintiffs in a number of U.S. District Courts against us and/or numerous third parties, some of whom are our customers. These cases generally allege that the defendants’ use, sale and importation of specified products and/or processes constitutes infringement of certain U.S. patents allegedly owned by each plaintiff. Under certain circumstances, we may have an obligation to indemnify and/or defend our customers against these lawsuits.</w:t>
      </w:r>
    </w:p>
    <w:p>
      <w:pPr>
        <w:spacing w:after="0" w:line="2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which we may not be able to do on commercially competitive terms, if at all.</w:t>
      </w:r>
    </w:p>
    <w:p>
      <w:pPr>
        <w:spacing w:after="0" w:line="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patents and other intellectual property for use in our products and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time to time we may elect or be required to license additional intellectual property. There can be no assurance 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addition to our manufacturing activities in Asia, a significant portion of our research and development staff is located in Canada and significant portion of our sales activity has taken place in Europe. These international business activities expose the Company to additional business risks, including:</w:t>
      </w:r>
    </w:p>
    <w:p>
      <w:pPr>
        <w:spacing w:after="0" w:line="4"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managing sales, research and development operations and post-sales logistics and support across these continents;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processes, standards and expectations;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or damage to products in transit;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 and</w:t>
      </w:r>
    </w:p>
    <w:p>
      <w:pPr>
        <w:spacing w:after="0" w:line="90"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court ordered injunctions in a given jurisdiction in connection with alleged intellectual property rights infringement by our products or components contained with our products which might prohibit the importation, sale or offer for sale of our products in the jurisdiction subject to such injunction.</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international business activities expose the Company to fluctuations in exchange rates between the United States dollar and foreign currencies which may materially affect our operating results.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portion of our revenues are generated from sales agreements denominated in foreign currencies, and we expect to enter into additional such agreements as we expand our international customer base. Additionally, a significant portion of our research and development staff is located in Canada and paid in Canadian dollars. As a result, we are exposed to changes in foreign currency exchange rates. We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reciprocal changes in the value of the hedging instruments. We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22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products, including our proprietary or third party software contained in 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products are technologically complex and must meet stringent industry, regulatory and customer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at the time commercial shipments have begun, which could result in the rejection of our products, the loss of an existing or potential customer or the failure to obtain one, damage to our reputation, lost revenue, diverted development resources, increased customer service and support costs, unanticipated warranty claims, and the payment of monetary damages to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780" w:right="4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Lengthy sales cycle. </w:t>
      </w:r>
      <w:r>
        <w:rPr>
          <w:rFonts w:ascii="Arial" w:cs="Arial" w:eastAsia="Arial" w:hAnsi="Arial"/>
          <w:sz w:val="18"/>
          <w:szCs w:val="18"/>
          <w:color w:val="auto"/>
        </w:rPr>
        <w:t>The length of time between the date of initial contact with a potential customer and the execution of and product delivery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In particular, fluctuations in the Euro currency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significant impact on our future operating results and gross margins. Our attempts to minimize the effects of volatility in foreign currencies on cash flows may not be successful.</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and expand our business if we are not able to hire, retain and manage additional qualified personnel.</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The success of our acquisitions, such as Enfora, depends in part on our retention and integration of key personnel from the acquired company or business. Recruiting and retaining skilled personnel in the wireless communications industry, including software and hardware engineers, is highly competitive.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in the future, currently only Peter Leparulo, the Company’s Chairman and CEO, is a party to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or circumvention of our controls and procedures could seriously harm our business.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Any system of control and procedures, however well designed and operated, is based in part on certain assumptions and can provide only reasonable, and not absolute, assurances that the objectives of the controls and procedures are met. Acquired companies or businesses are likely to have different standards, controls, contracts, procedures and policies, making it more difficult to implement and harmonize company-wide financial, accounting, billing, information and other systems. Acquisitions of privately held companies, such as Enfora, and/or non-US companies are particularly challenging because their prior practices in these areas may not meet the requirements of the Sarbanes-Oxley Act and public accounting standards. The failure or circumvention of our controls, policies and procedures could have a material adverse effect on our business, results of operations and financial position.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principal executive offices are located in San Diego, California where we lease approximately 89,000 square feet under an arrangement that expires in December 2015. In connection with our acquisition of Enfora, Inc., we lease approximately 42,000 square feet in Richardson, Texas under a lease arrangement that expires in October 2014. In Calgary, Canada, we lease approximately 24,000 square feet for certain aspects of our research and development organization under a lease that expires in September 2012. In Basingstoke, United Kingdom, we lease approximately 4,000 square feet for our European staff under a lease agreement that expires in December 2011. In Shanghai, China, we lease approximately 600 square meters for our Chinese staff under a lease agreement that expires in June 2012. We also lease space in 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our common stock between February 27, 2007 and September 15, 2008. On February 14, 2011, following extensive discovery, we filed a motion for summary judgment on all of plaintiffs’ claims. The motion is set for hearing on March 21, 2011. The court has set a trial date of May 10, 2011. The Company intends to defend this litigation vigorously.</w:t>
      </w:r>
    </w:p>
    <w:p>
      <w:pPr>
        <w:spacing w:after="0" w:line="12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Following execution of the memorandum of understanding, plaintiffs conducted certain confirmatory discovery and sought to negotiate a fee award as part of the terms to be included in a stipulation of settlement. Plaintiffs have since purported to terminate the memorandum of understanding. On January 28, 2011, the court held an informal status conference, at which plaintiffs requested that the court lift the stay of the action. The court declined plaintiffs’ request. Following certain additional confirmatory discovery, we anticipate seeking to enforce the terms of the parties’ memorandum of understanding.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September 24, 2010, NovAtel, Inc., a Canadian company (“NovAtel Canada”) filed a trademark infringement lawsuit entitled </w:t>
      </w:r>
      <w:r>
        <w:rPr>
          <w:rFonts w:ascii="Arial" w:cs="Arial" w:eastAsia="Arial" w:hAnsi="Arial"/>
          <w:sz w:val="18"/>
          <w:szCs w:val="18"/>
          <w:i w:val="1"/>
          <w:iCs w:val="1"/>
          <w:color w:val="auto"/>
        </w:rPr>
        <w:t>NovAtel, Inc. v. Novatel</w:t>
      </w:r>
      <w:r>
        <w:rPr>
          <w:rFonts w:ascii="Arial" w:cs="Arial" w:eastAsia="Arial" w:hAnsi="Arial"/>
          <w:sz w:val="18"/>
          <w:szCs w:val="18"/>
          <w:color w:val="auto"/>
        </w:rPr>
        <w:t xml:space="preserve"> </w:t>
      </w:r>
      <w:r>
        <w:rPr>
          <w:rFonts w:ascii="Arial" w:cs="Arial" w:eastAsia="Arial" w:hAnsi="Arial"/>
          <w:sz w:val="18"/>
          <w:szCs w:val="18"/>
          <w:i w:val="1"/>
          <w:iCs w:val="1"/>
          <w:color w:val="auto"/>
        </w:rPr>
        <w:t>Wireless Technologies, Ltd., et al</w:t>
      </w:r>
      <w:r>
        <w:rPr>
          <w:rFonts w:ascii="Arial" w:cs="Arial" w:eastAsia="Arial" w:hAnsi="Arial"/>
          <w:sz w:val="18"/>
          <w:szCs w:val="18"/>
          <w:color w:val="auto"/>
        </w:rPr>
        <w:t>, Action No. 1001-14265 in the Court of Queens Bench of Alberta Canada, Judicial District of Calgary. The Statement of Claim</w:t>
      </w:r>
      <w:r>
        <w:rPr>
          <w:rFonts w:ascii="Arial" w:cs="Arial" w:eastAsia="Arial" w:hAnsi="Arial"/>
          <w:sz w:val="18"/>
          <w:szCs w:val="18"/>
          <w:i w:val="1"/>
          <w:iCs w:val="1"/>
          <w:color w:val="auto"/>
        </w:rPr>
        <w:t xml:space="preserve"> </w:t>
      </w:r>
      <w:r>
        <w:rPr>
          <w:rFonts w:ascii="Arial" w:cs="Arial" w:eastAsia="Arial" w:hAnsi="Arial"/>
          <w:sz w:val="18"/>
          <w:szCs w:val="18"/>
          <w:color w:val="auto"/>
        </w:rPr>
        <w:t>alleges that Novatel Wireless Technologies, Ltd., Novatel Wireless Solutions, Inc. and Novatel Wireless, Inc. (collectively, the “Company”) are infringing NovAtel Canada’s purported rights in the “Novatel” trademark in breach of a settlement agreement between NovAtel Canada and the Company. The Company intends to defend this litigation vigorously.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Reserved</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6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Data</w:t>
      </w:r>
    </w:p>
    <w:p>
      <w:pPr>
        <w:spacing w:after="0" w:line="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Shares of our common stock are quoted and traded on The Nasdaq Global Select Market under the symbol “NVTL.” The following table sets forth, for the periods indicated, the high and low sales prices per share of our common stock as reported by The Nasdaq Global Select Market.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High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 xml:space="preserve">Low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First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7.14</w:t>
            </w:r>
          </w:p>
        </w:tc>
        <w:tc>
          <w:tcPr>
            <w:tcW w:w="4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Third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13.70</w:t>
            </w:r>
          </w:p>
        </w:tc>
        <w:tc>
          <w:tcPr>
            <w:tcW w:w="46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r>
      <w:tr>
        <w:trPr>
          <w:trHeight w:val="349"/>
        </w:trPr>
        <w:tc>
          <w:tcPr>
            <w:tcW w:w="886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7.32</w:t>
            </w:r>
          </w:p>
        </w:tc>
        <w:tc>
          <w:tcPr>
            <w:tcW w:w="4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Fourth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11.53</w:t>
            </w:r>
          </w:p>
        </w:tc>
        <w:tc>
          <w:tcPr>
            <w:tcW w:w="46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outstanding capital stock consists of a single class of common stock. As of March 14, 2011 there were approximately 53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2005 and December 31, 2010 with the cumulative total return of (i) the Nasdaq Stock Market (U.S.) Index (“Nasdaq Composite Index”) and (ii) the Nasdaq Telecommunications Index (the “Nasdaq Telecom Index”), over the same period. This graph assumes the investment of $100.00 on December 31, 2005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97155</wp:posOffset>
            </wp:positionV>
            <wp:extent cx="4768215" cy="3404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821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2"/>
              </w:rPr>
              <w:t>Cumulative Total Return</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12/05</w:t>
            </w: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12/06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12/07</w:t>
            </w:r>
          </w:p>
        </w:tc>
        <w:tc>
          <w:tcPr>
            <w:tcW w:w="200" w:type="dxa"/>
            <w:vAlign w:val="bottom"/>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12/08</w:t>
            </w: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12/09</w:t>
            </w:r>
          </w:p>
        </w:tc>
        <w:tc>
          <w:tcPr>
            <w:tcW w:w="200" w:type="dxa"/>
            <w:vAlign w:val="bottom"/>
          </w:tcPr>
          <w:p>
            <w:pPr>
              <w:spacing w:after="0"/>
              <w:rPr>
                <w:sz w:val="12"/>
                <w:szCs w:val="12"/>
                <w:color w:val="auto"/>
              </w:rPr>
            </w:pP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12/10</w:t>
            </w:r>
          </w:p>
        </w:tc>
        <w:tc>
          <w:tcPr>
            <w:tcW w:w="100" w:type="dxa"/>
            <w:vAlign w:val="bottom"/>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Novatel Wireless, Inc.</w:t>
            </w:r>
          </w:p>
        </w:tc>
        <w:tc>
          <w:tcPr>
            <w:tcW w:w="3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79.85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133.77</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38.32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65.81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78.86</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3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111.74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124.67</w:t>
            </w:r>
          </w:p>
        </w:tc>
        <w:tc>
          <w:tcPr>
            <w:tcW w:w="680" w:type="dxa"/>
            <w:vAlign w:val="bottom"/>
            <w:gridSpan w:val="2"/>
          </w:tcPr>
          <w:p>
            <w:pPr>
              <w:ind w:left="100"/>
              <w:spacing w:after="0"/>
              <w:rPr>
                <w:sz w:val="20"/>
                <w:szCs w:val="20"/>
                <w:color w:val="auto"/>
              </w:rPr>
            </w:pPr>
            <w:r>
              <w:rPr>
                <w:rFonts w:ascii="Arial" w:cs="Arial" w:eastAsia="Arial" w:hAnsi="Arial"/>
                <w:sz w:val="18"/>
                <w:szCs w:val="18"/>
                <w:b w:val="1"/>
                <w:bCs w:val="1"/>
                <w:color w:val="auto"/>
              </w:rPr>
              <w:t>73.77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107.12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125.93</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Telecommunications</w:t>
            </w:r>
          </w:p>
        </w:tc>
        <w:tc>
          <w:tcPr>
            <w:tcW w:w="3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131.50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146.22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85.43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129.78</w:t>
            </w:r>
          </w:p>
        </w:tc>
      </w:tr>
      <w:tr>
        <w:trPr>
          <w:trHeight w:val="363"/>
        </w:trPr>
        <w:tc>
          <w:tcPr>
            <w:tcW w:w="3980" w:type="dxa"/>
            <w:vAlign w:val="bottom"/>
          </w:tcPr>
          <w:p>
            <w:pPr>
              <w:spacing w:after="0"/>
              <w:rPr>
                <w:sz w:val="24"/>
                <w:szCs w:val="24"/>
                <w:color w:val="auto"/>
              </w:rPr>
            </w:pPr>
          </w:p>
        </w:tc>
        <w:tc>
          <w:tcPr>
            <w:tcW w:w="2980" w:type="dxa"/>
            <w:vAlign w:val="bottom"/>
          </w:tcPr>
          <w:p>
            <w:pPr>
              <w:jc w:val="right"/>
              <w:ind w:right="1072"/>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2010, 2009, and 2008, and the consolidated balance sheet data at December 31, 2010 and 2009 are derived from our consolidated financial statements included elsewhere in this report. The selected consolidated statements of operations data for the years ended December 31, 2007 and 2006 and consolidated balance sheet data at December 31, 2008, 2007 and 2006 are derived from audited consolidated financial statements not included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(in</w:t>
            </w:r>
          </w:p>
        </w:tc>
        <w:tc>
          <w:tcPr>
            <w:tcW w:w="420" w:type="dxa"/>
            <w:vAlign w:val="bottom"/>
          </w:tcPr>
          <w:p>
            <w:pPr>
              <w:spacing w:after="0"/>
              <w:rPr>
                <w:sz w:val="20"/>
                <w:szCs w:val="20"/>
                <w:color w:val="auto"/>
              </w:rPr>
            </w:pPr>
            <w:r>
              <w:rPr>
                <w:rFonts w:ascii="Arial" w:cs="Arial" w:eastAsia="Arial" w:hAnsi="Arial"/>
                <w:sz w:val="10"/>
                <w:szCs w:val="10"/>
                <w:b w:val="1"/>
                <w:bCs w:val="1"/>
                <w:color w:val="auto"/>
                <w:w w:val="74"/>
              </w:rPr>
              <w:t>thousands,</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except per</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share</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338,942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337,422</w:t>
            </w:r>
          </w:p>
        </w:tc>
        <w:tc>
          <w:tcPr>
            <w:tcW w:w="1520" w:type="dxa"/>
            <w:vAlign w:val="bottom"/>
            <w:gridSpan w:val="4"/>
          </w:tcPr>
          <w:p>
            <w:pPr>
              <w:jc w:val="right"/>
              <w:ind w:right="352"/>
              <w:spacing w:after="0"/>
              <w:rPr>
                <w:sz w:val="20"/>
                <w:szCs w:val="20"/>
                <w:color w:val="auto"/>
              </w:rPr>
            </w:pPr>
            <w:r>
              <w:rPr>
                <w:rFonts w:ascii="Arial" w:cs="Arial" w:eastAsia="Arial" w:hAnsi="Arial"/>
                <w:sz w:val="18"/>
                <w:szCs w:val="18"/>
                <w:color w:val="auto"/>
              </w:rPr>
              <w:t>$320,973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429,903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272,648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249,764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252,231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299,062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66,294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87,658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68,742</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130,841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48,906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34,740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37,558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18,195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21,233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21,550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18,899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91,296</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84,908</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74,485</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(25,002)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(5,743)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(25,557)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20,756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(33,450)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38,762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31,494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31,159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31,389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31,494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97,826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176,044</w:t>
            </w:r>
          </w:p>
        </w:tc>
        <w:tc>
          <w:tcPr>
            <w:tcW w:w="1520" w:type="dxa"/>
            <w:vAlign w:val="bottom"/>
            <w:gridSpan w:val="4"/>
          </w:tcPr>
          <w:p>
            <w:pPr>
              <w:jc w:val="right"/>
              <w:ind w:right="352"/>
              <w:spacing w:after="0"/>
              <w:rPr>
                <w:sz w:val="20"/>
                <w:szCs w:val="20"/>
                <w:color w:val="auto"/>
              </w:rPr>
            </w:pPr>
            <w:r>
              <w:rPr>
                <w:rFonts w:ascii="Arial" w:cs="Arial" w:eastAsia="Arial" w:hAnsi="Arial"/>
                <w:sz w:val="18"/>
                <w:szCs w:val="18"/>
                <w:color w:val="auto"/>
              </w:rPr>
              <w:t>$143,231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153,012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87,174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149,468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6"/>
              </w:rPr>
              <w:t>173,153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198,951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302,108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277,394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w w:val="86"/>
              </w:rPr>
              <w:t>257,478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294,889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185,403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211,155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6"/>
              </w:rPr>
              <w:t>197,962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217,745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134,236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12,886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15,543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15,663</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15,566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reclassified deferred tax assets arising from its liability for uncertain tax positions against the balance of its liability for its uncertain tax positions. This reclassification was applied to the Company’s Consolidated Balance Sheets as of December 31, 2009, 2008 and 2007 and amount to $5.1 million, $3.3 million and $1.7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do so in connection with our obligation to file reports with the SEC.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principally includes intelligent mobile hotspots, USB modems, embedded PCI and wireless PC-card modems and communications and applications software. In addition, through our acquisition of Enfora Inc. (“Enfora”) on November 30, 2010, we provide asset-management solutions utilizing wireless technology and machine-to-machine (M2M) communications devices.</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products operate on a majority of the world’s wireless networks. Our mobile hotspots and modems provide subscribers with secure and convenient high speed access to corporate, public and personal information through wireless broadband and enterprise networks. Our M2M products enable devices to communicate with each other and with server-based application infrastructure.</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customer base is comprised of wireless operators, distributors, OEMs, and various companies in vertical markets. Our strong customer relationships provide us with the opportunity to expand our market reach and sales. We also are working to expand our product lines into adjacent markets that use wireless broadband technology.</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almost entirely through our own direct sales force.</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hardware components used in our solutions are produced by contract manufacturers. Their services include component procurement, assembly, testing, quality control, fulfillment and delivery. We have agreements with LG Innotek; Inventec Appliances Corporation, or IAC; Hon Hai Precision Industry co., LTD; Benchmark Electronics; and Flextronics for the outsourced manufacturing of our products. Under our manufacturing agreements, contract manufacturers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result of weak economic conditions globally, we have experienced lower demand for our products relative to the prior year, which has adversely impacted our results of operations. While general economic conditions have shown some recent improvement, market competition remains intense. As a result of this competitive pressure, demand for our products may continue to fluctuate unexpectedly, which could materially adversely affect our results of operations and financial condition.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competition from other wireless data modem suppliers as well as suppliers of emerging devices that contain a wireless data access feature;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Alcatel-Lucent, Dell, QUALCOMM, Sprint Nextel, Verizon Wireless, Virgin Mobile, Vodafone, Telefonica, Texas Instruments, Motorola Mobility Holdings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increased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research and development expenses. We have in the past and expect to continue to incur these expenses in future periods prior to recognizing net revenues from sales of these products.</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acquired intangibles.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Amortization of acquired intangibles include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&amp; Acquisition Activities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June 2010, we submitted a bid to purchase certain assets of Cinterion, a company in the cellular machine-to-machine communications industry, in connection with an insolvency proceeding. We were not the successful bidder. In connection with the bid, we borrowed $30 million under a bridge loan facility in June 2010 and subsequently repaid all of the outstanding loan amount in July 2010.</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2010, we completed the acquisition of Enfora for approximately $77.5 million in cash, and contingent future cash consideration of up to $6.0 million based on future earnings of Enfora. We estimated the fair value of future contingent consideration related to the Enfora acquisition to be approximately $0.9 million. The cash consideration paid at closing of the acquisition was based on a cash payment of $64.5 million and an additional cash payment of $13.0 million for an agreed upon amount of Enfora working capital. In connection with the acquisition, the holders of outstanding Enfora common stock, preferred stock, and vested stock options received total cash of approximately $58.0 million, Enfora’s debt holders received approximately $16.2 million to pay outstanding debt facilities, and other Enfora acquisition related liabilities of $3.3 million were settled. The acquisition was financed with our existing cash resources.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participation in these merger and acquisition activities resulted in the following significant impacts to our results of operations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84" w:lineRule="exact"/>
        <w:rPr>
          <w:sz w:val="20"/>
          <w:szCs w:val="20"/>
          <w:color w:val="auto"/>
        </w:rPr>
      </w:pPr>
    </w:p>
    <w:p>
      <w:pPr>
        <w:ind w:left="780" w:right="26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recognized $3.1 million of interest and debt issuance costs related to the issuance of the short-term debt facility in June 2010 and its subsequent repayment in July 2010. The costs were recorded in interest (expense) income, net.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5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quarter ended June 30, 2010 we recorded a foreign exchange gain of $2.9 million in connection with the conversion of our Euro-denominated escrow funds into U.S. dollars following completion of the Cinterion auction. This foreign exchange gain was offset by $1.2 million paid for put options to hedge our Euro exposure during the bidding process. The realized foreign exchange gain and the cost of the put options were recorded in other income (expense).</w:t>
      </w:r>
    </w:p>
    <w:p>
      <w:pPr>
        <w:spacing w:after="0" w:line="62"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our bid for Cinterion and acquisition of Enfora, we incurred $3.9 million in legal, advisory and professional fees unrelated to the bridge loan facility, which were recorded as general and administrative expenses.</w:t>
      </w:r>
    </w:p>
    <w:p>
      <w:pPr>
        <w:spacing w:after="0" w:line="50" w:lineRule="exact"/>
        <w:rPr>
          <w:rFonts w:ascii="Arial" w:cs="Arial" w:eastAsia="Arial" w:hAnsi="Arial"/>
          <w:sz w:val="18"/>
          <w:szCs w:val="18"/>
          <w:color w:val="auto"/>
        </w:rPr>
      </w:pPr>
    </w:p>
    <w:p>
      <w:pPr>
        <w:ind w:left="780" w:right="20" w:hanging="326"/>
        <w:spacing w:after="0" w:line="332"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Enfora’s results of operations and estimated fair value of assets acquired and liabilities assumed were included in the Company’s consolidated financial statements beginning November 30, 2010. Enfora contributed $6.5 million to our consolidated revenues in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statements of operations expressed as a percentage of net revenues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w w:val="86"/>
              </w:rPr>
              <w:t>Year Ended December 31,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000" w:type="dxa"/>
            <w:vAlign w:val="bottom"/>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4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71"/>
              </w:rPr>
              <w:t>(as a percent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of net</w:t>
            </w:r>
          </w:p>
        </w:tc>
        <w:tc>
          <w:tcPr>
            <w:tcW w:w="7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4"/>
              </w:rPr>
              <w:t>revenues)</w:t>
            </w: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7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net revenues</w:t>
            </w:r>
          </w:p>
        </w:tc>
        <w:tc>
          <w:tcPr>
            <w:tcW w:w="46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rPr>
              <w:t>74.0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26.0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13.3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700" w:type="dxa"/>
            <w:vAlign w:val="bottom"/>
            <w:gridSpan w:val="3"/>
          </w:tcPr>
          <w:p>
            <w:pPr>
              <w:jc w:val="right"/>
              <w:ind w:right="632"/>
              <w:spacing w:after="0"/>
              <w:rPr>
                <w:sz w:val="20"/>
                <w:szCs w:val="20"/>
                <w:color w:val="auto"/>
              </w:rPr>
            </w:pPr>
            <w:r>
              <w:rPr>
                <w:rFonts w:ascii="Arial" w:cs="Arial" w:eastAsia="Arial" w:hAnsi="Arial"/>
                <w:sz w:val="18"/>
                <w:szCs w:val="18"/>
                <w:color w:val="auto"/>
              </w:rPr>
              <w:t>5.9</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6.0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Amortization of acquired intangibles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25.2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(7.4)</w:t>
            </w:r>
          </w:p>
        </w:tc>
        <w:tc>
          <w:tcPr>
            <w:tcW w:w="1700" w:type="dxa"/>
            <w:vAlign w:val="bottom"/>
            <w:gridSpan w:val="3"/>
          </w:tcPr>
          <w:p>
            <w:pPr>
              <w:jc w:val="right"/>
              <w:ind w:right="632"/>
              <w:spacing w:after="0"/>
              <w:rPr>
                <w:sz w:val="20"/>
                <w:szCs w:val="20"/>
                <w:color w:val="auto"/>
              </w:rPr>
            </w:pPr>
            <w:r>
              <w:rPr>
                <w:rFonts w:ascii="Arial" w:cs="Arial" w:eastAsia="Arial" w:hAnsi="Arial"/>
                <w:sz w:val="18"/>
                <w:szCs w:val="18"/>
                <w:color w:val="auto"/>
              </w:rPr>
              <w:t>0.8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6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70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0.4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6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(7.5)</w:t>
            </w:r>
          </w:p>
        </w:tc>
        <w:tc>
          <w:tcPr>
            <w:tcW w:w="170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rPr>
              <w:t>0.2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7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$338.9 million during 2010, an increase of approximately $1.5 million or 0.5% compared to 2009.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for EV-DO product driven technology amounted to approximately $292.9 million in 2010, an increase of approximately $1.8 million or 0.6% compared to 2009. We benefited from the strong sales of our MiFi product during 2010 that contributed to the increase in EV-DO net revenues. EV-DO products are primarily sold in the North American market and represented approximately 86.4% of net revenues in the year ended December 31, 2010 compared to 86.3% in the same period in 2009. The increase from MiFi sales was partially offset by a decline in embedded module sales due to the presence of competing products available to OEMs and the lack of significant sales to content delivery device customers during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revenues for High Speed Packet Access (“HSPA”) product driven technology amounted to approximately $42.2 million in 2010, a decline of approximately $2.2 million or 5.0% compared to 2009. This decrease resulted primarily from a decline in our embedded modules and Ovation product sales due to the presence of competing products available to OEMs and wireless carriers primarily located in the European market. HSPA product revenues remained relatively flat as a percentage of net revenues representing 13% of net revenues in each of the years ended December 31, 2010 and 2009. We believe the European market remains, and is expected to remain, intensely competitive for the foreseeable future.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also included approximately $6.5 million in 2010 related to our Enfora acquisition that was completed on November 30, 2010.</w:t>
      </w:r>
    </w:p>
    <w:p>
      <w:pPr>
        <w:spacing w:after="0" w:line="19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2010 was approximately $272.6 million, or 80.4%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$249.8 million, or 74.0% of net revenues in 2009. The primary driver of the increase in cost of net revenues as a percentage of net revenues compared to 2009 was a decline in average selling prices that exceeded the rate of decrease in per unit product costs. Cost of net revenues as a percentage of net revenues is expected to fluctuate in future quarters depending on the mix of products sold, competitive pricing, new product introduction costs and other factors.</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Cost of net revenues also included approximately $6.3 million in 2010 from our M2M Products and Solutions segment, including amortization costs of $658,000 related to purchased intangibles and a fair value inventory valuation increase of $1.2 million in connection with our Enfora acquisition.</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2010 was approximately $66.3 million, or 19.6% of net revenues, as compared to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$87.7 million, or 26.0% of net revenues in 2009. The decrease was primarily attributable to the changes in cost of net revenues discussed above. We expect that our gross profit percentage will continue to fluctuate from quarter to quarter depending on product mix, competitive selling prices, our ability to reduce product costs and changes in unit volume.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2010 were approximately $48.9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14.4% of net revenues, compared to approximately $44.9 million, or 13.3% of net revenues in 2009. This increase was primarily due to increase in headcount and an increase in product testing and certification costs in the current year to support expanded research and development activities. 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Research and development expenses also included approximately $837,000 in 2010 from our M2M Products and Solutions segment related to our Enfora acquisition.</w:t>
      </w:r>
    </w:p>
    <w:p>
      <w:pPr>
        <w:spacing w:after="0" w:line="132"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Research and development expenses as a percentage of revenue are expected to fluctuate in future quarters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2010 were approximately $21.0 million, or 6.2%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approximately $19.9 million or 5.9% of net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revenues in 2009. The increase was due primarily to an increase in salaries and related expenses, an increase in expenses related to cooperative marketing and advertising to support marketing efforts for our MiFi product primarily during the first quarter of 2010.</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Sales and marketing expenses also included approximately $825,000 in 2010 from our M2M Products and Solutions segment related to our Enfora acquisition.</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and amortization of acquired intangibles. </w:t>
      </w:r>
      <w:r>
        <w:rPr>
          <w:rFonts w:ascii="Arial" w:cs="Arial" w:eastAsia="Arial" w:hAnsi="Arial"/>
          <w:sz w:val="16"/>
          <w:szCs w:val="16"/>
          <w:color w:val="auto"/>
        </w:rPr>
        <w:t>General and administrative expenses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were approximately $21.2 million, or 6.3% of net revenues, compared to approximately $20.2 million, or 6.0% of net revenues in 2009. Amortization of acquired intangibles were approximately $179,000 in 2010 were related to intangible assets purchased from Enfora. The increase over the prior year was primarily related to merger and acquisition costs of $3.9 million, partially offset by reductions in other expenses in 2010.</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Interest income (expense). </w:t>
      </w:r>
      <w:r>
        <w:rPr>
          <w:rFonts w:ascii="Arial" w:cs="Arial" w:eastAsia="Arial" w:hAnsi="Arial"/>
          <w:sz w:val="16"/>
          <w:szCs w:val="16"/>
          <w:color w:val="auto"/>
        </w:rPr>
        <w:t>Interest income (expense), net, for the year ended December 31, 2010 was approximately $2.5 million of net expense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net interest income of approximately $1.4 million in 2009. Our net interest expense during 2010 is primarily related to interest charges, and debt issuance costs in connection with our repayment of the bridge loan facility during the third quarter of 2010. In addition, the Company’s interest income declined as a result of the liquidation of our investment holdings to facilitate our bid for Cinterion in the second quarter of 2010, the purchase of Enfora in the fourth quarter of 2010, and the overall decline in average yields experienced during the year ended December 31, 2010.</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for the year ended December 31, 2010 increased by approximately $1.6 million, to approximately $2.0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$315,000 of other income in 2009. The increase in other income was primarily driven by a $2.9 million foreign exchange gain realized upon conversion of the Euro-denominated bid funds into U.S. dollars in July 2010 at the conclusion of the bidding process for Cinterion. The gain was offset by $1.2 million in premiums paid for protective put options we utilized to hedge our Euro exposure during the bidding process for Cinterion in the second quarter of 2010. These puts expired unexercised on June 25, 2010.</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approximately $7.9 million for fiscal 2010. The difference between the federal and state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benefit rate of 36% and our income tax expense for 2010 is primarily due to a $17.9 million increase in our valuation allowance for our deferred tax assets. The increase in the valuation allowance includes $14.8 million of valuation allowance recorded during the second quarter of 2010 against U.S.-based deferred tax assets generated prior to 2010, a $4.8 million release of U.S.-based deferred tax asset valuation allowance upon the acquisition of Enfora, and an additional $7.9 million of valuation allowance on deferred tax assets generated in 2010. The valuation allowance and additional items impacting the 2010 income tax expense are discussed in Note 8 to the consolidated financial statements. Also, we recorded a $2.9 million tax benefit related to the carryback of our net operating loss in 2010.</w:t>
      </w:r>
    </w:p>
    <w:p>
      <w:pPr>
        <w:spacing w:after="0" w:line="14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year ended December 31, 2010, we reported a net loss of approximately $33.4 million, as compared to net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$3.9 million in 2009. As discussed above, net loss was negatively impacted by decreases in gross profit, increases in operating expenses and changes in our valuation allowance for deferred tax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were $337.4 million during 2009, an increase of $16.4 million or 5.1% compared to 2008. Net revenues for EV-DO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driven technology amounted to $291.1 million in 2009, an increase of $106.6 million or 57.8% compared to 2008. We benefited from strong sales of our MiFi product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primarily during the second half of 2009 that contributed significantly to the increase in EV-DO net revenues. In addition, EV-DO net revenues were positively impacted by embedded module sales during the first half of 2009 primarily driven by sales to a content delivery device customer. However, sales of embedded modules to laptop manufacturers significantly decreased year over year due to the impact of competing products available to OEMs during 2009. EV-DO products are primarily sold in the North American market and represented approximately 86.3% of net revenues in the year ended December 31, 2009 compared to 57.5% in the same period in 2008.</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HSPA product driven technology amounted to $44.4 million in 2009, a decline of $91.2 million or 67.2% compared to 2008. The decrease in sales of HSPA products was primarily due to intense competitive pressure resulting in a steep decline in demand for our products in Europe. HSPA products represented approximately 13.1% of net revenues in the year ended December 31, 2009 compared to 42.2% in the same period in 2008.</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2009 was $249.8 million, or 74.0% of net revenues, as compared to $252.2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78.6% of net revenues in 2008. The primary driver of the decrease in cost of net revenues in 2009 as a percentage of net revenues as compared to 2008 was a more favorable sales mix toward products with higher gross margins.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Additionally, cost of revenues in 2008 was negatively impacted by inventory write downs to the lower of cost or market in 2008 as compared to 2009. Cost of revenues in 2009 included a $2.3 million inventory write down compared to a $5.9 million write down recorded in 2008. The higher inventory write down in 2008 resulted primarily from the effects of lower average sales prices and demand for our HSPA products due to competitive pressures and the slowdown of global economies.</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2009 was $87.7 million, or 26.0% of net revenues, as compared to $68.7 million, or 21.4%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in 2008. The increase was primarily attributable to the changes in product mix of net revenues and cost of revenues as discussed above.</w:t>
      </w:r>
    </w:p>
    <w:p>
      <w:pPr>
        <w:spacing w:after="0" w:line="85"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year ended December 31, 2009 were $44.9 million, or 13.3% of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$34.7 million, or 10.8% of net revenues in 2008. This increase was primarily due to an increase in headcount, higher stock-based compensation expenses, an increase in product testing and certification costs in the current year to support expanded research and development activities.</w:t>
      </w:r>
    </w:p>
    <w:p>
      <w:pPr>
        <w:spacing w:after="0" w:line="88"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2009 were $19.9 million, or 5.9%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$18.2 million or 5.7% of net revenues in 2008. This increase was due primarily to an increase in cooperative marketing and advertising funds to support the launch of new products including MiFi. Although total sales and marketing expenses increased 9.1% during 2009, it remained relatively flat as a percentage of net revenues during 2009.</w:t>
      </w:r>
    </w:p>
    <w:p>
      <w:pPr>
        <w:spacing w:after="0" w:line="143"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2009 were $20.2 million, or 6.0%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$21.6 million, or 6.7% of net revenues in 2008. The decrease in expenses was primarily due to lower bad debt expense and lower professional fees. Professional fees were significantly impacted during 2009 by approximately $2.1 million in legal fees related to our ongoing class action securities litigation and our intellectual property device indemnification obligations as further discussed in Note 9 to our consolidated financial statements included elsewhere in this report. During 2008, we incurred $4.0 million in professional fees and related expenses as a result of our internal review of revenue cut-off procedures, internal controls, and accounting related to certain customer contracts.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income (expense). </w:t>
      </w:r>
      <w:r>
        <w:rPr>
          <w:rFonts w:ascii="Arial" w:cs="Arial" w:eastAsia="Arial" w:hAnsi="Arial"/>
          <w:sz w:val="16"/>
          <w:szCs w:val="16"/>
          <w:color w:val="auto"/>
        </w:rPr>
        <w:t>Net interest income decreased by approximately $2.9 million for the year ended December 31, 2009 compared to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Although our average cash and marketable securities balance increased period over period, average yields decreased.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for the year ended December 31, 2009 increased by approximately $1.0 million, to $315,000 of income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$729,000 of expense in 2008. This increase was primarily due to the year-over-year strengthening of the Euro and the related foreign exchange impact on our respective Euro denominated accounts receivable and cash balances. Also, our gross exposure to Euro-based financial balances decreased year over year due to decreased Euro-based sales.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approximately $527,000 for fiscal 2009, which represents an annual effective tax rate of 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 between the federal and state statutory combined rate of 36% and our effective tax rate for 2009 is primarily due to the recognition of an approximately $1.4 million benefit in 2009 related to a derecognition of our uncertain tax liability, a benefit of $3.0 million from the impact of research and development tax credits, a $1.1 million tax expense impact of accounting for share-based compensation and a $1.2 million increase in our valuation allowance for our deferred tax assets.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the third quarter of 2009, we reduced our uncertain tax liability by approximately $3.1 million, including a related interest accrual of approximately $240,000, due to the expiration of the statute of limitations applicable to the 2005 taxable year and the completion of the examination of our 2006 federal tax return. Approximately $1.4 million of this amount benefited the 2009 tax provision as a discrete item.</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2009, we recorded an additional tax expense of approximately $1.1 million associated with share-based compensation. Also, during 2009, management evaluated our deferred tax valuation allowance and determined that valuation allowance should be increased by approximately $1.2 million based on uncertainty associated with our ability to utilize increased deferred tax assets.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year ended December 31, 2009, we reported net income of $3.9 million, as compared to net loss of approximately $1.2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2008. Although operating expenses increased during 2009 compared to the same period last year, net income was favorably impacted by the increases in net revenues and gross margin percentage as discussed above.</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 We do not currently have a revolving credit facility or similar loan agreement.</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w w:val="92"/>
              </w:rPr>
              <w:t>Increase/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(Decrease)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87,174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149,468</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(62,294)</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$100,025</w:t>
            </w:r>
          </w:p>
        </w:tc>
        <w:tc>
          <w:tcPr>
            <w:tcW w:w="2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(82,650)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27,664</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20,676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97,826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176,044</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(78,218)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Included in working capital.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significant components of our decrease in working capital as of December 31, 2010 compared to the prior year was primarily net cash used for our acquisition of Enfora in the fourth quarter of 2010 of $72.2 million. The decrease was partially offset by an increase in accounts receivable of $27.3 million, which is due to various factors, including an increase in fourth quarter sales volume in 2010, the timing of sales and the timing of related collections. In addition, our inventory and accounts payable balances increased due to expected product launches in fiscal 2011.</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As of December 31, 2010, our cash, cash equivalents and marketable securities decreased $78.2 million as compared to December 31, 2009, primarily due to consideration paid in connection with our acquisition of Enfora. See the discussion of cash equivalents, short and long-term marketable securities by major security type in Note 3 in the consolidated financial statements, and the discussion of market risk that follows in Item 7A.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36,661</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(87,568)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(17,404)</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(82,650)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22,292</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100,025</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decreased by $30.5 million to $6.2 million for 2010 compared to $36.7 million for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$30.5 million decrease was primarily attributable to our net loss. The difference between our net loss of $33.4 million in 2010 and our net cash provided by operating activities of $6.2 million is primarily due to the favorable impact of non-cash charges, including changes in our valuation allowance for deferred tax assets, depreciation, amortization and share-based compensation. The decrease was partially offset by an increase in accounts receivable of $27.3 million, which is due to various factors, including an increase in fourth quarter sales volume in 2010, the timing of sales and the timing of related collections. In addition, our inventory and accounts payable balances increased due to expected product launches in fiscal 2011. During 2009, the difference between our net income of $3.9 million and our net cash provided by operating activities of $36.7 million was primarily due to the favorable impact of non-cash charges, including depreciation and amortization and share-based compensation, as well as the cash provided by working capital changes.</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for 2010 was approximately $87.6 million compared to $17.4 million used in investing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2009. The increase in cash used by investing activities in 2010 was primarily related to our acquisition of Enfora, net of cash acquired of $72.2 million.</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2010 was $1.1 million, compared to net cash provided by financing activities of $2.8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2009. Net cash used in financing activities in 2010 was primarily due to the $30.0 million principal repayment on July 1, 2010 of the short-term bridge loan facility, offset by the $27.8 million in net proceeds from the same debt facility. Net cash provided by financing activities during 2009 was primarily related to proceeds from stock option exercises and stock purchases through our employee stock purchase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jc w:val="both"/>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2010,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88"/>
              </w:rPr>
              <w:t>Payments Due by Fiscal Year</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$ 3,157</w:t>
            </w:r>
          </w:p>
        </w:tc>
        <w:tc>
          <w:tcPr>
            <w:tcW w:w="11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$ 2,719</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$ 2,806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$ 2,354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144,086</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144,086</w:t>
            </w:r>
          </w:p>
        </w:tc>
        <w:tc>
          <w:tcPr>
            <w:tcW w:w="120" w:type="dxa"/>
            <w:vAlign w:val="bottom"/>
            <w:shd w:val="clear" w:color="auto" w:fill="CCEEFF"/>
          </w:tcPr>
          <w:p>
            <w:pPr>
              <w:spacing w:after="0"/>
              <w:rPr>
                <w:sz w:val="18"/>
                <w:szCs w:val="18"/>
                <w:color w:val="auto"/>
              </w:rPr>
            </w:pPr>
          </w:p>
        </w:tc>
      </w:tr>
      <w:tr>
        <w:trPr>
          <w:trHeight w:val="222"/>
        </w:trPr>
        <w:tc>
          <w:tcPr>
            <w:tcW w:w="616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147,752</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$ 3,204</w:t>
            </w:r>
          </w:p>
        </w:tc>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6"/>
              </w:rPr>
              <w:t>$ 2,719</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$ 2,806</w:t>
            </w:r>
          </w:p>
        </w:tc>
        <w:tc>
          <w:tcPr>
            <w:tcW w:w="240" w:type="dxa"/>
            <w:vAlign w:val="bottom"/>
          </w:tcPr>
          <w:p>
            <w:pPr>
              <w:spacing w:after="0"/>
              <w:rPr>
                <w:sz w:val="19"/>
                <w:szCs w:val="19"/>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9"/>
              </w:rPr>
              <w:t>$ 2,354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158,835</w:t>
            </w:r>
          </w:p>
        </w:tc>
        <w:tc>
          <w:tcPr>
            <w:tcW w:w="12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liability for uncertain tax benefits, including interest, as of December 31, 2010 was approximately $12.1 million. Our tax liability for uncertain tax benefits is not included in our table of contractual obligations and commercial commitments. We do not believe that we will pay such amount within one year from December 31, 2010; however, we cannot reasonably estimate the timing of future payments with respect to this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to incur ongoing professional fees and expenses to defend litigation filed against us or related to our products, which litigation is discussed in Note 9 to our consolidated financial statements included in this report. These costs cannot be estimated at this time.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twelve months ended December 31, 2011, we plan to incur approximately $11.0 million for discretionary capital expenditures, including the acquisition of additional software licenses.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 estimates include revenue recognition, allowance for doubtful accounts receivable, provision for excess and obsolete inventory, valuation of intangible and long-lived assets including acquired intangibles resulting from the acquisition of Enfora, valuation of contingent consideration, provision for warranty costs, royalty costs, income taxes, foreign exchange forward contracts, and share-based compensation expense.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principally generated from the sale of wireless broadband access solutions to wireless operators, OEM customers and</w:t>
      </w:r>
      <w:r>
        <w:rPr>
          <w:rFonts w:ascii="Arial" w:cs="Arial" w:eastAsia="Arial" w:hAnsi="Arial"/>
          <w:sz w:val="16"/>
          <w:szCs w:val="16"/>
          <w:i w:val="1"/>
          <w:iCs w:val="1"/>
          <w:color w:val="auto"/>
        </w:rPr>
        <w:t xml:space="preserve"> </w:t>
      </w:r>
      <w:r>
        <w:rPr>
          <w:rFonts w:ascii="Arial" w:cs="Arial" w:eastAsia="Arial" w:hAnsi="Arial"/>
          <w:sz w:val="16"/>
          <w:szCs w:val="16"/>
          <w:color w:val="auto"/>
        </w:rPr>
        <w:t>value added resellers and distributors. In addition, we generate revenue from the sale of asset-management solutions utilizing wireless technology and M2M communication devices to transportation and industrial companies, medical device manufacturers and security system providers. Revenue from product sales is recognized upon the later of transfer of title or shipment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2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October 2009, the Financial Accounting Standards Board (“FASB”) issued Accounting Standards Update (“ASU”) 2009-13. We adopted the provisions of this guidance on January 1, 2010, which did not have a material impact upon our consolidated financial statements. This standard modifies the revenue recognition guidance for arrangements that involve the delivery of multiple elements, such as product, software, services and support, to a customer at different times as part of a single revenue generating transaction. The standard provides principles and application guidance to determine whether multiple deliverables exist, how the individual deliverables should be separated and how to allocate the revenue in the arrangement among those separate deliverables. Specifically, it modifies the separation criteria by eliminating the criterion that requires objective and reliable evidence of fair value for the undelivered item(s), and eliminates the use of the residual method of allocation and instead requires that arrangement consideration be allocated, at the inception of the arrangement, to all deliverables based on their relative selling price.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ASU 2009-13, in multiple element arrangements, the total consideration received from customers must be allocated to the elements based on a relative selling price. The new accounting guidance establishes a hierarchy to determine the selling price to be used for allocating revenue to deliverables as follows: (i) vendor-specific objective evidence of fair value (“VSOE”), (ii) third-party evidence of selling price (“TPE”), and (iii) best estimate of the selling price (“ESP”). Because the Company has neither VSOE nor TPE, revenue has been based on the Company’s ESP. Amounts allocated to the delivered hardware and the related essential software are recognized at the time of the sale provided all other revenue recognition criteria have been met. Amounts allocated to post contract support (“PCS”) are recognized on a straight-line basis over the PCS period, usually twelve months.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process for determining its 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ESPs for products we may consider other factors as appropriate including the pricing of competitive alternatives if they exist, and product-specific business objectives.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account for multiple element arrangements that primarily consist of software licenses and PCS by allocating revenue to each element based on vendor specific evidence of fair value. If we cannot objectively determine the fair value of any undelivered element included in such multiple-element arrangements, the entire revenue and cost of revenue for such arrangements are recognized as revenue ratably over the term of the PCS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delivery of the services, whichever is longer. For multi-element arrangements which also include services that are essential to the operation of the software, the revenue and cost of revenue for such arrangements are generally deferred until the services essential to the operation of the software have been performed, at which point the entire revenue and cost of revenue for such arrangements are recognized as revenue ratably over the remaining term of the PCS or the delivery of non-essential services, whichever is longer.</w:t>
      </w:r>
    </w:p>
    <w:p>
      <w:pPr>
        <w:spacing w:after="0" w:line="14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October 2009, the FASB also issued ASU 2009-14, to amend the scope of arrangements under existing software revenue recognition authoritative literature to exclude tangible products containing software components and non-software components that function together to deliver a product’s essential functionality. We adopted the provisions of this guidance on January 1, 2010, which did not have a material impact upon our consolidated financial statements.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31, 2010, 2009, and 2008, we have not recorded any significant revenues from multiple element or software arrangements.</w:t>
      </w:r>
    </w:p>
    <w:p>
      <w:pPr>
        <w:spacing w:after="0" w:line="206" w:lineRule="exact"/>
        <w:rPr>
          <w:sz w:val="20"/>
          <w:szCs w:val="20"/>
          <w:color w:val="auto"/>
        </w:rPr>
      </w:pPr>
    </w:p>
    <w:p>
      <w:pPr>
        <w:ind w:right="300" w:firstLine="456"/>
        <w:spacing w:after="0" w:line="289"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 xml:space="preserve">Valuation of Acquired Intangible Assets. </w:t>
      </w:r>
      <w:r>
        <w:rPr>
          <w:rFonts w:ascii="Arial" w:cs="Arial" w:eastAsia="Arial" w:hAnsi="Arial"/>
          <w:sz w:val="15"/>
          <w:szCs w:val="15"/>
          <w:color w:val="auto"/>
        </w:rPr>
        <w:t>In determining the purchase price allocation, the Company considered, among other factors, its intention to use the</w:t>
      </w:r>
      <w:r>
        <w:rPr>
          <w:rFonts w:ascii="Arial" w:cs="Arial" w:eastAsia="Arial" w:hAnsi="Arial"/>
          <w:sz w:val="15"/>
          <w:szCs w:val="15"/>
          <w:i w:val="1"/>
          <w:iCs w:val="1"/>
          <w:color w:val="auto"/>
        </w:rPr>
        <w:t xml:space="preserve"> </w:t>
      </w:r>
      <w:r>
        <w:rPr>
          <w:rFonts w:ascii="Arial" w:cs="Arial" w:eastAsia="Arial" w:hAnsi="Arial"/>
          <w:sz w:val="15"/>
          <w:szCs w:val="15"/>
          <w:color w:val="auto"/>
        </w:rPr>
        <w:t>acquired assets and the historical and estimated future demand for Enfora products and services. The estimated fair value of intangible assets was based upon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10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relief-from-royalty method was used to value the trade name acquired from Enfora. The relief-from-royalty method estimates the cost savings that accrue to the owner of an intangible asset that would otherwise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required to pay royalties or license fees on revenues earned through the use of the asset. The royalty rate used is based on an analysis of empirical, market-derived royalty rates for guideline intangible assets. Typically, revenue is projected over the expected remaining useful life of the intangible asset. The royalty rate is then applied to estimate the royalty savings. The key assumptions used in valuing the existing trade name acquired are as follows: royalty rate of 2%, discount rate of 20.5%, tax rate of 40% and an economic life of approximately 10.0 years.</w:t>
      </w:r>
    </w:p>
    <w:p>
      <w:pPr>
        <w:spacing w:after="0" w:line="1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developed technologies, customer relationships and backlog were valued using a form of the income approach known as the multi-period excess earnings method. Inherent in the multi-period excess earnings method is the recognition that, in most cases, all of the assets of the business, both tangible and intangible, contribute to the generation of the cash flow of the business and the net cash flows attributable to the subject asset must recognize the support of the other assets which contribute to the realization of the cash flows. The contributory asset charges are based on the fair value of the contributory assets and either pre-tax or after-tax cash flows are assessed charges representing “returns on” the contributory assets. A contributory asset charge for the use of the technology was assessed on pre-tax cash flows, while contributory asset charges for the use of the working capital, fixed assets, and assembled work force have been deducted from the after-tax cash flow in each year to determine the net future cash flow attributable to the relationships. This future cash flow was then discounted using an estimated required rate of return for the asset to determine the present value of the future cash flows attributable to the asset. The key assumptions used in valuing the developed technologies acquired are as follows: discount rate of 18.5%, tax rate of 40% and estimated average economic life of 5-10 years. The key assumptions used in valuing the customer relationships acquired are as follows: discount rate of 19.5%, tax rate of 40% and estimated average economic life of 10 years. The key assumptions used in valuing the backlog acquired are as follows: discount rate of 14.5%, tax rate of 40% and estimated average economic life of 5 months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covenant-not-to-compete agreements were valued using the “with or without” method. The “with or without” method measures the value of an asset as the difference between two scenarios. One scenario measures the value of a business “with” the asset. The other scenario measures the value “without” the asset. The method treats the difference between the two scenarios (with certain valuation adjustments) as the value of the asset. The key assumptions used in valuing the covenant not to compete agreements are as follows: discount rate of 20.5% and estimated average economic life of 1-2 years.</w:t>
      </w:r>
    </w:p>
    <w:p>
      <w:pPr>
        <w:spacing w:after="0" w:line="11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Valuation of Goodwill. </w:t>
      </w:r>
      <w:r>
        <w:rPr>
          <w:rFonts w:ascii="Arial" w:cs="Arial" w:eastAsia="Arial" w:hAnsi="Arial"/>
          <w:sz w:val="16"/>
          <w:szCs w:val="16"/>
          <w:color w:val="auto"/>
        </w:rPr>
        <w:t>Our goodwill resulted from the acquisition of Enfora in the fourth quarter of 2010. In accordance with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Standards Board (“FASB”) Accounting Standards Codification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(“ASC Topic 350”), we will review goodwill for impairment at least annually at the beginning of the fourth quarter of each year, and more frequently if events or changes in circumstances occur that indicated a potential reduction in the fair value of the reporting unit to which the goodwill has been assigned below its carrying value.</w:t>
      </w:r>
    </w:p>
    <w:p>
      <w:pPr>
        <w:spacing w:after="0" w:line="19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 Contingent consideration is recorded at the acquisition date estimated fair value of the contingent payment for all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contingent consideration is remeasured at each reporting period with any adjustments in fair value included in the Company’s consolidated statement of operations.</w:t>
      </w:r>
    </w:p>
    <w:p>
      <w:pPr>
        <w:spacing w:after="0" w:line="14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 xml:space="preserve">Provision for Warranty Costs. </w:t>
      </w:r>
      <w:r>
        <w:rPr>
          <w:rFonts w:ascii="Arial" w:cs="Arial" w:eastAsia="Arial" w:hAnsi="Arial"/>
          <w:sz w:val="16"/>
          <w:szCs w:val="16"/>
          <w:color w:val="auto"/>
        </w:rPr>
        <w:t>We accrue warranty costs based on estimates of future warranty related replacement, repairs or rework of products. Our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policy generally provides one to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Royalty Costs. </w:t>
      </w:r>
      <w:r>
        <w:rPr>
          <w:rFonts w:ascii="Arial" w:cs="Arial" w:eastAsia="Arial" w:hAnsi="Arial"/>
          <w:sz w:val="18"/>
          <w:szCs w:val="18"/>
          <w:color w:val="auto"/>
        </w:rPr>
        <w:t>We have intellectual property license agreements which generally require us to make royalty payments based on a percentage of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sales of products incorporating the licensed technology. We recognize royalty obligations in accordance with the terms of the respective royalty agreements.</w:t>
      </w:r>
    </w:p>
    <w:p>
      <w:pPr>
        <w:spacing w:after="0" w:line="140" w:lineRule="exact"/>
        <w:rPr>
          <w:sz w:val="20"/>
          <w:szCs w:val="20"/>
          <w:color w:val="auto"/>
        </w:rPr>
      </w:pPr>
    </w:p>
    <w:p>
      <w:pPr>
        <w:ind w:right="240" w:firstLine="456"/>
        <w:spacing w:after="0" w:line="287"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recognize federal, state and foreign current tax liabilities or assets based on our estimate of taxes payable to or refundable by tax</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in the current fiscal year. We also recognize federal, state and foreign deferred tax liabilities or assets based on our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 Deferred tax assets are reduced by valuation allowances if, based on the consideration of all available evidence, it is more-likely-than-not that some portion of the deferred tax asset will not be realized. We evaluate deferred income taxes on a quarterly basis to determine if valuation allowances are required by considering available evidence. If we are unable to generate sufficient future taxable income in certain tax jurisdictions, or if there is a material change in the actual effective tax rates or time period within which the underlying temporary differences become taxable or deductible, we could be required to increase our valuation allowance against our deferred tax assets which could result in a decrease in our effective tax rate and an adverse impact on operating results. We will continue to evaluate the level of valuation allowance required based on the remaining deferred tax assets.</w:t>
      </w:r>
    </w:p>
    <w:p>
      <w:pPr>
        <w:spacing w:after="0" w:line="12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Company recognizes the impact of uncertain income tax positions on the income tax return at the largest amount that is more-likely-than-not to be sustained upon audit by the relevant taxing authority. An uncertain income tax position will not be recognized if it has less than a 50% likelihood of being sustained.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Share-based Compensation Expense. </w:t>
      </w:r>
      <w:r>
        <w:rPr>
          <w:rFonts w:ascii="Arial" w:cs="Arial" w:eastAsia="Arial" w:hAnsi="Arial"/>
          <w:sz w:val="16"/>
          <w:szCs w:val="16"/>
          <w:color w:val="auto"/>
        </w:rPr>
        <w:t>We have stock incentive plans under which incentive stock options and restricted stock units have been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non-employee members of our Board of Directors. We also had an employee stock purchase plan for all eligible employees, which was terminated in November 2010. Share-based payments to employees, including grants of employee stock options, restricted stock units and employee stock purchase rights, are recognized in the financial statements based upon their respective grant date fair values.</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estimate the fair value of share-based payment awards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At December 31, 2010, we had $97.8 million in cash, cash equivalents and marketable securities, all of which are stated at fair value. Changes in market interest rates would not be expected to have a material impact on the fair value of our $5.4 million in cash equivalents at December 31, 2010, as these consisted of money market funds with the value of all of our cash equivalents determined based on “Level 1” inputs, which consist of quoted prices in active markets for identical assets.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December 31, 2010, substantially all of our marketable securities are invested in fixed income products. As such, our 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investments is judged to be other-than-temporary. Using a model that estimates the aggregate yield to maturity of our investment portfolio, we estimate that 100 basis point increase or decrease in interest rates would, however, decrease or increase, respectively, our $80 million in marketable securities by approximately $327,000.</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However, because any debt securities we hold are classified as available-for-sale (within the meaning of ASC Topic 320), no gains or losses are realized in the income statement due to changes in interest rates unless such securities are sold prior to maturity or unless declines in value are determined to be other-than-temporary. These securities are reported at fair value with the related unrealized gains and losses included in accumulated other comprehensive income (loss), a component of shareholders’ equity, net of tax.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utilize derivative instruments or other financial contracts to manage our exposure to changes in interest rates in our investment portfolio.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our cash and cash equivalents and our marketable securities, which include various security holdings, types and maturities, with a number of financial institutions. Although the global credit crisis appears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 have abated somewhat, credit risk remains.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place our cash investments in instruments that meet credit quality standards specified in our investment policy guidelines at the time the investments are made. At December 31, 2010, we have cash and cash equivalents of $17.4 million. Of this $17.4 million, $12.0 million is held in cash demand deposits. Our $5.4 million in cash equivalents at December 31, 2010 was held in money market investments. These money market funds attempt to maintain a net asset value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We hold money market funds that target a balance of investment return and preservation of invested capital through diversified holdings. As such, we do not believe we currently have significant exposure to NAV declines for our money market holdings.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December 31, 2010, we had $80.5 million invested in our portfolio of marketable securities. Our investment policy guidelines limit the amount of credit exposure to any one issue, issuer or type of instrument. The fair value of our marketable securities at December 31, 2010 was determined based on “Level 2” inputs, which were derived based on quoted prices for identical or similar assets, which had few transactions near the measurement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generate Euro-denominated accounts receivable from sales to customers that are members of the European Union, and we lack significant Euro-denominated purchases and trade liabilities to offset our exposure to this Euro denominated accounts receivable activity. During the year ended December 31, 2010, Euro-denominated revenue was approximately $15.7 million. As a result, we are exposed to market risk arising from changes in foreign currency exchange rates, principally change in the value of the Euro versus the U.S. Dollar. To mitigate this risk, we enter into foreign exchange contracts, principally forward currency foreign exchange contracts. These forward currency foreign exchange contracts cover a portion, generally 50% to 80%, but may cover up to 100%, of our Euro-based financial assets.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December 31, 2010, we had approximately $3.9 million (€2.9 million) of Euro-denominated financial assets, as compared to $4.0 million (€3.0 million) in forward currency foreign exchange contracts with expiration dates of 125 days or less. At December 31, 2010, we recorded an unrealized loss of approximately $8,000 on our outstanding forward contracts. In addition, at December 31, 2010, we recorded approximately $11,000 in unrealized foreign currency losses related to our outstanding Euro-denominated accounts receivable balances. Both the unrealized gain on the outstanding forward contracts and the unrealized losses on outstanding Euro-denominated receivables were recorded in other income and expense in our consolidated statement of operations.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year ended December 31, 2010 at an average Euro-to-U.S. Dollar exchange rate of $1.32 and a uniform ten percent strengthening or weakening of this exchange rate, we estimate that income before income taxes for the year ended December 31, 2010 would increase or decrease, respectively, by approximately $1.6 million. This analysis does not give effect to any forward currency foreign exchange contracts that may be used to hedge foreign currency risk.</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us to reduce per unit selling prices.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report.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2010, the end of the period covered by this report. Based on the foregoing, our principal executive officer and principal financial and accounting officer concluded that our disclosure controls and procedures were effective as of December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Except as disclosed below,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policies and procedures may deteriorate.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our management concluded that our internal control over financial reporting was effective as of December 31, 2010.</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Management’s assessment of and conclusion on the effectiveness of internal controls over financial reporting did not include the internal controls of the recent acquisition of Enfora, Inc. which merged with Novatel Wireless, Inc. on November 30, 2010 and which was included in the 2010 consolidated financial statements of Novatel Wireless, Inc. and consisted of $22.1 million and $13.8 million of total and net assets, respectively, as of December 31, 2010 and $6.5 million and $77,000 of net revenues and operating income, respectively, for the year then ended.</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included in this Annual Report on Form 10-K, has also audited our internal control over financial reporting as of December 31, 2010, as stated in their report which is included herein.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3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Novatel Wireless Inc.’s internal control over financial reporting as of December 31, 2010, based on criteria established in Internal Control —Integrated Framework issued by the Committee of Sponsoring Organizations of the Treadway Commission (the COSO criteria). Novatel Wireless,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Enfora, Inc., which is included in the 2010 consolidated financial statements of Novatel Wireless, Inc. and constituted $22.1 million and $13.8 million of total and net assets, respectively, as of December 31, 2010 and $6.5 million and $77,000 of revenues and operating income, respectively, for the year then ended. Our audit of internal control over financial reporting of Novatel Wireless, Inc. also did not include an evaluation of the internal control over financial reporting of Enfora, Inc.</w:t>
      </w:r>
    </w:p>
    <w:p>
      <w:pPr>
        <w:spacing w:after="0" w:line="8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our opinion, Novatel Wireless, Inc. maintained, in all material respects, effective internal control over financial reporting as of December 31, 2010, based on the COSO criteria.</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Novatel Wireless, Inc. as of December 31, 2010 and 2009, and the related consolidated statements of operations, stockholders’ equity and comprehensive net income (loss), and cash flows for each of the two years in the period ended December 31, 2010 of Novatel Wireless, Inc. and our report dated March 16, 2011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64"/>
        <w:spacing w:after="0" w:line="268" w:lineRule="auto"/>
        <w:tabs>
          <w:tab w:leader="none" w:pos="70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2011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is incorporated herein by reference.</w:t>
      </w:r>
    </w:p>
    <w:p>
      <w:pPr>
        <w:spacing w:after="0" w:line="131" w:lineRule="exact"/>
        <w:rPr>
          <w:rFonts w:ascii="Arial" w:cs="Arial" w:eastAsia="Arial" w:hAnsi="Arial"/>
          <w:sz w:val="18"/>
          <w:szCs w:val="18"/>
          <w:b w:val="1"/>
          <w:bCs w:val="1"/>
          <w:color w:val="auto"/>
        </w:rPr>
      </w:pPr>
    </w:p>
    <w:p>
      <w:pPr>
        <w:ind w:right="140" w:firstLine="464"/>
        <w:spacing w:after="0" w:line="268" w:lineRule="auto"/>
        <w:tabs>
          <w:tab w:leader="none" w:pos="71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“Executive Officers” appearing in the Proxy Statement to be filed for the 2011</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is incorporated herein by reference.</w:t>
      </w:r>
    </w:p>
    <w:p>
      <w:pPr>
        <w:spacing w:after="0" w:line="131" w:lineRule="exact"/>
        <w:rPr>
          <w:rFonts w:ascii="Arial" w:cs="Arial" w:eastAsia="Arial" w:hAnsi="Arial"/>
          <w:sz w:val="18"/>
          <w:szCs w:val="18"/>
          <w:b w:val="1"/>
          <w:bCs w:val="1"/>
          <w:color w:val="auto"/>
        </w:rPr>
      </w:pPr>
    </w:p>
    <w:p>
      <w:pPr>
        <w:ind w:right="200" w:firstLine="464"/>
        <w:spacing w:after="0" w:line="332" w:lineRule="auto"/>
        <w:tabs>
          <w:tab w:leader="none" w:pos="695" w:val="left"/>
        </w:tabs>
        <w:numPr>
          <w:ilvl w:val="0"/>
          <w:numId w:val="26"/>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“Section 16(a) Beneficial Ownership Reporting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2011 Annual Meeting of Stockholders is incorporated herein by reference.</w:t>
      </w:r>
    </w:p>
    <w:p>
      <w:pPr>
        <w:spacing w:after="0" w:line="85" w:lineRule="exact"/>
        <w:rPr>
          <w:rFonts w:ascii="Arial" w:cs="Arial" w:eastAsia="Arial" w:hAnsi="Arial"/>
          <w:sz w:val="16"/>
          <w:szCs w:val="16"/>
          <w:b w:val="1"/>
          <w:bCs w:val="1"/>
          <w:color w:val="auto"/>
        </w:rPr>
      </w:pPr>
    </w:p>
    <w:p>
      <w:pPr>
        <w:ind w:right="40" w:firstLine="464"/>
        <w:spacing w:after="0" w:line="290" w:lineRule="auto"/>
        <w:tabs>
          <w:tab w:leader="none" w:pos="715" w:val="left"/>
        </w:tabs>
        <w:numPr>
          <w:ilvl w:val="0"/>
          <w:numId w:val="2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We have adopted a</w:t>
      </w:r>
      <w:r>
        <w:rPr>
          <w:rFonts w:ascii="Arial" w:cs="Arial" w:eastAsia="Arial" w:hAnsi="Arial"/>
          <w:sz w:val="16"/>
          <w:szCs w:val="16"/>
          <w:i w:val="1"/>
          <w:iCs w:val="1"/>
          <w:color w:val="auto"/>
        </w:rPr>
        <w:t xml:space="preserve"> Code of Business Conduct and Ethics </w:t>
      </w:r>
      <w:r>
        <w:rPr>
          <w:rFonts w:ascii="Arial" w:cs="Arial" w:eastAsia="Arial" w:hAnsi="Arial"/>
          <w:sz w:val="16"/>
          <w:szCs w:val="16"/>
          <w:color w:val="auto"/>
        </w:rPr>
        <w:t>which, together with the policies referred to therein, is applicable to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officers and employees. The Code of Business Conduct and Ethics is intended to cover all areas of professional conduct, including conflicts of interest, disclosure obligations, insider trading and confidential information, as well as compliance with all laws, rules and regulations applicable to our business. We encourage all employees, officers and directors to promptly report any violations of any of our policies. The Code of Business Conduct and Ethics is posted on our website at </w:t>
      </w:r>
      <w:r>
        <w:rPr>
          <w:rFonts w:ascii="Arial" w:cs="Arial" w:eastAsia="Arial" w:hAnsi="Arial"/>
          <w:sz w:val="16"/>
          <w:szCs w:val="16"/>
          <w:i w:val="1"/>
          <w:iCs w:val="1"/>
          <w:color w:val="auto"/>
        </w:rPr>
        <w:t>www.novatelwireless.com</w:t>
      </w:r>
      <w:r>
        <w:rPr>
          <w:rFonts w:ascii="Arial" w:cs="Arial" w:eastAsia="Arial" w:hAnsi="Arial"/>
          <w:sz w:val="16"/>
          <w:szCs w:val="16"/>
          <w:color w:val="auto"/>
        </w:rPr>
        <w:t xml:space="preserve"> in the Investor tab under “Corporate Governance.” In the event that a substantive amendment to, or a waiver from, a provision of the Code of Business Conduct and Ethics that applies to our principal executive officer or principal financial and accounting officer is necessary, we intend to post such information on our website.</w:t>
      </w:r>
    </w:p>
    <w:p>
      <w:pPr>
        <w:spacing w:after="0" w:line="118" w:lineRule="exact"/>
        <w:rPr>
          <w:rFonts w:ascii="Arial" w:cs="Arial" w:eastAsia="Arial" w:hAnsi="Arial"/>
          <w:sz w:val="16"/>
          <w:szCs w:val="16"/>
          <w:b w:val="1"/>
          <w:bCs w:val="1"/>
          <w:color w:val="auto"/>
        </w:rPr>
      </w:pPr>
    </w:p>
    <w:p>
      <w:pPr>
        <w:ind w:right="280" w:firstLine="464"/>
        <w:spacing w:after="0" w:line="268" w:lineRule="auto"/>
        <w:tabs>
          <w:tab w:leader="none" w:pos="69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“The Board, Its Committees and Its Compensation—Audit Committee”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2011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under the headings “Executive Compensation,” “The Board, Its Committees and Its Compensation—Director Compensation,” “Compensation Discussion and Analysis” and “Compensation Committee Report” appearing in the Proxy Statement to be filed for the 2011 Annual Meeting of Stockholders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under the headings “Security Ownership of Management and Certain Beneficial Owners” and “Equity Compensation Plan Information” appearing in the Proxy Statement to be filed for the 2011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information under the headings “Review and Approval of Transactions with Related Parties” and “The Board, Its Committees and Its Compensation— Director Independence” appearing in the Proxy Statement to be filed for the 2011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information under the heading “Independent Public Accountants” appearing in the Proxy Statement to be filed for the 2011 Annual Meeting of Stockholders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720" w:hanging="256"/>
        <w:spacing w:after="0"/>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2010, 2009, and 2008 should be read in conjunction with the consolidated financial statements, and related notes thereto.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60" w:type="dxa"/>
            <w:vAlign w:val="bottom"/>
            <w:gridSpan w:val="3"/>
          </w:tcPr>
          <w:p>
            <w:pPr>
              <w:spacing w:after="0"/>
              <w:rPr>
                <w:sz w:val="20"/>
                <w:szCs w:val="20"/>
                <w:color w:val="auto"/>
              </w:rPr>
            </w:pPr>
            <w:r>
              <w:rPr>
                <w:rFonts w:ascii="Arial" w:cs="Arial" w:eastAsia="Arial" w:hAnsi="Arial"/>
                <w:sz w:val="14"/>
                <w:szCs w:val="14"/>
                <w:b w:val="1"/>
                <w:bCs w:val="1"/>
                <w:color w:val="auto"/>
              </w:rPr>
              <w:t>Schedule</w:t>
            </w: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Page</w:t>
            </w:r>
          </w:p>
        </w:tc>
      </w:tr>
      <w:tr>
        <w:trPr>
          <w:trHeight w:val="169"/>
        </w:trPr>
        <w:tc>
          <w:tcPr>
            <w:tcW w:w="540" w:type="dxa"/>
            <w:vAlign w:val="bottom"/>
            <w:tcBorders>
              <w:top w:val="single" w:sz="8" w:color="auto"/>
            </w:tcBorders>
          </w:tcPr>
          <w:p>
            <w:pPr>
              <w:spacing w:after="0" w:line="169" w:lineRule="exact"/>
              <w:rPr>
                <w:rFonts w:ascii="Arial" w:cs="Arial" w:eastAsia="Arial" w:hAnsi="Arial"/>
                <w:sz w:val="16"/>
                <w:szCs w:val="16"/>
                <w:color w:val="0000EE"/>
                <w:w w:val="77"/>
              </w:rPr>
            </w:pPr>
            <w:hyperlink w:anchor="page90">
              <w:r>
                <w:rPr>
                  <w:rFonts w:ascii="Arial" w:cs="Arial" w:eastAsia="Arial" w:hAnsi="Arial"/>
                  <w:sz w:val="16"/>
                  <w:szCs w:val="16"/>
                  <w:color w:val="0000EE"/>
                  <w:w w:val="77"/>
                </w:rPr>
                <w:t>Schedule</w:t>
              </w:r>
            </w:hyperlink>
          </w:p>
        </w:tc>
        <w:tc>
          <w:tcPr>
            <w:tcW w:w="9520" w:type="dxa"/>
            <w:vAlign w:val="bottom"/>
            <w:gridSpan w:val="2"/>
          </w:tcPr>
          <w:p>
            <w:pPr>
              <w:ind w:left="160"/>
              <w:spacing w:after="0" w:line="170" w:lineRule="exact"/>
              <w:rPr>
                <w:rFonts w:ascii="Arial" w:cs="Arial" w:eastAsia="Arial" w:hAnsi="Arial"/>
                <w:sz w:val="18"/>
                <w:szCs w:val="18"/>
                <w:color w:val="0000EE"/>
              </w:rPr>
            </w:pPr>
            <w:hyperlink w:anchor="page90">
              <w:r>
                <w:rPr>
                  <w:rFonts w:ascii="Arial" w:cs="Arial" w:eastAsia="Arial" w:hAnsi="Arial"/>
                  <w:sz w:val="18"/>
                  <w:szCs w:val="18"/>
                  <w:color w:val="0000EE"/>
                </w:rPr>
                <w:t>II—Valuation and Qualifying Accounts</w:t>
              </w:r>
            </w:hyperlink>
          </w:p>
        </w:tc>
        <w:tc>
          <w:tcPr>
            <w:tcW w:w="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w:t>
            </w:r>
          </w:p>
        </w:tc>
        <w:tc>
          <w:tcPr>
            <w:tcW w:w="20" w:type="dxa"/>
            <w:vAlign w:val="bottom"/>
          </w:tcPr>
          <w:p>
            <w:pPr>
              <w:spacing w:after="0"/>
              <w:rPr>
                <w:sz w:val="14"/>
                <w:szCs w:val="14"/>
                <w:color w:val="auto"/>
              </w:rPr>
            </w:pPr>
          </w:p>
        </w:tc>
      </w:tr>
      <w:tr>
        <w:trPr>
          <w:trHeight w:val="235"/>
        </w:trPr>
        <w:tc>
          <w:tcPr>
            <w:tcW w:w="540" w:type="dxa"/>
            <w:vAlign w:val="bottom"/>
            <w:tcBorders>
              <w:top w:val="single" w:sz="8" w:color="0000EE"/>
            </w:tcBorders>
          </w:tcPr>
          <w:p>
            <w:pPr>
              <w:spacing w:after="0"/>
              <w:rPr>
                <w:sz w:val="20"/>
                <w:szCs w:val="20"/>
                <w:color w:val="auto"/>
              </w:rPr>
            </w:pPr>
          </w:p>
        </w:tc>
        <w:tc>
          <w:tcPr>
            <w:tcW w:w="2920" w:type="dxa"/>
            <w:vAlign w:val="bottom"/>
            <w:tcBorders>
              <w:top w:val="single" w:sz="8" w:color="0000EE"/>
            </w:tcBorders>
          </w:tcPr>
          <w:p>
            <w:pPr>
              <w:spacing w:after="0"/>
              <w:rPr>
                <w:sz w:val="20"/>
                <w:szCs w:val="20"/>
                <w:color w:val="auto"/>
              </w:rPr>
            </w:pPr>
          </w:p>
        </w:tc>
        <w:tc>
          <w:tcPr>
            <w:tcW w:w="66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bl>
    <w:p>
      <w:pPr>
        <w:spacing w:after="0" w:line="15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132" w:lineRule="exact"/>
        <w:rPr>
          <w:sz w:val="20"/>
          <w:szCs w:val="20"/>
          <w:color w:val="auto"/>
        </w:rPr>
      </w:pPr>
    </w:p>
    <w:p>
      <w:pPr>
        <w:ind w:left="720" w:hanging="256"/>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8"/>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amended).</w:t>
            </w:r>
          </w:p>
        </w:tc>
      </w:tr>
      <w:tr>
        <w:trPr>
          <w:trHeight w:val="365"/>
        </w:trPr>
        <w:tc>
          <w:tcPr>
            <w:tcW w:w="520" w:type="dxa"/>
            <w:vAlign w:val="bottom"/>
          </w:tcPr>
          <w:p>
            <w:pPr>
              <w:spacing w:after="0"/>
              <w:rPr>
                <w:sz w:val="24"/>
                <w:szCs w:val="24"/>
                <w:color w:val="auto"/>
              </w:rPr>
            </w:pPr>
          </w:p>
        </w:tc>
        <w:tc>
          <w:tcPr>
            <w:tcW w:w="5540" w:type="dxa"/>
            <w:vAlign w:val="bottom"/>
          </w:tcPr>
          <w:p>
            <w:pPr>
              <w:ind w:left="5100"/>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4.2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March 12, 2003, entered into in connection with the Company’s 2003 Series B Convertible Preferred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Warrant Financing Transaction (incorporated by reference to Exhibit 10.21 to the Company’s Annual Report on Form 10-K for the year ended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99.1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S-8, filed November 10,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tcPr>
          <w:p>
            <w:pPr>
              <w:ind w:left="500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tcPr>
          <w:p>
            <w:pPr>
              <w:spacing w:after="0"/>
              <w:rPr>
                <w:sz w:val="14"/>
                <w:szCs w:val="14"/>
                <w:color w:val="auto"/>
              </w:rPr>
            </w:pPr>
          </w:p>
        </w:tc>
      </w:tr>
      <w:tr>
        <w:trPr>
          <w:trHeight w:val="275"/>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10.12*</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10.13*</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10.14*</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w w:val="91"/>
              </w:rPr>
              <w:t>2009 Omnibus Incentive Compensation Plan (incorporated by reference to Exhibit 10.1 to the Company’s Current Report on Form 8-K, filed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June 24, 2009).</w:t>
            </w: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10.15*</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w w:val="94"/>
              </w:rPr>
              <w:t>2010 Senior Management Incentive Plan (incorporated by reference to Exhibit 10.1 to the Company’s Current Report on Form 8-K, filed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September 13, 2010).</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10.16*</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w w:val="88"/>
              </w:rPr>
              <w:t>Form of Severance Agreement between Novatel Wireless, Inc. and each of Kenneth G. Leddon and Robert M. Hadley (incorporated by reference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to Exhibit 10.1 to the Company’s Current Report on Form 8-K, filed August 2, 2010.</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Subsidiaries of Novatel Wireless, Inc.</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24</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rPr>
              <w:t>32.1**</w:t>
            </w: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w w:val="90"/>
              </w:rPr>
              <w:t>Certification of Principal Executive Officer and Principal Financial Officer pursuant to 18 U.S.C. Section 1350, as adopted pursuant to Section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20" w:type="dxa"/>
            <w:vAlign w:val="bottom"/>
            <w:gridSpan w:val="3"/>
          </w:tcPr>
          <w:p>
            <w:pPr>
              <w:ind w:left="62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840" w:firstLine="8"/>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OVATEL</w:t>
      </w:r>
      <w:r>
        <w:rPr>
          <w:rFonts w:ascii="Arial" w:cs="Arial" w:eastAsia="Arial" w:hAnsi="Arial"/>
          <w:sz w:val="16"/>
          <w:szCs w:val="16"/>
          <w:color w:val="auto"/>
        </w:rPr>
        <w:t xml:space="preserve"> W</w:t>
      </w:r>
      <w:r>
        <w:rPr>
          <w:rFonts w:ascii="Arial" w:cs="Arial" w:eastAsia="Arial" w:hAnsi="Arial"/>
          <w:sz w:val="13"/>
          <w:szCs w:val="13"/>
          <w:color w:val="auto"/>
        </w:rPr>
        <w:t>IRELESS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360" w:space="720"/>
            <w:col w:w="5280"/>
          </w:cols>
          <w:pgMar w:left="240" w:top="459" w:right="299" w:bottom="1440" w:gutter="0" w:footer="0" w:header="0"/>
          <w:type w:val="continuous"/>
        </w:sectPr>
      </w:pPr>
    </w:p>
    <w:p>
      <w:pPr>
        <w:spacing w:after="0" w:line="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-1169035</wp:posOffset>
            </wp:positionH>
            <wp:positionV relativeFrom="paragraph">
              <wp:posOffset>25400</wp:posOffset>
            </wp:positionV>
            <wp:extent cx="31127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3">
            <w:col w:w="7300" w:space="720"/>
            <w:col w:w="160" w:space="180"/>
            <w:col w:w="3000"/>
          </w:cols>
          <w:pgMar w:left="240" w:top="459" w:right="299" w:bottom="1440" w:gutter="0" w:footer="0" w:header="0"/>
          <w:type w:val="continuous"/>
        </w:sectPr>
      </w:pPr>
    </w:p>
    <w:p>
      <w:pPr>
        <w:jc w:val="center"/>
        <w:ind w:left="6500"/>
        <w:spacing w:after="0"/>
        <w:rPr>
          <w:sz w:val="20"/>
          <w:szCs w:val="20"/>
          <w:color w:val="auto"/>
        </w:rPr>
      </w:pPr>
      <w:r>
        <w:rPr>
          <w:rFonts w:ascii="Arial" w:cs="Arial" w:eastAsia="Arial" w:hAnsi="Arial"/>
          <w:sz w:val="14"/>
          <w:szCs w:val="14"/>
          <w:b w:val="1"/>
          <w:bCs w:val="1"/>
          <w:color w:val="auto"/>
        </w:rPr>
        <w:t>Peter Leparulo</w:t>
      </w:r>
    </w:p>
    <w:p>
      <w:pPr>
        <w:jc w:val="center"/>
        <w:ind w:left="65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500"/>
        <w:spacing w:after="0"/>
        <w:rPr>
          <w:sz w:val="20"/>
          <w:szCs w:val="20"/>
          <w:color w:val="auto"/>
        </w:rPr>
      </w:pPr>
      <w:r>
        <w:rPr>
          <w:rFonts w:ascii="Arial" w:cs="Arial" w:eastAsia="Arial" w:hAnsi="Arial"/>
          <w:sz w:val="14"/>
          <w:szCs w:val="14"/>
          <w:b w:val="1"/>
          <w:bCs w:val="1"/>
          <w:color w:val="auto"/>
        </w:rPr>
        <w:t>(Principal Executive Officer)</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Peter Leparulo and Kenneth Leddon,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1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6"/>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L</w:t>
            </w:r>
            <w:r>
              <w:rPr>
                <w:rFonts w:ascii="Arial" w:cs="Arial" w:eastAsia="Arial" w:hAnsi="Arial"/>
                <w:sz w:val="14"/>
                <w:szCs w:val="14"/>
                <w:color w:val="auto"/>
                <w:w w:val="95"/>
              </w:rPr>
              <w:t>EPARULO</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Chairman and Chief Executive Officer</w:t>
            </w:r>
          </w:p>
        </w:tc>
        <w:tc>
          <w:tcPr>
            <w:tcW w:w="176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16, 2011</w:t>
            </w:r>
          </w:p>
        </w:tc>
      </w:tr>
      <w:tr>
        <w:trPr>
          <w:trHeight w:val="202"/>
        </w:trPr>
        <w:tc>
          <w:tcPr>
            <w:tcW w:w="1660" w:type="dxa"/>
            <w:vAlign w:val="bottom"/>
          </w:tcPr>
          <w:p>
            <w:pPr>
              <w:spacing w:after="0"/>
              <w:rPr>
                <w:sz w:val="17"/>
                <w:szCs w:val="17"/>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9"/>
              </w:rPr>
              <w:t>Peter Leparulo</w:t>
            </w:r>
          </w:p>
        </w:tc>
        <w:tc>
          <w:tcPr>
            <w:tcW w:w="43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18"/>
        </w:trPr>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176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16, 2011</w:t>
            </w:r>
          </w:p>
        </w:tc>
      </w:tr>
      <w:tr>
        <w:trPr>
          <w:trHeight w:val="202"/>
        </w:trPr>
        <w:tc>
          <w:tcPr>
            <w:tcW w:w="1660" w:type="dxa"/>
            <w:vAlign w:val="bottom"/>
          </w:tcPr>
          <w:p>
            <w:pPr>
              <w:spacing w:after="0"/>
              <w:rPr>
                <w:sz w:val="17"/>
                <w:szCs w:val="17"/>
                <w:color w:val="auto"/>
              </w:rPr>
            </w:pPr>
          </w:p>
        </w:tc>
        <w:tc>
          <w:tcPr>
            <w:tcW w:w="314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8"/>
              </w:rPr>
              <w:t>Kenneth Leddon</w:t>
            </w:r>
          </w:p>
        </w:tc>
        <w:tc>
          <w:tcPr>
            <w:tcW w:w="43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19"/>
        </w:trPr>
        <w:tc>
          <w:tcPr>
            <w:tcW w:w="16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USSELL</w:t>
            </w:r>
            <w:r>
              <w:rPr>
                <w:rFonts w:ascii="Arial" w:cs="Arial" w:eastAsia="Arial" w:hAnsi="Arial"/>
                <w:sz w:val="18"/>
                <w:szCs w:val="18"/>
                <w:color w:val="auto"/>
                <w:w w:val="96"/>
              </w:rPr>
              <w:t xml:space="preserve"> C. G</w:t>
            </w:r>
            <w:r>
              <w:rPr>
                <w:rFonts w:ascii="Arial" w:cs="Arial" w:eastAsia="Arial" w:hAnsi="Arial"/>
                <w:sz w:val="14"/>
                <w:szCs w:val="14"/>
                <w:color w:val="auto"/>
                <w:w w:val="96"/>
              </w:rPr>
              <w:t>ERNS</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16, 2011</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5"/>
              </w:rPr>
              <w:t>Russell C. Gerns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L</w:t>
            </w:r>
            <w:r>
              <w:rPr>
                <w:rFonts w:ascii="Arial" w:cs="Arial" w:eastAsia="Arial" w:hAnsi="Arial"/>
                <w:sz w:val="14"/>
                <w:szCs w:val="14"/>
                <w:color w:val="auto"/>
              </w:rPr>
              <w:t>EDWITH</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16, 2011</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7"/>
              </w:rPr>
              <w:t>James Ledwith</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R</w:t>
            </w:r>
            <w:r>
              <w:rPr>
                <w:rFonts w:ascii="Arial" w:cs="Arial" w:eastAsia="Arial" w:hAnsi="Arial"/>
                <w:sz w:val="14"/>
                <w:szCs w:val="14"/>
                <w:color w:val="auto"/>
              </w:rPr>
              <w:t>OSS</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16, 2011</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0"/>
              </w:rPr>
              <w:t>John Ross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D. W</w:t>
            </w:r>
            <w:r>
              <w:rPr>
                <w:rFonts w:ascii="Arial" w:cs="Arial" w:eastAsia="Arial" w:hAnsi="Arial"/>
                <w:sz w:val="14"/>
                <w:szCs w:val="14"/>
                <w:color w:val="auto"/>
                <w:w w:val="99"/>
              </w:rPr>
              <w:t>AKELIN</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16, 2011</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8"/>
              </w:rPr>
              <w:t>John D. Wakelin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A. W</w:t>
            </w:r>
            <w:r>
              <w:rPr>
                <w:rFonts w:ascii="Arial" w:cs="Arial" w:eastAsia="Arial" w:hAnsi="Arial"/>
                <w:sz w:val="14"/>
                <w:szCs w:val="14"/>
                <w:color w:val="auto"/>
                <w:w w:val="99"/>
              </w:rPr>
              <w:t>ERNER</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16, 2011</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0"/>
              </w:rPr>
              <w:t>David A. Werner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50"/>
        </w:trPr>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380" w:type="dxa"/>
            <w:vAlign w:val="bottom"/>
            <w:gridSpan w:val="3"/>
          </w:tcPr>
          <w:p>
            <w:pPr>
              <w:ind w:left="800"/>
              <w:spacing w:after="0"/>
              <w:rPr>
                <w:sz w:val="20"/>
                <w:szCs w:val="20"/>
                <w:color w:val="auto"/>
              </w:rPr>
            </w:pPr>
            <w:r>
              <w:rPr>
                <w:rFonts w:ascii="Arial" w:cs="Arial" w:eastAsia="Arial" w:hAnsi="Arial"/>
                <w:sz w:val="18"/>
                <w:szCs w:val="18"/>
                <w:color w:val="auto"/>
              </w:rPr>
              <w:t>S-1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19"/>
                <w:szCs w:val="19"/>
                <w:color w:val="auto"/>
              </w:rPr>
            </w:pPr>
          </w:p>
        </w:tc>
      </w:tr>
      <w:tr>
        <w:trPr>
          <w:trHeight w:val="380"/>
        </w:trPr>
        <w:tc>
          <w:tcPr>
            <w:tcW w:w="948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Balance Sheets</w:t>
              </w:r>
            </w:hyperlink>
          </w:p>
        </w:tc>
        <w:tc>
          <w:tcPr>
            <w:tcW w:w="1800" w:type="dxa"/>
            <w:vAlign w:val="bottom"/>
          </w:tcPr>
          <w:p>
            <w:pPr>
              <w:ind w:left="1460"/>
              <w:spacing w:after="0"/>
              <w:rPr>
                <w:sz w:val="20"/>
                <w:szCs w:val="20"/>
                <w:color w:val="auto"/>
              </w:rPr>
            </w:pPr>
            <w:r>
              <w:rPr>
                <w:rFonts w:ascii="Arial" w:cs="Arial" w:eastAsia="Arial" w:hAnsi="Arial"/>
                <w:sz w:val="18"/>
                <w:szCs w:val="18"/>
                <w:color w:val="auto"/>
              </w:rPr>
              <w:t>F-2</w:t>
            </w:r>
          </w:p>
        </w:tc>
      </w:tr>
      <w:tr>
        <w:trPr>
          <w:trHeight w:val="20"/>
        </w:trPr>
        <w:tc>
          <w:tcPr>
            <w:tcW w:w="2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Consolidated Statements of Operations</w:t>
              </w:r>
            </w:hyperlink>
          </w:p>
        </w:tc>
        <w:tc>
          <w:tcPr>
            <w:tcW w:w="6720" w:type="dxa"/>
            <w:vAlign w:val="bottom"/>
            <w:gridSpan w:val="5"/>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F-3</w:t>
            </w:r>
          </w:p>
        </w:tc>
      </w:tr>
      <w:tr>
        <w:trPr>
          <w:trHeight w:val="196"/>
        </w:trPr>
        <w:tc>
          <w:tcPr>
            <w:tcW w:w="59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Stockholders’ Equity and Comprehensive Income (Loss)</w:t>
              </w:r>
            </w:hyperlink>
          </w:p>
        </w:tc>
        <w:tc>
          <w:tcPr>
            <w:tcW w:w="3500" w:type="dxa"/>
            <w:vAlign w:val="bottom"/>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F-4</w:t>
            </w: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F-5</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F-6</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Reports of Independent Registered Public Accounting Firms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F-36</w:t>
            </w:r>
          </w:p>
        </w:tc>
      </w:tr>
      <w:tr>
        <w:trPr>
          <w:trHeight w:val="196"/>
        </w:trPr>
        <w:tc>
          <w:tcPr>
            <w:tcW w:w="4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Financial Statement Schedule II</w:t>
              </w:r>
            </w:hyperlink>
          </w:p>
        </w:tc>
        <w:tc>
          <w:tcPr>
            <w:tcW w:w="5220" w:type="dxa"/>
            <w:vAlign w:val="bottom"/>
            <w:gridSpan w:val="2"/>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F-38</w:t>
            </w:r>
          </w:p>
        </w:tc>
      </w:tr>
      <w:tr>
        <w:trPr>
          <w:trHeight w:val="383"/>
        </w:trPr>
        <w:tc>
          <w:tcPr>
            <w:tcW w:w="2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20" w:type="dxa"/>
            <w:vAlign w:val="bottom"/>
            <w:gridSpan w:val="2"/>
          </w:tcPr>
          <w:p>
            <w:pPr>
              <w:jc w:val="center"/>
              <w:ind w:right="2300"/>
              <w:spacing w:after="0"/>
              <w:rPr>
                <w:sz w:val="20"/>
                <w:szCs w:val="20"/>
                <w:color w:val="auto"/>
              </w:rPr>
            </w:pPr>
            <w:r>
              <w:rPr>
                <w:rFonts w:ascii="Arial" w:cs="Arial" w:eastAsia="Arial" w:hAnsi="Arial"/>
                <w:sz w:val="18"/>
                <w:szCs w:val="18"/>
                <w:color w:val="auto"/>
                <w:w w:val="88"/>
              </w:rPr>
              <w:t>F-1</w:t>
            </w:r>
          </w:p>
        </w:tc>
        <w:tc>
          <w:tcPr>
            <w:tcW w:w="18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100,025</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59,775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27,664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$228 in 2010 and $741 in 2009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36,299</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24,973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190,993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200,164</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$48,223 in 2010 and $40,279 in 2009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14,911</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48,355</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$4,019 in 2010 and $2,441 in 2009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12,135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302,108</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277,394</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27,460</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50,696</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116,705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66,239</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w w:val="97"/>
              </w:rPr>
              <w:t>Common stock, par value $0.001; 50,000 shares authorized, 31,852 and 31,092 shares issued and outstanding at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December 31, 2010 and 2009, respectively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424,270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416,579</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(213,920)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(180,470)</w:t>
            </w: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210,403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236,155</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2,436 common shares at December 31, 2010 and 2009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185,403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211,155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302,108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277,394</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6"/>
              </w:rPr>
              <w:t>338,942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337,422</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320,973</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Cost of net revenues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w w:val="86"/>
              </w:rPr>
              <w:t>272,648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249,764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252,231</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66,294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68,742</w:t>
            </w: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48,906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34,740</w:t>
            </w: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20,978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18,195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21,233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21,550</w:t>
            </w: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Amortization of acquired intangibles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91,296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74,485</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w w:val="92"/>
              </w:rPr>
              <w:t>(25,002)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Interest income (expense),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(2,518)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Income (loss) before taxes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w w:val="92"/>
              </w:rPr>
              <w:t>(25,557)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w w:val="92"/>
              </w:rPr>
              <w:t>(33,450)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3,912</w:t>
            </w:r>
          </w:p>
        </w:tc>
        <w:tc>
          <w:tcPr>
            <w:tcW w:w="4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(1.06)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shares used in computation of basic and diluted net income (loss) per share: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31,494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30,648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31,494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STOCKHOLDERS’ EQUITY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Paid-in</w:t>
            </w:r>
          </w:p>
        </w:tc>
        <w:tc>
          <w:tcPr>
            <w:tcW w:w="8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Treasury</w:t>
            </w:r>
          </w:p>
        </w:tc>
        <w:tc>
          <w:tcPr>
            <w:tcW w:w="9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11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Shares</w:t>
            </w:r>
          </w:p>
        </w:tc>
        <w:tc>
          <w:tcPr>
            <w:tcW w:w="2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5"/>
              </w:rPr>
              <w:t>Income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$400,786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(183,139)</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217,745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3"/>
              </w:rPr>
              <w:t>Exercise of stock options, vesting of restricted stock</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units and awards, and shares issued under</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tax effect from stock options exercised</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w w:val="95"/>
              </w:rPr>
              <w:t>Unrealized loss on marketable securities,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640"/>
              <w:spacing w:after="0"/>
              <w:rPr>
                <w:sz w:val="20"/>
                <w:szCs w:val="20"/>
                <w:color w:val="auto"/>
              </w:rPr>
            </w:pPr>
            <w:r>
              <w:rPr>
                <w:rFonts w:ascii="Arial" w:cs="Arial" w:eastAsia="Arial" w:hAnsi="Arial"/>
                <w:sz w:val="18"/>
                <w:szCs w:val="18"/>
                <w:color w:val="auto"/>
              </w:rPr>
              <w:t>of taxes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30,327</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407,252</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spacing w:after="0"/>
              <w:rPr>
                <w:sz w:val="20"/>
                <w:szCs w:val="20"/>
                <w:color w:val="auto"/>
              </w:rPr>
            </w:pPr>
            <w:r>
              <w:rPr>
                <w:rFonts w:ascii="Arial" w:cs="Arial" w:eastAsia="Arial" w:hAnsi="Arial"/>
                <w:sz w:val="18"/>
                <w:szCs w:val="18"/>
                <w:color w:val="auto"/>
              </w:rPr>
              <w:t>(25,000)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(184,382)</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197,962</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3"/>
              </w:rPr>
              <w:t>Exercise of stock options, vesting of restricted stock</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units and shares issued under employee stock</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765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tax effect from stock options exercised</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w w:val="95"/>
              </w:rPr>
              <w:t>Unrealized loss on marketable securities,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60" w:type="dxa"/>
            <w:vAlign w:val="bottom"/>
          </w:tcPr>
          <w:p>
            <w:pPr>
              <w:ind w:left="640"/>
              <w:spacing w:after="0"/>
              <w:rPr>
                <w:sz w:val="20"/>
                <w:szCs w:val="20"/>
                <w:color w:val="auto"/>
              </w:rPr>
            </w:pPr>
            <w:r>
              <w:rPr>
                <w:rFonts w:ascii="Arial" w:cs="Arial" w:eastAsia="Arial" w:hAnsi="Arial"/>
                <w:sz w:val="18"/>
                <w:szCs w:val="18"/>
                <w:color w:val="auto"/>
              </w:rPr>
              <w:t>of taxes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2009</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31,092</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31</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416,579</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spacing w:after="0"/>
              <w:rPr>
                <w:sz w:val="20"/>
                <w:szCs w:val="20"/>
                <w:color w:val="auto"/>
              </w:rPr>
            </w:pPr>
            <w:r>
              <w:rPr>
                <w:rFonts w:ascii="Arial" w:cs="Arial" w:eastAsia="Arial" w:hAnsi="Arial"/>
                <w:sz w:val="18"/>
                <w:szCs w:val="18"/>
                <w:color w:val="auto"/>
              </w:rPr>
              <w:t>(25,000)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(180,470)</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211,155</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3"/>
              </w:rPr>
              <w:t>Exercise of stock options, vesting of restricted stock</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units and shares issued under employee stock</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760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tax effect from stock options exercised</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(33,450)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w w:val="94"/>
              </w:rPr>
              <w:t>Unrealized gain on marketable securities,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640"/>
              <w:spacing w:after="0"/>
              <w:rPr>
                <w:sz w:val="20"/>
                <w:szCs w:val="20"/>
                <w:color w:val="auto"/>
              </w:rPr>
            </w:pPr>
            <w:r>
              <w:rPr>
                <w:rFonts w:ascii="Arial" w:cs="Arial" w:eastAsia="Arial" w:hAnsi="Arial"/>
                <w:sz w:val="18"/>
                <w:szCs w:val="18"/>
                <w:color w:val="auto"/>
              </w:rPr>
              <w:t>of taxes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(33,444)</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31,852</w:t>
            </w:r>
          </w:p>
        </w:tc>
        <w:tc>
          <w:tcPr>
            <w:tcW w:w="24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40" w:type="dxa"/>
            <w:vAlign w:val="bottom"/>
            <w:vMerge w:val="restart"/>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424,270</w:t>
            </w: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vMerge w:val="restart"/>
          </w:tcPr>
          <w:p>
            <w:pPr>
              <w:spacing w:after="0"/>
              <w:rPr>
                <w:sz w:val="20"/>
                <w:szCs w:val="20"/>
                <w:color w:val="auto"/>
              </w:rPr>
            </w:pPr>
            <w:r>
              <w:rPr>
                <w:rFonts w:ascii="Arial" w:cs="Arial" w:eastAsia="Arial" w:hAnsi="Arial"/>
                <w:sz w:val="18"/>
                <w:szCs w:val="18"/>
                <w:color w:val="auto"/>
              </w:rPr>
              <w:t>(25,000)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9"/>
              </w:rPr>
              <w:t>$ (213,920)</w:t>
            </w:r>
          </w:p>
        </w:tc>
        <w:tc>
          <w:tcPr>
            <w:tcW w:w="26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185,403</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8100" w:type="dxa"/>
            <w:vAlign w:val="bottom"/>
            <w:gridSpan w:val="14"/>
          </w:tcPr>
          <w:p>
            <w:pPr>
              <w:jc w:val="center"/>
              <w:ind w:left="319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(33,450)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3,912</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Loan fees recognized on extinguishment of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11,711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disposal of fixed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Impairment loss on equipment and intangible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Excess tax benefits from equity based awards</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(5,514)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(10,785)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Purchases of intangible assets</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(178,712)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(76,967)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(85,094)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Securities maturities/sales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174,286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88,005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(17,404)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 of restricted funds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(188,890)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Remittance from restricted funds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188,890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100,025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84,600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100,025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77,733</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380" w:type="dxa"/>
            <w:vAlign w:val="bottom"/>
          </w:tcPr>
          <w:p>
            <w:pPr>
              <w:ind w:left="5580"/>
              <w:spacing w:after="0"/>
              <w:rPr>
                <w:sz w:val="20"/>
                <w:szCs w:val="20"/>
                <w:color w:val="auto"/>
              </w:rPr>
            </w:pPr>
            <w:r>
              <w:rPr>
                <w:rFonts w:ascii="Arial" w:cs="Arial" w:eastAsia="Arial" w:hAnsi="Arial"/>
                <w:sz w:val="18"/>
                <w:szCs w:val="18"/>
                <w:color w:val="auto"/>
              </w:rPr>
              <w:t>F-5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Novatel Wireless, Inc. (the “Company”) is a provider of wireless broadband access solutions for the worldwide mobile communications market. Our broad range of products principally includes intelligent mobile hotspots, USB modems, embedded PCI and wireless PC-card modems, and communications and applications software. In addition, through our acquisition of Enfora Inc. (“Enfora”) on November 30, 2010, we provide asset-management solutions utilizing wireless technology and machine-to-machine (“M2M”) communications devices.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reclassified the deferred tax asset arising from its liability for uncertain tax positions against the balance of its liability for its unrecognized tax benefits. This reclassification was applied to the Company’s consolidated balance sheet as of December 31, 2009 and amounted to $5.1 million. This reclassification did not impact net income (loss) or total stockholders’ equity.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contingent consideration, royalty costs, provision for warranty costs, income taxes and share-based compensation expense.</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actual results could differ significantly from these estimates, particularly those related to the condition of the economy.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Cash and cash equivalents include highly liquid investments with original maturities of three months or less at the time of acquisition. Cash and cash equivalents consist of demand deposits and money market funds. Cash and cash equivalents are recorded at market value, which approximates cost. Gains and losses associated with the Company’s foreign currency denominated demand deposits are recorded as a component of other income (expense).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 If the financial condition of the Company’s customers deteriorates resulting in an impairment of their ability to make payments, additional allowances may be required.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Marketable securities consist of highly liquid investments with a maturity of greater than three months when purchased. All of the Company’s marketable securities are treated as “available-for-sale” as defined in this accounting guidance. While it is the Company’s intent to hold such securities until maturity, the Company may sell certain securities for cash flow purposes. Thus, the Company’s marketable securities are classified as available-for-sale and are carried on the balance sheet at fair value with the related unrealized gains and losses included in accumulated other comprehensive income (loss), a component of stockholders’ equity. Realized gains and losses on the sale of marketable securities are determined using the specific-identification method. The Company determines the fair value of its financial assets and liabilities by reference to the hierarchy of inputs which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12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All securities whose maturity or sale is expected within one year are classified as “current” on the consolidated balance sheet. All other securities are classified as “long term” on the consolidated balance sheet.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9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Inventories are stated at the lower of cost (first-in, first-out method) or market.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Property and equipment are stated at cost and depreciated using the straight-line method. Test equipment, computer equipment, purchased software, furniture, and fixtures and product tooling are depreciated over lives ranging from eighteen months to five years and leasehold improvements are depreciated over the shorter of the related remaining lease period or useful life. Amortization of assets held under capital leases is included in depreciation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Intangible assets include purchased intangible assets acquired from Enfora and the costs of non-exclusive and perpetual worldwide software technology licenses. These costs are amortized on an accelerated basis or on a straight-line basis over the estimated useful lives of the assets, depending on the anticipated utilization of the asset. License fees are amortized on a straight-line basis over the shorter of the term of the license or an estimate of their useful life, ranging from one to three years. Backlog is amortized on an accelerated basis based on the anticipated utilization over five months. Developed technology is amortized on a straight-line basis over their useful lives, ranging from five to eight years. Covenant-not-to-complete agreements are amortized over the term of the agreements, ranging from one to two years. Customer relationships and trade names are amortized on a straight-line basis over ten years.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and equipment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is expensed as a part of continuing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Goodwill represents the excess of the purchase price of an acquired enterprise over the fair value assigned to assets acquired and liabilities assumed in a business combination. Goodwill is allocated as of the date of the business combination to the reporting units that are expected to benefit from the synergies of the business combination. Goodwill is considered to be impaired if the Company determines that the carrying value of the reporting unit to which the goodwill has been assigned exceeds its estimated fair value. The Company plans to perform its annual goodwill impairment test each year at the beginning of the fourth quarter, or more frequently if events or circumstances indicate that the carrying value of goodwill exceeds its fair value.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Contingent consideration is recorded at the acquisition date estimated fair value of the contingent payment for all acquisitions. The fair value of the contingent consideration is remeasured at each reporting period with any adjustments in fair value included in the Company’s consolidated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Company’s revenue is principally generated from the sale of wireless modems to wireless operators, OEM customers and value added resellers and distributors. In addition, the Company generates revenue from the sale of asset-management solutions utilizing wireless technology and M2M communication devices to transportation and industrial companies, medical device manufacturers and security system providers. Revenue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product sales is recognized upon the later of transfer of title or shipment of the product to the customer. Where the transfer of title or risk of loss is contingent on the customer’s acceptance of the product, the Company will not recognize revenue until both title and risk of loss have transferred to the customer. The Company records deferred revenue for cash payments received from customers in advance of when revenue recognition criteria are met. The Company has granted price protection to certain customers in accordance with the provisions of the respective contracts and tracks pricing and other terms offered to customers buying similar products to assess compliance with these provisions. The Company estimates the amount of price protection for current period product sales utilizing historical experience and information regarding customer inventory levels. To date, the Company has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the Company, or the fair value of the advertising benefit cannot be reliably estimated, such amounts are recorded as a reduction of revenue. The Company establishes reserves for estimated product returns allowances in the period in which revenue is recognized. In estimating future product returns, the Company considers various factors, including the Company’s stated return policies and practices and historical trends.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the Financial Accounting Standards Board (“FASB”) issued Accounting Standards Update (“ASU”) 2009-13. The Company adopted the provisions of this guidance on January 1, 2010 on a prospective basis, which did not have a material impact upon the Company’s consolidated financial statements since prior to 2010 we had minimal arrangements that would be impacted by this guidance. This standard modifies the revenue recognition guidance for arrangements that involve the delivery of multiple elements, such as product, software, services and support, to a customer at different times as part of a single revenue generating transaction. The standard provides principles and application guidance to determine whether multiple deliverables exist, how the individual deliverables should be separated and how to allocate the revenue in the arrangement among those separate deliverables. Specifically, it modifies the separation criteria by eliminating the criterion that requires objective and reliable evidence of fair value for the undelivered item(s), and eliminates the use of the residual method of allocation and instead requires that arrangement consideration be allocated, at the inception of the arrangement, to all deliverables based on their relative selling price.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ASU 2009-13, in multiple element arrangements, the total consideration received from customers must be allocated to the elements based on a relative selling price. The new accounting guidance establishes a hierarchy to determine the selling price to be used for allocating revenue to deliverables as follows: (i) vendor-specific objective evidence of fair value (“VSOE”), (ii) third-party evidence of selling price (“TPE”), and (iii) best estimate of the selling price (“ESP”). Because the Company has neither VSOE nor TPE, revenue has been based on the Company’s ESP. Amounts allocated to the delivered hardware and the related essential software are recognized at the time of the sale provided all other revenue recognition criteria have been met. Amounts allocated to post contract support (“PCS”) are recognized on a straight-line basis over the PCS period, usually twelve months.</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Company’s process for determining its ESP for deliverables without VSOE or TPE considers multiple factors that may vary depending upon the unique facts and circumstances related to each deliverable. Its prices are determined based upon cost to produce the Company’s products, expected order quantities and acceptance in the marketplace. In addition, when developing ESPs for products the Company may consider other factors as appropriate including the pricing of competitive alternatives if they exist, and product-specific business objectives.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accounts for multiple element arrangements that primarily consist of software licenses and PCS by allocating revenue to each element based on vendor specific evidence of fair value. If the Company cannot objectively determine the fair value of any undelivered element included in such multiple-element arrangements, the entire revenue and cost of revenue for such arrangements are recognized as revenue ratably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over the term of the PCS or the delivery of the services, whichever is longer. For multi-element arrangements which also include services that are essential to the operation of the software, the revenue and cost of revenue for such arrangements are generally deferred until the services essential to the operation of the software have been performed, at which point the entire revenue and cost of revenue for such arrangements are recognized as revenue ratably over the remaining term of the PCS or the delivery of non-essential services, whichever is longer.</w:t>
      </w:r>
    </w:p>
    <w:p>
      <w:pPr>
        <w:spacing w:after="0" w:line="143" w:lineRule="exact"/>
        <w:rPr>
          <w:sz w:val="20"/>
          <w:szCs w:val="20"/>
          <w:color w:val="auto"/>
        </w:rPr>
      </w:pPr>
    </w:p>
    <w:p>
      <w:pPr>
        <w:ind w:right="360" w:firstLine="456"/>
        <w:spacing w:after="0" w:line="252" w:lineRule="auto"/>
        <w:rPr>
          <w:sz w:val="20"/>
          <w:szCs w:val="20"/>
          <w:color w:val="auto"/>
        </w:rPr>
      </w:pPr>
      <w:r>
        <w:rPr>
          <w:rFonts w:ascii="Arial" w:cs="Arial" w:eastAsia="Arial" w:hAnsi="Arial"/>
          <w:sz w:val="18"/>
          <w:szCs w:val="18"/>
          <w:color w:val="auto"/>
        </w:rPr>
        <w:t>In October 2009, the FASB also issued ASU 2009-14, to amend the scope of arrangements under existing software revenue recognition authoritative literature to exclude tangible products containing software components and non-software components that function together to deliver a product’s essential functionality. The Company adopted the provisions of this guidance on January 1, 2010, which did not have a material impact upon its consolidated financial statements.</w:t>
      </w:r>
    </w:p>
    <w:p>
      <w:pPr>
        <w:spacing w:after="0" w:line="1" w:lineRule="exact"/>
        <w:rPr>
          <w:sz w:val="20"/>
          <w:szCs w:val="20"/>
          <w:color w:val="auto"/>
        </w:rPr>
      </w:pPr>
    </w:p>
    <w:p>
      <w:pPr>
        <w:ind w:right="520" w:firstLine="456"/>
        <w:spacing w:after="0" w:line="261" w:lineRule="auto"/>
        <w:rPr>
          <w:sz w:val="20"/>
          <w:szCs w:val="20"/>
          <w:color w:val="auto"/>
        </w:rPr>
      </w:pPr>
      <w:r>
        <w:rPr>
          <w:rFonts w:ascii="Arial" w:cs="Arial" w:eastAsia="Arial" w:hAnsi="Arial"/>
          <w:sz w:val="18"/>
          <w:szCs w:val="18"/>
          <w:color w:val="auto"/>
        </w:rPr>
        <w:t>For the years ended December 31, 2010, 2009, and 2008, the Company has not recorded any significant revenues from multiple element or software arrangements.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the cost to replace or repair products under warranty. The warranty provision for its products is determined by using a financial model to estimate future warranty costs. The Company’s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Royalty Costs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Company has intellectual property license agreements which generally require the Company to make royalty payments based on a percentage of the revenue generated by sales of products incorporating the licensed technology. The Company recognizes royalty obligations in accordance with the terms of the respective royalty agreements. Royalty costs are recorded as a component of cost of revenues in the period when incurred.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our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 decrease in the Company’s effective tax rate and an adverse impact on operating results. The Company will continue to evaluate the necessity of the valuation allowance based on the remaining deferred tax assets.</w:t>
      </w:r>
    </w:p>
    <w:p>
      <w:pPr>
        <w:spacing w:after="0" w:line="143"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derivative financial instruments consist solely of foreign currency forward exchange contracts. The purpose of these derivative instruments is to hedge the Company’s economic exposure associated with accounts receivable and cash balances denominated in Euros. The Company’s forward contracts do not qualify as accounting hedges. As a result, the Company marks-to-market the forward contracts and includes unrealized gains and losses in the current period as a component of other income (expense) in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is currently involved in certain legal proceedings. The Company will record a loss when the Company determines information 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granted stock options to employees and restricted stock units. The Company also at times has had an employee stock purchase plan (“ESPP”) for eligible employees. The Company measures the compensation cost associated with all share-based payments based on grant date fair values. The fair value of each employee stock option and employee stock purchase right is estimated on the date of grant using an option pricing model that meets certain requirements. The Company currently uses the Black-Scholes option pricing model to estimate the fair value of our stock options and stock purchase rights. The Black-Scholes model is considered an acceptable model but the fair values generated by it may not be indicative of the actual fair values of our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our stock price and a number of assumptions, including expected volatility, expected term, risk-free interest rate and expected dividends.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that implied volatility is representative of expected future volatility, the historical volatility over the expected term of the award is also an indicator of expected future volatility. Due to the short duration of employee stock purchase rights under our ESPP, the Company utilizes historical volatility in order to estimate the expected volatility assumption of the Black-Scholes model.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expected term of stock options granted is estimated using the average of the vesting date, the contractual term and historical experience. The expected term of an employee stock purchase right is the contractual term of that right. The risk-free interest rate assumption is based on observed interest rates appropriate for the expected terms of our stock options and employee stock purchase rights. The dividend yield assumption is based on the Company’s history and expectation of no dividend payouts. The fair value of the Company’s restricted stock units is based on the closing market price of its common stock on the date of grant. The Company will evaluate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 To the extent that the Company grants additional equity securities to employees or it assumes unvested securities in connection with any acquisitions, its share-based compensation expense will be increased by the additional unearned compensation resulting from those additional grants or acquisitions.</w:t>
      </w:r>
    </w:p>
    <w:p>
      <w:pPr>
        <w:spacing w:after="0" w:line="12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recognizes share-based compensation expense using the straight-line method for awards that contain only service conditions. For awards that contain performance conditions, the Company recognizes the share-based compensation expense on a straight-line basis for each vesting tranche. The Company estimates forfeitures at the time of grant and revises these estimates, if necessary, in subsequent periods if actual forfeitures differ from those estimates. The Company estimates its forfeiture rate assumption for all types of share based compensation awards based historical forfeiture rates related to each category of award.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(Loss) Per Share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income (loss) per share excludes dilution and is computed by dividing the net income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expenses approximate their fair value due to their short-term nature. The Company performs credit evaluations of key customers and management believes it is not exposed to significant credit risk on its accounts receivable in excess of established reserves.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net earnings and unrealized gains and losses on available-for-sale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January 2010, the FASB issued ASU 2010-16, “Fair Value Measurements and Disclosures”, guidance that expands the interim and annual disclosure requirements of fair value measurements, including the information about movement of assets between Level 1 and 2 of the three-tier fair value hierarchy established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its fair value measurement guidance. This guidance also requires separate disclosure for purchases, sales, issuances and settlements in the reconciliation for fair value measurements using significant unobservable inputs using Level 3 methodologies. Except for the detailed disclosure in the Level 3 reconciliation, which is effective for the fiscal years beginning after December 15, 2010, all the other disclosures under this guidance became effective during the nine months ended September 30, 2010. We adopted the relevant provisions of this guidance effective January 1, 2010, which did not have a material impact on our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2010, the FASB issued ASU 2010-17, “Revenue Recognition—Milestone Method”, which provides guidance on when it may be appropriate to apply the milestone method of revenue recognition for research or development transactions. Under the milestone method of revenue recognition, a vendor can recognize consideration that is contingent upon achievement of a milestone as revenue in the period in which the milestone is achieved only if the milestone meets all criteria that are considered to be substantive. Accordingly, this ASU provides guidance on the definition of a milestone and determining whether a milestone is substantive. This accounting guidance is effective for interim and annual periods ending after June 15, 2010. We have adopted this guidance effective July 1, 2010, which did not have a material impact on our consolidated financial statements.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2010, the FASB updated its guidance related to when to perform step two of the goodwill impairment test for reporting units with zero or negative carrying amounts. The updated guidance requires that for any reporting unit with a zero or negative carrying amount, and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updated guidance is effective for fiscal years, and interim periods within those years, beginning after December 15, 2010. The Company does not expect adoption to have a material impact on its consolidated results of operations or financial condition.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2010, the FASB updated its guidance related to disclosure of supplementary pro forma information for business combinations. The updated guidance requires that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only. The updated guidance is effective prospectively for business combinations for which the acquisition date is on or after the beginning of the first annual reporting period beginning on or after December 15, 2010, with early adoption permitted. The Company has adopted the updated guidance for its consolidated financial statements for the year ended December 31, 2010.</w:t>
      </w:r>
    </w:p>
    <w:p>
      <w:pPr>
        <w:spacing w:after="0" w:line="236" w:lineRule="exact"/>
        <w:rPr>
          <w:sz w:val="20"/>
          <w:szCs w:val="20"/>
          <w:color w:val="auto"/>
        </w:rPr>
      </w:pPr>
    </w:p>
    <w:p>
      <w:pPr>
        <w:ind w:right="8400" w:firstLine="8"/>
        <w:spacing w:after="0" w:line="347" w:lineRule="auto"/>
        <w:tabs>
          <w:tab w:leader="none" w:pos="44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 and Acquisition Activities </w:t>
      </w:r>
      <w:r>
        <w:rPr>
          <w:rFonts w:ascii="Arial" w:cs="Arial" w:eastAsia="Arial" w:hAnsi="Arial"/>
          <w:sz w:val="18"/>
          <w:szCs w:val="18"/>
          <w:u w:val="single" w:color="auto"/>
          <w:color w:val="auto"/>
        </w:rPr>
        <w:t>Cinterion</w:t>
      </w:r>
    </w:p>
    <w:p>
      <w:pPr>
        <w:spacing w:after="0" w:line="2"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In June 2010, the Company submitted a bid to purchase certain assets of Cinterion, a company in the cellular machine-to-machine communications industry, in connection with an insolvency proceeding. The Company was not the successful bidder at the conclusion of the process on June 28, 2010. In connection with the bid, the Company borrowed $30.0 million under a bridge loan facility in June 2010 which was subsequently repaid in July 2010. The Company recognized $3.1 million of debt issuance costs related to the bridge loan facility. This amount was recorded as interest expense in the consolidated statement of operations for the year ended December 31, 2010. The Company also realized a $1.7 million of foreign currency gain, net of hedging transaction costs, to address foreign currency risk also related to the bid. This amount was recorded in other income in the consolidated statement of operations during the year ended December 31, 2010.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also incurred $1.3 million in legal, advisory and professional fees related to the acquisition bid, which were recorded and classified as general and administrative expenses in the consolidated statement of operations during the year ended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Enfora</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November 30, 2010, the Company completed the acquisition of Enfora, a Texas-based provider of intelligent asset-management solutions utilizing wireless technology and M2M communications. The acquisition of Enfora diversifies the Company’s customer base and product lines into adjacent markets and advances the Company’s strategy of providing intelligent devices to all end markets—enterprise, consumer and vertical applications.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Enfora’s results of operations and estimated fair value of assets acquired and liabilities assumed were included in the Company’s consolidated financial statements beginning November 30, 2010. The revenue and operating results contributed by Enfora during the year ended December 31, 2010 are disclosed in our Segment Information and Concentrations of Risk footnote (see Note 10). Acquisition costs related to the merger of Enfora of $1.9 million were recorded and classified as general and administrative expenses in the consolidated statement of operations during the year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consideration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the terms of the acquisition agreement, the Company paid cash of $64.5 million and additional cash of $13.0 million for an agreed upon amount of Enfora working capital. The Company has also agreed to pay additional consideration (“contingent consideration”) of up to $6.0 million based on the operating results of Enfora for the 15 month period from October 1, 2010 to December 31, 2011. The estimated fair value of this contingent consideration is $0.9 million, resulting in total cash to be paid of $78.4 million. The liability for contingent consideration is included in other long-term liabilities in the Company’s consolidated balance sheet at December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The excess of the purchase price over the preliminary net tangible assets and intangible assets acquired and liabilities assumed was recorded as goodwill. The purchase price was allocated using the information available and is preliminary. The Company may adjust the preliminary purchase price allocation after obtaining more information regarding preliminary estimates of net deferred tax assets and potential limitations on their use. The Company’s allocation of the total purchase price is summarized below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Accounts receivables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10,469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0"/>
              </w:rPr>
              <w:t>Accounts payable, accrued expenses and net deferred taxes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(12,517)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44,220</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22,258</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preliminary purchase price</w:t>
            </w:r>
          </w:p>
        </w:tc>
        <w:tc>
          <w:tcPr>
            <w:tcW w:w="4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78,379</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400" w:type="dxa"/>
            <w:vAlign w:val="bottom"/>
          </w:tcPr>
          <w:p>
            <w:pPr>
              <w:spacing w:after="0"/>
              <w:rPr>
                <w:sz w:val="24"/>
                <w:szCs w:val="24"/>
                <w:color w:val="auto"/>
              </w:rPr>
            </w:pPr>
          </w:p>
        </w:tc>
        <w:tc>
          <w:tcPr>
            <w:tcW w:w="4520" w:type="dxa"/>
            <w:vAlign w:val="bottom"/>
            <w:gridSpan w:val="2"/>
          </w:tcPr>
          <w:p>
            <w:pPr>
              <w:jc w:val="right"/>
              <w:ind w:right="3872"/>
              <w:spacing w:after="0"/>
              <w:rPr>
                <w:sz w:val="20"/>
                <w:szCs w:val="20"/>
                <w:color w:val="auto"/>
              </w:rPr>
            </w:pPr>
            <w:r>
              <w:rPr>
                <w:rFonts w:ascii="Arial" w:cs="Arial" w:eastAsia="Arial" w:hAnsi="Arial"/>
                <w:sz w:val="18"/>
                <w:szCs w:val="18"/>
                <w:color w:val="auto"/>
              </w:rPr>
              <w:t>F-14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goodwill resulting from the merger consists largely of the expectation that the combination will allow the Company to be uniquely positioned to benefit from the anticipated growth in wireless broadband access and M2M markets. All of the goodwill was assigned to the M2M Products and Solutions segment. Approximately $10.7 million of goodwill is deductible for tax purposes as a result of the Enfora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intangible assets acquired in connection with the Enfora acquisition (in thousands):</w:t>
      </w:r>
    </w:p>
    <w:p>
      <w:pPr>
        <w:spacing w:after="0" w:line="2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580" w:type="dxa"/>
            <w:vAlign w:val="bottom"/>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Useful Life</w:t>
            </w:r>
          </w:p>
        </w:tc>
        <w:tc>
          <w:tcPr>
            <w:tcW w:w="100" w:type="dxa"/>
            <w:vAlign w:val="bottom"/>
          </w:tcPr>
          <w:p>
            <w:pPr>
              <w:spacing w:after="0"/>
              <w:rPr>
                <w:sz w:val="14"/>
                <w:szCs w:val="14"/>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technology—Modules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$ 18,500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 years</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tcPr>
          <w:p>
            <w:pPr>
              <w:jc w:val="right"/>
              <w:spacing w:after="0"/>
              <w:rPr>
                <w:sz w:val="20"/>
                <w:szCs w:val="20"/>
                <w:color w:val="auto"/>
              </w:rPr>
            </w:pPr>
            <w:r>
              <w:rPr>
                <w:rFonts w:ascii="Arial" w:cs="Arial" w:eastAsia="Arial" w:hAnsi="Arial"/>
                <w:sz w:val="18"/>
                <w:szCs w:val="18"/>
                <w:color w:val="auto"/>
              </w:rPr>
              <w:t>12,800</w:t>
            </w:r>
          </w:p>
        </w:tc>
        <w:tc>
          <w:tcPr>
            <w:tcW w:w="5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 years</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technology—Integrated Products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 years</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Covenant-not-to-compete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 years</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 years</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Backlog</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 mos.</w:t>
            </w: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 subject to amortization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$ 44,220</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Developed technology represents the fair values of Enfora products that have reached technological feasibility and are a part of Enfora’s product lines. Backlog represents the fair value of Enfora’s customer submitted sales orders. Customer relationships represent the fair value of Enfora’s acquired customer list and its associated after-tax cash flow projected over its remaining useful life. Covenant-not-to-compete agreements represent the fair values of Enfora’s future revenues lost to certain parties if they were to compete against the Company in the absence of a non-compete agreement. Trade names represent the fair values of brand and name recognition associated with the marketing of Enfora’s products and services.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estimated fair values of acquired intangible assets were determined using the valuation methodology deemed to be the most appropriate for each type of asset being valued. Each of the valuation methodologies used were methods under the income approach. The developed technologies, backlog and customer relationships used the multi-period excess earnings method under a revenue splitting technique. The trade name valuation used the relief from royalty method. The covenant-not-to-compete agreements valuation used the “with and without”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and Pro Forma Results of Enfora Acquisition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amounts of revenue and net loss of Enfora included in the Company’s consolidated statement of operations from the acquisition date, through the period ended December 31, 2010, are as follows (in thousands):</w:t>
      </w: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$ 6,478</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6840" w:type="dxa"/>
            <w:vAlign w:val="bottom"/>
            <w:gridSpan w:val="3"/>
          </w:tcPr>
          <w:p>
            <w:pPr>
              <w:jc w:val="right"/>
              <w:ind w:right="40"/>
              <w:spacing w:after="0"/>
              <w:rPr>
                <w:sz w:val="20"/>
                <w:szCs w:val="20"/>
                <w:color w:val="auto"/>
              </w:rPr>
            </w:pPr>
            <w:r>
              <w:rPr>
                <w:rFonts w:ascii="Arial" w:cs="Arial" w:eastAsia="Arial" w:hAnsi="Arial"/>
                <w:sz w:val="18"/>
                <w:szCs w:val="18"/>
                <w:color w:val="auto"/>
              </w:rPr>
              <w:t>(2,027)</w:t>
            </w:r>
          </w:p>
        </w:tc>
      </w:tr>
      <w:tr>
        <w:trPr>
          <w:trHeight w:val="356"/>
        </w:trPr>
        <w:tc>
          <w:tcPr>
            <w:tcW w:w="2740" w:type="dxa"/>
            <w:vAlign w:val="bottom"/>
          </w:tcPr>
          <w:p>
            <w:pPr>
              <w:spacing w:after="0"/>
              <w:rPr>
                <w:sz w:val="24"/>
                <w:szCs w:val="24"/>
                <w:color w:val="auto"/>
              </w:rPr>
            </w:pPr>
          </w:p>
        </w:tc>
        <w:tc>
          <w:tcPr>
            <w:tcW w:w="6840" w:type="dxa"/>
            <w:vAlign w:val="bottom"/>
            <w:gridSpan w:val="3"/>
          </w:tcPr>
          <w:p>
            <w:pPr>
              <w:jc w:val="right"/>
              <w:ind w:right="4620"/>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following table presents the unaudited pro forma results for the years ended December 31, 2010 and 2009. The unaudited pro forma financial information for the years ended December 31, 2010 and 2009 combines the results of operations of Novatel Wireless and Enfora as though the companies had been combined as of the beginning of fiscal 2009. The pro forma financial information is presented for informational purposes only and is not indicative of the results of operations that would have been achieved if the acquisition and related borrowings had taken place at the beginning of fiscal 2009. The following unaudited pro forma results presented include amortization charges for acquired intangible assets, inventory fair value adjustments, eliminations of intercompany transactions, adjustments to interest expense, reduction in share-based compensation and related tax effects (in thousands, except per share data):</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$392,047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$389,936</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(46,572)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(5,863)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bl>
    <w:p>
      <w:pPr>
        <w:spacing w:after="0" w:line="26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of Assets and Liabilities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fair value measurements relate to its cash equivalents and foreign exchange forward contracts, which are classified pursuant to authoritative guidance for fair value measurements. The Company places its cash equivalents in instruments that meet credit quality standards, specified in its investment policy guidelines. These guidelines also limit the amount of credit exposure to any one issue, issuer or type of instrument.</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cash equivalents consist of its investment in money market securities. The Company values its investments in money market securities based on quoted market prices in active markets (Level 1 of the fair value hierarchy).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investment portfolio consists primarily of investment-grade corporate bonds, municipal bonds, time deposits and government and agency securities. These types of financial instruments are valued based on quoted prices in markets that are not active, broker or dealer quotations, or alternative pricing sources with reasonable levels of price transparency (Level 2 of the fair value hierarchy). From time to time, the Company may utilize foreign exchange forward contracts. These contracts are valued using pricing models that take into account the currency rates as of the balance sheet date (Level 2 of the fair value hierarchy). The contingent consideration liability represents future amounts the Company may be required to pay in conjunction with its Enfora acquisition at November 30, 2010 (see Note 2). The Company estimates the fair value of the contingent consideration liability using probability-weighted scenarios calculated at net present value (level 3 of the fair value hierarchy).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2010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Balance as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2010</w:t>
            </w:r>
          </w:p>
        </w:tc>
        <w:tc>
          <w:tcPr>
            <w:tcW w:w="2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5,380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5,380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5,380</w:t>
            </w: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Corporate debenture/bonds</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33,384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33,384</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5,255</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20,211</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Total short-term marketable securities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59,775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59,775</w:t>
            </w:r>
          </w:p>
        </w:tc>
        <w:tc>
          <w:tcPr>
            <w:tcW w:w="2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Corporate debenture/bonds</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8,794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8,794</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9,479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9,479</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20,676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85,831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5,380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80,451</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Contingent consideration liability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w w:val="96"/>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Total financial liabilities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800" w:type="dxa"/>
            <w:vAlign w:val="bottom"/>
            <w:gridSpan w:val="3"/>
          </w:tcPr>
          <w:p>
            <w:pPr>
              <w:ind w:left="28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twelve months ended December 31, 2010. All of our long-term marketable securities had maturities of between one and two years in duration at December 31, 2010.</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31, 2010, the total amount of outstanding foreign exchange forward contracts amounted to €3.0 million ($4.0 million using the exchange rate of $1.33 at December 31, 2010). These contracts are used to hedge the Company’s Euro-denominated cash and accounts receivable balances. At December 31, 2010 and 2009, the Company recorded an unrealized loss of $8,000, and an unrealized gain of $30,000, respectively, on its outstanding foreign currency forward exchange contracts.</w:t>
      </w:r>
    </w:p>
    <w:p>
      <w:pPr>
        <w:spacing w:after="0" w:line="14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For the years ended December 31, 2010, 2009 and 2008, the Company recorded losses of $38,000, gains of $446,000 and losses of $323,000, respectively, on its Euro denominated foreign exchange forward contracts. During the years ended December 31, 2010, 2009 and 2008, the Company recorded foreign currency gains and losses on foreign currency denominated transactions of approximately $1.7 million gain, $420,000 loss and $406,000 loss, respectively. The gains during the twelve months ended December 31, 2010 primarily relate to a $2.9 million foreign currency gain realized on the liquidation of the Company’s cash holdings in Euros at the conclusion of the insolvency proceeding for the sale of Cinterion. In addition to the foreign exchange forward contact activity described above, during the second quarter of 2010 the Company paid $1.2 million to enter into several Euro-denominated put options to hedge the foreign currency risk associated with its cash holdings in Euros related to the Cinterion bid process. These put options expired unexercised on June 25, 2010.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recorded gains and losses (including the $1.2 million in expense for premiums paid on Euro-denominated put options) on foreign exchange transactions are recorded in other income (expense), net, within the consolidated statements of operations.</w:t>
      </w:r>
    </w:p>
    <w:p>
      <w:pPr>
        <w:spacing w:after="0" w:line="248" w:lineRule="exact"/>
        <w:rPr>
          <w:sz w:val="20"/>
          <w:szCs w:val="20"/>
          <w:color w:val="auto"/>
        </w:rPr>
      </w:pPr>
    </w:p>
    <w:p>
      <w:pPr>
        <w:ind w:right="8900" w:firstLine="8"/>
        <w:spacing w:after="0" w:line="369" w:lineRule="auto"/>
        <w:tabs>
          <w:tab w:leader="none" w:pos="44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Details </w:t>
      </w:r>
      <w:r>
        <w:rPr>
          <w:rFonts w:ascii="Arial" w:cs="Arial" w:eastAsia="Arial" w:hAnsi="Arial"/>
          <w:sz w:val="18"/>
          <w:szCs w:val="18"/>
          <w:i w:val="1"/>
          <w:iCs w:val="1"/>
          <w:color w:val="auto"/>
        </w:rPr>
        <w:t>Marketable Securities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Expected</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Sale or</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Maturity</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Amortized</w:t>
            </w:r>
          </w:p>
        </w:tc>
        <w:tc>
          <w:tcPr>
            <w:tcW w:w="5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in Years</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$ 33,356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5,259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20,207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rPr>
              <w:t>Corporate debenture/bonds</w:t>
            </w: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gridSpan w:val="3"/>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 to 2</w:t>
            </w:r>
          </w:p>
        </w:tc>
        <w:tc>
          <w:tcPr>
            <w:tcW w:w="620" w:type="dxa"/>
            <w:vAlign w:val="bottom"/>
          </w:tcPr>
          <w:p>
            <w:pPr>
              <w:jc w:val="right"/>
              <w:spacing w:after="0"/>
              <w:rPr>
                <w:sz w:val="20"/>
                <w:szCs w:val="20"/>
                <w:color w:val="auto"/>
              </w:rPr>
            </w:pPr>
            <w:r>
              <w:rPr>
                <w:rFonts w:ascii="Arial" w:cs="Arial" w:eastAsia="Arial" w:hAnsi="Arial"/>
                <w:sz w:val="18"/>
                <w:szCs w:val="18"/>
                <w:color w:val="auto"/>
              </w:rPr>
              <w:t>9,478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$ 80,430</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$ 80,451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December 31, 2010 and 2009, the Company recorded net unrealized gains of $21,000 and $15,000, respectively. The Company’s net unrealized gains are the result of market conditions affecting fixed-income securities and are included in accumulated other comprehensive income in the consolidated balance sheets.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December 31, 2010, the Company did not have any investments in individual securities that have been in a continuous unrealized loss position deemed to be temporary for more than twelve months. Considering the high quality of our investment securities and our historical investment management trends, the Company believes that the unrealized losses at December 31, 2010 represent a temporary condition and will not result in realized losses on sale or maturity of the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$36,764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$24,845</w:t>
            </w:r>
          </w:p>
        </w:tc>
        <w:tc>
          <w:tcPr>
            <w:tcW w:w="100" w:type="dxa"/>
            <w:vAlign w:val="bottom"/>
            <w:shd w:val="clear" w:color="auto" w:fill="CCEEFF"/>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spacing w:after="0"/>
              <w:rPr>
                <w:sz w:val="18"/>
                <w:szCs w:val="18"/>
                <w:color w:val="auto"/>
              </w:rPr>
            </w:pPr>
          </w:p>
        </w:tc>
        <w:tc>
          <w:tcPr>
            <w:tcW w:w="6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24,973</w:t>
            </w:r>
          </w:p>
        </w:tc>
        <w:tc>
          <w:tcPr>
            <w:tcW w:w="100" w:type="dxa"/>
            <w:vAlign w:val="bottom"/>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F-18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Test equipment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$ 48,689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37,887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660" w:type="dxa"/>
            <w:vAlign w:val="bottom"/>
          </w:tcPr>
          <w:p>
            <w:pPr>
              <w:jc w:val="right"/>
              <w:spacing w:after="0"/>
              <w:rPr>
                <w:sz w:val="20"/>
                <w:szCs w:val="20"/>
                <w:color w:val="auto"/>
              </w:rPr>
            </w:pPr>
            <w:r>
              <w:rPr>
                <w:rFonts w:ascii="Arial" w:cs="Arial" w:eastAsia="Arial" w:hAnsi="Arial"/>
                <w:sz w:val="18"/>
                <w:szCs w:val="18"/>
                <w:color w:val="auto"/>
              </w:rPr>
              <w:t>12,254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10,689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60" w:type="dxa"/>
            <w:vAlign w:val="bottom"/>
          </w:tcPr>
          <w:p>
            <w:pPr>
              <w:jc w:val="right"/>
              <w:spacing w:after="0"/>
              <w:rPr>
                <w:sz w:val="20"/>
                <w:szCs w:val="20"/>
                <w:color w:val="auto"/>
              </w:rPr>
            </w:pPr>
            <w:r>
              <w:rPr>
                <w:rFonts w:ascii="Arial" w:cs="Arial" w:eastAsia="Arial" w:hAnsi="Arial"/>
                <w:sz w:val="18"/>
                <w:szCs w:val="18"/>
                <w:color w:val="auto"/>
              </w:rPr>
              <w:t>1,807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r>
      <w:tr>
        <w:trPr>
          <w:trHeight w:val="221"/>
        </w:trPr>
        <w:tc>
          <w:tcPr>
            <w:tcW w:w="8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69,504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55,190</w:t>
            </w: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(40,279)</w:t>
            </w:r>
          </w:p>
        </w:tc>
      </w:tr>
      <w:tr>
        <w:trPr>
          <w:trHeight w:val="222"/>
        </w:trPr>
        <w:tc>
          <w:tcPr>
            <w:tcW w:w="8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$ 21,281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14,911</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carrying values of long-lived assets are reviewed for impairment whenever events or changes in circumstances indicate that the recorded value cannot be recovered from the undiscounted future cash flows. When the carrying value of an asset exceeds the associated undiscounted expected future cash flows, it is considered to be impaired and is written down to fair value, which is determined based on either undiscounted future cash flows or appraised values</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years ended December 31, 2010, 2009 and 2008, the Company recorded $167,000, $92,000 and $638,000, respectively, in its cost of net revenues as a result of its impairment analysis.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Depreciation and amortization expense relating to property and equipment was $10.0 million, $11.4 million and $10.6 million for the years ended December 31, 2010, 2009 and 2008,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$29,200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Trade names</w:t>
            </w: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EV-DO and CDMA licenses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2,053</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HSUPA, HSDPA, UMTS, and GPRS licenses</w:t>
            </w:r>
          </w:p>
        </w:tc>
        <w:tc>
          <w:tcPr>
            <w:tcW w:w="580" w:type="dxa"/>
            <w:vAlign w:val="bottom"/>
          </w:tcPr>
          <w:p>
            <w:pPr>
              <w:jc w:val="right"/>
              <w:spacing w:after="0"/>
              <w:rPr>
                <w:sz w:val="20"/>
                <w:szCs w:val="20"/>
                <w:color w:val="auto"/>
              </w:rPr>
            </w:pPr>
            <w:r>
              <w:rPr>
                <w:rFonts w:ascii="Arial" w:cs="Arial" w:eastAsia="Arial" w:hAnsi="Arial"/>
                <w:sz w:val="18"/>
                <w:szCs w:val="18"/>
                <w:color w:val="auto"/>
              </w:rPr>
              <w:t>1,936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1,901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Covenant-not-to-compete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6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48,284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3,954</w:t>
            </w: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amortization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(2,441)</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Intangible assets, net of amortization</w:t>
            </w: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44,265</w:t>
            </w:r>
          </w:p>
        </w:tc>
        <w:tc>
          <w:tcPr>
            <w:tcW w:w="3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1,513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 monitors its intangible and long-lived asset balances and conducts formal tests on at least an annual basis or earlier when impairment indicators are present. There was no impairment loss recorded for the years ended December 31, 2010 and 2009. For the year ended December 31, 2008, the Company recorded $202,000, in its cost of net revenues as a result of its impairment analysis.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Amortization expense relating to intangible licenses was $744,000, $1.6 million and $1.0 million for the years ended December 31, 2010, 2009 and 2008, respectively. Amortization expense related to licenses obtained for research purposes is recorded within research and development expense in the consolidated statements of operations. Amortization expense related to licenses obtained for commercial products is recorded in cost of revenues in the consolidated statements of operations.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Amortization expense of $658,000 related to developed technology and backlog acquired during 2010 was recorded in cost of net revenues in the consolidated financial statements. Amortization expense of $179,000 related to customer relationships, non-compete agreements, and trademarks acquired during 2010 was recorded in amortization of acquired intangibles in the consolidated statements of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estimated amortization expense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6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2012</w:t>
            </w:r>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2014</w:t>
            </w:r>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44,265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20" w:type="dxa"/>
            <w:vAlign w:val="bottom"/>
            <w:gridSpan w:val="3"/>
            <w:vMerge w:val="restart"/>
          </w:tcPr>
          <w:p>
            <w:pPr>
              <w:ind w:left="460"/>
              <w:spacing w:after="0"/>
              <w:rPr>
                <w:sz w:val="20"/>
                <w:szCs w:val="20"/>
                <w:color w:val="auto"/>
              </w:rPr>
            </w:pPr>
            <w:r>
              <w:rPr>
                <w:rFonts w:ascii="Arial" w:cs="Arial" w:eastAsia="Arial" w:hAnsi="Arial"/>
                <w:sz w:val="18"/>
                <w:szCs w:val="18"/>
                <w:color w:val="auto"/>
              </w:rPr>
              <w:t>At December 31, 2010, the weighted average remaining useful life of the Company’s intangible assets is 7.5 years.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20" w:type="dxa"/>
            <w:vAlign w:val="bottom"/>
            <w:gridSpan w:val="3"/>
          </w:tcPr>
          <w:p>
            <w:pPr>
              <w:spacing w:after="0"/>
              <w:rPr>
                <w:sz w:val="20"/>
                <w:szCs w:val="20"/>
                <w:color w:val="auto"/>
              </w:rPr>
            </w:pPr>
            <w:r>
              <w:rPr>
                <w:rFonts w:ascii="Arial" w:cs="Arial" w:eastAsia="Arial" w:hAnsi="Arial"/>
                <w:sz w:val="18"/>
                <w:szCs w:val="18"/>
                <w:i w:val="1"/>
                <w:iCs w:val="1"/>
                <w:color w:val="auto"/>
              </w:rPr>
              <w:t>Goodwill</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20" w:type="dxa"/>
            <w:vAlign w:val="bottom"/>
            <w:gridSpan w:val="3"/>
          </w:tcPr>
          <w:p>
            <w:pPr>
              <w:ind w:left="460"/>
              <w:spacing w:after="0"/>
              <w:rPr>
                <w:sz w:val="20"/>
                <w:szCs w:val="20"/>
                <w:color w:val="auto"/>
              </w:rPr>
            </w:pPr>
            <w:r>
              <w:rPr>
                <w:rFonts w:ascii="Arial" w:cs="Arial" w:eastAsia="Arial" w:hAnsi="Arial"/>
                <w:sz w:val="18"/>
                <w:szCs w:val="18"/>
                <w:color w:val="auto"/>
              </w:rPr>
              <w:t>Goodwill was allocated to the Company’s business segments as of December 31, 2010 as follows (in thousands):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Enfora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Goodwill acquired during the period</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fiscal 2010, the Company completed the acquisition of Enfora, Inc. which resulted in the recognition of $22.3 million in goodwill. The Company will evaluate goodwill on an annual basis as of the beginning of its fourth fiscal quarter and whenever events and changes in circumstances indicate that there may be a potential impairment.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Payroll and related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26,050</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23,236</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Basic earnings per share (“EPS”) excludes dilution and is computed by dividing net income or loss by the weighted-average number of common shares outstanding for the period. Diluted EPS reflects the potential dilution that could occur if securities or other contracts to issue common stock were exercised or converted into common stock.</w:t>
      </w:r>
    </w:p>
    <w:p>
      <w:pPr>
        <w:spacing w:after="0" w:line="14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Potentially dilutive securities (consisting of options, warrants, restricted stock and employee stock purchase plan withholdings using the treasury stock method) are excluded from the diluted EPS computation in loss periods and when the effect using the treasury stock method would result in a decrease in shares.</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years ended December 31, 2010, 2009 and 2008, respectively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52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31,494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100" w:type="dxa"/>
            <w:vAlign w:val="bottom"/>
            <w:shd w:val="clear" w:color="auto" w:fill="CCEEFF"/>
          </w:tcPr>
          <w:p>
            <w:pPr>
              <w:spacing w:after="0"/>
              <w:rPr>
                <w:sz w:val="18"/>
                <w:szCs w:val="18"/>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Options</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Unvested Restricted Stock (including Restricted Stock Units)</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31,494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31,224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Weighted average options, warrants, restricted stock units and ESPP shares to purchase a total of 3,675,163 shares, 3,149,937 shares and 3,833,226 shares of common stock for the years ended December 31, 2010, 2009 and 2008 respectively, were outstanding but not included in the computation of diluted earnings per share as their effect was anti-dilutive.</w:t>
      </w:r>
    </w:p>
    <w:p>
      <w:pPr>
        <w:spacing w:after="0" w:line="256" w:lineRule="exact"/>
        <w:rPr>
          <w:sz w:val="20"/>
          <w:szCs w:val="20"/>
          <w:color w:val="auto"/>
        </w:rPr>
      </w:pPr>
    </w:p>
    <w:p>
      <w:pPr>
        <w:ind w:left="240" w:right="9260" w:hanging="232"/>
        <w:spacing w:after="0" w:line="391" w:lineRule="auto"/>
        <w:tabs>
          <w:tab w:leader="none" w:pos="45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spacing w:after="0" w:line="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00"/>
          </w:cols>
          <w:pgMar w:left="24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for possible future issuance as of December 31, 2010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 under the 2009 Omnibus Incentive Compensation Plan and previous plans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48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Future grants of awards under the 2009 Omnibus Incentive Compensation Plan</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r>
      <w:tr>
        <w:trPr>
          <w:trHeight w:val="222"/>
        </w:trPr>
        <w:tc>
          <w:tcPr>
            <w:tcW w:w="9920" w:type="dxa"/>
            <w:vAlign w:val="bottom"/>
          </w:tcPr>
          <w:p>
            <w:pPr>
              <w:ind w:left="440"/>
              <w:spacing w:after="0"/>
              <w:rPr>
                <w:sz w:val="20"/>
                <w:szCs w:val="20"/>
                <w:color w:val="auto"/>
              </w:rPr>
            </w:pPr>
            <w:r>
              <w:rPr>
                <w:rFonts w:ascii="Arial" w:cs="Arial" w:eastAsia="Arial" w:hAnsi="Arial"/>
                <w:sz w:val="18"/>
                <w:szCs w:val="18"/>
                <w:color w:val="auto"/>
              </w:rPr>
              <w:t>Total shares of common stock reserved for issuance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19"/>
                <w:szCs w:val="19"/>
                <w:color w:val="auto"/>
              </w:rPr>
            </w:pPr>
          </w:p>
        </w:tc>
      </w:tr>
      <w:tr>
        <w:trPr>
          <w:trHeight w:val="20"/>
        </w:trPr>
        <w:tc>
          <w:tcPr>
            <w:tcW w:w="9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year ended December 31, 2008, the Company repurchased a total of 2,435,853 shares of its outstanding common stock for $25.0 million. The Repurchase Program was completed in the third quarter of 2008. The Company currently holds these repurchased shares as treasury stock.</w:t>
      </w:r>
    </w:p>
    <w:p>
      <w:pPr>
        <w:spacing w:after="0" w:line="20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and Employee Stock Purchase Plans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year ended December 31, 2010, the Company granted awards under the 2009 Omnibus Incentive Compensation Plan (the “2009 Plan”). The Compensation Committee of the Board of Directors administers the plan.</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the 2009 Plan, a maximum of 2.5 million shares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years ended December 31, 2010, 2009 and 2008, the following table presents total share-based compensation expense in each functional line item on our consolidated statements of operations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2,063</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2,294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2,382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2,590</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6,471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6,183</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per share fair values of stock options granted in connection with stock incentive plans and rights granted in connection with employee stock purchase plans have been estimated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Employee Stock Options</w:t>
            </w:r>
          </w:p>
        </w:tc>
        <w:tc>
          <w:tcPr>
            <w:tcW w:w="3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6"/>
              </w:rPr>
              <w:t>Employee Stock Purchase Rights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7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w:t>
            </w: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5.8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r>
      <w:tr>
        <w:trPr>
          <w:trHeight w:val="356"/>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right"/>
              <w:ind w:right="1160"/>
              <w:spacing w:after="0"/>
              <w:rPr>
                <w:sz w:val="20"/>
                <w:szCs w:val="20"/>
                <w:color w:val="auto"/>
              </w:rPr>
            </w:pPr>
            <w:r>
              <w:rPr>
                <w:rFonts w:ascii="Arial" w:cs="Arial" w:eastAsia="Arial" w:hAnsi="Arial"/>
                <w:sz w:val="18"/>
                <w:szCs w:val="18"/>
                <w:color w:val="auto"/>
                <w:w w:val="86"/>
              </w:rPr>
              <w:t>F-22</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Compensation Committee of the Board of Directors determines eligibility, vesting schedules and exercise prices for options granted. Options granted under the 2009 Plan and previous plans generally have a term of ten years, and in the case of new hires, generally vest and become exercisable at the rate of 25% after one year and ratably on a monthly basis over a period of thirty-six months thereafter. Subsequent option grants to existing employees generally vest and become exercisable ratably on a monthly basis over a period of 48 months measured from the date of grant.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 summary of stock option activity for the year ended December 31, 2010 is presented below (dollars and shares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0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0"/>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Price Per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70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Option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(Years )</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3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$ 13.38</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881</w:t>
            </w:r>
          </w:p>
        </w:tc>
        <w:tc>
          <w:tcPr>
            <w:tcW w:w="380" w:type="dxa"/>
            <w:vAlign w:val="bottom"/>
          </w:tcPr>
          <w:p>
            <w:pPr>
              <w:spacing w:after="0"/>
              <w:rPr>
                <w:sz w:val="18"/>
                <w:szCs w:val="18"/>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color w:val="auto"/>
              </w:rPr>
              <w:t>7.08</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5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5.02</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1560" w:type="dxa"/>
            <w:vAlign w:val="bottom"/>
            <w:gridSpan w:val="3"/>
          </w:tcPr>
          <w:p>
            <w:pPr>
              <w:jc w:val="right"/>
              <w:ind w:right="680"/>
              <w:spacing w:after="0"/>
              <w:rPr>
                <w:sz w:val="20"/>
                <w:szCs w:val="20"/>
                <w:color w:val="auto"/>
              </w:rPr>
            </w:pPr>
            <w:r>
              <w:rPr>
                <w:rFonts w:ascii="Arial" w:cs="Arial" w:eastAsia="Arial" w:hAnsi="Arial"/>
                <w:sz w:val="18"/>
                <w:szCs w:val="18"/>
                <w:color w:val="auto"/>
              </w:rPr>
              <w:t>31.12</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3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$ 10.88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2010</w:t>
            </w: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3"/>
            <w:vMerge w:val="restart"/>
          </w:tcPr>
          <w:p>
            <w:pPr>
              <w:jc w:val="right"/>
              <w:ind w:right="680"/>
              <w:spacing w:after="0"/>
              <w:rPr>
                <w:sz w:val="20"/>
                <w:szCs w:val="20"/>
                <w:color w:val="auto"/>
              </w:rPr>
            </w:pPr>
            <w:r>
              <w:rPr>
                <w:rFonts w:ascii="Arial" w:cs="Arial" w:eastAsia="Arial" w:hAnsi="Arial"/>
                <w:sz w:val="18"/>
                <w:szCs w:val="18"/>
                <w:color w:val="auto"/>
              </w:rPr>
              <w:t>$ 12.69</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5.15</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380" w:type="dxa"/>
            <w:vAlign w:val="bottom"/>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to purchase common stock during the years ended December 31, 2010, 2009 and 2008 was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$364,000, $633,000 and $26,000, respectively. As of December 31, 2010, total unrecognized share-based compensation cost related to unvested stock options was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$5.5 million, which is expected to be recognized over a weighted average period of approximately 2.3 years. The total fair value of option awards recognized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during the years ended December 31, 2010, 2009 and 2008 was approximately $3.5 million, $3.6 million and $3.5 million, respectively.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fair value of option awards granted during years ended December 31, 2010, 2009 and 2008 was $3.62, $4.07 and $3.82,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may issue restricted stock units (“RSUs”) that, upon satisfaction of vesting conditions, allow for employees and non-employee directors to receive common stock. Issuances of such awards reduce common stock available under the 2009 Plan for stock incentive awards. The Company measures compensation cost associated with grants of RSUs at fair value, which is generally the closing price of the Company’s stock on the date of grant.</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2010, the Compensation Committee of the Board of Directors, pursuant to the 2009 Plan, awarded employees a total of 620,236 RSUs, including 235,900 RSUs to Enfora employees in connection with the acquisition (the “Enfora RSUs”), at fair values ranging from $6.95 per share to $9.76 per share. Generally, one-third of the shares underlying each grant become issuable on the anniversary of each grant date, assuming continued employment or other qualifying service to the Company through such date. However, one-fourth of the shares underlying each grant of the Enfora RSUs become issuable on the anniversary of each grant date, assuming continued employment or other qualifying service to the Company through such date. Based on the fair value of the Company’s common stock price at the grant dates, the Company estimated the aggregate fair value of these awards at approximately $5.0 million. The estimated fair value of these awards is being amortized to compensation expense for each grant on a straight-line basis over the estimated service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2009, the Compensation Committee of the Board of Directors, awarded a total of 424,416 RSUs to employees at fair values ranging from $5.51 per share to $11.83 per share. Generally, one-third of the shares underlying each grant become issuable on the anniversary of each grant date, assuming continued employment or other qualifying service to the Company through such date. Based on the fair value of the Company’s common stock price at the grant dates, the Company estimated the aggregate fair value of these awards at approximately $2.5 million. The estimated fair value of these awards is being amortized to compensation expense for each grant on a straight-line basis, which is predominately over a three-year service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2008, the Compensation Committee of the Board of Directors, awarded a total of 83,595 RSUs to employees at fair values ranging from $3.00 per share to $3.50 per share. One-third of the shares underlying each grant becomes issuable on January 16, 2009, 2010, and 2011, assuming continued employment or other qualifying service to the Company through such date. The Company estimated the aggregate fair value of these awards to the employees at approximately $263,000, based on the fair value of the Company’s common stock price at the grant date. The estimated fair value of these awards is being amortized to compensation expense for each grant on a straight-line basis over the three-year service period.</w:t>
      </w:r>
    </w:p>
    <w:p>
      <w:pPr>
        <w:spacing w:after="0" w:line="1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During 2007, the Compensation Committee of the Board of Directors, awarded a total of 106,773 RSUs to employees and six non-employee directors at fair values ranging $10.40 per share to $25.22 per share. The shares underlying the RSUs become issuable in three equal annual installments beginning on the first anniversary of the grant date, assuming continued employment or other qualifying service to the Company through each vesting date. The Company estimated the aggregate fair value of these awards to the employees and non- employee directors at approximately $1.3 million, based on the fair value of the Company’s common stock price at the grant date. Compensation cost is being amortized to compensation expense for each grant on straight-line basis over the three-year service period.</w:t>
      </w:r>
    </w:p>
    <w:p>
      <w:pPr>
        <w:spacing w:after="0" w:line="14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January 2007 and October 2007, the Compensation Committee of the Board of Directors also awarded a total of 100,000 RSUs and 150,000 RSUs to certain executives and to the Company’s Executive Chairman, respectively, at fair values of $10.40 and $25.49 per share, respectively. One-third of the shares underlying each grant became issuable annually each January, commencing in 2008, subject to achievement of specific operating metrics in fiscal 2007 and continued employment through each vesting date. As of December 31, 2007, all of the operating metrics had been achieved resulting in satisfaction of the performance conditions for the awards. The Company estimated the aggregate fair value of these awards at approximately $4.8 million, which was amortized to compensation expense on a straight-line basis for each vesting tranche. The total fair value of these performance based RSUs recognized as expense during the years ended December 31, 2009 and 2008 was approximately $654,000 and $1.8 million, respectively. No performance based equity awards were made to executives for the years ended December 31, 2010, 2009, and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for the year ended December 31, 2010 is presented below (shares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5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5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3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6"/>
              </w:rPr>
              <w:t>Shares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0"/>
        </w:trPr>
        <w:tc>
          <w:tcPr>
            <w:tcW w:w="3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4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5300" w:type="dxa"/>
            <w:vAlign w:val="bottom"/>
            <w:gridSpan w:val="3"/>
          </w:tcPr>
          <w:p>
            <w:pPr>
              <w:jc w:val="right"/>
              <w:ind w:right="66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Forfeited</w:t>
            </w:r>
          </w:p>
        </w:tc>
        <w:tc>
          <w:tcPr>
            <w:tcW w:w="42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r>
      <w:tr>
        <w:trPr>
          <w:trHeight w:val="27"/>
        </w:trPr>
        <w:tc>
          <w:tcPr>
            <w:tcW w:w="35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4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5300" w:type="dxa"/>
            <w:vAlign w:val="bottom"/>
            <w:gridSpan w:val="3"/>
          </w:tcPr>
          <w:p>
            <w:pPr>
              <w:jc w:val="right"/>
              <w:ind w:right="3860"/>
              <w:spacing w:after="0"/>
              <w:rPr>
                <w:sz w:val="20"/>
                <w:szCs w:val="20"/>
                <w:color w:val="auto"/>
              </w:rPr>
            </w:pPr>
            <w:r>
              <w:rPr>
                <w:rFonts w:ascii="Arial" w:cs="Arial" w:eastAsia="Arial" w:hAnsi="Arial"/>
                <w:sz w:val="18"/>
                <w:szCs w:val="18"/>
                <w:color w:val="auto"/>
              </w:rPr>
              <w:t>F-24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December 31, 2010, there was $4.8 million of unrecognized compensation cost related to non-vested RSUs. That cost is expected to be recognized over a weighted average period of 2.3 years. The total fair value of RSUs recognized as expense during the years ended December 31, 2010, 2009 and 2008 was $1.7 million, $2.1 million and $2.2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Employee Stock Purchase Plan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2000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In June 2009, the Company’s shareholders approved an amendment to the ESPP to increase the number of shares available for issuance under the ESPP by 750,000 shares, extend the term of the ESPP to June 2019, cease the automatic annual increase in the number of shares available for issuance under the ESPP and make certain other technical changes.</w:t>
      </w:r>
    </w:p>
    <w:p>
      <w:pPr>
        <w:spacing w:after="0" w:line="11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During the years ended December 31, 2010, 2009 and 2008, the Company issued 514,540, 425,941 and 78,050 shares, respectively, under the ESPP. During the years ended December 31, 2010, 2009 and 2008, the Company received $1.7 million, $1.3 million and $726,000, respectively, in cash through employee withholdings.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4, 2010, the Company announced the termination of the ESPP as of November 15, 2010 due to a lack of available shares. The cancellation of the awards was accounted for as a repurchase for no consideration. The previously unrecognized compensation cost as of November 15, 2010 of $316,000 was fully expensed in the fourth quarter of 2010.</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total fair value of ESPP awards recognized as expense during the years ended December 31, 2010, 2009 and 2008 was $944,000, $1.2 million and $494,000, respectively.</w:t>
      </w:r>
    </w:p>
    <w:p>
      <w:pPr>
        <w:spacing w:after="0" w:line="24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2010, 2009 and 2008 were allocated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3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$7,893</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 stockholders’ equity</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4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8,170</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taxes for the years ended December 31, 2010, 2009 and 2008 is comprised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26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 (27,091)</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$2,674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Foreign</w:t>
            </w:r>
          </w:p>
        </w:tc>
        <w:tc>
          <w:tcPr>
            <w:tcW w:w="4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1,534</w:t>
            </w:r>
          </w:p>
        </w:tc>
        <w:tc>
          <w:tcPr>
            <w:tcW w:w="5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1,765</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4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(25,557)</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60" w:type="dxa"/>
            <w:vAlign w:val="bottom"/>
            <w:gridSpan w:val="3"/>
          </w:tcPr>
          <w:p>
            <w:pPr>
              <w:jc w:val="right"/>
              <w:ind w:right="3252"/>
              <w:spacing w:after="0"/>
              <w:rPr>
                <w:sz w:val="20"/>
                <w:szCs w:val="20"/>
                <w:color w:val="auto"/>
              </w:rPr>
            </w:pPr>
            <w:r>
              <w:rPr>
                <w:rFonts w:ascii="Arial" w:cs="Arial" w:eastAsia="Arial" w:hAnsi="Arial"/>
                <w:sz w:val="18"/>
                <w:szCs w:val="18"/>
                <w:color w:val="auto"/>
              </w:rPr>
              <w:t>F-25</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(benefit) for income taxes for the years ended December 31, 2010, 2009 and 2008 is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Federal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(3,602)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w w:val="93"/>
              </w:rPr>
              <w:t>$ 3,230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Foreign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(3,548)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ind w:left="460"/>
              <w:spacing w:after="0"/>
              <w:rPr>
                <w:sz w:val="20"/>
                <w:szCs w:val="20"/>
                <w:color w:val="auto"/>
              </w:rPr>
            </w:pPr>
            <w:r>
              <w:rPr>
                <w:rFonts w:ascii="Arial" w:cs="Arial" w:eastAsia="Arial" w:hAnsi="Arial"/>
                <w:sz w:val="18"/>
                <w:szCs w:val="18"/>
                <w:color w:val="auto"/>
              </w:rPr>
              <w:t>Deferred:</w:t>
            </w: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State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1,054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(1,299)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 Deferred</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11,441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172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(4,579)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(benefit) for income taxes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  (947)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Company’s deferred tax assets consist of the following (in thousands):</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8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3,592</w:t>
            </w:r>
          </w:p>
        </w:tc>
        <w:tc>
          <w:tcPr>
            <w:tcW w:w="80" w:type="dxa"/>
            <w:vAlign w:val="bottom"/>
          </w:tcPr>
          <w:p>
            <w:pPr>
              <w:spacing w:after="0"/>
              <w:rPr>
                <w:sz w:val="18"/>
                <w:szCs w:val="18"/>
                <w:color w:val="auto"/>
              </w:rPr>
            </w:pP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$ 5,051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Inventory obsolescence provision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4,166</w:t>
            </w:r>
          </w:p>
        </w:tc>
        <w:tc>
          <w:tcPr>
            <w:tcW w:w="80" w:type="dxa"/>
            <w:vAlign w:val="bottom"/>
          </w:tcPr>
          <w:p>
            <w:pPr>
              <w:spacing w:after="0"/>
              <w:rPr>
                <w:sz w:val="18"/>
                <w:szCs w:val="18"/>
                <w:color w:val="auto"/>
              </w:rPr>
            </w:pP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22,911</w:t>
            </w:r>
          </w:p>
        </w:tc>
        <w:tc>
          <w:tcPr>
            <w:tcW w:w="80" w:type="dxa"/>
            <w:vAlign w:val="bottom"/>
          </w:tcPr>
          <w:p>
            <w:pPr>
              <w:spacing w:after="0"/>
              <w:rPr>
                <w:sz w:val="18"/>
                <w:szCs w:val="18"/>
                <w:color w:val="auto"/>
              </w:rPr>
            </w:pP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Unrecognized tax benefits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39,723</w:t>
            </w: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22,497</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(15,619)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24,104</w:t>
            </w:r>
          </w:p>
        </w:tc>
        <w:tc>
          <w:tcPr>
            <w:tcW w:w="8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(21,783)</w:t>
            </w:r>
          </w:p>
        </w:tc>
        <w:tc>
          <w:tcPr>
            <w:tcW w:w="11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2,321</w:t>
            </w:r>
          </w:p>
        </w:tc>
        <w:tc>
          <w:tcPr>
            <w:tcW w:w="80" w:type="dxa"/>
            <w:vAlign w:val="bottom"/>
          </w:tcPr>
          <w:p>
            <w:pPr>
              <w:spacing w:after="0"/>
              <w:rPr>
                <w:sz w:val="19"/>
                <w:szCs w:val="19"/>
                <w:color w:val="auto"/>
              </w:rPr>
            </w:pPr>
          </w:p>
        </w:tc>
        <w:tc>
          <w:tcPr>
            <w:tcW w:w="1140" w:type="dxa"/>
            <w:vAlign w:val="bottom"/>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 likely than not” realization standard. The four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After a review of the four sources of taxable income described above and after considering the possibility of being in a three year cumulative loss position at the end of 2010, the Company recognized an increase in the valuation allowance related to its U.S.-based deferred tax amounts, with a corresponding charge to income tax expense, of $14.8 million during the quarter ended June 30, 2010.</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A significant factor in the Company’s assessment at December 31, 2010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Related to the Company’s acquisition of Enfora on November 30, 2010, the Company assumed U.S.-based net deferred tax liabilities of $4.8 million. This net deferred tax liability predominantly resulted from the estimated future tax impact of fair values assigned to intangible assets purchased upon the acquisition of Enfora as offset by Enfora related estimated deferred tax assets resulting from net operating loss and research and development tax credit carry forwards generated prior to the acquisition of Enfora by the Company. Consistent with accounting guidance, the Company released $4.8 million of its U.S.-based valuation allowance related to the then existing 100% valuation allowance against the Company’s U.S.-based deferred tax assets.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December 31, 2010, the allowance consisted of $18.9 million relating to the Company’s domestic tax assets and $2.9 million related to the Company’s Canadian deferred tax assets. At December 31, 2009, the allowance consisted of $2.2 million relating to the Company’s domestic net operating loss and tax credit carryforwards and $1.7 million related to certain to the Company’s Canadian deferred tax assets.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unreserved portion of the Company’s remaining deferred tax assets at December 31, 2010 primarily related to research and development tax credits associated with the Company’s Canadian subsidiary.</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years ended December 31, 2010 and 2009, the Company recorded deferred income tax expense of $17.9 million and $1.2 million, respectively, related to the changes in the valuation allowances on deferred tax assets. During the year ended 2008, the Company recorded a deferred income tax expense of $1.4 million related to the changes in the valuation allowances on deferred tax assets.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in 2010, 2009 and 2008 to income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(8,690)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1,509</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allowance—current year 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1,352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Change in valuation allowance—prior year deferred tax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14,840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business combination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(4,838)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(2,044)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(3,073)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(3,259)</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1,083</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Merger fees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At December 31, 2010, the Company has U.S. federal net operating loss carryforwards of approximately $40.6 million. Federal net operating loss carryforwards expire at various dates from 2025 through 2029. The Company has California net operating loss carryforwards of approximately $12.9 million, which expire at various dates from 2014 through 2030. On October 8, 2010, the State of California extended tax legislation that, among other things, placed a moratorium on the use of net operating loss carryforwards and limited the use of certain tax credits to reduce state income tax liability in 2010 and 2011. The Company has a California research and development tax credit carryforwards of approximately $4.0 million. The California tax credits have no expiration date. The Company also has federal research and development tax credit carryforwards of approximately $2.4 million. The federal tax credits expire at various dates from 2024 through 2029.</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December 31, 2010 and 2009, the total liability for unrecognized tax benefits was $12.0 million and $14.4 million, respectively, and is included in other long-term liabilities.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07"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u w:val="single" w:color="auto"/>
          <w:color w:val="auto"/>
        </w:rPr>
        <w:t>Amount</w:t>
      </w:r>
    </w:p>
    <w:p>
      <w:pPr>
        <w:sectPr>
          <w:pgSz w:w="11900" w:h="16838" w:orient="portrait"/>
          <w:cols w:equalWidth="0" w:num="1">
            <w:col w:w="11400"/>
          </w:cols>
          <w:pgMar w:left="240" w:top="459" w:right="259" w:bottom="1440" w:gutter="0" w:footer="0" w:header="0"/>
        </w:sectPr>
      </w:pP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-115570</wp:posOffset>
            </wp:positionV>
            <wp:extent cx="666369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Increases related to current and prior year tax positions</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December 31, 2008</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Increases related to current and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-107315</wp:posOffset>
            </wp:positionV>
            <wp:extent cx="666369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-111125</wp:posOffset>
            </wp:positionV>
            <wp:extent cx="666369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Increases related to current and prior year tax positions</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December 31, 2010</w:t>
      </w:r>
    </w:p>
    <w:p>
      <w:pPr>
        <w:spacing w:after="0" w:line="20" w:lineRule="exact"/>
        <w:rPr>
          <w:sz w:val="20"/>
          <w:szCs w:val="20"/>
          <w:color w:val="auto"/>
        </w:rPr>
      </w:pPr>
      <w:r>
        <w:rPr>
          <w:sz w:val="20"/>
          <w:szCs w:val="20"/>
          <w:color w:val="auto"/>
        </w:rPr>
        <w:br w:type="column"/>
      </w:r>
    </w:p>
    <w:p>
      <w:pPr>
        <w:jc w:val="right"/>
        <w:ind w:left="400" w:right="540" w:hanging="405"/>
        <w:spacing w:after="0" w:line="280" w:lineRule="auto"/>
        <w:rPr>
          <w:sz w:val="20"/>
          <w:szCs w:val="20"/>
          <w:color w:val="auto"/>
        </w:rPr>
      </w:pPr>
      <w:r>
        <w:rPr>
          <w:rFonts w:ascii="Arial" w:cs="Arial" w:eastAsia="Arial" w:hAnsi="Arial"/>
          <w:sz w:val="16"/>
          <w:szCs w:val="16"/>
          <w:color w:val="auto"/>
        </w:rPr>
        <w:t>$41,339 96</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41,435</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2,590</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41,135</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251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720"/>
            <w:col w:w="1120"/>
          </w:cols>
          <w:pgMar w:left="240" w:top="459" w:right="259" w:bottom="1440" w:gutter="0" w:footer="0" w:header="0"/>
          <w:type w:val="continuous"/>
        </w:sectPr>
      </w:pPr>
    </w:p>
    <w:p>
      <w:pPr>
        <w:spacing w:after="0" w:line="4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Included in the balances of unrecognized tax benefits at December 31, 2010 are $9.7 million of tax benefits that, if recognized, would affect the effective tax rate. The Company’s estimate of these unrecognized tax benefits does not contemplate the potential impact of deferred tax asset valuation allowances.</w:t>
      </w:r>
    </w:p>
    <w:p>
      <w:pPr>
        <w:spacing w:after="0" w:line="8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December 31, 2010 and 2009, the Company recorded approximately $2.3 million and $1.4 million, respectively, of accrued interest related to uncertain tax positions.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third quarter of 2011, the Company may release $11.4 million of its liability for unrecognized tax benefits due to the expiration of the statute of limitations applicable to the 2007 taxable year.</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federal income tax examinations for the 2001 through 2009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ind w:left="240" w:right="8460" w:hanging="232"/>
        <w:spacing w:after="0" w:line="347" w:lineRule="auto"/>
        <w:tabs>
          <w:tab w:leader="none" w:pos="45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Capital Leases</w:t>
      </w:r>
    </w:p>
    <w:p>
      <w:pPr>
        <w:spacing w:after="0" w:line="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did not purchase equipment under capital leases during the year ended December 31, 2010 and 2009. During the years ended December 31, 2008, the Company purchased equipment under capital leases for $150,000. At December 31, 2010 and 2009, assets held under capital leases had a net book value of $154,000 and $348,000, respectively, net of accumulated amortization of $356,000 and $312,000,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December 31, 2010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7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2012</w:t>
            </w:r>
          </w:p>
        </w:tc>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1"/>
        </w:trPr>
        <w:tc>
          <w:tcPr>
            <w:tcW w:w="20" w:type="dxa"/>
            <w:vAlign w:val="bottom"/>
          </w:tcPr>
          <w:p>
            <w:pPr>
              <w:spacing w:after="0"/>
              <w:rPr>
                <w:sz w:val="19"/>
                <w:szCs w:val="19"/>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1"/>
        </w:trPr>
        <w:tc>
          <w:tcPr>
            <w:tcW w:w="9900" w:type="dxa"/>
            <w:vAlign w:val="bottom"/>
            <w:gridSpan w:val="3"/>
          </w:tcPr>
          <w:p>
            <w:pPr>
              <w:spacing w:after="0"/>
              <w:rPr>
                <w:sz w:val="20"/>
                <w:szCs w:val="20"/>
                <w:color w:val="auto"/>
              </w:rPr>
            </w:pPr>
            <w:r>
              <w:rPr>
                <w:rFonts w:ascii="Arial" w:cs="Arial" w:eastAsia="Arial" w:hAnsi="Arial"/>
                <w:sz w:val="18"/>
                <w:szCs w:val="18"/>
                <w:color w:val="auto"/>
              </w:rPr>
              <w:t>Present value of net minimum lease payments</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w:t>
            </w:r>
          </w:p>
        </w:tc>
      </w:tr>
      <w:tr>
        <w:trPr>
          <w:trHeight w:val="222"/>
        </w:trPr>
        <w:tc>
          <w:tcPr>
            <w:tcW w:w="9900" w:type="dxa"/>
            <w:vAlign w:val="bottom"/>
            <w:gridSpan w:val="3"/>
          </w:tcPr>
          <w:p>
            <w:pPr>
              <w:spacing w:after="0"/>
              <w:rPr>
                <w:sz w:val="20"/>
                <w:szCs w:val="20"/>
                <w:color w:val="auto"/>
              </w:rPr>
            </w:pPr>
            <w:r>
              <w:rPr>
                <w:rFonts w:ascii="Arial" w:cs="Arial" w:eastAsia="Arial" w:hAnsi="Arial"/>
                <w:sz w:val="18"/>
                <w:szCs w:val="18"/>
                <w:color w:val="auto"/>
              </w:rPr>
              <w:t>Long-term portion</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2015.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2010, 2009 and 2008 was $3.5 million, $3.1 million and $3.0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future lease payments under non-cancelable operating leases as of December 31, 2010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20" w:type="dxa"/>
            <w:vAlign w:val="bottom"/>
            <w:gridSpan w:val="3"/>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7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2012</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2014</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800" w:type="dxa"/>
            <w:vAlign w:val="bottom"/>
            <w:gridSpan w:val="2"/>
          </w:tcPr>
          <w:p>
            <w:pPr>
              <w:ind w:left="420"/>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14,588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Committed Purchase Orders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has entered into purchase commitments totaling approximately $144.1 million with certain contract manufacturers under which the Company has committed to buy a minimum amount of designated products between January 2011 and July 2011. In certain of these agreements, the Company may be required to acquire and pay for such products up to the prescribed minimum or forecasted purchases.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has license agreements which require it to make royalty payments generally based on a percentage of the sales price of its products using certain technologies. During the year ended December 31, 2008, the Company revised its estimate of its contingent liability for royalty costs and reduced its liability by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$2.3 million. The change in this estimate was reflected as a reduction of royalty expense in the year ended December 31, 2008. In the years ended 2010, 2009 and 2008, the Company incurred royalty expense of $17.1 million, $19.1 million and $14.8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During 2005 and 2004, the Company entered into management retention agreements with certain of the Company’s executive officers.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 of the employee’s stock incentive awards, a tax equalization payment to eliminate the effects of any applicable excise tax and financial planning and outplacement services.</w:t>
      </w:r>
    </w:p>
    <w:p>
      <w:pPr>
        <w:spacing w:after="0" w:line="10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November 2007, the Company entered into an employment agreement with the Company’s Chief Executive Officer, with an initial term of three years. Under the agreement, Mr. Leparulo will continue to serve as Chairman of the Board and as the Company’s most senior officer. The agreement entitles</w:t>
      </w:r>
    </w:p>
    <w:p>
      <w:pPr>
        <w:spacing w:after="0" w:line="288" w:lineRule="auto"/>
        <w:rPr>
          <w:sz w:val="20"/>
          <w:szCs w:val="20"/>
          <w:color w:val="auto"/>
        </w:rPr>
      </w:pPr>
      <w:r>
        <w:rPr>
          <w:rFonts w:ascii="Arial" w:cs="Arial" w:eastAsia="Arial" w:hAnsi="Arial"/>
          <w:sz w:val="16"/>
          <w:szCs w:val="16"/>
          <w:color w:val="auto"/>
        </w:rPr>
        <w:t>Mr. Leparulo to enumerated severance benefits under various circumstances if Mr. Leparulo’s employment with the Company is terminated. These enumerated severance benefits vary according to whether (a) Mr. Leparulo’s employment with the Company is terminated within the one year period immediately following a change in control (as defined in the agreement) or at the direction of an acquirer in anticipation of such an event; (b) the Company terminates his employment other than for cause or he terminates his employment for good reason; or (c) the Company terminates his employment for cause or he terminates his employment for other than good reason. Depending on the cause of the employment termination, the enumerated severance benefits include a lump sum payment ranging from one to three years annual base salary then in effect, an additional lump sum bonus payment representing certain multiples of his targeted bonus, and varying periods of ongoing employee benefits including health care and outplacement services.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The motion is set for hearing on March 21, 2011. The court has set a trial date of May 10, 2011. The Company intends to defend this litigation vigorously. We are unable at this time to estimate the effects of this lawsuit on our financial position, results of operations or cash flows.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Following execution of the memorandum of understanding, plaintiffs conducted certain confirmatory discovery and sought to negotiate an award of legal fees as part of the terms to be included in a stipulation of settlement. Plaintiffs have since purported to terminate the memorandum of understanding. On January 28, 2011, the court held an informal status conference, at which plaintiffs requested that the court lift the stay of the action. The court declined plaintiffs’ request. Following certain additional confirmatory discovery, the Company anticipates seeking to enforce the terms of the parties’ memorandum of understanding. At this time the Company is unable to estimate the amount of attorneys fees that may be approved by the court.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w:t>
      </w:r>
    </w:p>
    <w:p>
      <w:pPr>
        <w:spacing w:after="0" w:line="259" w:lineRule="exact"/>
        <w:rPr>
          <w:sz w:val="20"/>
          <w:szCs w:val="20"/>
          <w:color w:val="auto"/>
        </w:rPr>
      </w:pPr>
    </w:p>
    <w:p>
      <w:pPr>
        <w:ind w:left="240" w:right="7240" w:hanging="232"/>
        <w:spacing w:after="0" w:line="347" w:lineRule="auto"/>
        <w:tabs>
          <w:tab w:leader="none" w:pos="45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20" w:right="880"/>
        <w:spacing w:after="0" w:line="332" w:lineRule="auto"/>
        <w:rPr>
          <w:sz w:val="20"/>
          <w:szCs w:val="20"/>
          <w:color w:val="auto"/>
        </w:rPr>
      </w:pPr>
      <w:r>
        <w:rPr>
          <w:rFonts w:ascii="Arial" w:cs="Arial" w:eastAsia="Arial" w:hAnsi="Arial"/>
          <w:sz w:val="16"/>
          <w:szCs w:val="16"/>
          <w:color w:val="auto"/>
        </w:rPr>
        <w:t>Mobile Computing Products segment—includes our MiFi products, USB and PC-card modems and Embedded Modules that enable data transmission ad services via cellular wireless networks. All products within the segment represent a single product family.</w:t>
      </w:r>
    </w:p>
    <w:p>
      <w:pPr>
        <w:spacing w:after="0" w:line="4" w:lineRule="exact"/>
        <w:rPr>
          <w:sz w:val="20"/>
          <w:szCs w:val="20"/>
          <w:color w:val="auto"/>
        </w:rPr>
      </w:pPr>
    </w:p>
    <w:p>
      <w:pPr>
        <w:ind w:left="920" w:right="1160"/>
        <w:spacing w:after="0" w:line="268" w:lineRule="auto"/>
        <w:rPr>
          <w:sz w:val="20"/>
          <w:szCs w:val="20"/>
          <w:color w:val="auto"/>
        </w:rPr>
      </w:pPr>
      <w:r>
        <w:rPr>
          <w:rFonts w:ascii="Arial" w:cs="Arial" w:eastAsia="Arial" w:hAnsi="Arial"/>
          <w:sz w:val="18"/>
          <w:szCs w:val="18"/>
          <w:color w:val="auto"/>
        </w:rPr>
        <w:t>M2M Products and Solutions segment—includes our intelligent asset-management solutions utilizing wireless technology and M2M communications acquired with our acquisition of Enfora (Note 2).</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Segment revenues and segment operating income (loss) represent the primary financial measures used by senior management to assess performance and include the revenue, cost of goods sold, sales and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and integration costs.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revenue and income (loss) from operations for our reportable segments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revenue from external customers: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$332,464</w:t>
            </w:r>
          </w:p>
        </w:tc>
        <w:tc>
          <w:tcPr>
            <w:tcW w:w="1600" w:type="dxa"/>
            <w:vAlign w:val="bottom"/>
            <w:gridSpan w:val="7"/>
          </w:tcPr>
          <w:p>
            <w:pPr>
              <w:jc w:val="right"/>
              <w:ind w:right="520"/>
              <w:spacing w:after="0"/>
              <w:rPr>
                <w:sz w:val="20"/>
                <w:szCs w:val="20"/>
                <w:color w:val="auto"/>
              </w:rPr>
            </w:pPr>
            <w:r>
              <w:rPr>
                <w:rFonts w:ascii="Arial" w:cs="Arial" w:eastAsia="Arial" w:hAnsi="Arial"/>
                <w:sz w:val="18"/>
                <w:szCs w:val="18"/>
                <w:color w:val="auto"/>
              </w:rPr>
              <w:t>$337,422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320,973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338,942</w:t>
            </w:r>
          </w:p>
        </w:tc>
        <w:tc>
          <w:tcPr>
            <w:tcW w:w="1600" w:type="dxa"/>
            <w:vAlign w:val="bottom"/>
            <w:gridSpan w:val="7"/>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337,422</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320,973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 (23,027)</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2,750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 (25,002)</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2,750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 by reportable segment: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$ 217,445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277,394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84,663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$ 302,108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277,394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and Asia. The following table details the geographic concentration of the Company’s assets in the United States, Canada, Europe and Asia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3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293,227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271,941</w:t>
            </w:r>
          </w:p>
        </w:tc>
        <w:tc>
          <w:tcPr>
            <w:tcW w:w="12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Canada</w:t>
            </w:r>
          </w:p>
        </w:tc>
        <w:tc>
          <w:tcPr>
            <w:tcW w:w="3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8,059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Asia</w:t>
            </w:r>
          </w:p>
        </w:tc>
        <w:tc>
          <w:tcPr>
            <w:tcW w:w="3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504</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302,108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277,394</w:t>
            </w:r>
          </w:p>
        </w:tc>
        <w:tc>
          <w:tcPr>
            <w:tcW w:w="12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9620" w:type="dxa"/>
            <w:vAlign w:val="bottom"/>
            <w:gridSpan w:val="8"/>
          </w:tcPr>
          <w:p>
            <w:pPr>
              <w:spacing w:after="0"/>
              <w:rPr>
                <w:sz w:val="20"/>
                <w:szCs w:val="20"/>
                <w:color w:val="auto"/>
              </w:rPr>
            </w:pPr>
            <w:r>
              <w:rPr>
                <w:rFonts w:ascii="Arial" w:cs="Arial" w:eastAsia="Arial" w:hAnsi="Arial"/>
                <w:sz w:val="18"/>
                <w:szCs w:val="18"/>
                <w:color w:val="auto"/>
                <w:w w:val="96"/>
              </w:rPr>
              <w:t>The following table details the Company’s concentration of net revenues by geographic region based on shipping destination: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3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70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64.0%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4700" w:type="dxa"/>
            <w:vAlign w:val="bottom"/>
            <w:gridSpan w:val="3"/>
          </w:tcPr>
          <w:p>
            <w:pPr>
              <w:jc w:val="right"/>
              <w:ind w:right="732"/>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3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60" w:type="dxa"/>
            <w:vAlign w:val="bottom"/>
            <w:gridSpan w:val="2"/>
          </w:tcPr>
          <w:p>
            <w:pPr>
              <w:jc w:val="right"/>
              <w:ind w:right="572"/>
              <w:spacing w:after="0"/>
              <w:rPr>
                <w:sz w:val="20"/>
                <w:szCs w:val="20"/>
                <w:color w:val="auto"/>
              </w:rPr>
            </w:pPr>
            <w:r>
              <w:rPr>
                <w:rFonts w:ascii="Arial" w:cs="Arial" w:eastAsia="Arial" w:hAnsi="Arial"/>
                <w:sz w:val="18"/>
                <w:szCs w:val="18"/>
                <w:color w:val="auto"/>
                <w:w w:val="98"/>
              </w:rPr>
              <w:t>100.0%</w:t>
            </w:r>
          </w:p>
        </w:tc>
        <w:tc>
          <w:tcPr>
            <w:tcW w:w="160" w:type="dxa"/>
            <w:vAlign w:val="bottom"/>
          </w:tcPr>
          <w:p>
            <w:pPr>
              <w:spacing w:after="0"/>
              <w:rPr>
                <w:sz w:val="19"/>
                <w:szCs w:val="19"/>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w w:val="94"/>
              </w:rPr>
              <w:t>100.0%</w:t>
            </w:r>
          </w:p>
        </w:tc>
        <w:tc>
          <w:tcPr>
            <w:tcW w:w="14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4860" w:type="dxa"/>
            <w:vAlign w:val="bottom"/>
            <w:gridSpan w:val="4"/>
          </w:tcPr>
          <w:p>
            <w:pPr>
              <w:jc w:val="right"/>
              <w:ind w:right="3020"/>
              <w:spacing w:after="0"/>
              <w:rPr>
                <w:sz w:val="20"/>
                <w:szCs w:val="20"/>
                <w:color w:val="auto"/>
              </w:rPr>
            </w:pPr>
            <w:r>
              <w:rPr>
                <w:rFonts w:ascii="Arial" w:cs="Arial" w:eastAsia="Arial" w:hAnsi="Arial"/>
                <w:sz w:val="18"/>
                <w:szCs w:val="18"/>
                <w:color w:val="auto"/>
              </w:rPr>
              <w:t>F-33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Substantially all of the Company’s revenue is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significant portion of the Company’s revenue comes from a small number of customers. Two customers accounted for 55.7% and 17.1% of 2010 net revenues. Three customers accounted for 38.1%, 20.5% and 10.7% of 2009 net revenues. Four customers accounted for 26.2%, 16.1%, 15.4% and 12.6% of 2008 net revenues. All significant customers are included in the Company’s Mobile Computing Products segment.</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outsources its manufacturing to five third-party manufacturers. If they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22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 limitations. Employer matching contributions amounted to approximately $1.0 million, $858,000 and $803,000 for the years ended December 31, 2010, 2009 and 2008, respectively. Employer matching contributions vest over a two-year period. 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amounted to approximately $236,000, $472,000 and $223,000 for the years ended December 31, 2010, 2009 and 2008, respectively.</w:t>
      </w:r>
    </w:p>
    <w:p>
      <w:pPr>
        <w:spacing w:after="0" w:line="23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2008, the Board of Directors (the “Board”) of the Company authorized the Company to engage Mr. John Ross as a consultant to the Company (the “Engagement”). Mr. Ross is currently a member of the Board and was previously employed by the Company from August 2000 until February 2007. Pursuant to the Engagement, Mr. Ross received a monthly fee of $15,000 in exchange for his providing consulting services to the Company with respect to certain strategic initiatives. Total payments made to Mr. Ross during the year ended December 31, 2009 under the Engagement were approximately $162,000. In November of 2009, Mr. Ross was hired by the Company in an executive role, at which point the Engagement was terminated.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2010 and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Quarter</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1"/>
                <w:szCs w:val="11"/>
                <w:b w:val="1"/>
                <w:bCs w:val="1"/>
                <w:color w:val="auto"/>
              </w:rPr>
              <w:t xml:space="preserve">Second </w:t>
            </w:r>
            <w:r>
              <w:rPr>
                <w:rFonts w:ascii="Arial" w:cs="Arial" w:eastAsia="Arial" w:hAnsi="Arial"/>
                <w:sz w:val="16"/>
                <w:szCs w:val="16"/>
                <w:b w:val="1"/>
                <w:bCs w:val="1"/>
                <w:color w:val="auto"/>
                <w:vertAlign w:val="superscript"/>
              </w:rPr>
              <w:t>(1)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Fourth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100" w:type="dxa"/>
            <w:vAlign w:val="bottom"/>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w w:val="78"/>
              </w:rPr>
              <w:t>thousands, except per share amounts)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revenues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$72,239</w:t>
            </w:r>
          </w:p>
        </w:tc>
        <w:tc>
          <w:tcPr>
            <w:tcW w:w="10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$ 71,823</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$75,602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119,278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13,592</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(22,039)</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(7,105)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22"/>
        </w:trPr>
        <w:tc>
          <w:tcPr>
            <w:tcW w:w="75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$70,393</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$ 84,100</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$94,293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88,636</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Gross profit</w:t>
            </w:r>
          </w:p>
        </w:tc>
        <w:tc>
          <w:tcPr>
            <w:tcW w:w="580" w:type="dxa"/>
            <w:vAlign w:val="bottom"/>
          </w:tcPr>
          <w:p>
            <w:pPr>
              <w:jc w:val="right"/>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18,556</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29,805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23,241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Basic net earnings (loss) per common share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(0.03)</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common share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94"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third quarter of 2010, the Company corrected its income tax expense due to an error in its over accrual for uncertain tax positions for the three months ended June 30, 2010. The Company analyzed this accounting error and determined that it is immaterial to all prior periods impacted and to the current year financial statements. As a result of this analysis, the Company recorded the correcting entry related to this income tax expense adjustment in the quarter ended June 30, 2010. This adjustment resulted in a $777,000 favorable change to net loss and a $0.03 favorable change to basic and diluted net loss per common share in the second quarter of 2010.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Novatel Wireless, Inc. as of December 31, 2010 and 2009, and the related consolidated statements of operations, stockholders’ equity and comprehensive income (loss), and cash flows for each of the two years in the period ended December 31, 2010. Our audits also included the financial statement schedule for each of the two years in the period ended December 31, 2010 listed in the index at Item 15(a). These financial statements and schedule are the responsibility of the Company’s management. Our responsibility is to express an opinion on these financial statements and schedule based on our audits.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Novatel Wireless, Inc. at December 31, 2010 and 2009, and the consolidated results of its operations and its cash flows for each of the two years in the period ended December 31, 2010, in conformity with U.S. generally accepted accounting principles. Also, in our opinion, the related financial statement schedule for each of the two years in the period ended December 31, 2010, when considered in relation to the basic financial statements taken as a whole, presents fairly in all material respects the information set forth therein.</w:t>
      </w:r>
    </w:p>
    <w:p>
      <w:pPr>
        <w:spacing w:after="0" w:line="143"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Novatel Wireless, Inc.’s internal control over financial reporting as of December 31, 2010, based on the criteria established in Internal Control-Integrated Framework issued by the Committee of Sponsoring Organizations of the Treadway Commission and our report dated March 16, 2011 expressed an unqualified opinion thereon.</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audited the accompanying consolidated statements of operations, stockholders’ equity and comprehensive income (loss), and cash flows of Novatel Wireless, Inc. and subsidiaries (the Company) for the year ended December 31, 2008. In connection with our audit of these consolidated financial statements, we also have audited financial statement Schedule II for the year ended December 31, 2008. These consolidated financial statements and financial statement schedule are the responsibility of the Company’s management. Our responsibility is to express an opinion on these consolidated financial statements and financial statement Schedule II based on our audit.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results of operations and cash flows of Novatel Wireless, Inc. and subsidiaries for the year ended December 31, 2008, in conformity with U.S. generally accepted accounting principles. Also in our opinion, the related financial statement Schedule II for the year ended December 31, 2008,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13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Additions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Deductions</w:t>
            </w:r>
          </w:p>
        </w:tc>
        <w:tc>
          <w:tcPr>
            <w:tcW w:w="6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r>
      <w:tr>
        <w:trPr>
          <w:trHeight w:val="149"/>
        </w:trPr>
        <w:tc>
          <w:tcPr>
            <w:tcW w:w="4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120" w:type="dxa"/>
            <w:vAlign w:val="bottom"/>
          </w:tcPr>
          <w:p>
            <w:pPr>
              <w:spacing w:after="0"/>
              <w:rPr>
                <w:sz w:val="12"/>
                <w:szCs w:val="12"/>
                <w:color w:val="auto"/>
              </w:rPr>
            </w:pPr>
          </w:p>
        </w:tc>
        <w:tc>
          <w:tcPr>
            <w:tcW w:w="5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From</w:t>
            </w:r>
          </w:p>
        </w:tc>
        <w:tc>
          <w:tcPr>
            <w:tcW w:w="68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At End</w:t>
            </w:r>
          </w:p>
        </w:tc>
      </w:tr>
      <w:tr>
        <w:trPr>
          <w:trHeight w:val="161"/>
        </w:trPr>
        <w:tc>
          <w:tcPr>
            <w:tcW w:w="4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of Year</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Operations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0"/>
              </w:rPr>
              <w:t>Reserves</w:t>
            </w:r>
          </w:p>
        </w:tc>
        <w:tc>
          <w:tcPr>
            <w:tcW w:w="6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560" w:type="dxa"/>
            <w:vAlign w:val="bottom"/>
            <w:gridSpan w:val="2"/>
          </w:tcPr>
          <w:p>
            <w:pPr>
              <w:ind w:left="24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228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3,039</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3,077</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3,897</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22,724</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21,783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Returns Allowance: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r>
      <w:tr>
        <w:trPr>
          <w:trHeight w:val="356"/>
        </w:trPr>
        <w:tc>
          <w:tcPr>
            <w:tcW w:w="4320" w:type="dxa"/>
            <w:vAlign w:val="bottom"/>
          </w:tcPr>
          <w:p>
            <w:pPr>
              <w:spacing w:after="0"/>
              <w:rPr>
                <w:sz w:val="24"/>
                <w:szCs w:val="24"/>
                <w:color w:val="auto"/>
              </w:rPr>
            </w:pPr>
          </w:p>
        </w:tc>
        <w:tc>
          <w:tcPr>
            <w:tcW w:w="2560" w:type="dxa"/>
            <w:vAlign w:val="bottom"/>
            <w:gridSpan w:val="2"/>
          </w:tcPr>
          <w:p>
            <w:pPr>
              <w:ind w:left="1220"/>
              <w:spacing w:after="0"/>
              <w:rPr>
                <w:sz w:val="20"/>
                <w:szCs w:val="20"/>
                <w:color w:val="auto"/>
              </w:rPr>
            </w:pPr>
            <w:r>
              <w:rPr>
                <w:rFonts w:ascii="Arial" w:cs="Arial" w:eastAsia="Arial" w:hAnsi="Arial"/>
                <w:sz w:val="18"/>
                <w:szCs w:val="18"/>
                <w:color w:val="auto"/>
              </w:rPr>
              <w:t>F-38</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 for</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March 12, 2003, entered into in connection with the Company’s 2003 Series B Convertible Preferred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10.21 to the Company’s Annual Report on Form 10-K for the year ended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Report on Form 10-K for the year ended December 31, 2005, filed March 16, 2006).</w:t>
            </w:r>
          </w:p>
        </w:tc>
      </w:tr>
    </w:tbl>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99.1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S-8, filed November 10,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2009 Omnibus Incentive Compensation Plan (incorporated by reference to Exhibit 10.1 to the Company’s Current Report on Form 8-K,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June 24,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2010 Senior Management Incentive Plan (incorporated by reference to Exhibit 10.1 to the Company’s Current Report on Form 8-K,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September 13, 2010).</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Severance Agreement between Novatel Wireless, Inc. and each of Kenneth G. Leddon and Robert M. Hadley (incorporated by reference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to Exhibit 10.1 to the Company’s Current Report on Form 8-K, filed August 2, 2010.</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Subsidiaries of Novatel Wireless, Inc.</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Power of Attorney (See signature page).</w:t>
            </w:r>
          </w:p>
        </w:tc>
      </w:tr>
    </w:tbl>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282"/>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31.1**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31.2**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32.1**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620" w:firstLine="8"/>
        <w:spacing w:after="0" w:line="268" w:lineRule="auto"/>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ectPr>
          <w:pgSz w:w="11900" w:h="16838" w:orient="portrait"/>
          <w:cols w:equalWidth="0" w:num="1">
            <w:col w:w="11180"/>
          </w:cols>
          <w:pgMar w:left="240" w:top="459" w:right="4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1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300" w:type="dxa"/>
            <w:vAlign w:val="bottom"/>
          </w:tcPr>
          <w:p>
            <w:pPr>
              <w:jc w:val="center"/>
              <w:ind w:right="1672"/>
              <w:spacing w:after="0"/>
              <w:rPr>
                <w:sz w:val="20"/>
                <w:szCs w:val="20"/>
                <w:color w:val="auto"/>
              </w:rPr>
            </w:pPr>
            <w:r>
              <w:rPr>
                <w:rFonts w:ascii="Arial" w:cs="Arial" w:eastAsia="Arial" w:hAnsi="Arial"/>
                <w:sz w:val="18"/>
                <w:szCs w:val="18"/>
                <w:b w:val="1"/>
                <w:bCs w:val="1"/>
                <w:color w:val="auto"/>
                <w:w w:val="85"/>
              </w:rPr>
              <w:t>Subsidiaries of</w:t>
            </w:r>
          </w:p>
        </w:tc>
        <w:tc>
          <w:tcPr>
            <w:tcW w:w="406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State or Other Jurisdiction of</w:t>
            </w:r>
          </w:p>
        </w:tc>
      </w:tr>
      <w:tr>
        <w:trPr>
          <w:trHeight w:val="228"/>
        </w:trPr>
        <w:tc>
          <w:tcPr>
            <w:tcW w:w="4300" w:type="dxa"/>
            <w:vAlign w:val="bottom"/>
          </w:tcPr>
          <w:p>
            <w:pPr>
              <w:jc w:val="center"/>
              <w:ind w:right="1672"/>
              <w:spacing w:after="0"/>
              <w:rPr>
                <w:sz w:val="20"/>
                <w:szCs w:val="20"/>
                <w:color w:val="auto"/>
              </w:rPr>
            </w:pPr>
            <w:r>
              <w:rPr>
                <w:rFonts w:ascii="Arial" w:cs="Arial" w:eastAsia="Arial" w:hAnsi="Arial"/>
                <w:sz w:val="18"/>
                <w:szCs w:val="18"/>
                <w:b w:val="1"/>
                <w:bCs w:val="1"/>
                <w:color w:val="auto"/>
                <w:w w:val="87"/>
              </w:rPr>
              <w:t>Novatel Wireless, Inc.</w:t>
            </w:r>
          </w:p>
        </w:tc>
        <w:tc>
          <w:tcPr>
            <w:tcW w:w="4060" w:type="dxa"/>
            <w:vAlign w:val="bottom"/>
          </w:tcPr>
          <w:p>
            <w:pPr>
              <w:jc w:val="center"/>
              <w:ind w:left="1652"/>
              <w:spacing w:after="0"/>
              <w:rPr>
                <w:sz w:val="20"/>
                <w:szCs w:val="20"/>
                <w:color w:val="auto"/>
              </w:rPr>
            </w:pPr>
            <w:r>
              <w:rPr>
                <w:rFonts w:ascii="Arial" w:cs="Arial" w:eastAsia="Arial" w:hAnsi="Arial"/>
                <w:sz w:val="18"/>
                <w:szCs w:val="18"/>
                <w:b w:val="1"/>
                <w:bCs w:val="1"/>
                <w:color w:val="auto"/>
                <w:w w:val="91"/>
              </w:rPr>
              <w:t>Incorporation or Organization</w:t>
            </w:r>
          </w:p>
        </w:tc>
      </w:tr>
      <w:tr>
        <w:trPr>
          <w:trHeight w:val="223"/>
        </w:trPr>
        <w:tc>
          <w:tcPr>
            <w:tcW w:w="4300" w:type="dxa"/>
            <w:vAlign w:val="bottom"/>
          </w:tcPr>
          <w:p>
            <w:pPr>
              <w:jc w:val="center"/>
              <w:ind w:right="1652"/>
              <w:spacing w:after="0"/>
              <w:rPr>
                <w:sz w:val="20"/>
                <w:szCs w:val="20"/>
                <w:color w:val="auto"/>
              </w:rPr>
            </w:pPr>
            <w:r>
              <w:rPr>
                <w:rFonts w:ascii="Arial" w:cs="Arial" w:eastAsia="Arial" w:hAnsi="Arial"/>
                <w:sz w:val="18"/>
                <w:szCs w:val="18"/>
                <w:color w:val="auto"/>
                <w:w w:val="89"/>
              </w:rPr>
              <w:t>Novatel Wireless Technologies, Ltd.</w:t>
            </w:r>
          </w:p>
        </w:tc>
        <w:tc>
          <w:tcPr>
            <w:tcW w:w="4060" w:type="dxa"/>
            <w:vAlign w:val="bottom"/>
          </w:tcPr>
          <w:p>
            <w:pPr>
              <w:jc w:val="center"/>
              <w:ind w:left="1632"/>
              <w:spacing w:after="0"/>
              <w:rPr>
                <w:sz w:val="20"/>
                <w:szCs w:val="20"/>
                <w:color w:val="auto"/>
              </w:rPr>
            </w:pPr>
            <w:r>
              <w:rPr>
                <w:rFonts w:ascii="Arial" w:cs="Arial" w:eastAsia="Arial" w:hAnsi="Arial"/>
                <w:sz w:val="18"/>
                <w:szCs w:val="18"/>
                <w:color w:val="auto"/>
                <w:w w:val="87"/>
              </w:rPr>
              <w:t>Alberta, Canada</w:t>
            </w:r>
          </w:p>
        </w:tc>
      </w:tr>
      <w:tr>
        <w:trPr>
          <w:trHeight w:val="216"/>
        </w:trPr>
        <w:tc>
          <w:tcPr>
            <w:tcW w:w="4300" w:type="dxa"/>
            <w:vAlign w:val="bottom"/>
          </w:tcPr>
          <w:p>
            <w:pPr>
              <w:jc w:val="center"/>
              <w:ind w:right="1672"/>
              <w:spacing w:after="0"/>
              <w:rPr>
                <w:sz w:val="20"/>
                <w:szCs w:val="20"/>
                <w:color w:val="auto"/>
              </w:rPr>
            </w:pPr>
            <w:r>
              <w:rPr>
                <w:rFonts w:ascii="Arial" w:cs="Arial" w:eastAsia="Arial" w:hAnsi="Arial"/>
                <w:sz w:val="18"/>
                <w:szCs w:val="18"/>
                <w:color w:val="auto"/>
                <w:w w:val="89"/>
              </w:rPr>
              <w:t>Novatel Wireless Solutions, Inc.</w:t>
            </w:r>
          </w:p>
        </w:tc>
        <w:tc>
          <w:tcPr>
            <w:tcW w:w="4060" w:type="dxa"/>
            <w:vAlign w:val="bottom"/>
          </w:tcPr>
          <w:p>
            <w:pPr>
              <w:jc w:val="center"/>
              <w:ind w:left="1652"/>
              <w:spacing w:after="0"/>
              <w:rPr>
                <w:sz w:val="20"/>
                <w:szCs w:val="20"/>
                <w:color w:val="auto"/>
              </w:rPr>
            </w:pPr>
            <w:r>
              <w:rPr>
                <w:rFonts w:ascii="Arial" w:cs="Arial" w:eastAsia="Arial" w:hAnsi="Arial"/>
                <w:sz w:val="18"/>
                <w:szCs w:val="18"/>
                <w:color w:val="auto"/>
                <w:w w:val="89"/>
              </w:rPr>
              <w:t>Delaware</w:t>
            </w:r>
          </w:p>
        </w:tc>
      </w:tr>
      <w:tr>
        <w:trPr>
          <w:trHeight w:val="236"/>
        </w:trPr>
        <w:tc>
          <w:tcPr>
            <w:tcW w:w="4300" w:type="dxa"/>
            <w:vAlign w:val="bottom"/>
          </w:tcPr>
          <w:p>
            <w:pPr>
              <w:jc w:val="center"/>
              <w:ind w:right="1672"/>
              <w:spacing w:after="0"/>
              <w:rPr>
                <w:sz w:val="20"/>
                <w:szCs w:val="20"/>
                <w:color w:val="auto"/>
              </w:rPr>
            </w:pPr>
            <w:r>
              <w:rPr>
                <w:rFonts w:ascii="Arial" w:cs="Arial" w:eastAsia="Arial" w:hAnsi="Arial"/>
                <w:sz w:val="18"/>
                <w:szCs w:val="18"/>
                <w:color w:val="auto"/>
                <w:w w:val="89"/>
              </w:rPr>
              <w:t>Enfora, Inc.</w:t>
            </w:r>
          </w:p>
        </w:tc>
        <w:tc>
          <w:tcPr>
            <w:tcW w:w="4060" w:type="dxa"/>
            <w:vAlign w:val="bottom"/>
          </w:tcPr>
          <w:p>
            <w:pPr>
              <w:jc w:val="center"/>
              <w:ind w:left="1652"/>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60" w:firstLine="3464"/>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Registration Statements:</w:t>
      </w:r>
    </w:p>
    <w:p>
      <w:pPr>
        <w:spacing w:after="0" w:line="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333-163032) pertaining to 2000 Employee Stock Purchase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Registration Statement (Form S-8 No. 333-145482) pertaining to 2000 Stock Incentive Plan and 2000 Employee Stock Purchase Plan;</w:t>
      </w:r>
    </w:p>
    <w:p>
      <w:pPr>
        <w:spacing w:after="0" w:line="113"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333-53692) pertaining to 2000 Stock Incentive Plan, 2000 Employee Stock Purchase Plan and 1997 Stock Incentive Plan;</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S-3 No. 333-162020) and related prospectus pertaining to the registration of $125,000,000 of debt securities, common stock, preferred stock, subscription rights, depositary shares, warrants, purchase contracts and units;</w:t>
      </w:r>
    </w:p>
    <w:p>
      <w:pPr>
        <w:spacing w:after="0" w:line="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of our reports dated March 16, 2011, with respect to the consolidated financial statements and schedule of Novatel Wireless, Inc., and the effectiveness of internal control over financial reporting of Novatel Wireless, Inc. included in this Annual Report (Form 10-K) for the year ended December 31, 2010.</w:t>
      </w:r>
    </w:p>
    <w:p>
      <w:pPr>
        <w:spacing w:after="0" w:line="8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(Nos. 333-163033, 333-163032, 333-145482, and 333-53692) on Form S-8 and (No. 333-162020) on Form S-3 of Novatel Wireless, Inc. (the Company) of our report dated March 15, 2009, with respect to the consolidated statements of operations, stockholders’ equity and comprehensive income (loss), and cash flows, and the related financial statement Schedule II of Novatel Wireless, Inc. for the year ended December 31, 2008, which report appears in the December 31, 2010 annual report on Form 10-K of Novatel Wireless, Inc.</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180"/>
        <w:spacing w:after="0"/>
        <w:tabs>
          <w:tab w:leader="none" w:pos="8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2011</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2011</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Peter Leparulo, Chairman and Chief Executive Officer of Novatel Wireless, Inc. (the “Company”), and Kenneth Leddon, Senior Vice President and Chief Financial Officer of the Company, each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88" w:lineRule="exact"/>
        <w:rPr>
          <w:sz w:val="20"/>
          <w:szCs w:val="20"/>
          <w:color w:val="auto"/>
        </w:rPr>
      </w:pPr>
    </w:p>
    <w:p>
      <w:pPr>
        <w:ind w:right="40" w:firstLine="464"/>
        <w:spacing w:after="0" w:line="268" w:lineRule="auto"/>
        <w:tabs>
          <w:tab w:leader="none" w:pos="632"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Annual Report on Form 10-K of the Company for the year ended December 31, 2010 fully complies with the requirements of Section 13(a) or 15(d) of the Exchange Act; and</w:t>
      </w:r>
    </w:p>
    <w:p>
      <w:pPr>
        <w:spacing w:after="0" w:line="126"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 The information contained in the Annual Report on Form 10-K of the Company for the year ended December 31, 2010 fairly presents,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the financial condition of the Company at the end of the period covered by the Annual Report and the results of operations of the Company for the period covered by the Annual Report.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16</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2011.</w:t>
      </w:r>
    </w:p>
    <w:p>
      <w:pPr>
        <w:spacing w:after="0" w:line="218" w:lineRule="exact"/>
        <w:rPr>
          <w:sz w:val="20"/>
          <w:szCs w:val="20"/>
          <w:color w:val="auto"/>
        </w:rPr>
      </w:pPr>
    </w:p>
    <w:p>
      <w:pPr>
        <w:ind w:left="8180"/>
        <w:spacing w:after="0"/>
        <w:tabs>
          <w:tab w:leader="none" w:pos="8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jc w:val="center"/>
        <w:ind w:left="686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2"/>
    </w:lvl>
  </w:abstractNum>
  <w:abstractNum w:abstractNumId="31">
    <w:nsid w:val="580BD78F"/>
    <w:multiLevelType w:val="hybridMultilevel"/>
    <w:lvl w:ilvl="0">
      <w:lvlJc w:val="left"/>
      <w:lvlText w:val="%1."/>
      <w:numFmt w:val="decimal"/>
      <w:start w:val="3"/>
    </w:lvl>
  </w:abstractNum>
  <w:abstractNum w:abstractNumId="32">
    <w:nsid w:val="153EA438"/>
    <w:multiLevelType w:val="hybridMultilevel"/>
    <w:lvl w:ilvl="0">
      <w:lvlJc w:val="left"/>
      <w:lvlText w:val="%1."/>
      <w:numFmt w:val="decimal"/>
      <w:start w:val="4"/>
    </w:lvl>
  </w:abstractNum>
  <w:abstractNum w:abstractNumId="33">
    <w:nsid w:val="3855585C"/>
    <w:multiLevelType w:val="hybridMultilevel"/>
    <w:lvl w:ilvl="0">
      <w:lvlJc w:val="left"/>
      <w:lvlText w:val="%1."/>
      <w:numFmt w:val="decimal"/>
      <w:start w:val="5"/>
    </w:lvl>
  </w:abstractNum>
  <w:abstractNum w:abstractNumId="34">
    <w:nsid w:val="70A64E2A"/>
    <w:multiLevelType w:val="hybridMultilevel"/>
    <w:lvl w:ilvl="0">
      <w:lvlJc w:val="left"/>
      <w:lvlText w:val="%1."/>
      <w:numFmt w:val="decimal"/>
      <w:start w:val="6"/>
    </w:lvl>
  </w:abstractNum>
  <w:abstractNum w:abstractNumId="35">
    <w:nsid w:val="6A2342EC"/>
    <w:multiLevelType w:val="hybridMultilevel"/>
    <w:lvl w:ilvl="0">
      <w:lvlJc w:val="left"/>
      <w:lvlText w:val="%1."/>
      <w:numFmt w:val="decimal"/>
      <w:start w:val="7"/>
    </w:lvl>
  </w:abstractNum>
  <w:abstractNum w:abstractNumId="36">
    <w:nsid w:val="2A487CB0"/>
    <w:multiLevelType w:val="hybridMultilevel"/>
    <w:lvl w:ilvl="0">
      <w:lvlJc w:val="left"/>
      <w:lvlText w:val="%1."/>
      <w:numFmt w:val="decimal"/>
      <w:start w:val="8"/>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9"/>
    </w:lvl>
  </w:abstractNum>
  <w:abstractNum w:abstractNumId="39">
    <w:nsid w:val="2CD89A32"/>
    <w:multiLevelType w:val="hybridMultilevel"/>
    <w:lvl w:ilvl="0">
      <w:lvlJc w:val="left"/>
      <w:lvlText w:val="%1."/>
      <w:numFmt w:val="decimal"/>
      <w:start w:val="10"/>
    </w:lvl>
  </w:abstractNum>
  <w:abstractNum w:abstractNumId="40">
    <w:nsid w:val="57E4CCAF"/>
    <w:multiLevelType w:val="hybridMultilevel"/>
    <w:lvl w:ilvl="0">
      <w:lvlJc w:val="left"/>
      <w:lvlText w:val="%1."/>
      <w:numFmt w:val="decimal"/>
      <w:start w:val="11"/>
    </w:lvl>
  </w:abstractNum>
  <w:abstractNum w:abstractNumId="41">
    <w:nsid w:val="7A6D8D3C"/>
    <w:multiLevelType w:val="hybridMultilevel"/>
    <w:lvl w:ilvl="0">
      <w:lvlJc w:val="left"/>
      <w:lvlText w:val="%1."/>
      <w:numFmt w:val="decimal"/>
      <w:start w:val="12"/>
    </w:lvl>
  </w:abstractNum>
  <w:abstractNum w:abstractNumId="42">
    <w:nsid w:val="4B588F54"/>
    <w:multiLevelType w:val="hybridMultilevel"/>
    <w:lvl w:ilvl="0">
      <w:lvlJc w:val="left"/>
      <w:lvlText w:val="%1."/>
      <w:numFmt w:val="decimal"/>
      <w:start w:val="13"/>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2019-12-10T16:17:37Z</dcterms:created>
  <dcterms:modified xsi:type="dcterms:W3CDTF">2019-12-10T16:17:37Z</dcterms:modified>
</cp:coreProperties>
</file>