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3" w:lineRule="exact"/>
        <w:rPr>
          <w:sz w:val="24"/>
          <w:szCs w:val="24"/>
          <w:color w:val="auto"/>
        </w:rPr>
      </w:pPr>
    </w:p>
    <w:p>
      <w:pPr>
        <w:ind w:left="4060" w:right="2440" w:hanging="4052"/>
        <w:spacing w:after="0" w:line="438" w:lineRule="auto"/>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2009</w:t>
      </w:r>
    </w:p>
    <w:p>
      <w:pPr>
        <w:ind w:left="56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2" w:lineRule="exact"/>
        <w:rPr>
          <w:sz w:val="24"/>
          <w:szCs w:val="24"/>
          <w:color w:val="auto"/>
        </w:rPr>
      </w:pPr>
    </w:p>
    <w:p>
      <w:pPr>
        <w:ind w:left="460" w:right="242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(NO FEE REQUIRED)</w:t>
      </w:r>
    </w:p>
    <w:p>
      <w:pPr>
        <w:spacing w:after="0" w:line="132"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60"/>
          </w:cols>
          <w:pgMar w:left="240" w:top="435" w:right="299" w:bottom="1440" w:gutter="0" w:footer="0" w:header="0"/>
        </w:sectPr>
      </w:pP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26" w:lineRule="exact"/>
        <w:rPr>
          <w:sz w:val="24"/>
          <w:szCs w:val="24"/>
          <w:color w:val="auto"/>
        </w:rPr>
      </w:pPr>
    </w:p>
    <w:p>
      <w:pPr>
        <w:sectPr>
          <w:pgSz w:w="11900" w:h="16838" w:orient="portrait"/>
          <w:cols w:equalWidth="0" w:num="4">
            <w:col w:w="2160" w:space="720"/>
            <w:col w:w="2140" w:space="720"/>
            <w:col w:w="2520" w:space="440"/>
            <w:col w:w="2660"/>
          </w:cols>
          <w:pgMar w:left="240" w:top="435" w:right="299" w:bottom="1440" w:gutter="0" w:footer="0" w:header="0"/>
          <w:type w:val="continuous"/>
        </w:sectPr>
      </w:pPr>
    </w:p>
    <w:p>
      <w:pPr>
        <w:ind w:left="460" w:right="196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May 7, 2009 was 30,431,782.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35" w:right="299" w:bottom="1440" w:gutter="0" w:footer="0" w:header="0"/>
          <w:type w:val="continuous"/>
        </w:sectPr>
      </w:pPr>
    </w:p>
    <w:bookmarkStart w:id="1" w:name="page2"/>
    <w:bookmarkEnd w:id="1"/>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 global economic conditions on the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current global credit crisis on the value and liquidity of the securities in our investment portfolio;</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sufficient product quantities;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timely comply with public reporting obligations and maintain the listing of our common stock on The Nasdaq Global Select Market.</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2008.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“Novatel Wireless,” the Novatel Wireless logo, “MiFi,” “Merlin,” “MobiLink,” “Expedite,” “Ovation,” “Conversa,” “TotalMobileInternet,” and “NovaSpeed” are trademarks of Novatel Wireless, Inc. Other trademarks, trade names or service marks used in this report are the property of their respective owners.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NOVATEL WIRELESS,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6"/>
              </w:rPr>
              <w:t>(in thousands, except per share data)</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$1,015 in 2009 and $1,010 in 2008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220,122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of $35,270 in 2009 and $33,417 in 2008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$1,338 in 2009 and $8,568 in 2008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269,465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82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0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34,063</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long-term</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Common stock, par value $0.001; 50,000 shares authorized, 30,399 and 30,327 shares issued and outstanding at March 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spacing w:after="0"/>
              <w:rPr>
                <w:sz w:val="19"/>
                <w:szCs w:val="19"/>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2009 and December 31, 2008 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408,121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(186,845)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(184,382)</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221,335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Treasury stock at cost; 2,436 common shares at March 31, 2009 and December 31, 2008</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196,335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269,465</w:t>
            </w:r>
          </w:p>
        </w:tc>
        <w:tc>
          <w:tcPr>
            <w:tcW w:w="2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70,393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87,830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Cost of revenue</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66,119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20,006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(2,463)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Basic</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Weighted average shares used in computation of basic and diluted net income (loss) per share: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30,387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Excess tax benefits from equity based awards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(17,402)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9,751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(9,103)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(41,475)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25,448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(16,599)</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20,795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(26,096)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77,733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51,637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March 31, 2009 and the results of its operations for the three months ended March 31, 2009 and March 31, 2008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2008. The accounting policies used in preparing these consolidated financial statements are the same as those described in our Form 10-K with the exception of new accounting pronouncements adopted in 2009.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provision for warranty costs, estimated royalty costs, income taxes, and share-based compensation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During the first quarter of 2008, the Company adopted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provides a framework for measuring fair value, and expands the disclosures required for fair value measurements. In February 2008, the FASB issued FASB Staff Position (“FSP”) No. FAS 157-2</w:t>
      </w:r>
      <w:r>
        <w:rPr>
          <w:rFonts w:ascii="Arial" w:cs="Arial" w:eastAsia="Arial" w:hAnsi="Arial"/>
          <w:sz w:val="16"/>
          <w:szCs w:val="16"/>
          <w:i w:val="1"/>
          <w:iCs w:val="1"/>
          <w:color w:val="auto"/>
        </w:rPr>
        <w:t>, Effective Date of FASB Statement No. 157</w:t>
      </w:r>
      <w:r>
        <w:rPr>
          <w:rFonts w:ascii="Arial" w:cs="Arial" w:eastAsia="Arial" w:hAnsi="Arial"/>
          <w:sz w:val="16"/>
          <w:szCs w:val="16"/>
          <w:color w:val="auto"/>
        </w:rPr>
        <w:t xml:space="preserve">. FSP No. 157-2 delays the effective date of SFAS No. 157 to fiscal years beginning after November 15, 2008 for all non-financial assets and non-financial liabilities, except for items that are recognized or disclosed at fair value in the financial statements on a recurring basis (at least annually). The adoption of SFAS 157 related to non-financial assets and non-financial liabilities did not have a material impact on our financial statements. In April 2009, the FASB issued FSP No. FAS 157-4, </w:t>
      </w:r>
      <w:r>
        <w:rPr>
          <w:rFonts w:ascii="Arial" w:cs="Arial" w:eastAsia="Arial" w:hAnsi="Arial"/>
          <w:sz w:val="16"/>
          <w:szCs w:val="16"/>
          <w:i w:val="1"/>
          <w:iCs w:val="1"/>
          <w:color w:val="auto"/>
        </w:rPr>
        <w:t>Determining Fair Value When the Volume and Level of Activity for the Asset or</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Liability Have Significantly Decreased and Identifying Transactions That Are Not Orderly</w:t>
      </w:r>
      <w:r>
        <w:rPr>
          <w:rFonts w:ascii="Arial" w:cs="Arial" w:eastAsia="Arial" w:hAnsi="Arial"/>
          <w:sz w:val="16"/>
          <w:szCs w:val="16"/>
          <w:color w:val="auto"/>
        </w:rPr>
        <w:t>, which provides guidance on determining fair value when there is no</w:t>
      </w:r>
      <w:r>
        <w:rPr>
          <w:rFonts w:ascii="Arial" w:cs="Arial" w:eastAsia="Arial" w:hAnsi="Arial"/>
          <w:sz w:val="16"/>
          <w:szCs w:val="16"/>
          <w:i w:val="1"/>
          <w:iCs w:val="1"/>
          <w:color w:val="auto"/>
        </w:rPr>
        <w:t xml:space="preserve"> </w:t>
      </w:r>
      <w:r>
        <w:rPr>
          <w:rFonts w:ascii="Arial" w:cs="Arial" w:eastAsia="Arial" w:hAnsi="Arial"/>
          <w:sz w:val="16"/>
          <w:szCs w:val="16"/>
          <w:color w:val="auto"/>
        </w:rPr>
        <w:t>active market or where the price inputs being used represent distressed sales. FSP No. 157-4 is effective for interim and annual periods ending after June 15, 2009 and will be adopted by the Company beginning in the second quarter of 2009. Although the Company will continue to evaluate the application of FSP No. 157-2 and FSP No. 157-4, management does not currently believe adoption of these accounting pronouncements will have a material impact on the Company’s financial condition or operating results.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On January 1, 2009, the Company adopted the provisions of SFAS 161 (“SFAS 161”), </w:t>
      </w:r>
      <w:r>
        <w:rPr>
          <w:rFonts w:ascii="Arial" w:cs="Arial" w:eastAsia="Arial" w:hAnsi="Arial"/>
          <w:sz w:val="16"/>
          <w:szCs w:val="16"/>
          <w:i w:val="1"/>
          <w:iCs w:val="1"/>
          <w:color w:val="auto"/>
        </w:rPr>
        <w:t>Disclosures about Derivative Instruments and Hedging Activities, 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Statement No. 133</w:t>
      </w:r>
      <w:r>
        <w:rPr>
          <w:rFonts w:ascii="Arial" w:cs="Arial" w:eastAsia="Arial" w:hAnsi="Arial"/>
          <w:sz w:val="16"/>
          <w:szCs w:val="16"/>
          <w:color w:val="auto"/>
        </w:rPr>
        <w:t>. This new standard requires enhanced disclosures for derivative instruments, including those used in hedging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The adoption of this accounting pronouncement did not have an impact on the Company’s statements of operations or balance sheet.</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In April 2009, the FASB issued FSP No. FAS 115-2 and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which provides operational guidance for determining other-than-temporary impairments (“OTTI”) for debt securities. FSP No. 115-2 and 124-2 is effective for interim and annual periods ending after June 15, 2009. Although the Company will continue to evaluate the application of FSP No. 115-2 and 124-2, management does not currently believe this accounting pronouncement will have a material impact on the Company’s financial condition or operating results.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The Company’s portfolio of available-for-sale securities by contractual maturity consists of the following as of March 31, 2009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 in</w:t>
            </w: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880" w:type="dxa"/>
            <w:vAlign w:val="bottom"/>
            <w:gridSpan w:val="3"/>
          </w:tcPr>
          <w:p>
            <w:pPr>
              <w:spacing w:after="0"/>
              <w:rPr>
                <w:sz w:val="20"/>
                <w:szCs w:val="20"/>
                <w:color w:val="auto"/>
              </w:rPr>
            </w:pPr>
            <w:r>
              <w:rPr>
                <w:rFonts w:ascii="Arial" w:cs="Arial" w:eastAsia="Arial" w:hAnsi="Arial"/>
                <w:sz w:val="14"/>
                <w:szCs w:val="14"/>
                <w:b w:val="1"/>
                <w:bCs w:val="1"/>
                <w:color w:val="auto"/>
              </w:rPr>
              <w:t>March 31, 2009</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32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and agency securities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or less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$ 29,959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or less</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79"/>
              </w:rPr>
              <w:t>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66,491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66,581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to 2</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 to 2</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$ 81,447</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112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$ 81,492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As of March 31, 2009, net unrealized gains of $45,000, or $29,000 net of taxes, are included in accumulated other comprehensive income in the consolidated balance sheet.</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At March 31, 2009, the Company did not have any investments in individual securities that have been in a continuous unrealized loss position for more than 12 months. The Company believes the unrealized losses at March 31, 2009 represent a temporary condition due to the high quality of the investment securities.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0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$ 26,655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4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6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$ 27,184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440" w:type="dxa"/>
            <w:vAlign w:val="bottom"/>
            <w:vMerge w:val="restart"/>
          </w:tcPr>
          <w:p>
            <w:pPr>
              <w:jc w:val="right"/>
              <w:ind w:right="3752"/>
              <w:spacing w:after="0"/>
              <w:rPr>
                <w:sz w:val="20"/>
                <w:szCs w:val="20"/>
                <w:color w:val="auto"/>
              </w:rPr>
            </w:pPr>
            <w:r>
              <w:rPr>
                <w:rFonts w:ascii="Arial" w:cs="Arial" w:eastAsia="Arial" w:hAnsi="Arial"/>
                <w:sz w:val="18"/>
                <w:szCs w:val="18"/>
                <w:color w:val="auto"/>
              </w:rPr>
              <w:t>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3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Payroll and related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20" w:type="dxa"/>
            <w:vAlign w:val="bottom"/>
          </w:tcPr>
          <w:p>
            <w:pPr>
              <w:spacing w:after="0"/>
              <w:rPr>
                <w:sz w:val="18"/>
                <w:szCs w:val="18"/>
                <w:color w:val="auto"/>
              </w:rPr>
            </w:pPr>
          </w:p>
        </w:tc>
      </w:tr>
      <w:tr>
        <w:trPr>
          <w:trHeight w:val="222"/>
        </w:trPr>
        <w:tc>
          <w:tcPr>
            <w:tcW w:w="9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20,010</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20,628</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Pursuant to SFAS 157, the Company’s cash equivalents and investments are currently classified within level 1 or level 2 of the fair value hierarchy because they are valued using quoted market prices, broker or dealer quotations, or alternative pricing sources with reasonable levels of price transparency. We maintain an investment portfolio of various security holdings, types and maturities. We place our cash equivalents and investments in instruments that meet credit quality standards, as specified in our investment policy guidelines. These guidelines also limit the amount of credit exposure to any one issue, issuer or type of instrument. Our foreign exchange forward contracts are valued using pricing models that take into account the currency rates as of the balance sheet date.</w:t>
      </w:r>
    </w:p>
    <w:p>
      <w:pPr>
        <w:spacing w:after="0" w:line="10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investment in financial instruments valued based on quoted market prices in active markets are our investments in money market securities. Such instruments are classified within level 1 of the fair value hierarchy.</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types of financial instruments valued based on quoted prices in markets that are not active, broker or dealer quotations, or alternative pricing sources with reasonable levels of price transparency include most investment-grade corporate bonds, commercial paper, time deposits, government and agency securities, asset backed securities, and foreign exchange forward contracts. Such instruments are classified within level 2 of the fair value hierarchy.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March 31, 2009, we did not have any assets or liabilities without observable market values that would require a high level of judgment to determine fair value (level 3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our financial assets and liabilities measured at fair value on a recurring basis in accordance with SFAS 157 as of March 31, 2009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March 31, 2009</w:t>
            </w: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43,605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43,605</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3"/>
              </w:rPr>
              <w:t>43,605</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and agency securities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66,581</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125,097</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43,605</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81,492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Foreign exchange forward contracts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As of March 31, 2009, the total amount of outstanding foreign exchange forward contracts amounted to $6.1 million (€4.6 million). These contracts are used to hedge the Company’s Euro-denominated cash and accounts receivable balances. For the three months ended March 31, 2009 and 2008, the Company recorded gains of $611,000 and losses of $1.7 million on its foreign exchange forward contracts,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Compensation</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SFAS No. 123(R)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requires the measurement and recognition of compensation expense for all share-based payment awards made to employees and directors. The Company included the following amounts for share-based compensation awards in the accompanying unaudited consolidated statements of operations for the three months ended March 31, 2009 and 2008 (in thousands):</w:t>
      </w:r>
    </w:p>
    <w:p>
      <w:pPr>
        <w:spacing w:after="0" w:line="13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640"/>
              <w:spacing w:after="0"/>
              <w:rPr>
                <w:sz w:val="20"/>
                <w:szCs w:val="20"/>
                <w:color w:val="auto"/>
              </w:rPr>
            </w:pPr>
            <w:r>
              <w:rPr>
                <w:rFonts w:ascii="Arial" w:cs="Arial" w:eastAsia="Arial" w:hAnsi="Arial"/>
                <w:sz w:val="18"/>
                <w:szCs w:val="18"/>
                <w:color w:val="auto"/>
              </w:rPr>
              <w:t>Tax effect on share-based 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effect on net income (loss)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1,327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Effect on net income (loss) per share: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640"/>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right="754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operations in the United States, Canada, Europe and Asia. The amount of the Company’s assets in the United States, Canada, Europe and Asia as of March 31, 2009 were $264.0 million, $4.8 million, $567,000 and $49,000 respectively, and as of December 31, 2008 were $253.5 million, $6.3 million, $892,000 and $59,000,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three months ended March 31, 2009, approximately 9.0% of revenues were derived from international customers (Europe/Middle East/Africa 8.9% and Asia/Australia 0.1%) as compared to approximately 38% of revenues derived from international customers (Europe/Middle East/Africa 38% and Asia/Australia 0%) for the three months ended March 31, 2008.</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Substantially all of the Company’s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 significant portion of the Company’s revenue is derived from a small number of customers. Two customers accounted for 51% and 17% of revenues in the three months ended March 31, 2009. Four customers accounted for 23%, 17%, 16% and 13% of revenues in the three months ended March 31, 2008.</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(currently consisting of options, warrants, restricted stock units (“RSUs”) and employee stock purchase plan withholdings using the treasury stock method) are excluded from the diluted EPS computation in loss periods and when the applicable exercise price is greater than the market price as their effect would be anti-dilutive.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computation of diluted weighted-average common and potential common shares outstanding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2009 and 2008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common shares outstanding</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30,387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Warrants</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Options</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Stock Purchase Plan</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Restricted Stock Units</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common and potential common shares outstanding</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30,387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Weighted-average options, warrants, RSUs, and ESPP shares with respect to a total of 4,963,127 and 2,671,535 shares of common stock for the three months ended March 31, 2009 and 2008, respectively, were outstanding but not included in the computation of diluted earnings per share as their effect was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Case No. 08-CV-01689-H (RBB)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On February 9, 2009, all defendants filed a motion to dismiss the consolidated complaint.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court entered an order denying the defendants’ motion to dismiss on April 1, 2009. On May 1, 2009, all defendants filed an answer to the consolidated complaint and moved to reconsider the order on the motion to dismiss. The Company intends to defend this litigation vigorously. Due to the preliminary nature of this litigation, the Company is unable to estimate a range of exposure associated with this litigation.</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including the members of our Audit Committee, as defendants. Two other purported shareholders, Mark Campos and Chris Arnsdorf,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own internal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We have filed a stipulation with the plaintiffs that the derivative actions be consolidated. Due to the preliminary nature of this litigation, the Company is unable to estimate a range of exposure associated with this litigation.</w:t>
      </w: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January 9, 2009, DNT, LLC filed a putative patent infringement lawsuit in the United States District Court for the Eastern District of Virginia against several wireless carriers, including Sprint Nextel Corporation and Verizon Wireless, Inc., as defendants. The complaint alleges, among other things, that the defendants’ use, sale and importation of specified wireless modem cards for computers designed to be used in conjunction with the defendants’ cellular networks constitutes direct infringement of U.S. Patent No. RE 37,660, which the plaintiff allegedly owns. The complaint also alleges that customer use of the products sold by the defendants constitutes indirect infringement of the patent allegedly owned by the plaintiff. The plaintiff is seeking an amount of damages equal to no less than a reasonable royalty for the sale of each infringing product, an injunction, costs and other relief as appropriate. On March 23, 2009, the Company filed a motion to intervene and on April 20, 2009, the plaintiff filed a counterclaim against the Company. The court has set a trial date in December 2009. Due to the preliminary nature of this action, the Company is unable to estimate the range of exposure associated with this matter.</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January 16, 2009, Datascape, Inc. filed a putative patent infringement lawsuit in the United States District Court for the Northern District of Georgia against Sprint Spectrum, L.P. and Sprint Solutions, Inc. as defendants. The complaint alleges generally that the defendants have engaged in the manufacture, sale, import and/or use of products and/or processes that constitutes infringement of U.S. Patent Nos. 5,742,845, 5,905,908, 6,366,967, 6,684,269 and 6,745,259, which the plaintiff allegedly owns. The plaintiff is seeking an amount of damages no less than a reasonable royalty, treble damages, an injunction, attorney’s fees and costs and additional relief as appropriate. The Company is currently evaluating this matter to determine the nature and extent of its obligation to indemnify and/or defend the defendants in this lawsuit. Due to the preliminary nature of this matter, the Company is unable to estimate the range of exposure associated with this matter.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(2,463)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87"/>
              </w:rPr>
              <w:t>Unrealized gain on cash equivalents and marketable securities, net of tax</w:t>
            </w:r>
          </w:p>
        </w:tc>
        <w:tc>
          <w:tcPr>
            <w:tcW w:w="39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3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(2,496)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960" w:type="dxa"/>
            <w:vAlign w:val="bottom"/>
            <w:vMerge w:val="restart"/>
          </w:tcPr>
          <w:p>
            <w:pPr>
              <w:jc w:val="right"/>
              <w:ind w:right="3672"/>
              <w:spacing w:after="0"/>
              <w:rPr>
                <w:sz w:val="20"/>
                <w:szCs w:val="20"/>
                <w:color w:val="auto"/>
              </w:rPr>
            </w:pPr>
            <w:r>
              <w:rPr>
                <w:rFonts w:ascii="Arial" w:cs="Arial" w:eastAsia="Arial" w:hAnsi="Arial"/>
                <w:sz w:val="18"/>
                <w:szCs w:val="18"/>
                <w:color w:val="auto"/>
                <w:w w:val="89"/>
              </w:rPr>
              <w:t>11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Income Taxes</w:t>
      </w:r>
    </w:p>
    <w:p>
      <w:pPr>
        <w:spacing w:after="0" w:line="17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36.4% effective income tax rate, not including discrete items, recorded during the first quarter of 2009 is lower than the annual effective tax rate of 43% recorded during 2008 predominantly due to the Company’s inability to recognize a tax benefit from certain equity incentive awards expensed under the Company’s accounting for share-based compensation.</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In January 2007, the Company adopted FASB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Under FIN 48, the Company’s liability for unrecognized tax benefits as of March 31, 2009 and December 31, 2008 was $18.8 million and $18.6 million, respectively. At March 31, 2009, the Company had recorded approximately $730,000 of accrued interest related to uncertain tax positions in its consolidated balance sheet. For the quarter ended March 31, 2009, the Company included $101,000 of interest expense related to uncertain tax positions in its consolidated statement of operations. This expense is recorded as a discrete item in the Company’s tax provision.</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September 23, 2008, the State of California enacted tax legislation that, among other things, placed a moratorium on the use of net operating loss carryforwards to reduce state taxable income in 2008 and 2009. In October 2008, the United States Congress enacted tax legislation that, among other things, extended the federal research and development tax credit to December 31, 2009. We presently expect that this legislation will impact our 2009 federal and state income tax liabilities.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California income tax legislation enacted in the first quarter of 2009, among other things, permits an irrevocable annual elective single sales apportionment factor for taxable years beginning on or after January 1, 2011. As a result of this legislation, the Company reduced its California deferred tax asset by approximately $124,000 as of March 31, 2009.</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and its subsidiaries file federal, state and foreign income tax returns in jurisdictions with various statutes of limitations. The Company is also subject to various income tax examinations for 1996 through 2008 due to the availability of net operating loss carryforwards.</w:t>
      </w:r>
    </w:p>
    <w:p>
      <w:pPr>
        <w:spacing w:after="0" w:line="13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It is reasonably possible that a decrease of approximately $3.2 million to the gross unrecognized tax benefits may be required within the next 12 months. This adjustment relates to the possible settlement of Internal Revenue Service audits for the Company’s 2006 tax year that are currently in process and expected to be completed within the next 12 months, and the expiration of the statute of limitations in various taxing jurisdictions.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2008 contained in our Annual Report on Form 10-K for the year ended December 31,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products includes third generation, or 3G, wireless PC card and ExpressCard modems, embedded modems, USB modems and other fixed-mobile convergence, or FMC, solutions and communications software for wireless network operators, infrastructure providers, distributors, original equipment manufacturers, or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right="2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continuing global financial crisis and the resulting slowdown in the worldwide economy is causing, and we expect may continue to cause, contraction in demand for our products. In addition, the financial crisis may continue to have an impact on the value of our investment portfolio, foreign currency exchange gain (loss), and net investment interest income (loss).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believe that our future revenues will be influenced largely by the speed and breadth of the demand for wireless access to data through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next generation networks including demand for 3G products and 3G data access services, particularly in Europe, North America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significant customers, including current laptop customers who transition to alternative embedded module platforms such as QUALCOMM’s Gobi platform;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EV-DO, HSDPA and HSUPA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anticipate introducing additional 3G products during 2009. We continue to develop and maintain strategic relationships with wireless and computing industry leaders like Alcatel-Lucent, Dell, Hon Hai, QUALCOMM, Sony, Sprint PCS, Verizon Wireless, Telefonica, and Vodafone and software vendors. Our strategic relationships also include technology and marketing relationships with wireless operators, OEM partners that integrate our products into other devices, distributors and leading hardware and software technology providers.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4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and expect to continue to incur these expenses in future periods prior to recognizing revenue from sales of these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380" w:firstLine="348"/>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provision for warranty costs,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royalty costs, income taxes, foreign exchange forward contracts, and share-based compensation expense. The significant accounting policies used in preparation of these consolidated financial statements for the three months ended March 31, 2009 are consistent with those discussed in Note 1 to the consolidated financial statements included in our Annual Report on Form 10-K for the year ended December 31, 2008 and in Note 1 to the consolidated financial statements included in this report. The critical accounting policies and the significant judgments and estimates used in the preparation of our consolidated financial statements for the three months ended March 31, 2009 are consistent with those discussed in our Annual Report on Form 10-K for the year ended December 31, 2008 in the section captioned “Management’s Discussion and Analysis of Financial Condition and Results of Operations — Critical Accounting Policies and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During the first quarter of 2008, the Company adopted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provides a framework for measuring fair value, and expands the disclosures required for fair value measurements. In February 2008, the FASB issued FASB Staff Position (“FSP”) No. FAS 157-2</w:t>
      </w:r>
      <w:r>
        <w:rPr>
          <w:rFonts w:ascii="Arial" w:cs="Arial" w:eastAsia="Arial" w:hAnsi="Arial"/>
          <w:sz w:val="16"/>
          <w:szCs w:val="16"/>
          <w:i w:val="1"/>
          <w:iCs w:val="1"/>
          <w:color w:val="auto"/>
        </w:rPr>
        <w:t>, Effective Date of FASB Statement No. 157</w:t>
      </w:r>
      <w:r>
        <w:rPr>
          <w:rFonts w:ascii="Arial" w:cs="Arial" w:eastAsia="Arial" w:hAnsi="Arial"/>
          <w:sz w:val="16"/>
          <w:szCs w:val="16"/>
          <w:color w:val="auto"/>
        </w:rPr>
        <w:t xml:space="preserve">. FSP No. 157-2 delays the effective date of SFAS No. 157 to fiscal years beginning after November 15, 2008 for all non-financial assets and non-financial liabilities, except for items that are recognized or disclosed at fair value in the financial statements on a recurring basis (at least annually). The adoption of SFAS 157 related to non-financial assets and non-financial liabilities did not have a material impact on our financial statements. In April 2009, the FASB issued FSP No. FAS 157-4, </w:t>
      </w:r>
      <w:r>
        <w:rPr>
          <w:rFonts w:ascii="Arial" w:cs="Arial" w:eastAsia="Arial" w:hAnsi="Arial"/>
          <w:sz w:val="16"/>
          <w:szCs w:val="16"/>
          <w:i w:val="1"/>
          <w:iCs w:val="1"/>
          <w:color w:val="auto"/>
        </w:rPr>
        <w:t>Determining Fair Value When the Volume and Level of Activity for the Asset or</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Liability Have Significantly Decreased and Identifying Transactions That Are Not Orderly</w:t>
      </w:r>
      <w:r>
        <w:rPr>
          <w:rFonts w:ascii="Arial" w:cs="Arial" w:eastAsia="Arial" w:hAnsi="Arial"/>
          <w:sz w:val="16"/>
          <w:szCs w:val="16"/>
          <w:color w:val="auto"/>
        </w:rPr>
        <w:t>, which provides guidance on determining fair value when there is no</w:t>
      </w:r>
      <w:r>
        <w:rPr>
          <w:rFonts w:ascii="Arial" w:cs="Arial" w:eastAsia="Arial" w:hAnsi="Arial"/>
          <w:sz w:val="16"/>
          <w:szCs w:val="16"/>
          <w:i w:val="1"/>
          <w:iCs w:val="1"/>
          <w:color w:val="auto"/>
        </w:rPr>
        <w:t xml:space="preserve"> </w:t>
      </w:r>
      <w:r>
        <w:rPr>
          <w:rFonts w:ascii="Arial" w:cs="Arial" w:eastAsia="Arial" w:hAnsi="Arial"/>
          <w:sz w:val="16"/>
          <w:szCs w:val="16"/>
          <w:color w:val="auto"/>
        </w:rPr>
        <w:t>active market or where the price inputs being used represent distressed sales. FSP No. 157-4 is effective for interim and annual periods ending after June 15, 2009 and will be adopted by the Company beginning in the second quarter of 2009. Although the Company will continue to evaluate the application of FSP No. 157-2 and FSP No. 157-4, management does not currently believe adoption of these accounting pronouncements will have a material impact on the Company’s financial condition or operating results.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On January 1, 2009, the Company adopted the provisions of SFAS 161 (“SFAS 161”), </w:t>
      </w:r>
      <w:r>
        <w:rPr>
          <w:rFonts w:ascii="Arial" w:cs="Arial" w:eastAsia="Arial" w:hAnsi="Arial"/>
          <w:sz w:val="16"/>
          <w:szCs w:val="16"/>
          <w:i w:val="1"/>
          <w:iCs w:val="1"/>
          <w:color w:val="auto"/>
        </w:rPr>
        <w:t>Disclosures about Derivative Instruments and Hedging Activities, 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Statement No. 133</w:t>
      </w:r>
      <w:r>
        <w:rPr>
          <w:rFonts w:ascii="Arial" w:cs="Arial" w:eastAsia="Arial" w:hAnsi="Arial"/>
          <w:sz w:val="16"/>
          <w:szCs w:val="16"/>
          <w:color w:val="auto"/>
        </w:rPr>
        <w:t>. This new standard requires enhanced disclosures for derivative instruments, including those used in hedging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The adoption of this accounting pronouncement did not have an impact on the Company’s statements of operations or balance sheet.</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In April 2009, the FASB issued FSP No. FAS 115-2 and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which provides operational guidance for determining other-than-temporary impairments (“OTTI”) for debt securities. FSP No. 115-2 and 124-2 is effective for interim and annual periods ending after June 15, 2009. Although the Company will continue to evaluate the application of FSP No. 115-2 and 124-2, management does not currently believe this accounting pronouncement will have a material impact on the Company’s financial condition 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2009 Compared to Three Months Ended March 31, 2008</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March 31, 2009 decreased $17.4 million, or 19.8%, to $70.4 million compared to $87.8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2008. The decrease in revenue was primarily attributable to decreases in sales for our High Speed Packet Access, or HSPA, products partially offset by an increase in our EV-DO products. The decrease in HSPA product sales, which were mainly shipped to the European market, for the three months ended March 31, 2009 compared to the same period in 2008 was approximately $31.0 million. The decrease was primarily due to the combined effects of lower unit shipments of our products and lower average sales prices due to competitive pricing pressures. Our EV-DO product sales increased by approximately</w:t>
      </w:r>
    </w:p>
    <w:p>
      <w:pPr>
        <w:spacing w:after="0" w:line="2"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$13.3 million during the three months ended March 31, 2009 compared to the same period in 2008, primarily as a result of the increase in revenues from new embedded module product sales to a content delivery device customer. Overall, EV-DO revenue, which consists primarily of North American products, represented approximately 86% of revenue in the three months ended March 31, 2009 compared to 54% in the same period in 2008 while HSDPA/HSUPA products represented approximately 14% of revenue in the three months ended March 31, 2009 compared to 46% in the same period in 2008.</w:t>
      </w:r>
    </w:p>
    <w:p>
      <w:pPr>
        <w:spacing w:after="0" w:line="1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continuing slowdown of global economies resulted in lower demand for our products adversely affecting our revenues and operating results for the first quarter of 2009. The current economic circumstances make it more difficult to forecast revenue trends in the near term as we expect unfavorable macro economic conditions in our key markets to continue throughout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Cost of revenue. </w:t>
      </w:r>
      <w:r>
        <w:rPr>
          <w:rFonts w:ascii="Arial" w:cs="Arial" w:eastAsia="Arial" w:hAnsi="Arial"/>
          <w:sz w:val="18"/>
          <w:szCs w:val="18"/>
          <w:color w:val="auto"/>
        </w:rPr>
        <w:t>Cost of revenue for the three months ended March 31, 2009 was $54.3 million, or 77.2% of revenue, as compared to $66.1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75.3% of revenue, for the same period in 2008. The increase in cost of revenue as a percentage of revenue in 2009 was primarily related to the rate of decrease in the average per unit selling prices for products exceeding the rate of decrease in the average per unit cost of revenues and other market driven factors. Cost of revenue as a percentage of revenue is expected to fluctuate in future quarters depending on the mix of products sold, competitive pricing, new product introduction costs and other factors.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current global economic conditions and related 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three months ended March 31, 2009 was $16.1 million, or 22.8% of revenue, compared to $21.7 million, or 24.7%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for the same period in 2008. The decrease was primarily attributable to the changes in revenue and cost of revenue as discussed above. We expect that our gross margin percentage will continue to fluctuate from quarter to quarter depending on product mix, competitive selling prices, our ability to reduce product costs and changes in unit volumes.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2009 were $11.0 million, or 15.6%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compared to $9.2 million, or 10.4% of revenue, for the same period in 2008. The dollar increase was primarily attributable to an increase in consulting and outside services of approximately $1.1 million, and an increase in equipment and supplies expenses of approximately $600,000 related to new product development. Research and development expenses as a percentage of revenue are expected to fluctuate in future quarters depending on the amount of revenue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2009 were $4.5 million, or 6.4% of revenue,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approximately $5.5 million, or 6.2% of revenue, for the same period in 2008. The reduction in expense was primarily attributable to a decrease of approximately $400,000 related to marketing expenses, a decrease in salaries and related expenses of approximately $400,000, and a decrease of approximately $200,000 in travel and related expenditures. While managing sales and marketing expenses relative to revenue, we expect to continue to make selected investments in sales and marketing as we introduce new products, market existing products, expand our distribution channels and focus on key customers around the world.</w:t>
      </w:r>
    </w:p>
    <w:p>
      <w:pPr>
        <w:spacing w:after="0" w:line="144"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2009 were $4.5 million, or 6.3%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compared to $5.4 million, or 6.1% of revenue, for the same period in 2008. The dollar decrease was primarily attributable to a decrease in bad debt expense of approximately $700,000, and a decrease in salary and related expenses of approximately $200,000.</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March 31, 2009 was $481,000 as compared to $1.5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This decrease was primarily due to declines in market interest rates and investment yields and a decline in our average cash and marketable securities balances as compared to the same period in 2008.</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expense, net, for the three months ended March 31, 2009 was $84,000 as compared to income of $546,000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2008. This decline was primarily due to losses on our Euro-denominated cash and receivable balances, offset by gains on our Euro-denominated foreign exchange forward contracts.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benefit was approximately $1.1 million, or 30% of loss before taxes, for the three months ended March 31,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$1.9 million of income tax expense, or 51.2% of income before taxes, for the same period in 2008. The effective income tax rate for 2009 is lower than for 2008, primarily due to the Company’s utilization of federal and state research and development tax credits, offset by our inability to currently deduct for federal income tax expense associated with certain equity incentive awards that were expensed for financial statement purposes.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estimated annual effective tax rate of 36.4% for 2009 is 2.4% higher than the U.S. federal statutory rate predominantly due to the Company’s estimate of state income taxes.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the three months ended March 31, 2009, the Company included $101,000 of interest expense related to uncertain tax positions in its consolidated statement of operations. This expense is recorded as a discrete item in the Company’s tax provision.</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September 23, 2008, the State of California enacted tax legislation that, among other things, placed a moratorium on the use of net operating loss carryforwards to reduce state taxable income in 2008 and 2009. In October 2008, the United States Congress enacted tax legislation that, among other things, extended the federal research and development tax credit to December 31, 2009. We presently expect that this legislation will impact our 2009 federal and state income tax liabilities.</w:t>
      </w:r>
    </w:p>
    <w:p>
      <w:pPr>
        <w:spacing w:after="0" w:line="35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California income tax legislation enacted in the first quarter of 2009, among other things, permits an irrevocable annual elective single sales apportionment factor for taxable years beginning on or after January 1, 2011. FASB Statement No. 109 provides that the impact of changes in tax laws or rates on deferred tax assets and liabilities existing at the enactment date must be recognized as a discrete item in the period that includes the enactment date. As a result of this legislation, the Company reduced its California deferred tax asset by approximately $124,000 as of March 31, 2009.</w:t>
      </w:r>
    </w:p>
    <w:p>
      <w:pPr>
        <w:sectPr>
          <w:pgSz w:w="11900" w:h="16838" w:orient="portrait"/>
          <w:cols w:equalWidth="0" w:num="1">
            <w:col w:w="11420"/>
          </w:cols>
          <w:pgMar w:left="240" w:top="280"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80" w:right="239" w:bottom="1440" w:gutter="0" w:footer="0" w:header="0"/>
          <w:type w:val="continuous"/>
        </w:sectPr>
      </w:pPr>
    </w:p>
    <w:bookmarkStart w:id="15" w:name="page16"/>
    <w:bookmarkEnd w:id="15"/>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Net income (loss). </w:t>
      </w:r>
      <w:r>
        <w:rPr>
          <w:rFonts w:ascii="Arial" w:cs="Arial" w:eastAsia="Arial" w:hAnsi="Arial"/>
          <w:sz w:val="18"/>
          <w:szCs w:val="18"/>
          <w:color w:val="auto"/>
        </w:rPr>
        <w:t>For the three months ended March 31, 2009, we reported a net loss of $2.5 million, as compared to net income of $1.8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2008. The decrease in net income was primarily due to the decrease in revenue as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principal sources of liquidity are our existing cash, cash equivalents and marketable securities and cash generated from operations. We do not currently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have a revolving credit facility or similar loan agreement. As of March 31, 2009, we had working capital of $166.0 million and approximately $133.1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short and long-term marketable securities, which is a decrease of approximately $10.1 million from $143.2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The decrease is primarily related to increases in working capital, primarily trade accounts receivable and inventories, offset by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trade accounts payable.</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continue to have cash requirements to support working capital needs. We intend to use cash and investments on hand, and cash generated from operations to meet these requirements. We believe that our existing cash and investment balances, and cash from operations will be adequate to meet our normal cash requirements over the next 12 months.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approximately $9.1 million for the three months ended March 31, 2009,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provided by operating activities of $82,000 for the same period in 2008. During the three months ended March 31, 2009, the $9.1 million in cash used in operating activities was primarily attributable to our quarterly net loss of $2.5 million and increases in our accounts receivable and inventory offset by increases in accounts payable and non-cash charges including depreciation and amortization, and share-based compensation. During the three months ended March 31, 2008, the $82,000 in cash provided by operating activities was primarily attributable to our quarterly net income of $1.8 million, decreases in our accounts receivable balances, and non-cash charges including depreciation and amortization, charges for inventory losses, and share-based compensation offset by increases in inventories and accrued expenses.</w:t>
      </w:r>
    </w:p>
    <w:p>
      <w:pPr>
        <w:spacing w:after="0" w:line="11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for the three months ended March 31, 2009 was approximately $16.6 million,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provided by investing activities of approximately $20.8 million during the same period in 2008. Net cash used in investing activities in the three months ended March 31, 2009 was primarily related to purchases of investment securities. The net cash provided by investing activities in the three months ended March 31, 2008 was primarily due to the sale and maturity of investment securities, offset by purchases of investment securities and purchases of property and equipment to establish production capacity at a second contract manufacturer of the Company’s products.</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for the three months ended March 31, 2009 was approximately $34,000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2009, compared to $6.5 million used in financing activities during the same period in 2008. Net cash used in financing activities during the three months ended March 31, 2009 was primarily related to payments made on capital leases, offset by excess tax benefits from stock option exercises and proceeds from the exercise of stock options and stock purchases through our employee stock purchase plan. Net cash used in financing activities in the three months ended March 31, 2008 was primarily due to the Company’s repurchase of $7 million of its outstanding common stock on the open market pursuant to a repurchase program. During the three months ended March 31, 2008, the Company repurchased a total of 658,061 shares of its outstanding common stock for $7.0 million under the repurchase program.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Liquidity Needs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expects to incur professional fees and expenses to defend litigation filed against the Company or related to its products, which litigation is discussed in Note 7 to our consolidated financial statements included in this report. These costs cannot be estimated at this time.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next 12 months we plan to incur approximately $13 million to $16 million for the acquisition of property and equipment and additional licenses.</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our available cash and investments, together with our operating cash flows, will be sufficient to fund operations, including the potential expansion of our sales and marketing team, the further development of our new products and the related potential increase in our general and administrative expenses, and to satisfy our working capital requirements and anticipated capital expenditures for the next 12 months.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 from new or existing products.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Since December 31, 2008, there have been no material changes in the quantitative or qualitative aspect of our market risk profile. For additional information regarding the Company’s exposure to certain market risks, see Item 7A, “Quantitative and Qualitative Disclosures About Market Risk” in our Annual Report on Form 10-K for the year ended December 31, 2008.</w:t>
      </w:r>
    </w:p>
    <w:p>
      <w:pPr>
        <w:spacing w:after="0" w:line="25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2009,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March 31, 2009, that have materially affected, or are reasonably likely to materially affect, the Company’s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Case No. 08-CV-01689-H (RBB)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unspecified amount of damages and costs. On February 9, 2009, all defendants filed a motion to dismiss the consolidated complaint. The court entered an order denying the defendants’ motion to dismiss on April 1, 2009. On May 1, 2009, all defendants filed an answer to the consolidated complaint and moved to reconsider the order on the motion to dismiss. The Company intends to defend this litigation vigorously.</w:t>
      </w:r>
    </w:p>
    <w:p>
      <w:pPr>
        <w:spacing w:after="0" w:line="10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On January 9, 2009, DNT, LLC filed a putative patent infringement lawsuit in the United States District Court for the Eastern District of Virginia against several wireless carriers, including Sprint Nextel Corporation and Verizon Wireless, Inc., as defendants. The complaint alleges, among other things, that the defendants’ use, sale and importation of specified wireless modem cards for computers designed to be used in conjunction with the defendants’ cellular networks constitutes direct infringement of U.S. Patent No. RE 37,660, which the plaintiff allegedly owns. The complaint also alleges that customer use of the products sold by the defendants constitutes indirect infringement of the patent allegedly owned by the plaintiff. The plaintiff is seeking an amount of damages equal to no less than a reasonable royalty for the sale of each infringing product, an injunction, costs and other relief as appropriate. On March 23, 2009, the Company filed a motion to intervene and on April 20, 2009, the plaintiff filed a counterclaim against the Company. The court has set a trial date in December 2009.</w:t>
      </w:r>
    </w:p>
    <w:p>
      <w:pPr>
        <w:spacing w:after="0" w:line="105"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Except as described above, there have been no material developments in our legal proceedings since December 31, 2008. For additional information regarding the Company’s legal proceedings, see Item 3, “Legal Proceedings” in our Annual Report on Form 10-K for the year ended December 31, 2008.</w:t>
      </w:r>
    </w:p>
    <w:p>
      <w:pPr>
        <w:spacing w:after="0" w:line="17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2008.</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0</wp:posOffset>
            </wp:positionV>
            <wp:extent cx="66465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53"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our Principal Executive Officer pursuant to Section 302 of the Sarbanes-Oxley Act of 2002.</w:t>
      </w:r>
    </w:p>
    <w:p>
      <w:pPr>
        <w:spacing w:after="0" w:line="77"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our Principal Financial and Accounting Officer pursuant to Section 302 of the Sarbanes-Oxley Act of 2002.</w:t>
      </w:r>
    </w:p>
    <w:p>
      <w:pPr>
        <w:spacing w:after="0" w:line="77" w:lineRule="exact"/>
        <w:rPr>
          <w:sz w:val="20"/>
          <w:szCs w:val="20"/>
          <w:color w:val="auto"/>
        </w:rPr>
      </w:pPr>
    </w:p>
    <w:p>
      <w:pPr>
        <w:ind w:left="960" w:right="120" w:hanging="738"/>
        <w:spacing w:after="0" w:line="268" w:lineRule="auto"/>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our Principal Executive Officer and Principal Financial and Accounting Officer pursuant to Section 906 of the Sarbanes-Oxley Act of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May 11, 2009</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6280"/>
        <w:spacing w:after="0"/>
        <w:tabs>
          <w:tab w:leader="none" w:pos="8000" w:val="left"/>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Peter Leparulo</w:t>
      </w:r>
    </w:p>
    <w:p>
      <w:pPr>
        <w:jc w:val="center"/>
        <w:ind w:left="664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64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6280"/>
        <w:spacing w:after="0"/>
        <w:tabs>
          <w:tab w:leader="none" w:pos="8000" w:val="left"/>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Kenneth Leddon</w:t>
      </w:r>
    </w:p>
    <w:p>
      <w:pPr>
        <w:spacing w:after="0" w:line="2" w:lineRule="exact"/>
        <w:rPr>
          <w:sz w:val="20"/>
          <w:szCs w:val="20"/>
          <w:color w:val="auto"/>
        </w:rPr>
      </w:pPr>
    </w:p>
    <w:p>
      <w:pPr>
        <w:jc w:val="center"/>
        <w:ind w:left="6640"/>
        <w:spacing w:after="0"/>
        <w:rPr>
          <w:sz w:val="20"/>
          <w:szCs w:val="20"/>
          <w:color w:val="auto"/>
        </w:rPr>
      </w:pPr>
      <w:r>
        <w:rPr>
          <w:rFonts w:ascii="Arial" w:cs="Arial" w:eastAsia="Arial" w:hAnsi="Arial"/>
          <w:sz w:val="12"/>
          <w:szCs w:val="12"/>
          <w:b w:val="1"/>
          <w:bCs w:val="1"/>
          <w:color w:val="auto"/>
        </w:rPr>
        <w:t>Senior Vice President and Chief Financial Officer</w:t>
      </w:r>
    </w:p>
    <w:p>
      <w:pPr>
        <w:spacing w:after="0" w:line="10"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240" w:top="274" w:right="11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March 31, 2009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89" w:lineRule="exact"/>
        <w:rPr>
          <w:sz w:val="20"/>
          <w:szCs w:val="20"/>
          <w:color w:val="auto"/>
        </w:rPr>
      </w:pPr>
    </w:p>
    <w:p>
      <w:pPr>
        <w:spacing w:after="0"/>
        <w:tabs>
          <w:tab w:leader="none" w:pos="7940" w:val="left"/>
          <w:tab w:leader="none" w:pos="8300" w:val="left"/>
        </w:tabs>
        <w:rPr>
          <w:sz w:val="20"/>
          <w:szCs w:val="20"/>
          <w:color w:val="auto"/>
        </w:rPr>
      </w:pPr>
      <w:r>
        <w:rPr>
          <w:rFonts w:ascii="Arial" w:cs="Arial" w:eastAsia="Arial" w:hAnsi="Arial"/>
          <w:sz w:val="18"/>
          <w:szCs w:val="18"/>
          <w:color w:val="auto"/>
        </w:rPr>
        <w:t>Date: May 11,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10795</wp:posOffset>
            </wp:positionV>
            <wp:extent cx="3173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Peter Leparulo</w:t>
      </w:r>
    </w:p>
    <w:p>
      <w:pPr>
        <w:jc w:val="center"/>
        <w:ind w:left="654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54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7960"/>
        <w:spacing w:after="0"/>
        <w:tabs>
          <w:tab w:leader="none" w:pos="83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10795</wp:posOffset>
            </wp:positionV>
            <wp:extent cx="3173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Kenneth Leddon</w:t>
      </w:r>
    </w:p>
    <w:p>
      <w:pPr>
        <w:jc w:val="center"/>
        <w:ind w:left="654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5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2019-12-10T15:18:08Z</dcterms:created>
  <dcterms:modified xsi:type="dcterms:W3CDTF">2019-12-10T15:18:08Z</dcterms:modified>
</cp:coreProperties>
</file>