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30,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43"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82" w:lineRule="exact"/>
        <w:rPr>
          <w:sz w:val="24"/>
          <w:szCs w:val="24"/>
          <w:color w:val="auto"/>
        </w:rPr>
      </w:pPr>
    </w:p>
    <w:p>
      <w:pPr>
        <w:sectPr>
          <w:pgSz w:w="11900" w:h="16838" w:orient="portrait"/>
          <w:cols w:equalWidth="0" w:num="3">
            <w:col w:w="4620" w:space="720"/>
            <w:col w:w="2960" w:space="720"/>
            <w:col w:w="2220"/>
          </w:cols>
          <w:pgMar w:left="320" w:top="1440" w:right="339" w:bottom="1440" w:gutter="0" w:footer="0" w:header="0"/>
          <w:type w:val="continuous"/>
        </w:sect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840" w:space="720"/>
            <w:col w:w="2360"/>
          </w:cols>
          <w:pgMar w:left="320" w:top="1440" w:right="339" w:bottom="1440" w:gutter="0" w:footer="0" w:header="0"/>
          <w:type w:val="continuous"/>
        </w:sectPr>
      </w:pP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82"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22"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left="480" w:hanging="45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00"/>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6"/>
        </w:trPr>
        <w:tc>
          <w:tcPr>
            <w:tcW w:w="3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3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INSG</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34924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43180"/>
                    </a:xfrm>
                    <a:prstGeom prst="rect">
                      <a:avLst/>
                    </a:prstGeom>
                    <a:noFill/>
                  </pic:spPr>
                </pic:pic>
              </a:graphicData>
            </a:graphic>
          </wp:anchor>
        </w:drawing>
      </w:r>
    </w:p>
    <w:p>
      <w:pPr>
        <w:spacing w:after="0" w:line="158"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July 30, 2021 (the “Completion Date”), Inseego Corp. (“Inseego”) completed the previously announced sale of the African operations of Inseego’s Ctrack telematics business pursuant to the Share Purchase Agreement, dated as of February 24, 2021 (the “Purchase Agreement”) with Main Street 1816 Proprietary Limited (in the process of being renamed Convergence CTSA Proprietary Limited (the “Purchaser”)). Pursuant to the terms of the Purchase Agreement, the Purchase acquired the entire issued share capital of Inseego’s Ctrack Africa Holdings Proprietary Limited ("Ctrack Africa") subsidiary for approximately R528,930,000 million South African in an all-cash transaction (the “Sale Transaction”). The Purchase Agreement provides for a closing accounts mechanism, whereby, following completion, the Purchaser will prepare closing accounts and a closing statement, which, once agreed or deemed agreed, will form the basis of an adjustment to the initial purchase consideration as a result of movements in working capital, net cash, and sale claims.</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result of the Sale Transaction, the Purchaser acquired the fleet management and telematics solutions business of Ctrack in Africa, Pakistan and the Middle East (the “Ctrack Business”). Inseego will continue to provide telematics solutions in the rest of the world, including in North America, Europe and Australia.</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part of the Sale Transaction Inseego and certain entities within the Ctrack Africa Group that will be acquired by Purchaser in the Sale Transaction have entered into: (1) an IP Assignment and License Agreement (the “License Agreement”), dated as of February 24, 2021 pursuant to which each of the parties have agreed to assign and/or grant licenses to the other party effective as of the Completion Date for certain intellectual property utilized in the Ctrack Business, (2) a Transition Services Agreement (the “Transition Services Agreement”), dated as of February 24, 2021 pursuant to which each of the parties have agreed to provide limited transitional customer support and software maintenance services for a six-month period starting immediately after the Completion Date; and (3) a Trademark License Agreement, dated as of February 24, 2021 (the “Trademark Agreement”) pursuant to Inseego has been granted a royalty-free license to certain trademarks currently used in the Ctrack Business for twelve (12) months following the Completion Date outside of the Africa, Pakistan and the Middle East.</w:t>
      </w:r>
    </w:p>
    <w:p>
      <w:pPr>
        <w:spacing w:after="0" w:line="17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foregoing description of the Purchase Agreement, License Agreement, Transition Services Agreement and Trademark Agreement and the transactions contemplated thereby are not complete and are subject to and qualified in each of their entirety by reference to the License Agreement, Transition Services Agreement and Trademark Agreement, as applicable, copies of which are filed as Exhibits 10.1 through 10.7, respectively, to this Current Report on Form 8-K.</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3, 2021, Inseego issued a press release announcing the completion of the sale of the South African operations of the Ctrack Business. A copy of the press release is attached hereto as Exhibit 99.1 and is incorporated herein by reference.</w:t>
      </w: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ectPr>
          <w:pgSz w:w="11900" w:h="16838" w:orient="portrait"/>
          <w:cols w:equalWidth="0" w:num="1">
            <w:col w:w="11240"/>
          </w:cols>
          <w:pgMar w:left="320" w:top="1440" w:right="339" w:bottom="1440" w:gutter="0" w:footer="0" w:header="0"/>
        </w:sectPr>
      </w:pPr>
    </w:p>
    <w:bookmarkStart w:id="2" w:name="page3"/>
    <w:bookmarkEnd w:id="2"/>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 Exhibits: The exhibits to this Form 8-K are listed in the Exhibit Index below and are incorporated herein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240" w:type="dxa"/>
            <w:vAlign w:val="bottom"/>
          </w:tcPr>
          <w:p>
            <w:pPr>
              <w:jc w:val="right"/>
              <w:ind w:right="614"/>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Number</w:t>
            </w:r>
          </w:p>
        </w:tc>
        <w:tc>
          <w:tcPr>
            <w:tcW w:w="994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r>
      <w:tr>
        <w:trPr>
          <w:trHeight w:val="336"/>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10.1</w:t>
            </w:r>
          </w:p>
        </w:tc>
        <w:tc>
          <w:tcPr>
            <w:tcW w:w="9780" w:type="dxa"/>
            <w:vAlign w:val="bottom"/>
            <w:tcBorders>
              <w:bottom w:val="single" w:sz="8" w:color="0000FF"/>
            </w:tcBorders>
            <w:gridSpan w:val="8"/>
          </w:tcPr>
          <w:p>
            <w:pPr>
              <w:spacing w:after="0"/>
              <w:rPr>
                <w:rFonts w:ascii="Arial" w:cs="Arial" w:eastAsia="Arial" w:hAnsi="Arial"/>
                <w:sz w:val="18"/>
                <w:szCs w:val="18"/>
                <w:color w:val="0000FF"/>
                <w:w w:val="89"/>
              </w:rPr>
            </w:pPr>
            <w:hyperlink r:id="rId9">
              <w:r>
                <w:rPr>
                  <w:rFonts w:ascii="Arial" w:cs="Arial" w:eastAsia="Arial" w:hAnsi="Arial"/>
                  <w:sz w:val="18"/>
                  <w:szCs w:val="18"/>
                  <w:color w:val="0000FF"/>
                  <w:w w:val="89"/>
                </w:rPr>
                <w:t>Share Purchase Agreement, dated as of February 24, 2021, by and between Inseego Corp. and Main Street 1816 Proprietary Limited (in</w:t>
              </w:r>
            </w:hyperlink>
          </w:p>
        </w:tc>
        <w:tc>
          <w:tcPr>
            <w:tcW w:w="16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w w:val="93"/>
              </w:rPr>
            </w:pPr>
            <w:hyperlink r:id="rId9">
              <w:r>
                <w:rPr>
                  <w:rFonts w:ascii="Arial" w:cs="Arial" w:eastAsia="Arial" w:hAnsi="Arial"/>
                  <w:sz w:val="18"/>
                  <w:szCs w:val="18"/>
                  <w:color w:val="0000FF"/>
                  <w:w w:val="93"/>
                </w:rPr>
                <w:t>the process of being renamed Convergence CTSA Proprietary Limited) (incorporated herein by reference to Exhibit 10.1 to Inseego’s</w:t>
              </w:r>
            </w:hyperlink>
          </w:p>
        </w:tc>
      </w:tr>
      <w:tr>
        <w:trPr>
          <w:trHeight w:val="196"/>
        </w:trPr>
        <w:tc>
          <w:tcPr>
            <w:tcW w:w="1240" w:type="dxa"/>
            <w:vAlign w:val="bottom"/>
          </w:tcPr>
          <w:p>
            <w:pPr>
              <w:spacing w:after="0"/>
              <w:rPr>
                <w:sz w:val="17"/>
                <w:szCs w:val="17"/>
                <w:color w:val="auto"/>
              </w:rPr>
            </w:pPr>
          </w:p>
        </w:tc>
        <w:tc>
          <w:tcPr>
            <w:tcW w:w="96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9">
              <w:r>
                <w:rPr>
                  <w:rFonts w:ascii="Arial" w:cs="Arial" w:eastAsia="Arial" w:hAnsi="Arial"/>
                  <w:sz w:val="18"/>
                  <w:szCs w:val="18"/>
                  <w:color w:val="0000FF"/>
                </w:rPr>
                <w:t>Form 8-K filed on February 25, 2021).</w:t>
              </w:r>
            </w:hyperlink>
          </w:p>
        </w:tc>
        <w:tc>
          <w:tcPr>
            <w:tcW w:w="340" w:type="dxa"/>
            <w:vAlign w:val="bottom"/>
            <w:gridSpan w:val="8"/>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10.2</w:t>
            </w:r>
          </w:p>
        </w:tc>
        <w:tc>
          <w:tcPr>
            <w:tcW w:w="9840" w:type="dxa"/>
            <w:vAlign w:val="bottom"/>
            <w:tcBorders>
              <w:bottom w:val="single" w:sz="8" w:color="0000FF"/>
            </w:tcBorders>
            <w:gridSpan w:val="10"/>
          </w:tcPr>
          <w:p>
            <w:pPr>
              <w:spacing w:after="0"/>
              <w:rPr>
                <w:rFonts w:ascii="Arial" w:cs="Arial" w:eastAsia="Arial" w:hAnsi="Arial"/>
                <w:sz w:val="18"/>
                <w:szCs w:val="18"/>
                <w:color w:val="0000FF"/>
                <w:w w:val="89"/>
              </w:rPr>
            </w:pPr>
            <w:hyperlink r:id="rId10">
              <w:r>
                <w:rPr>
                  <w:rFonts w:ascii="Arial" w:cs="Arial" w:eastAsia="Arial" w:hAnsi="Arial"/>
                  <w:sz w:val="18"/>
                  <w:szCs w:val="18"/>
                  <w:color w:val="0000FF"/>
                  <w:w w:val="89"/>
                </w:rPr>
                <w:t>First Addendum dated March 17, 2021 to the Share Purchase Agreement dated February 24, 2021 between Main Street 1816 Proprietary</w:t>
              </w:r>
            </w:hyperlink>
          </w:p>
        </w:tc>
        <w:tc>
          <w:tcPr>
            <w:tcW w:w="1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0">
              <w:r>
                <w:rPr>
                  <w:rFonts w:ascii="Arial" w:cs="Arial" w:eastAsia="Arial" w:hAnsi="Arial"/>
                  <w:sz w:val="18"/>
                  <w:szCs w:val="18"/>
                  <w:color w:val="0000FF"/>
                  <w:w w:val="90"/>
                </w:rPr>
                <w:t>Limited (in the process of being renamed Convergence CTSA Proprietary Limited and Inseego Corp. (incorporated herein by reference to</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Exhibit 10.3 to Inseego’s Form 8-K filed on July 1, 2021).</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10.3</w:t>
            </w:r>
          </w:p>
        </w:tc>
        <w:tc>
          <w:tcPr>
            <w:tcW w:w="9940" w:type="dxa"/>
            <w:vAlign w:val="bottom"/>
            <w:tcBorders>
              <w:bottom w:val="single" w:sz="8" w:color="0000FF"/>
            </w:tcBorders>
            <w:gridSpan w:val="14"/>
          </w:tcPr>
          <w:p>
            <w:pPr>
              <w:spacing w:after="0"/>
              <w:rPr>
                <w:rFonts w:ascii="Arial" w:cs="Arial" w:eastAsia="Arial" w:hAnsi="Arial"/>
                <w:sz w:val="18"/>
                <w:szCs w:val="18"/>
                <w:color w:val="0000FF"/>
                <w:w w:val="89"/>
              </w:rPr>
            </w:pPr>
            <w:hyperlink r:id="rId11">
              <w:r>
                <w:rPr>
                  <w:rFonts w:ascii="Arial" w:cs="Arial" w:eastAsia="Arial" w:hAnsi="Arial"/>
                  <w:sz w:val="18"/>
                  <w:szCs w:val="18"/>
                  <w:color w:val="0000FF"/>
                  <w:w w:val="89"/>
                </w:rPr>
                <w:t>Second Addendum dated April 30, 2021 to the Share Purchase Agreement dated February 24, 2021 between Main Street 1816 Proprietary</w:t>
              </w:r>
            </w:hyperlink>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Limited (in the process of being renamed Convergence CTSA Proprietary Limited and Inseego Corp. (incorporated herein by reference to</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Exhibit 10.2 to Inseego’s Form 8-K filed on July 1, 2021).</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10.4</w:t>
            </w:r>
          </w:p>
        </w:tc>
        <w:tc>
          <w:tcPr>
            <w:tcW w:w="9940" w:type="dxa"/>
            <w:vAlign w:val="bottom"/>
            <w:gridSpan w:val="14"/>
          </w:tcPr>
          <w:p>
            <w:pPr>
              <w:spacing w:after="0"/>
              <w:rPr>
                <w:rFonts w:ascii="Arial" w:cs="Arial" w:eastAsia="Arial" w:hAnsi="Arial"/>
                <w:sz w:val="18"/>
                <w:szCs w:val="18"/>
                <w:color w:val="0000FF"/>
                <w:w w:val="91"/>
              </w:rPr>
            </w:pPr>
            <w:hyperlink r:id="rId12">
              <w:r>
                <w:rPr>
                  <w:rFonts w:ascii="Arial" w:cs="Arial" w:eastAsia="Arial" w:hAnsi="Arial"/>
                  <w:sz w:val="18"/>
                  <w:szCs w:val="18"/>
                  <w:color w:val="0000FF"/>
                  <w:w w:val="91"/>
                </w:rPr>
                <w:t>Third Addendum dated June 30, 2021 to the Share Purchase Agreement dated February 24, 2021 between Main Street 1816 Proprietary</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Limited (in the process of being renamed Convergence CTSA Proprietary Limited and Inseego Corp. (incorporated herein by reference to</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Exhibit 10.1 to Inseego’s Form 8-K filed on July 1, 2021).</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10.5</w:t>
            </w:r>
          </w:p>
        </w:tc>
        <w:tc>
          <w:tcPr>
            <w:tcW w:w="9940" w:type="dxa"/>
            <w:vAlign w:val="bottom"/>
            <w:gridSpan w:val="14"/>
          </w:tcPr>
          <w:p>
            <w:pPr>
              <w:spacing w:after="0"/>
              <w:rPr>
                <w:rFonts w:ascii="Arial" w:cs="Arial" w:eastAsia="Arial" w:hAnsi="Arial"/>
                <w:sz w:val="18"/>
                <w:szCs w:val="18"/>
                <w:color w:val="0000FF"/>
                <w:w w:val="93"/>
              </w:rPr>
            </w:pPr>
            <w:hyperlink r:id="rId13">
              <w:r>
                <w:rPr>
                  <w:rFonts w:ascii="Arial" w:cs="Arial" w:eastAsia="Arial" w:hAnsi="Arial"/>
                  <w:sz w:val="18"/>
                  <w:szCs w:val="18"/>
                  <w:color w:val="0000FF"/>
                  <w:w w:val="93"/>
                </w:rPr>
                <w:t>IP Assignment and License Agreement, dated as of February 24, 2021, by and between Inseego Corp. and certain entities that will be</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acquired by Purchaser in the Sale Transaction (incorporated herein by reference to Exhibit 10.2 to Inseego’s Form 8-K filed on February</w:t>
              </w:r>
            </w:hyperlink>
          </w:p>
        </w:tc>
      </w:tr>
      <w:tr>
        <w:trPr>
          <w:trHeight w:val="196"/>
        </w:trPr>
        <w:tc>
          <w:tcPr>
            <w:tcW w:w="1240" w:type="dxa"/>
            <w:vAlign w:val="bottom"/>
          </w:tcPr>
          <w:p>
            <w:pPr>
              <w:spacing w:after="0"/>
              <w:rPr>
                <w:sz w:val="17"/>
                <w:szCs w:val="17"/>
                <w:color w:val="auto"/>
              </w:rPr>
            </w:pPr>
          </w:p>
        </w:tc>
        <w:tc>
          <w:tcPr>
            <w:tcW w:w="20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25, 2021).</w:t>
              </w:r>
            </w:hyperlink>
          </w:p>
        </w:tc>
        <w:tc>
          <w:tcPr>
            <w:tcW w:w="76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5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10.6</w:t>
            </w:r>
          </w:p>
        </w:tc>
        <w:tc>
          <w:tcPr>
            <w:tcW w:w="9900" w:type="dxa"/>
            <w:vAlign w:val="bottom"/>
            <w:tcBorders>
              <w:bottom w:val="single" w:sz="8" w:color="0000FF"/>
            </w:tcBorders>
            <w:gridSpan w:val="12"/>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Transition Services Agreement, dated as of February 24, 2021, by and between Inseego Corp. and certain entities that will be acquired by</w:t>
              </w:r>
            </w:hyperlink>
          </w:p>
        </w:tc>
        <w:tc>
          <w:tcPr>
            <w:tcW w:w="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Purchaser in the Sale Transaction (incorporated herein by reference to Exhibit 10.3 to Inseego’s Form 8-K filed on February 25, 2021).</w:t>
              </w:r>
            </w:hyperlink>
          </w:p>
        </w:tc>
      </w:tr>
      <w:tr>
        <w:trPr>
          <w:trHeight w:val="20"/>
        </w:trPr>
        <w:tc>
          <w:tcPr>
            <w:tcW w:w="1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55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66"/>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10.7</w:t>
            </w:r>
          </w:p>
        </w:tc>
        <w:tc>
          <w:tcPr>
            <w:tcW w:w="9880" w:type="dxa"/>
            <w:vAlign w:val="bottom"/>
            <w:tcBorders>
              <w:bottom w:val="single" w:sz="8" w:color="0000FF"/>
            </w:tcBorders>
            <w:gridSpan w:val="11"/>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Trademark License Agreement, dated as of February 24, 2021, by and between Inseego Corp. Ctrack Holdings (Pty) Limited, and certain</w:t>
              </w:r>
            </w:hyperlink>
          </w:p>
        </w:tc>
        <w:tc>
          <w:tcPr>
            <w:tcW w:w="6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entities that will be acquired by Purchaser in the Sale Transaction (incorporated herein by reference to Exhibit 10.4 to Inseego’s Form 8-K</w:t>
              </w:r>
            </w:hyperlink>
          </w:p>
        </w:tc>
      </w:tr>
      <w:tr>
        <w:trPr>
          <w:trHeight w:val="196"/>
        </w:trPr>
        <w:tc>
          <w:tcPr>
            <w:tcW w:w="1240" w:type="dxa"/>
            <w:vAlign w:val="bottom"/>
          </w:tcPr>
          <w:p>
            <w:pPr>
              <w:spacing w:after="0"/>
              <w:rPr>
                <w:sz w:val="17"/>
                <w:szCs w:val="17"/>
                <w:color w:val="auto"/>
              </w:rPr>
            </w:pPr>
          </w:p>
        </w:tc>
        <w:tc>
          <w:tcPr>
            <w:tcW w:w="9940" w:type="dxa"/>
            <w:vAlign w:val="bottom"/>
            <w:gridSpan w:val="14"/>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filed on February 25, 2021).</w:t>
              </w:r>
            </w:hyperlink>
          </w:p>
        </w:tc>
      </w:tr>
      <w:tr>
        <w:trPr>
          <w:trHeight w:val="20"/>
        </w:trPr>
        <w:tc>
          <w:tcPr>
            <w:tcW w:w="12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r>
      <w:tr>
        <w:trPr>
          <w:trHeight w:val="466"/>
        </w:trPr>
        <w:tc>
          <w:tcPr>
            <w:tcW w:w="1240" w:type="dxa"/>
            <w:vAlign w:val="bottom"/>
          </w:tcPr>
          <w:p>
            <w:pPr>
              <w:jc w:val="right"/>
              <w:ind w:right="834"/>
              <w:spacing w:after="0"/>
              <w:rPr>
                <w:sz w:val="20"/>
                <w:szCs w:val="20"/>
                <w:color w:val="auto"/>
              </w:rPr>
            </w:pPr>
            <w:r>
              <w:rPr>
                <w:rFonts w:ascii="Arial" w:cs="Arial" w:eastAsia="Arial" w:hAnsi="Arial"/>
                <w:sz w:val="18"/>
                <w:szCs w:val="18"/>
                <w:color w:val="auto"/>
                <w:w w:val="85"/>
              </w:rPr>
              <w:t>99.1</w:t>
            </w:r>
          </w:p>
        </w:tc>
        <w:tc>
          <w:tcPr>
            <w:tcW w:w="994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issued by Inseego Corp. on August 3, 2021</w:t>
              </w:r>
            </w:hyperlink>
          </w:p>
        </w:tc>
      </w:tr>
      <w:tr>
        <w:trPr>
          <w:trHeight w:val="20"/>
        </w:trPr>
        <w:tc>
          <w:tcPr>
            <w:tcW w:w="1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534924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5349240" cy="4318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Arial" w:cs="Arial" w:eastAsia="Arial" w:hAnsi="Arial"/>
                <w:sz w:val="18"/>
                <w:szCs w:val="18"/>
                <w:b w:val="1"/>
                <w:bCs w:val="1"/>
                <w:color w:val="auto"/>
              </w:rPr>
              <w:t>INSEEGO CORP.</w:t>
            </w:r>
          </w:p>
        </w:tc>
      </w:tr>
      <w:tr>
        <w:trPr>
          <w:trHeight w:val="486"/>
        </w:trPr>
        <w:tc>
          <w:tcPr>
            <w:tcW w:w="3540" w:type="dxa"/>
            <w:vAlign w:val="bottom"/>
          </w:tcPr>
          <w:p>
            <w:pPr>
              <w:spacing w:after="0"/>
              <w:rPr>
                <w:sz w:val="20"/>
                <w:szCs w:val="20"/>
                <w:color w:val="auto"/>
              </w:rPr>
            </w:pPr>
            <w:r>
              <w:rPr>
                <w:rFonts w:ascii="Arial" w:cs="Arial" w:eastAsia="Arial" w:hAnsi="Arial"/>
                <w:sz w:val="18"/>
                <w:szCs w:val="18"/>
                <w:color w:val="auto"/>
              </w:rPr>
              <w:t>Date: August 4, 2021</w:t>
            </w:r>
          </w:p>
        </w:tc>
        <w:tc>
          <w:tcPr>
            <w:tcW w:w="278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Pr>
          <w:p>
            <w:pPr>
              <w:ind w:left="20"/>
              <w:spacing w:after="0"/>
              <w:rPr>
                <w:sz w:val="20"/>
                <w:szCs w:val="20"/>
                <w:color w:val="auto"/>
              </w:rPr>
            </w:pPr>
            <w:r>
              <w:rPr>
                <w:rFonts w:ascii="Arial" w:cs="Arial" w:eastAsia="Arial" w:hAnsi="Arial"/>
                <w:sz w:val="18"/>
                <w:szCs w:val="18"/>
                <w:color w:val="auto"/>
              </w:rPr>
              <w:t>/s/ Kurt E. Scheuerman</w:t>
            </w:r>
          </w:p>
        </w:tc>
      </w:tr>
      <w:tr>
        <w:trPr>
          <w:trHeight w:val="27"/>
        </w:trPr>
        <w:tc>
          <w:tcPr>
            <w:tcW w:w="35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Kurt E. Scheuerman</w:t>
            </w:r>
          </w:p>
        </w:tc>
      </w:tr>
      <w:tr>
        <w:trPr>
          <w:trHeight w:val="270"/>
        </w:trPr>
        <w:tc>
          <w:tcPr>
            <w:tcW w:w="3540" w:type="dxa"/>
            <w:vAlign w:val="bottom"/>
          </w:tcPr>
          <w:p>
            <w:pPr>
              <w:spacing w:after="0"/>
              <w:rPr>
                <w:sz w:val="23"/>
                <w:szCs w:val="23"/>
                <w:color w:val="auto"/>
              </w:rPr>
            </w:pPr>
          </w:p>
        </w:tc>
        <w:tc>
          <w:tcPr>
            <w:tcW w:w="278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SVP and General Counsel</w:t>
            </w:r>
          </w:p>
        </w:tc>
      </w:tr>
    </w:tbl>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Inseego Completes Sale of Ctrack South Africa Operations</w:t>
      </w:r>
    </w:p>
    <w:p>
      <w:pPr>
        <w:spacing w:after="0" w:line="200" w:lineRule="exact"/>
        <w:rPr>
          <w:sz w:val="20"/>
          <w:szCs w:val="20"/>
          <w:color w:val="auto"/>
        </w:rPr>
      </w:pPr>
    </w:p>
    <w:p>
      <w:pPr>
        <w:spacing w:after="0" w:line="212" w:lineRule="exact"/>
        <w:rPr>
          <w:sz w:val="20"/>
          <w:szCs w:val="20"/>
          <w:color w:val="auto"/>
        </w:rPr>
      </w:pPr>
    </w:p>
    <w:p>
      <w:pPr>
        <w:spacing w:after="0" w:line="347" w:lineRule="auto"/>
        <w:rPr>
          <w:sz w:val="20"/>
          <w:szCs w:val="20"/>
          <w:color w:val="auto"/>
        </w:rPr>
      </w:pPr>
      <w:r>
        <w:rPr>
          <w:rFonts w:ascii="Arial" w:cs="Arial" w:eastAsia="Arial" w:hAnsi="Arial"/>
          <w:sz w:val="22"/>
          <w:szCs w:val="22"/>
          <w:color w:val="auto"/>
        </w:rPr>
        <w:t>SAN DIEGO – (August 3, 2021) – (BUSINESS WIRE) – Inseego Corp. (Nasdaq: INSG), a leader of 5G and intelligent IoT device-to-cloud solutions, today announced the successful completion of the sale of its South African operations of its Ctrack telematics and asset tracking business to an affiliate of Convergence Partners, for a purchase price of 528.9 million South African Rand (ZAR) (approximately $36.6 million USD) in an all-cash transaction. The purchase price is subject to certain post-closing working capital adjustments.</w:t>
      </w:r>
    </w:p>
    <w:p>
      <w:pPr>
        <w:spacing w:after="0" w:line="237" w:lineRule="exact"/>
        <w:rPr>
          <w:sz w:val="20"/>
          <w:szCs w:val="20"/>
          <w:color w:val="auto"/>
        </w:rPr>
      </w:pPr>
    </w:p>
    <w:p>
      <w:pPr>
        <w:ind w:right="340"/>
        <w:spacing w:after="0" w:line="347" w:lineRule="auto"/>
        <w:rPr>
          <w:sz w:val="20"/>
          <w:szCs w:val="20"/>
          <w:color w:val="auto"/>
        </w:rPr>
      </w:pPr>
      <w:r>
        <w:rPr>
          <w:rFonts w:ascii="Arial" w:cs="Arial" w:eastAsia="Arial" w:hAnsi="Arial"/>
          <w:sz w:val="22"/>
          <w:szCs w:val="22"/>
          <w:color w:val="auto"/>
        </w:rPr>
        <w:t>“We are positioning Inseego as a pure-play 5G company and all of our efforts are now focused on the global 5G opportunity,” said Inseego Chairman and CEO Dan Mondor. “This divestiture will strengthen our cash position and enable Inseego to focus on key markets that are key to our 5G strategy. We are retaining our telematics and asset tracking business in markets that directly align with the Company’s 5G and enterprise initiatives, including Europe and Australia.”</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Inseego Corp.</w:t>
      </w:r>
    </w:p>
    <w:p>
      <w:pPr>
        <w:spacing w:after="0" w:line="132" w:lineRule="exact"/>
        <w:rPr>
          <w:sz w:val="20"/>
          <w:szCs w:val="20"/>
          <w:color w:val="auto"/>
        </w:rPr>
      </w:pPr>
    </w:p>
    <w:p>
      <w:pPr>
        <w:spacing w:after="0" w:line="353" w:lineRule="auto"/>
        <w:rPr>
          <w:sz w:val="20"/>
          <w:szCs w:val="20"/>
          <w:color w:val="auto"/>
        </w:rPr>
      </w:pPr>
      <w:r>
        <w:rPr>
          <w:rFonts w:ascii="Arial" w:cs="Arial" w:eastAsia="Arial" w:hAnsi="Arial"/>
          <w:sz w:val="20"/>
          <w:szCs w:val="20"/>
          <w:color w:val="auto"/>
        </w:rPr>
        <w:t xml:space="preserve">Inseego Corp. (Nasdaq: INSG) is an industry leader in smart device-to-cloud solutions that extend the 5G network edge, enabling broader 5G coverage, multi-gigabit data speeds, low latency and strong security to deliver highly reliable internet access. Our innovative mobile broadband, fixed wireless access (FWA) solutions, and software platform incorporate the most advanced technologies (including 5G, 4G LTE, Wi-Fi 6 and others) into a wide range of products that provide robust connectivity indoors, outdoors and in the harshest industrial environments. Designed and developed in the USA, Inseego products and SaaS solutions build on the company’s patented technologies to provide the highest quality wireless connectivity for service providers, enterprises, and government entities worldwide. </w:t>
      </w:r>
      <w:r>
        <w:rPr>
          <w:rFonts w:ascii="Arial" w:cs="Arial" w:eastAsia="Arial" w:hAnsi="Arial"/>
          <w:sz w:val="20"/>
          <w:szCs w:val="20"/>
          <w:u w:val="single" w:color="auto"/>
          <w:color w:val="0563C1"/>
        </w:rPr>
        <w:t>www.inseego.com</w:t>
      </w:r>
      <w:r>
        <w:rPr>
          <w:rFonts w:ascii="Arial" w:cs="Arial" w:eastAsia="Arial" w:hAnsi="Arial"/>
          <w:sz w:val="20"/>
          <w:szCs w:val="20"/>
          <w:color w:val="auto"/>
        </w:rPr>
        <w:t xml:space="preserve"> #Putting5GtoWork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Anette Gaven</w:t>
      </w:r>
    </w:p>
    <w:p>
      <w:pPr>
        <w:spacing w:after="0"/>
        <w:rPr>
          <w:sz w:val="20"/>
          <w:szCs w:val="20"/>
          <w:color w:val="auto"/>
        </w:rPr>
      </w:pPr>
      <w:r>
        <w:rPr>
          <w:rFonts w:ascii="Arial" w:cs="Arial" w:eastAsia="Arial" w:hAnsi="Arial"/>
          <w:sz w:val="20"/>
          <w:szCs w:val="20"/>
          <w:color w:val="auto"/>
        </w:rPr>
        <w:t>Tel: +1 (619) 993-3058</w:t>
      </w:r>
    </w:p>
    <w:p>
      <w:pPr>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0563C1"/>
        </w:rPr>
        <w:t>Anette.Gaven@inseego.com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Joo-Hun Kim</w:t>
      </w:r>
    </w:p>
    <w:p>
      <w:pPr>
        <w:spacing w:after="0"/>
        <w:rPr>
          <w:sz w:val="20"/>
          <w:szCs w:val="20"/>
          <w:color w:val="auto"/>
        </w:rPr>
      </w:pPr>
      <w:r>
        <w:rPr>
          <w:rFonts w:ascii="Arial" w:cs="Arial" w:eastAsia="Arial" w:hAnsi="Arial"/>
          <w:sz w:val="20"/>
          <w:szCs w:val="20"/>
          <w:color w:val="auto"/>
        </w:rPr>
        <w:t>MKR Group</w:t>
      </w:r>
    </w:p>
    <w:p>
      <w:pPr>
        <w:spacing w:after="0"/>
        <w:rPr>
          <w:sz w:val="20"/>
          <w:szCs w:val="20"/>
          <w:color w:val="auto"/>
        </w:rPr>
      </w:pPr>
      <w:r>
        <w:rPr>
          <w:rFonts w:ascii="Arial" w:cs="Arial" w:eastAsia="Arial" w:hAnsi="Arial"/>
          <w:sz w:val="20"/>
          <w:szCs w:val="20"/>
          <w:color w:val="auto"/>
        </w:rPr>
        <w:t>+1 (212) 868-6760</w:t>
      </w:r>
    </w:p>
    <w:p>
      <w:pPr>
        <w:spacing w:after="0"/>
        <w:rPr>
          <w:sz w:val="20"/>
          <w:szCs w:val="20"/>
          <w:color w:val="auto"/>
        </w:rPr>
      </w:pPr>
      <w:r>
        <w:rPr>
          <w:rFonts w:ascii="Arial" w:cs="Arial" w:eastAsia="Arial" w:hAnsi="Arial"/>
          <w:sz w:val="20"/>
          <w:szCs w:val="20"/>
          <w:color w:val="auto"/>
        </w:rPr>
        <w:t>joohunkim@mkrir.com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6" Type="http://schemas.openxmlformats.org/officeDocument/2006/relationships/image" Target="media/image2.jpeg"/><Relationship Id="rId9" Type="http://schemas.openxmlformats.org/officeDocument/2006/relationships/hyperlink" Target="https://www.sec.gov/Archives/edgar/data/1022652/000102265221000009/insg20210224ex101sharepurc.htm" TargetMode="External"/><Relationship Id="rId10" Type="http://schemas.openxmlformats.org/officeDocument/2006/relationships/hyperlink" Target="https://www.sec.gov/Archives/edgar/data/1022652/000102265221000066/insg20210630ex103firstadde.htm" TargetMode="External"/><Relationship Id="rId11" Type="http://schemas.openxmlformats.org/officeDocument/2006/relationships/hyperlink" Target="https://www.sec.gov/Archives/edgar/data/1022652/000102265221000066/secondaddendumtospa30april.htm" TargetMode="External"/><Relationship Id="rId12" Type="http://schemas.openxmlformats.org/officeDocument/2006/relationships/hyperlink" Target="https://www.sec.gov/Archives/edgar/data/1022652/000102265221000066/thirdaddendumtospa_executi.htm" TargetMode="External"/><Relationship Id="rId13" Type="http://schemas.openxmlformats.org/officeDocument/2006/relationships/hyperlink" Target="https://www.sec.gov/Archives/edgar/data/1022652/000102265221000009/insg20210224ex102assignmen.htm" TargetMode="External"/><Relationship Id="rId14" Type="http://schemas.openxmlformats.org/officeDocument/2006/relationships/hyperlink" Target="https://www.sec.gov/Archives/edgar/data/1022652/000102265221000009/insg20210224ex103transitio.htm" TargetMode="External"/><Relationship Id="rId15" Type="http://schemas.openxmlformats.org/officeDocument/2006/relationships/hyperlink" Target="https://www.sec.gov/Archives/edgar/data/1022652/000102265221000009/insg20210224ex104trademar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2021-08-04T17:03:23Z</dcterms:created>
  <dcterms:modified xsi:type="dcterms:W3CDTF">2021-08-04T17:03:23Z</dcterms:modified>
</cp:coreProperties>
</file>