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4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7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67"/>
        <w:gridCol w:w="267"/>
        <w:gridCol w:w="38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20"/>
        </w:rPr>
        <w:t>to</w:t>
      </w:r>
      <w:r>
        <w:rPr>
          <w:color w:val="000000"/>
        </w:rPr>
        <w:t xml:space="preserve"> </w:t>
      </w:r>
      <w:r>
        <w:rPr>
          <w:color w:val="000000"/>
          <w:u w:val="single"/>
        </w:rPr>
        <w:t>                   </w:t>
      </w:r>
      <w:r>
        <w:rPr>
          <w:color w:val="000000"/>
        </w:rPr>
        <w:t> </w:t>
      </w:r>
      <w:r>
        <w:rPr>
          <w:rFonts w:ascii="Times New Roman;serif" w:hAnsi="Times New Roman;serif"/>
          <w:b w:val="false"/>
          <w:color w:val="000000"/>
          <w:sz w:val="2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001-38358 </w:t>
      </w:r>
    </w:p>
    <w:tbl>
      <w:tblPr>
        <w:tblW w:w="4256" w:type="dxa"/>
        <w:jc w:val="center"/>
        <w:tblInd w:w="0" w:type="dxa"/>
        <w:tblLayout w:type="fixed"/>
        <w:tblCellMar>
          <w:top w:w="28" w:type="dxa"/>
          <w:left w:w="28" w:type="dxa"/>
          <w:bottom w:w="28" w:type="dxa"/>
          <w:right w:w="28" w:type="dxa"/>
        </w:tblCellMar>
      </w:tblPr>
      <w:tblGrid>
        <w:gridCol w:w="124"/>
        <w:gridCol w:w="109"/>
        <w:gridCol w:w="109"/>
        <w:gridCol w:w="1146"/>
        <w:gridCol w:w="1146"/>
        <w:gridCol w:w="1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INSEEGO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Diego,</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(858) 812-3400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w:t>
      </w:r>
      <w:r>
        <w:rPr>
          <w:rFonts w:ascii="Times New Roman;serif" w:hAnsi="Times New Roman;serif"/>
          <w:b w:val="false"/>
          <w:color w:val="000000"/>
          <w:sz w:val="18"/>
        </w:rPr>
        <w:t>(as defined in Rule 12b-2 of the Exchange Act)</w:t>
      </w:r>
      <w:r>
        <w:rPr>
          <w:rFonts w:ascii="Times New Roman;serif" w:hAnsi="Times New Roman;serif"/>
          <w:b w:val="false"/>
          <w:color w:val="000000"/>
          <w:sz w:val="20"/>
        </w:rPr>
        <w:t xml:space="preserve">.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31, 2025, was 15,042,920.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566" w:type="dxa"/>
        <w:jc w:val="center"/>
        <w:tblInd w:w="0" w:type="dxa"/>
        <w:tblLayout w:type="fixed"/>
        <w:tblCellMar>
          <w:top w:w="28" w:type="dxa"/>
          <w:left w:w="28" w:type="dxa"/>
          <w:bottom w:w="28" w:type="dxa"/>
          <w:right w:w="28" w:type="dxa"/>
        </w:tblCellMar>
      </w:tblPr>
      <w:tblGrid>
        <w:gridCol w:w="612"/>
        <w:gridCol w:w="539"/>
        <w:gridCol w:w="539"/>
        <w:gridCol w:w="2447"/>
        <w:gridCol w:w="2447"/>
        <w:gridCol w:w="2471"/>
        <w:gridCol w:w="149"/>
        <w:gridCol w:w="149"/>
        <w:gridCol w:w="213"/>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100" w:after="100"/>
              <w:jc w:val="left"/>
              <w:rPr/>
            </w:pPr>
            <w:hyperlink w:anchor="i4c89d299088543d3a5f7b7a0286071f5_13">
              <w:r>
                <w:rPr>
                  <w:rStyle w:val="InternetLink"/>
                  <w:rFonts w:ascii="Times New Roman;serif" w:hAnsi="Times New Roman;serif"/>
                  <w:b w:val="false"/>
                  <w:strike w:val="false"/>
                  <w:dstrike w:val="false"/>
                  <w:color w:val="0000FF"/>
                  <w:sz w:val="20"/>
                  <w:u w:val="none"/>
                  <w:effect w:val="non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3">
              <w:r>
                <w:rPr>
                  <w:rStyle w:val="InternetLink"/>
                  <w:rFonts w:ascii="Times New Roman;serif" w:hAnsi="Times New Roman;serif"/>
                  <w:b w:val="false"/>
                  <w:strike w:val="false"/>
                  <w:dstrike w:val="false"/>
                  <w:color w:val="0000FF"/>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3">
              <w:r>
                <w:rPr>
                  <w:rStyle w:val="InternetLink"/>
                  <w:rFonts w:ascii="Times New Roman;serif" w:hAnsi="Times New Roman;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3">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3">
              <w:r>
                <w:rPr>
                  <w:rStyle w:val="InternetLink"/>
                  <w:rFonts w:ascii="Times New Roman;serif" w:hAnsi="Times New Roman;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6">
              <w:r>
                <w:rPr>
                  <w:rStyle w:val="InternetLink"/>
                  <w:rFonts w:ascii="Times New Roman;serif" w:hAnsi="Times New Roman;serif"/>
                  <w:b w:val="false"/>
                  <w:strike w:val="false"/>
                  <w:dstrike w:val="false"/>
                  <w:color w:val="0000FF"/>
                  <w:sz w:val="20"/>
                  <w:u w:val="none"/>
                  <w:effect w:val="none"/>
                </w:rPr>
                <w:t>Condensed Consolidated Statements of Operations and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6">
              <w:r>
                <w:rPr>
                  <w:rStyle w:val="InternetLink"/>
                  <w:rFonts w:ascii="Times New Roman;serif" w:hAnsi="Times New Roman;serif"/>
                  <w:b w:val="false"/>
                  <w:strike w:val="false"/>
                  <w:dstrike w:val="false"/>
                  <w:color w:val="0000FF"/>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25">
              <w:r>
                <w:rPr>
                  <w:rStyle w:val="InternetLink"/>
                  <w:rFonts w:ascii="Times New Roman;serif" w:hAnsi="Times New Roman;serif"/>
                  <w:b w:val="false"/>
                  <w:strike w:val="false"/>
                  <w:dstrike w:val="false"/>
                  <w:color w:val="0000FF"/>
                  <w:sz w:val="20"/>
                  <w:u w:val="none"/>
                  <w:effect w:val="none"/>
                </w:rPr>
                <w:t>Condensed Consolidated Statements of Stockholders’ Deficit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25">
              <w:r>
                <w:rPr>
                  <w:rStyle w:val="InternetLink"/>
                  <w:rFonts w:ascii="Times New Roman;serif" w:hAnsi="Times New Roman;serif"/>
                  <w:b w:val="false"/>
                  <w:strike w:val="false"/>
                  <w:dstrike w:val="false"/>
                  <w:color w:val="0000FF"/>
                  <w:sz w:val="20"/>
                  <w:u w:val="none"/>
                  <w:effect w:val="none"/>
                </w:rPr>
                <w:t>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Condensed Consolidated Statements of Cash Flows (Unaudited)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28">
              <w:r>
                <w:rPr>
                  <w:rStyle w:val="InternetLink"/>
                  <w:rFonts w:ascii="Times New Roman;serif" w:hAnsi="Times New Roman;serif"/>
                  <w:b w:val="false"/>
                  <w:strike w:val="false"/>
                  <w:dstrike w:val="false"/>
                  <w:color w:val="0000FF"/>
                  <w:sz w:val="20"/>
                  <w:u w:val="none"/>
                  <w:effect w:val="none"/>
                </w:rPr>
                <w:t>7</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31">
              <w:r>
                <w:rPr>
                  <w:rStyle w:val="InternetLink"/>
                  <w:rFonts w:ascii="Times New Roman;serif" w:hAnsi="Times New Roman;serif"/>
                  <w:b w:val="false"/>
                  <w:strike w:val="false"/>
                  <w:dstrike w:val="false"/>
                  <w:color w:val="0000FF"/>
                  <w:sz w:val="20"/>
                  <w:u w:val="none"/>
                  <w:effect w:val="non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31">
              <w:r>
                <w:rPr>
                  <w:rStyle w:val="InternetLink"/>
                  <w:rFonts w:ascii="Times New Roman;serif" w:hAnsi="Times New Roman;serif"/>
                  <w:b w:val="false"/>
                  <w:strike w:val="false"/>
                  <w:dstrike w:val="false"/>
                  <w:color w:val="0000FF"/>
                  <w:sz w:val="20"/>
                  <w:u w:val="none"/>
                  <w:effect w:val="none"/>
                </w:rPr>
                <w:t>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i4c89d299088543d3a5f7b7a0286071f5_94">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94">
              <w:r>
                <w:rPr>
                  <w:rStyle w:val="InternetLink"/>
                  <w:rFonts w:ascii="Times New Roman;serif" w:hAnsi="Times New Roman;serif"/>
                  <w:b w:val="false"/>
                  <w:strike w:val="false"/>
                  <w:dstrike w:val="false"/>
                  <w:color w:val="0000FF"/>
                  <w:sz w:val="20"/>
                  <w:u w:val="none"/>
                  <w:effect w:val="none"/>
                </w:rPr>
                <w:t>22</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06">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06">
              <w:r>
                <w:rPr>
                  <w:rStyle w:val="InternetLink"/>
                  <w:rFonts w:ascii="Times New Roman;serif" w:hAnsi="Times New Roman;serif"/>
                  <w:b w:val="false"/>
                  <w:strike w:val="false"/>
                  <w:dstrike w:val="false"/>
                  <w:color w:val="0000FF"/>
                  <w:sz w:val="20"/>
                  <w:u w:val="none"/>
                  <w:effect w:val="none"/>
                </w:rPr>
                <w:t>33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09">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09">
              <w:r>
                <w:rPr>
                  <w:rStyle w:val="InternetLink"/>
                  <w:rFonts w:ascii="Times New Roman;serif" w:hAnsi="Times New Roman;serif"/>
                  <w:b w:val="false"/>
                  <w:strike w:val="false"/>
                  <w:dstrike w:val="false"/>
                  <w:color w:val="0000FF"/>
                  <w:sz w:val="20"/>
                  <w:u w:val="none"/>
                  <w:effect w:val="none"/>
                </w:rPr>
                <w:t>33</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12">
              <w:r>
                <w:rPr>
                  <w:rStyle w:val="InternetLink"/>
                  <w:rFonts w:ascii="Times New Roman;serif" w:hAnsi="Times New Roman;serif"/>
                  <w:b w:val="false"/>
                  <w:strike w:val="false"/>
                  <w:dstrike w:val="false"/>
                  <w:color w:val="0000FF"/>
                  <w:sz w:val="20"/>
                  <w:u w:val="none"/>
                  <w:effect w:val="non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15">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15">
              <w:r>
                <w:rPr>
                  <w:rStyle w:val="InternetLink"/>
                  <w:rFonts w:ascii="Times New Roman;serif" w:hAnsi="Times New Roman;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18">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18">
              <w:r>
                <w:rPr>
                  <w:rStyle w:val="InternetLink"/>
                  <w:rFonts w:ascii="Times New Roman;serif" w:hAnsi="Times New Roman;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21">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21">
              <w:r>
                <w:rPr>
                  <w:rStyle w:val="InternetLink"/>
                  <w:rFonts w:ascii="Times New Roman;serif" w:hAnsi="Times New Roman;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24">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24">
              <w:r>
                <w:rPr>
                  <w:rStyle w:val="InternetLink"/>
                  <w:rFonts w:ascii="Times New Roman;serif" w:hAnsi="Times New Roman;serif"/>
                  <w:b w:val="false"/>
                  <w:strike w:val="false"/>
                  <w:dstrike w:val="false"/>
                  <w:color w:val="0000FF"/>
                  <w:sz w:val="20"/>
                  <w:u w:val="none"/>
                  <w:effect w:val="none"/>
                </w:rPr>
                <w:t>34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27">
              <w:r>
                <w:rPr>
                  <w:rStyle w:val="InternetLink"/>
                  <w:rFonts w:ascii="Times New Roman;serif" w:hAnsi="Times New Roman;serif"/>
                  <w:b w:val="false"/>
                  <w:strike w:val="false"/>
                  <w:dstrike w:val="false"/>
                  <w:color w:val="0000FF"/>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27">
              <w:r>
                <w:rPr>
                  <w:rStyle w:val="InternetLink"/>
                  <w:rFonts w:ascii="Times New Roman;serif" w:hAnsi="Times New Roman;serif"/>
                  <w:b w:val="false"/>
                  <w:strike w:val="false"/>
                  <w:dstrike w:val="false"/>
                  <w:color w:val="0000FF"/>
                  <w:sz w:val="20"/>
                  <w:u w:val="none"/>
                  <w:effect w:val="none"/>
                </w:rPr>
                <w:t>34</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30">
              <w:r>
                <w:rPr>
                  <w:rStyle w:val="InternetLink"/>
                  <w:rFonts w:ascii="Times New Roman;serif" w:hAnsi="Times New Roman;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30">
              <w:r>
                <w:rPr>
                  <w:rStyle w:val="InternetLink"/>
                  <w:rFonts w:ascii="Times New Roman;serif" w:hAnsi="Times New Roman;serif"/>
                  <w:b w:val="false"/>
                  <w:strike w:val="false"/>
                  <w:dstrike w:val="false"/>
                  <w:color w:val="0000FF"/>
                  <w:sz w:val="20"/>
                  <w:u w:val="none"/>
                  <w:effect w:val="none"/>
                </w:rPr>
                <w:t>34</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33">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33">
              <w:r>
                <w:rPr>
                  <w:rStyle w:val="InternetLink"/>
                  <w:rFonts w:ascii="Times New Roman;serif" w:hAnsi="Times New Roman;serif"/>
                  <w:b w:val="false"/>
                  <w:strike w:val="false"/>
                  <w:dstrike w:val="false"/>
                  <w:color w:val="0000FF"/>
                  <w:sz w:val="20"/>
                  <w:u w:val="none"/>
                  <w:effect w:val="none"/>
                </w:rPr>
                <w:t>35</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89d299088543d3a5f7b7a0286071f5_136">
              <w:r>
                <w:rPr>
                  <w:rStyle w:val="InternetLink"/>
                  <w:rFonts w:ascii="Times New Roman;serif" w:hAnsi="Times New Roman;serif"/>
                  <w:b w:val="false"/>
                  <w:strike w:val="false"/>
                  <w:dstrike w:val="false"/>
                  <w:color w:val="0000FF"/>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89d299088543d3a5f7b7a0286071f5_136">
              <w:r>
                <w:rPr>
                  <w:rStyle w:val="InternetLink"/>
                  <w:rFonts w:ascii="Times New Roman;serif" w:hAnsi="Times New Roman;serif"/>
                  <w:b w:val="false"/>
                  <w:strike w:val="false"/>
                  <w:dstrike w:val="false"/>
                  <w:color w:val="0000FF"/>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100" w:after="100"/>
        <w:jc w:val="left"/>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par value, share and per share data)</w:t>
      </w:r>
    </w:p>
    <w:tbl>
      <w:tblPr>
        <w:tblW w:w="10205" w:type="dxa"/>
        <w:jc w:val="left"/>
        <w:tblInd w:w="0" w:type="dxa"/>
        <w:tblLayout w:type="fixed"/>
        <w:tblCellMar>
          <w:top w:w="28" w:type="dxa"/>
          <w:left w:w="28" w:type="dxa"/>
          <w:bottom w:w="28" w:type="dxa"/>
          <w:right w:w="28" w:type="dxa"/>
        </w:tblCellMar>
      </w:tblPr>
      <w:tblGrid>
        <w:gridCol w:w="3157"/>
        <w:gridCol w:w="2344"/>
        <w:gridCol w:w="2353"/>
        <w:gridCol w:w="198"/>
        <w:gridCol w:w="653"/>
        <w:gridCol w:w="109"/>
        <w:gridCol w:w="109"/>
        <w:gridCol w:w="109"/>
        <w:gridCol w:w="109"/>
        <w:gridCol w:w="208"/>
        <w:gridCol w:w="688"/>
        <w:gridCol w:w="168"/>
      </w:tblGrid>
      <w:tr>
        <w:trPr/>
        <w:tc>
          <w:tcPr>
            <w:tcW w:w="3157"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Accounts receivable, net of allowance for expected credit losses of $232 and $123, respectively</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$29,286 and $28,897, respectively</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$35,045 and $33,558, respectively</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Senior Secured Notes, net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2,000,000 shares authorized:</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39,500 shares designated, 25,000 shares issued and outstanding as of both June 30, 2025 and December 31, 2024 (aggregate liquidation preference of $40,140 as of June 30, 2025)</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150,000,000 shares authorized, 15,042,827 and 14,990,712 shares issued and outstanding as of June 30, 2025 and December 31, 2024, respectively</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(905,625)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77"/>
        <w:gridCol w:w="1457"/>
        <w:gridCol w:w="1463"/>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6"/>
      </w:tblGrid>
      <w:tr>
        <w:trPr/>
        <w:tc>
          <w:tcPr>
            <w:tcW w:w="197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income tax provision (benefit) of $—, $188, $400 and $408,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attributable to common stockholders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earnings (loss) per share*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computation of net earnings (loss) per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*rounding may impact summation of amounts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33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2024</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811,637 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(912,173)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(5,065)</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(105,589)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debt restructurings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before="10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33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(102,105)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debt restructurings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ind w:left="0" w:right="0" w:hanging="9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(Unaudited)</w:t>
      </w:r>
    </w:p>
    <w:tbl>
      <w:tblPr>
        <w:tblW w:w="8393" w:type="dxa"/>
        <w:jc w:val="center"/>
        <w:tblInd w:w="0" w:type="dxa"/>
        <w:tblLayout w:type="fixed"/>
        <w:tblCellMar>
          <w:top w:w="28" w:type="dxa"/>
          <w:left w:w="28" w:type="dxa"/>
          <w:bottom w:w="28" w:type="dxa"/>
          <w:right w:w="28" w:type="dxa"/>
        </w:tblCellMar>
      </w:tblPr>
      <w:tblGrid>
        <w:gridCol w:w="2217"/>
        <w:gridCol w:w="1943"/>
        <w:gridCol w:w="1959"/>
        <w:gridCol w:w="196"/>
        <w:gridCol w:w="646"/>
        <w:gridCol w:w="109"/>
        <w:gridCol w:w="109"/>
        <w:gridCol w:w="109"/>
        <w:gridCol w:w="109"/>
        <w:gridCol w:w="196"/>
        <w:gridCol w:w="646"/>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extinguishment of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debt restructurings,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expected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excess and obsolete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discount (premium) and debt issuance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continuing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capitalized software development costs and purchases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continuing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related to repayments of 2025 Convertible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short-term loan and warrants, net of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repayments on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stock option exercises and employee stock purchase plan, net of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continuing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decrease (increase)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during the year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 financed through accounts payable or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Debt and warrant issuance costs financed through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operating leases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lef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Business and Significant Accounting Policies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(“Financial Statements”) have been prepared by Inseego Corp. (the “Company”,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2024, included in the Company's Annual Report on Form 10-K for the year ended December 31, 2024 (the “Form 10-K”).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 </w:t>
      </w:r>
    </w:p>
    <w:p>
      <w:pPr>
        <w:pStyle w:val="TextBody"/>
        <w:bidi w:val="0"/>
        <w:spacing w:lineRule="auto" w:line="276" w:before="180" w:after="18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Divestiture of the Telematics Business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On November 27, 2024, the Company completed the previously announced sale of its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w:t>
      </w:r>
      <w:r>
        <w:rPr>
          <w:color w:val="000000"/>
          <w:shd w:fill="FFFFFF" w:val="clear"/>
        </w:rPr>
        <w:t xml:space="preserve"> </w:t>
      </w:r>
      <w:r>
        <w:rPr>
          <w:rFonts w:ascii="Times New Roman;serif" w:hAnsi="Times New Roman;serif"/>
          <w:b w:val="false"/>
          <w:color w:val="000000"/>
          <w:sz w:val="20"/>
          <w:shd w:fill="FFFFFF" w:val="clear"/>
        </w:rPr>
        <w:t xml:space="preserve">$52.0 million </w:t>
      </w:r>
      <w:r>
        <w:rPr>
          <w:rFonts w:ascii="Times New Roman;serif" w:hAnsi="Times New Roman;serif"/>
          <w:b w:val="false"/>
          <w:color w:val="000000"/>
          <w:sz w:val="20"/>
        </w:rPr>
        <w:t xml:space="preserve">in an all-cash transaction (the “Sale Transaction”). The Purchase Agreement provided for a working capital adjustment, which was determined in December 2024 and funded in January 2025, resulting in an increase to the initial purchase consideration of </w:t>
      </w:r>
      <w:r>
        <w:rPr>
          <w:rFonts w:ascii="Times New Roman;serif" w:hAnsi="Times New Roman;serif"/>
          <w:b w:val="false"/>
          <w:color w:val="000000"/>
          <w:sz w:val="20"/>
          <w:shd w:fill="FFFFFF" w:val="clear"/>
        </w:rPr>
        <w:t>$0.7 million</w:t>
      </w:r>
      <w:r>
        <w:rPr>
          <w:color w:val="000000"/>
        </w:rPr>
        <w:t xml:space="preserve"> </w:t>
      </w:r>
      <w:r>
        <w:rPr>
          <w:rFonts w:ascii="Times New Roman;serif" w:hAnsi="Times New Roman;serif"/>
          <w:b w:val="false"/>
          <w:color w:val="000000"/>
          <w:sz w:val="20"/>
        </w:rPr>
        <w:t>as a result of changes in closing working capital and net debt.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assets and liabilities associated with the Telematics Business disposal group prior to its sale have been classified as held for sale within the Condensed Consolidated Balance Sheets and its operations and cash flows have been classified as discontinued operations within the Condensed Consolidated Statements of Operations and Comprehensive Income and Condensed Consolidated Statements of Cash Flows.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 Discontinued Operations and Held for Sale</w:t>
      </w:r>
      <w:r>
        <w:rPr>
          <w:color w:val="000000"/>
        </w:rPr>
        <w:t xml:space="preserve"> </w:t>
      </w:r>
      <w:r>
        <w:rPr>
          <w:rFonts w:ascii="Times New Roman;serif" w:hAnsi="Times New Roman;serif"/>
          <w:b w:val="false"/>
          <w:color w:val="000000"/>
          <w:sz w:val="20"/>
        </w:rPr>
        <w:t>for additional information regarding the Telematics Business, including the assets and liabilities divested and income from discontinued operations. Unless otherwise noted, disclosures within these remaining Notes to Condensed Consolidated Financial Statements relate solely to the Company's continuing operations.</w:t>
      </w:r>
    </w:p>
    <w:p>
      <w:pPr>
        <w:pStyle w:val="TextBody"/>
        <w:bidi w:val="0"/>
        <w:spacing w:lineRule="auto" w:line="276" w:before="180" w:after="180"/>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Held for Sale and Discontinued Operations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generally probable of being completed within one year. Management performs an assessment at least quarterly or when events or changes in business circumstances indicate that a change in classification may be necessary.</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held for sale are presented separately within the Condensed Consolidated Balance Sheets with any adjustments necessary to measure the disposal group at the lower of its carrying value or fair value less costs to sell. Depreciation of property, plant and equipment and amortization of intangible and right-of-use assets are not recorded while these assets are classified as held for sale. For each period the disposal group remains classified as held for sale,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recoverability is reassessed and any necessary adjustments are made to its carrying value. No impairment upon classification as held for sale was recorded during the year ended December 31, 2024.</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Condensed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24th was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common share and per-share amounts in this Form 10-Q have been retroactively restated to reflect the effect of the Reverse Stock Split. </w:t>
      </w:r>
    </w:p>
    <w:p>
      <w:pPr>
        <w:pStyle w:val="TextBody"/>
        <w:bidi w:val="0"/>
        <w:spacing w:lineRule="auto" w:line="276" w:before="180" w:after="18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Information</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The Company has one reportable segment.</w:t>
      </w:r>
      <w:r>
        <w:rPr>
          <w:color w:val="000000"/>
        </w:rPr>
        <w:t xml:space="preserve"> </w:t>
      </w:r>
      <w:r>
        <w:rPr>
          <w:rFonts w:ascii="Times New Roman;serif" w:hAnsi="Times New Roman;serif"/>
          <w:b w:val="false"/>
          <w:color w:val="000000"/>
          <w:sz w:val="20"/>
        </w:rPr>
        <w:t>The Company’s Executive Chairman, who was the Company’s Chief Operating Decision Maker (“CODM”) as of December 31, 2024,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9 – Segment, Geographic, and Concentrations of Risk Information</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2. Discontinued Operations and Held for Sale</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on </w:t>
      </w:r>
      <w:r>
        <w:rPr>
          <w:rFonts w:ascii="Times New Roman;serif" w:hAnsi="Times New Roman;serif"/>
          <w:b w:val="false"/>
          <w:color w:val="000000"/>
          <w:sz w:val="20"/>
          <w:shd w:fill="FFFFFF" w:val="clear"/>
        </w:rPr>
        <w:t>September 16, 2024</w:t>
      </w:r>
      <w:r>
        <w:rPr>
          <w:rFonts w:ascii="Times New Roman;serif" w:hAnsi="Times New Roman;serif"/>
          <w:b w:val="false"/>
          <w:color w:val="000000"/>
          <w:sz w:val="20"/>
        </w:rPr>
        <w:t xml:space="preserve">, the Company entered into the </w:t>
      </w:r>
      <w:r>
        <w:rPr>
          <w:rFonts w:ascii="Times New Roman;serif" w:hAnsi="Times New Roman;serif"/>
          <w:b w:val="false"/>
          <w:color w:val="000000"/>
          <w:sz w:val="20"/>
          <w:shd w:fill="FFFFFF" w:val="clear"/>
        </w:rPr>
        <w:t>Purchase Agreement</w:t>
      </w:r>
      <w:r>
        <w:rPr>
          <w:color w:val="000000"/>
        </w:rPr>
        <w:t xml:space="preserve"> </w:t>
      </w:r>
      <w:r>
        <w:rPr>
          <w:rFonts w:ascii="Times New Roman;serif" w:hAnsi="Times New Roman;serif"/>
          <w:b w:val="false"/>
          <w:color w:val="000000"/>
          <w:sz w:val="20"/>
        </w:rPr>
        <w:t>to sell its Telematics Business. On November 27, 2024, the Company completed the sale of its Telematics Business.</w:t>
      </w:r>
    </w:p>
    <w:p>
      <w:pPr>
        <w:pStyle w:val="TextBody"/>
        <w:bidi w:val="0"/>
        <w:spacing w:lineRule="auto" w:line="268" w:before="0" w:after="0"/>
        <w:ind w:left="0" w:right="0" w:firstLine="450"/>
        <w:jc w:val="left"/>
        <w:rPr/>
      </w:pPr>
      <w:r>
        <w:rPr>
          <w:rFonts w:ascii="Times New Roman;serif" w:hAnsi="Times New Roman;serif"/>
          <w:b w:val="false"/>
          <w:color w:val="000000"/>
          <w:sz w:val="20"/>
        </w:rPr>
        <w:t xml:space="preserve">The operating results of the discontinued operations only reflect revenues and expenses that are directly attributable to the Telematics Business. The following table summarizes Income from discontinued operations, net of tax included in the Condensed Consolidated Statements of Operations and Comprehensive Income for the three and six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June 30, 2025 and 2024 (in thousands):</w:t>
      </w:r>
    </w:p>
    <w:tbl>
      <w:tblPr>
        <w:tblW w:w="8564" w:type="dxa"/>
        <w:jc w:val="left"/>
        <w:tblInd w:w="0" w:type="dxa"/>
        <w:tblLayout w:type="fixed"/>
        <w:tblCellMar>
          <w:top w:w="28" w:type="dxa"/>
          <w:left w:w="28" w:type="dxa"/>
          <w:bottom w:w="28" w:type="dxa"/>
          <w:right w:w="28" w:type="dxa"/>
        </w:tblCellMar>
      </w:tblPr>
      <w:tblGrid>
        <w:gridCol w:w="1525"/>
        <w:gridCol w:w="1341"/>
        <w:gridCol w:w="1348"/>
        <w:gridCol w:w="196"/>
        <w:gridCol w:w="406"/>
        <w:gridCol w:w="109"/>
        <w:gridCol w:w="109"/>
        <w:gridCol w:w="109"/>
        <w:gridCol w:w="109"/>
        <w:gridCol w:w="196"/>
        <w:gridCol w:w="556"/>
        <w:gridCol w:w="109"/>
        <w:gridCol w:w="109"/>
        <w:gridCol w:w="109"/>
        <w:gridCol w:w="109"/>
        <w:gridCol w:w="196"/>
        <w:gridCol w:w="496"/>
        <w:gridCol w:w="109"/>
        <w:gridCol w:w="109"/>
        <w:gridCol w:w="109"/>
        <w:gridCol w:w="109"/>
        <w:gridCol w:w="196"/>
        <w:gridCol w:w="64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cost of revenues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from discontinued operations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from discontinued operations</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before income taxes</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taxes related to discontinued operations in the six months ended June 30, 2025 relate to the deregistration process for the Company’s remaining subsidiaries in South Africa, which do not have operations. As the sale of the Telematics Business was completed on November 27, 2024, there were no assets or liabilities held for sale as of either June 30, 2025 or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Financial Statement Details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743" w:type="dxa"/>
        <w:jc w:val="left"/>
        <w:tblInd w:w="0" w:type="dxa"/>
        <w:tblLayout w:type="fixed"/>
        <w:tblCellMar>
          <w:top w:w="28" w:type="dxa"/>
          <w:left w:w="28" w:type="dxa"/>
          <w:bottom w:w="28" w:type="dxa"/>
          <w:right w:w="28" w:type="dxa"/>
        </w:tblCellMar>
      </w:tblPr>
      <w:tblGrid>
        <w:gridCol w:w="841"/>
        <w:gridCol w:w="739"/>
        <w:gridCol w:w="745"/>
        <w:gridCol w:w="196"/>
        <w:gridCol w:w="646"/>
        <w:gridCol w:w="109"/>
        <w:gridCol w:w="109"/>
        <w:gridCol w:w="109"/>
        <w:gridCol w:w="109"/>
        <w:gridCol w:w="224"/>
        <w:gridCol w:w="740"/>
        <w:gridCol w:w="17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consists of the following (in thousands):</w:t>
      </w:r>
    </w:p>
    <w:tbl>
      <w:tblPr>
        <w:tblW w:w="4880" w:type="dxa"/>
        <w:jc w:val="left"/>
        <w:tblInd w:w="0" w:type="dxa"/>
        <w:tblLayout w:type="fixed"/>
        <w:tblCellMar>
          <w:top w:w="28" w:type="dxa"/>
          <w:left w:w="28" w:type="dxa"/>
          <w:bottom w:w="28" w:type="dxa"/>
          <w:right w:w="28" w:type="dxa"/>
        </w:tblCellMar>
      </w:tblPr>
      <w:tblGrid>
        <w:gridCol w:w="884"/>
        <w:gridCol w:w="779"/>
        <w:gridCol w:w="781"/>
        <w:gridCol w:w="196"/>
        <w:gridCol w:w="556"/>
        <w:gridCol w:w="109"/>
        <w:gridCol w:w="109"/>
        <w:gridCol w:w="109"/>
        <w:gridCol w:w="109"/>
        <w:gridCol w:w="249"/>
        <w:gridCol w:w="707"/>
        <w:gridCol w:w="138"/>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Rebate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Software licenses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093" w:type="dxa"/>
        <w:jc w:val="left"/>
        <w:tblInd w:w="0" w:type="dxa"/>
        <w:tblLayout w:type="fixed"/>
        <w:tblCellMar>
          <w:top w:w="28" w:type="dxa"/>
          <w:left w:w="28" w:type="dxa"/>
          <w:bottom w:w="28" w:type="dxa"/>
          <w:right w:w="28" w:type="dxa"/>
        </w:tblCellMar>
      </w:tblPr>
      <w:tblGrid>
        <w:gridCol w:w="1332"/>
        <w:gridCol w:w="1169"/>
        <w:gridCol w:w="1174"/>
        <w:gridCol w:w="196"/>
        <w:gridCol w:w="646"/>
        <w:gridCol w:w="109"/>
        <w:gridCol w:w="109"/>
        <w:gridCol w:w="109"/>
        <w:gridCol w:w="109"/>
        <w:gridCol w:w="224"/>
        <w:gridCol w:w="740"/>
        <w:gridCol w:w="17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(in thousands):</w:t>
      </w:r>
    </w:p>
    <w:tbl>
      <w:tblPr>
        <w:tblW w:w="4622" w:type="dxa"/>
        <w:jc w:val="left"/>
        <w:tblInd w:w="0" w:type="dxa"/>
        <w:tblLayout w:type="fixed"/>
        <w:tblCellMar>
          <w:top w:w="28" w:type="dxa"/>
          <w:left w:w="28" w:type="dxa"/>
          <w:bottom w:w="28" w:type="dxa"/>
          <w:right w:w="28" w:type="dxa"/>
        </w:tblCellMar>
      </w:tblPr>
      <w:tblGrid>
        <w:gridCol w:w="830"/>
        <w:gridCol w:w="730"/>
        <w:gridCol w:w="735"/>
        <w:gridCol w:w="196"/>
        <w:gridCol w:w="556"/>
        <w:gridCol w:w="109"/>
        <w:gridCol w:w="109"/>
        <w:gridCol w:w="109"/>
        <w:gridCol w:w="109"/>
        <w:gridCol w:w="246"/>
        <w:gridCol w:w="700"/>
        <w:gridCol w:w="193"/>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of the $3.4 million long-term deferred revenue balance, $3.2 million relates to performance obligations expected to be satisfied between one and two years, and $0.2 million relates to performance obligations expected to be satisfied between two and three years from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financial assets and liabilities measured on a recurring basis and indicates the fair value hierarchy utilized to determine such fair value (in thousands):</w:t>
      </w:r>
    </w:p>
    <w:tbl>
      <w:tblPr>
        <w:tblW w:w="5646" w:type="dxa"/>
        <w:jc w:val="left"/>
        <w:tblInd w:w="0" w:type="dxa"/>
        <w:tblLayout w:type="fixed"/>
        <w:tblCellMar>
          <w:top w:w="28" w:type="dxa"/>
          <w:left w:w="28" w:type="dxa"/>
          <w:bottom w:w="28" w:type="dxa"/>
          <w:right w:w="28" w:type="dxa"/>
        </w:tblCellMar>
      </w:tblPr>
      <w:tblGrid>
        <w:gridCol w:w="607"/>
        <w:gridCol w:w="533"/>
        <w:gridCol w:w="539"/>
        <w:gridCol w:w="323"/>
        <w:gridCol w:w="323"/>
        <w:gridCol w:w="166"/>
        <w:gridCol w:w="109"/>
        <w:gridCol w:w="109"/>
        <w:gridCol w:w="109"/>
        <w:gridCol w:w="323"/>
        <w:gridCol w:w="323"/>
        <w:gridCol w:w="211"/>
        <w:gridCol w:w="109"/>
        <w:gridCol w:w="109"/>
        <w:gridCol w:w="109"/>
        <w:gridCol w:w="210"/>
        <w:gridCol w:w="210"/>
        <w:gridCol w:w="211"/>
        <w:gridCol w:w="109"/>
        <w:gridCol w:w="109"/>
        <w:gridCol w:w="109"/>
        <w:gridCol w:w="203"/>
        <w:gridCol w:w="203"/>
        <w:gridCol w:w="280"/>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transfers between levels occurred during the three or six months ended June 30, 2025 or June 30, 2024.</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also had an interest make-whole payment derivative liability on its 2025 Convertible Notes (as defined in </w:t>
      </w:r>
      <w:r>
        <w:rPr>
          <w:rFonts w:ascii="Times New Roman;serif" w:hAnsi="Times New Roman;serif"/>
          <w:b w:val="false"/>
          <w:i/>
          <w:color w:val="000000"/>
          <w:sz w:val="20"/>
        </w:rPr>
        <w:t>Note 5 – Debt</w:t>
      </w:r>
      <w:r>
        <w:rPr>
          <w:rFonts w:ascii="Times New Roman;serif" w:hAnsi="Times New Roman;serif"/>
          <w:b w:val="false"/>
          <w:color w:val="000000"/>
          <w:sz w:val="20"/>
        </w:rPr>
        <w:t>) that was measured at fair value on a recurring basis prior to the maturity and full repayment of the 2025 Convertible Notes on May 1, 2025. The fair value of that liability was zero as of December 31, 2024. The interest make-whole payment derivative liability was a Level 3 instrument and was valued using a Monte Carlo model.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there were no conversions of the 2025 Convertible Notes into shares of the Company’s common stock. There were also no changes in the fair value of the interest make-whole liability during the six months ended June 30, 2025 or June 30, 2024.</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carrying values of the Company’s other financial assets and liabilities approximate their fair values because of their short-term nature, with the exception of the 2029 Senior Secured Notes (as defined in </w:t>
      </w:r>
      <w:r>
        <w:rPr>
          <w:rFonts w:ascii="Times New Roman;serif" w:hAnsi="Times New Roman;serif"/>
          <w:b w:val="false"/>
          <w:i/>
          <w:color w:val="000000"/>
          <w:sz w:val="20"/>
        </w:rPr>
        <w:t>Note 5 – Debt</w:t>
      </w:r>
      <w:r>
        <w:rPr>
          <w:rFonts w:ascii="Times New Roman;serif" w:hAnsi="Times New Roman;serif"/>
          <w:b w:val="false"/>
          <w:color w:val="000000"/>
          <w:sz w:val="20"/>
        </w:rPr>
        <w:t>) and 2025 Convertible Notes. The 2029 Senior Secured Notes and 2025 Convertible Notes are carried at amortized cost, with the 2025 Convertible notes being adjusted for changes in fair value of the embedded interest make-whole payment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Debt</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$40.9 million of principal of the 2029 Senior Secured Notes was outstanding, $31.8 million of which was held by related parties.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2029 Senior Secured Notes, net consists of the following (in thousands):</w:t>
      </w:r>
    </w:p>
    <w:tbl>
      <w:tblPr>
        <w:tblW w:w="4878" w:type="dxa"/>
        <w:jc w:val="left"/>
        <w:tblInd w:w="0" w:type="dxa"/>
        <w:tblLayout w:type="fixed"/>
        <w:tblCellMar>
          <w:top w:w="28" w:type="dxa"/>
          <w:left w:w="28" w:type="dxa"/>
          <w:bottom w:w="28" w:type="dxa"/>
          <w:right w:w="28" w:type="dxa"/>
        </w:tblCellMar>
      </w:tblPr>
      <w:tblGrid>
        <w:gridCol w:w="891"/>
        <w:gridCol w:w="782"/>
        <w:gridCol w:w="787"/>
        <w:gridCol w:w="196"/>
        <w:gridCol w:w="646"/>
        <w:gridCol w:w="109"/>
        <w:gridCol w:w="109"/>
        <w:gridCol w:w="109"/>
        <w:gridCol w:w="109"/>
        <w:gridCol w:w="224"/>
        <w:gridCol w:w="740"/>
        <w:gridCol w:w="176"/>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gross amount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unamortized debt premium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 xml:space="preserve">2025 Convertible Notes </w:t>
      </w:r>
    </w:p>
    <w:p>
      <w:pPr>
        <w:pStyle w:val="TextBody"/>
        <w:bidi w:val="0"/>
        <w:spacing w:lineRule="auto" w:line="27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Company completed both a registered public offering and a privately negotiated exchange agreement that resulted in the issuance of 3.25% convertible senior notes due in 2025 (the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Convertible Notes matured on May 1, 2025. The 2025 Convertible Notes were senior unsecured obligations of the Company and bore interest at an annual rate of 3.25%, which was payable semi-annually in arrears on May 1 and November 1 of each year.</w:t>
      </w:r>
    </w:p>
    <w:p>
      <w:pPr>
        <w:pStyle w:val="TextBody"/>
        <w:bidi w:val="0"/>
        <w:spacing w:lineRule="auto" w:line="276"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Repurchases and Exchanges of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2024, $14.9 million of principal amount of the 2025 Convertible Notes was outstanding, none of which was held by related parties. The remaining 2025 Convertible Notes matured on May 1, 2025, at which time all outstanding principal of $14.9 million and related accrued interest was repaid.</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2025 Convertible Notes as of December 31, 2024 consisted of the following (in thousands):</w:t>
      </w:r>
    </w:p>
    <w:tbl>
      <w:tblPr>
        <w:tblW w:w="4499" w:type="dxa"/>
        <w:jc w:val="left"/>
        <w:tblInd w:w="0" w:type="dxa"/>
        <w:tblLayout w:type="fixed"/>
        <w:tblCellMar>
          <w:top w:w="28" w:type="dxa"/>
          <w:left w:w="28" w:type="dxa"/>
          <w:bottom w:w="28" w:type="dxa"/>
          <w:right w:w="28" w:type="dxa"/>
        </w:tblCellMar>
      </w:tblPr>
      <w:tblGrid>
        <w:gridCol w:w="1057"/>
        <w:gridCol w:w="928"/>
        <w:gridCol w:w="939"/>
        <w:gridCol w:w="109"/>
        <w:gridCol w:w="109"/>
        <w:gridCol w:w="225"/>
        <w:gridCol w:w="744"/>
        <w:gridCol w:w="125"/>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 fair value of embedded derivative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unamortized debt discount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Asset-backed Revolving Credit Facility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“Credit Facility Parties”).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established a secured asset-backed revolving credit facility which was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Credit Facility Parties’ obligations under the Credit Agreement were secured by a continuing security interest in all property of each Credit Facility Party, subject to certain Excluded Collateral (as defined in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 2023, (1) two related parties, South Ocean Funding, LLC and North Sound Ventures, LP (collectively, the “Credit Facility Participants”) collectively purchased a $4.0 million last-out subordinated participation interest in the Credit Agreement (the “Credit Facility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Credit Facility Participation Interest, we agreed to pay the Credit Facility Participants an aggregate exit fee (the “Exit Fee”) ranging from 7.5% to 12.5% of the amount of the Credit Facility Participation Interest, payable upon the earlier to occur of (a) the maturity date of the Credit Facility, (b) termination of the Lender’s commitment to make revolving loans prior to the scheduled maturity date of the Credit Facility, and (c) the early redemption of the Credit Facility Participation Interest, as applicable. Further, the purchase of the Credit Facility Participation Interest granted an option for the Credit Facility Participants to purchase the subject revolving loan or to redeem its Credit Facility Participation Interest under certain circumstances. The Credit Facility Participants are each affiliates of beneficial holders of greater than five percent of our outstanding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April 18, 2024, the Company exercised its right to voluntarily pay-off and terminate the Credit Facility.</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Interest Expense, Summary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annualized effective interest rate, and interest expense related to related parties, if applicable, for each of the debt instruments detailed above (in thousands, except for percentages):</w:t>
      </w:r>
    </w:p>
    <w:tbl>
      <w:tblPr>
        <w:tblW w:w="7364" w:type="dxa"/>
        <w:jc w:val="left"/>
        <w:tblInd w:w="0" w:type="dxa"/>
        <w:tblLayout w:type="fixed"/>
        <w:tblCellMar>
          <w:top w:w="28" w:type="dxa"/>
          <w:left w:w="28" w:type="dxa"/>
          <w:bottom w:w="28" w:type="dxa"/>
          <w:right w:w="28" w:type="dxa"/>
        </w:tblCellMar>
      </w:tblPr>
      <w:tblGrid>
        <w:gridCol w:w="1095"/>
        <w:gridCol w:w="963"/>
        <w:gridCol w:w="971"/>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Secured Notes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Convertible Notes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Facility</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exit fee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annualized effective interest rates, including the impact of non-cash interest expense, for the 2029 Senior Secured Notes and 2025 Convertible Notes for the six months ended June 30, 2025 was 8.5% and 4.1%, respectively. The annualized effective interest rates, including the impact of non-cash interest expense, for the 2025 Convertible Notes and Credit Facility for the six months ended June 30, 2024 was 4.2% and 36.1%,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Share-based Compensation</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During the six months ended June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w:t>
      </w:r>
      <w:r>
        <w:rPr>
          <w:rFonts w:ascii="Times New Roman;serif" w:hAnsi="Times New Roman;serif"/>
          <w:b w:val="false"/>
          <w:color w:val="000000"/>
          <w:sz w:val="20"/>
        </w:rPr>
        <w:t>shares of common stock may be issued upon the exercise of stock options, in</w:t>
      </w:r>
      <w:r>
        <w:rPr>
          <w:color w:val="000000"/>
          <w:shd w:fill="FFFFFF" w:val="clear"/>
        </w:rPr>
        <w:t xml:space="preserve"> </w:t>
      </w:r>
      <w:r>
        <w:rPr>
          <w:rFonts w:ascii="Times New Roman;serif" w:hAnsi="Times New Roman;serif"/>
          <w:b w:val="false"/>
          <w:color w:val="000000"/>
          <w:sz w:val="20"/>
          <w:shd w:fill="FFFFFF" w:val="clear"/>
        </w:rPr>
        <w:t>the form of restricted stock, or in settlement of restricted stock units (“RSUs”) or other awards, including awards with alternative vesting schedules such as performance-based criteria.</w:t>
      </w:r>
      <w:r>
        <w:rPr>
          <w:color w:val="000000"/>
        </w:rPr>
        <w:t xml:space="preserve"> </w:t>
      </w:r>
      <w:r>
        <w:rPr>
          <w:rFonts w:ascii="Times New Roman;serif" w:hAnsi="Times New Roman;serif"/>
          <w:b w:val="false"/>
          <w:color w:val="000000"/>
          <w:sz w:val="20"/>
        </w:rPr>
        <w:t xml:space="preserve">The 2018 Plan authorizes 5,775,308 shares, of which 2,516,552 remain available for future grants as of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following table presents total share-based compensation expense within each functional line item on the condensed consolidated statements of operations for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June 30, 2025 and 2024 (in thousands):</w:t>
      </w:r>
    </w:p>
    <w:tbl>
      <w:tblPr>
        <w:tblW w:w="7844" w:type="dxa"/>
        <w:jc w:val="center"/>
        <w:tblInd w:w="0" w:type="dxa"/>
        <w:tblLayout w:type="fixed"/>
        <w:tblCellMar>
          <w:top w:w="28" w:type="dxa"/>
          <w:left w:w="28" w:type="dxa"/>
          <w:bottom w:w="28" w:type="dxa"/>
          <w:right w:w="28" w:type="dxa"/>
        </w:tblCellMar>
      </w:tblPr>
      <w:tblGrid>
        <w:gridCol w:w="1272"/>
        <w:gridCol w:w="1116"/>
        <w:gridCol w:w="1121"/>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six months ended June 30, 2025:</w:t>
      </w:r>
    </w:p>
    <w:tbl>
      <w:tblPr>
        <w:tblW w:w="4333" w:type="dxa"/>
        <w:jc w:val="left"/>
        <w:tblInd w:w="0" w:type="dxa"/>
        <w:tblLayout w:type="fixed"/>
        <w:tblCellMar>
          <w:top w:w="28" w:type="dxa"/>
          <w:left w:w="28" w:type="dxa"/>
          <w:bottom w:w="28" w:type="dxa"/>
          <w:right w:w="28" w:type="dxa"/>
        </w:tblCellMar>
      </w:tblPr>
      <w:tblGrid>
        <w:gridCol w:w="962"/>
        <w:gridCol w:w="844"/>
        <w:gridCol w:w="848"/>
        <w:gridCol w:w="435"/>
        <w:gridCol w:w="436"/>
        <w:gridCol w:w="10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June 30,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140,174 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During the six months ended June 30, 2025, the Company granted stock options to the CEO in connection with his hiring</w:t>
      </w:r>
      <w:r>
        <w:rPr>
          <w:color w:val="000000"/>
          <w:shd w:fill="FFFFFF" w:val="clear"/>
        </w:rPr>
        <w:t xml:space="preserve"> </w:t>
      </w:r>
      <w:r>
        <w:rPr>
          <w:rFonts w:ascii="Times New Roman;serif" w:hAnsi="Times New Roman;serif"/>
          <w:b w:val="false"/>
          <w:color w:val="000000"/>
          <w:sz w:val="20"/>
          <w:shd w:fill="FFFFFF" w:val="clear"/>
        </w:rPr>
        <w:t xml:space="preserve">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w:t>
      </w:r>
      <w:r>
        <w:rPr>
          <w:rFonts w:ascii="Times New Roman;serif" w:hAnsi="Times New Roman;serif"/>
          <w:b w:val="false"/>
          <w:color w:val="000000"/>
          <w:sz w:val="20"/>
        </w:rPr>
        <w:t>$6.7 million and will be expensed over the four-year vesting term of the awards.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options granted to the Company’s CEO were valued using a Monte Carlo simulation model. The following table details the key assumptions utilized in the Monte Carlo simulation model used to calculate the grant-date fair value of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2025, total unrecognized compensation expense related to stock options was $5.8 million, which is expected to be recognized over a weighted-average period of 3.50 years.</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for the six months ended June 30, 2025:</w:t>
      </w:r>
    </w:p>
    <w:tbl>
      <w:tblPr>
        <w:tblW w:w="3634" w:type="dxa"/>
        <w:jc w:val="left"/>
        <w:tblInd w:w="0" w:type="dxa"/>
        <w:tblLayout w:type="fixed"/>
        <w:tblCellMar>
          <w:top w:w="28" w:type="dxa"/>
          <w:left w:w="28" w:type="dxa"/>
          <w:bottom w:w="28" w:type="dxa"/>
          <w:right w:w="28" w:type="dxa"/>
        </w:tblCellMar>
      </w:tblPr>
      <w:tblGrid>
        <w:gridCol w:w="945"/>
        <w:gridCol w:w="830"/>
        <w:gridCol w:w="834"/>
        <w:gridCol w:w="435"/>
        <w:gridCol w:w="43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2024</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June 30,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During the six months ended June 30, 2025, the Company granted RSUs to the CEO in connection with his hiring on January 6, 2025. The Company granted the CEO 124,347 RSUs that contain a time-based vesting requirement (“Time-based CEO RSUs”) with a total grant-date fair value of $1.4 million that vest over four years. The Company also granted the CEO </w:t>
      </w:r>
      <w:r>
        <w:rPr>
          <w:rFonts w:ascii="Times New Roman;serif" w:hAnsi="Times New Roman;serif"/>
          <w:b w:val="false"/>
          <w:color w:val="000000"/>
          <w:sz w:val="20"/>
          <w:shd w:fill="FFFFFF" w:val="clear"/>
        </w:rPr>
        <w:t xml:space="preserve">RSUs that contain a market-based vesting condition in addition to a time-based vesting requirement (“Market-based CEO RSUs”). The Company granted 167,910 of these Market-based CEO RSUs with a total grant-date fair value of </w:t>
      </w:r>
      <w:r>
        <w:rPr>
          <w:rFonts w:ascii="Times New Roman;serif" w:hAnsi="Times New Roman;serif"/>
          <w:b w:val="false"/>
          <w:color w:val="000000"/>
          <w:sz w:val="20"/>
        </w:rPr>
        <w:t>$3.2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Correlation coefficient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0.3741</w:t>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At June 30, 2025, total unrecognized compensation expense related</w:t>
      </w:r>
      <w:r>
        <w:rPr>
          <w:color w:val="000000"/>
          <w:shd w:fill="FFFFFF" w:val="clear"/>
        </w:rPr>
        <w:t xml:space="preserve"> </w:t>
      </w:r>
      <w:r>
        <w:rPr>
          <w:rFonts w:ascii="Times New Roman;serif" w:hAnsi="Times New Roman;serif"/>
          <w:b w:val="false"/>
          <w:color w:val="000000"/>
          <w:sz w:val="20"/>
          <w:shd w:fill="FFFFFF" w:val="clear"/>
        </w:rPr>
        <w:t>to RSUs, including the RS</w:t>
      </w:r>
      <w:r>
        <w:rPr>
          <w:rFonts w:ascii="Times New Roman;serif" w:hAnsi="Times New Roman;serif"/>
          <w:b w:val="false"/>
          <w:color w:val="000000"/>
          <w:sz w:val="20"/>
        </w:rPr>
        <w:t>Us with a market based condition discussed above, was $8.5 million, which is expected to be recognized over a weighted-average period of 2.98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Earnings (Loss) per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their effect would be anti-dilutive.</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EPS was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958"/>
        <w:gridCol w:w="1711"/>
        <w:gridCol w:w="1719"/>
        <w:gridCol w:w="265"/>
        <w:gridCol w:w="774"/>
        <w:gridCol w:w="148"/>
        <w:gridCol w:w="109"/>
        <w:gridCol w:w="109"/>
        <w:gridCol w:w="109"/>
        <w:gridCol w:w="412"/>
        <w:gridCol w:w="412"/>
        <w:gridCol w:w="414"/>
        <w:gridCol w:w="109"/>
        <w:gridCol w:w="109"/>
        <w:gridCol w:w="109"/>
        <w:gridCol w:w="403"/>
        <w:gridCol w:w="1011"/>
        <w:gridCol w:w="324"/>
      </w:tblGrid>
      <w:tr>
        <w:trPr/>
        <w:tc>
          <w:tcPr>
            <w:tcW w:w="195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Income/(Loss)</w:t>
              <w:b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Per-Share Amount**</w:t>
            </w:r>
          </w:p>
        </w:tc>
      </w:tr>
      <w:tr>
        <w:trPr/>
        <w:tc>
          <w:tcPr>
            <w:tcW w:w="5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June 30, 2025</w:t>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June 30, 2024</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six months ended June 30, 2025</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six months ended June 30, 2024</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lineRule="auto" w:line="276" w:before="60" w:after="60"/>
        <w:jc w:val="left"/>
        <w:rPr>
          <w:rFonts w:ascii="Times New Roman;serif" w:hAnsi="Times New Roman;serif"/>
          <w:b w:val="false"/>
          <w:color w:val="000000"/>
          <w:sz w:val="16"/>
        </w:rPr>
      </w:pPr>
      <w:r>
        <w:rPr>
          <w:rFonts w:ascii="Times New Roman;serif" w:hAnsi="Times New Roman;serif"/>
          <w:b w:val="false"/>
          <w:color w:val="000000"/>
          <w:sz w:val="16"/>
        </w:rPr>
        <w:t>(**) Rounding may affect summation.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outstanding anti-dilutive potential shares of common stock that have been excluded from diluted net loss per share attributable to common stockholders because their inclusion would have been anti-dilutive as of June 30, 2025 and 2024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4120" w:type="dxa"/>
        <w:jc w:val="left"/>
        <w:tblInd w:w="0" w:type="dxa"/>
        <w:tblLayout w:type="fixed"/>
        <w:tblCellMar>
          <w:top w:w="28" w:type="dxa"/>
          <w:left w:w="28" w:type="dxa"/>
          <w:bottom w:w="28" w:type="dxa"/>
          <w:right w:w="28" w:type="dxa"/>
        </w:tblCellMar>
      </w:tblPr>
      <w:tblGrid>
        <w:gridCol w:w="818"/>
        <w:gridCol w:w="720"/>
        <w:gridCol w:w="726"/>
        <w:gridCol w:w="278"/>
        <w:gridCol w:w="278"/>
        <w:gridCol w:w="156"/>
        <w:gridCol w:w="125"/>
        <w:gridCol w:w="125"/>
        <w:gridCol w:w="125"/>
        <w:gridCol w:w="278"/>
        <w:gridCol w:w="278"/>
        <w:gridCol w:w="213"/>
      </w:tblGrid>
      <w:tr>
        <w:trPr/>
        <w:tc>
          <w:tcPr>
            <w:tcW w:w="8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Non-qualified stock options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stock units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8. Stockholders' Equity (Deficit)</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In connection with various debt restructuring agreements entered into during the year ended December 31, 2024, the Company issued warrants to purchase an aggregate of 3.0 million shares of the Company’s common stock, including the warrants noted in </w:t>
      </w:r>
      <w:r>
        <w:rPr>
          <w:rFonts w:ascii="Times New Roman;serif" w:hAnsi="Times New Roman;serif"/>
          <w:b w:val="false"/>
          <w:i/>
          <w:color w:val="000000"/>
          <w:sz w:val="20"/>
        </w:rPr>
        <w:t>Note 5 – Debt</w:t>
      </w:r>
      <w:r>
        <w:rPr>
          <w:rFonts w:ascii="Times New Roman;serif" w:hAnsi="Times New Roman;serif"/>
          <w:b w:val="false"/>
          <w:color w:val="000000"/>
          <w:sz w:val="20"/>
        </w:rPr>
        <w:t>.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issued during the year ended December 31, 2024 are the only outstanding warrants as of both June 30, 2025 and December 31, 2024. As of June 30, 2025, none of the warrants have been exercised.</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number and exercise price of the warrants issued and outstanding as of June 30, 2025 are as follows:</w:t>
      </w:r>
    </w:p>
    <w:tbl>
      <w:tblPr>
        <w:tblW w:w="6683" w:type="dxa"/>
        <w:jc w:val="left"/>
        <w:tblInd w:w="0" w:type="dxa"/>
        <w:tblLayout w:type="fixed"/>
        <w:tblCellMar>
          <w:top w:w="28" w:type="dxa"/>
          <w:left w:w="28" w:type="dxa"/>
          <w:bottom w:w="28" w:type="dxa"/>
          <w:right w:w="28" w:type="dxa"/>
        </w:tblCellMar>
      </w:tblPr>
      <w:tblGrid>
        <w:gridCol w:w="528"/>
        <w:gridCol w:w="462"/>
        <w:gridCol w:w="465"/>
        <w:gridCol w:w="109"/>
        <w:gridCol w:w="109"/>
        <w:gridCol w:w="109"/>
        <w:gridCol w:w="1138"/>
        <w:gridCol w:w="1138"/>
        <w:gridCol w:w="1143"/>
        <w:gridCol w:w="109"/>
        <w:gridCol w:w="109"/>
        <w:gridCol w:w="109"/>
        <w:gridCol w:w="250"/>
        <w:gridCol w:w="709"/>
        <w:gridCol w:w="196"/>
      </w:tblGrid>
      <w:tr>
        <w:trPr/>
        <w:tc>
          <w:tcPr>
            <w:tcW w:w="5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to Purchase with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236,074 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88,534 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20,646 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1,543,363 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29,687 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3,018,304 </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total of 2,000,000 shares of preferred stock authorized for issuance at a par value of $0.001 per share, 150,000 of which have been designated Series D Preferred Stock and 39,500 of which have been designated Series E Preferred Stock. As of June 30, 2025 and December 31, 2024, the Company had 25,000 shares of Series E preferred stock issued and outstanding. Dividends declared, but not paid, related to the Series E Preferred Stock resulted in $15.1 million and $13.4 million of dividends accrued, approximating $605.59 and $535.71 per preferred share, as of June 30, 2025 and December 31, 2024, respectively. The aggregate liquidation preference of the issued and outstanding shares of Series E Preferred Stock as of June 30, 2025 was $40.1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9. Segment, Geographic, and Concentrations of Risk Information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previously detailed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the Company operates as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reportable segment. As of June 30, 2025, the Company’s CODM was its CEO. The Company’s CODM does not manage any part of the Company separately, and the allocation of resources and assessment of performance is based solely on the Company’s consolidated operations and financial results. The accounting policies of our single reportable segment are the same as those described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revenues, significant expenses and other segment items regularly provided to the CODM:</w:t>
      </w:r>
    </w:p>
    <w:tbl>
      <w:tblPr>
        <w:tblW w:w="10205" w:type="dxa"/>
        <w:jc w:val="left"/>
        <w:tblInd w:w="0" w:type="dxa"/>
        <w:tblLayout w:type="fixed"/>
        <w:tblCellMar>
          <w:top w:w="28" w:type="dxa"/>
          <w:left w:w="28" w:type="dxa"/>
          <w:bottom w:w="28" w:type="dxa"/>
          <w:right w:w="28" w:type="dxa"/>
        </w:tblCellMar>
      </w:tblPr>
      <w:tblGrid>
        <w:gridCol w:w="1956"/>
        <w:gridCol w:w="1705"/>
        <w:gridCol w:w="171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95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research and development</w:t>
            </w:r>
            <w:r>
              <w:rPr>
                <w:color w:val="000000"/>
              </w:rPr>
              <w:t xml:space="preserve"> </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sales and marketing</w:t>
            </w:r>
            <w:r>
              <w:rPr>
                <w:color w:val="000000"/>
              </w:rPr>
              <w:t xml:space="preserve">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general and administrative</w:t>
            </w:r>
            <w:r>
              <w:rPr>
                <w:color w:val="000000"/>
              </w:rPr>
              <w:t xml:space="preserve"> </w:t>
            </w:r>
            <w:r>
              <w:rPr>
                <w:rFonts w:ascii="Times New Roman;serif" w:hAnsi="Times New Roman;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depreciation and amortization</w:t>
            </w:r>
            <w:r>
              <w:rPr>
                <w:color w:val="000000"/>
              </w:rPr>
              <w:t xml:space="preserve"> </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Capitalizable software development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 assets related to business combinations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restructuring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profit or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any share-based compensation expense.</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(2) Excludes any depreciation and amortization or share-based compensation expense.</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Excludes any depreciation and amortization, share-based compensation expense, right-of-use asset impairments, or debt restructuring costs.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Excludes amortization of purchased intangible assets.</w:t>
            </w:r>
          </w:p>
        </w:tc>
      </w:tr>
    </w:tbl>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revenues by geographic region based on shipping destination (in thousands):</w:t>
      </w:r>
    </w:p>
    <w:tbl>
      <w:tblPr>
        <w:tblW w:w="7530" w:type="dxa"/>
        <w:jc w:val="left"/>
        <w:tblInd w:w="0" w:type="dxa"/>
        <w:tblLayout w:type="fixed"/>
        <w:tblCellMar>
          <w:top w:w="28" w:type="dxa"/>
          <w:left w:w="28" w:type="dxa"/>
          <w:bottom w:w="28" w:type="dxa"/>
          <w:right w:w="28" w:type="dxa"/>
        </w:tblCellMar>
      </w:tblPr>
      <w:tblGrid>
        <w:gridCol w:w="978"/>
        <w:gridCol w:w="857"/>
        <w:gridCol w:w="86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and Canada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(including United Kingdom)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long-term assets are located within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two customers accounted for 62.2% and 24.2% of revenues, respectively. For the three months ended June 30, 2024, two customers accounted for 45.3% and 34.3% of revenues, respectively.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two customers accounted for 58.9% and 29.0% of revenues, respectively. For the six months ended June 30, 2024, two customers accounted for 46.1% and 29.1% of revenues,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three customers accounted for 58.1%, 18.0%, and 13.2% of accounts receivable, net, respectively. As of December 31, 2024, three customers accounted for 33.6%, 22.8%, and 18.8% of accounts receivable, net, respectively. </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Concentrations in the Available Sources of Supply of Materials and Product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services use hardware and software from various third parties, some of which are procured from sole-source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In addition, many of our suppliers are located outside of the United States and therefore can be impacted by additional government regulations, such as import tariffs.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lineRule="auto" w:line="276"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Noncancellable Purchase Obligations</w:t>
      </w:r>
    </w:p>
    <w:p>
      <w:pPr>
        <w:pStyle w:val="TextBody"/>
        <w:bidi w:val="0"/>
        <w:spacing w:lineRule="auto" w:line="276"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typically enters into commitments with its contract manufacturers that require future purchases of goods or services in the three to four quarters following the balance sheet date. Such commitments are noncancellable (“noncancellable purchase obligations”). As of June 30, 2025, future payments under these noncancellable purchase obligations were approximately $62.3 million.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Indemnification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taxes for both periods consisted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Subsequent Events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2025, the Company entered into a $15.0 million secured asset-backed revolving credit facility (the “Working Capital Facility”) with BMO Bank N.A. (“BMO”).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Obligations under the Working Capital Facility are secured by a continuing security interest in substantially all property of Inseego Corp. and certain of its subsidiaries, subject to customary exclusions. Availability under the Working Capital Facility will be determined monthly by a borrowing base comprised of a percentage of eligible accounts receivable and eligible inventory. Loans made under the Working Capital Facility bear interest at Term Secured Overnight Financing Rate (“SOFR”),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defined in the Working Capital Facility Agreement (defined below), plus an applicable margin ranging from 1.00-2.50%, subject to certain exceptions. The facility matures on August 5, 2028 and contains certain financial and non-financial covenants.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Working Capital Facility is governed by a Credit and Security Agreement (the “Working Capital Facility Agreement”). Further details of the Working Capital Facility, including a copy of the Working Capital Facility Agreement, are available within the Form 8-K filed by the Company on August 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compete in the market for wireless broadband data access products, wireless modem products, and telematics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pace of 5G wireless network rollouts globally and their adoption by customers;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attract new customers and retain existing customers;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develop sales channels and to onboard and execute successfully with channel partners;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develop and expand into new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contract manufacturers and third parties to manufacture our products;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successful investments in research and development;</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introduce and sell new products that comply with current and evolving industry standards and government regulations such as the evolving 5G New Radio (“5G NR”) price and performance standards;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mitigate the impact of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continuing impact of uncertain global economic conditions on the demand for our products; and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geopolitical instability on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payments on or to refinance our indebtedness;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outcome of any pending or future litigation, including intellectual property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conducting business abroad, including foreign currency risks;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high rates of inflation and rising interest rates;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infringement claims with respect to intellectual property contained in our solutions.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2024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 </w:t>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76" w:before="180" w:after="180"/>
        <w:ind w:left="0" w:right="0" w:firstLine="450"/>
        <w:jc w:val="left"/>
        <w:rPr>
          <w:color w:val="000000"/>
        </w:rPr>
      </w:pPr>
      <w:r>
        <w:rPr>
          <w:color w:val="000000"/>
        </w:rPr>
        <w:t>“</w:t>
      </w:r>
      <w:r>
        <w:rPr>
          <w:rFonts w:ascii="Times New Roman;serif" w:hAnsi="Times New Roman;serif"/>
          <w:b w:val="false"/>
          <w:color w:val="000000"/>
          <w:sz w:val="20"/>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pStyle w:val="TextBody"/>
        <w:bidi w:val="0"/>
        <w:spacing w:before="18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2024, contained in our Form 10-K.</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wireless subscriber management SaaS solution for carriers’ management of their government and complex enterprise customer subscriptions.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5G products and associated cloud solutions are designed and developed in the U.S. and are used in mission-critical applications requiring the highest levels of security and zero unscheduled downtime. These products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and cash flows related to the divested Telematics Business have been classified as discontinued operations within the Condensed Consolidated Statements of Operations and Comprehensive Income and Condensed Consolidated Statements of Cash Flows for all periods presented within the consolidated financial statements included in Part I, Item 1 of this Quarterly Report on Form 10-Q. All discussion below relates to the Company’s continuing operations only, which excludes any results related to the divested Telematics Business, unless noted otherwise.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Our Sources of Revenue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revenues from the sale of our products and services into two categories: Product Revenue, which consists of our Mobile Solutions and Fixed Wireless Access Solutions, and Services and Other. A description of each of the revenue classifications is as follows:</w:t>
      </w:r>
    </w:p>
    <w:p>
      <w:pPr>
        <w:pStyle w:val="TextBody"/>
        <w:bidi w:val="0"/>
        <w:spacing w:lineRule="auto" w:line="276" w:before="0" w:after="0"/>
        <w:jc w:val="left"/>
        <w:rPr/>
      </w:pPr>
      <w:r>
        <w:rPr>
          <w:rFonts w:ascii="Times New Roman;serif" w:hAnsi="Times New Roman;serif"/>
          <w:b w:val="false"/>
          <w:i/>
          <w:color w:val="000000"/>
          <w:sz w:val="20"/>
        </w:rPr>
        <w:t>Mobile solutions</w:t>
      </w:r>
      <w:r>
        <w:rPr>
          <w:rFonts w:ascii="Times New Roman;serif" w:hAnsi="Times New Roman;serif"/>
          <w:b w:val="false"/>
          <w:color w:val="000000"/>
          <w:sz w:val="20"/>
        </w:rPr>
        <w:t>: Our mobile broadband devices, sold under the MiFi brand, are actively used by millions of end users to provide secure and convenient high-speed access to corporate, public and personal information through the Internet and enterprise networks. Our mobile portfolio is supported by our cloud offering, Inseego Connect for device management, whose revenues are included in</w:t>
      </w:r>
      <w:r>
        <w:rPr>
          <w:color w:val="000000"/>
        </w:rPr>
        <w:t xml:space="preserve"> </w:t>
      </w:r>
      <w:r>
        <w:rPr>
          <w:rFonts w:ascii="Times New Roman;serif" w:hAnsi="Times New Roman;serif"/>
          <w:b w:val="false"/>
          <w:i/>
          <w:color w:val="000000"/>
          <w:sz w:val="20"/>
        </w:rPr>
        <w:t>Services and Other</w:t>
      </w:r>
      <w:r>
        <w:rPr>
          <w:color w:val="000000"/>
        </w:rPr>
        <w:t xml:space="preserve"> </w:t>
      </w:r>
      <w:r>
        <w:rPr>
          <w:rFonts w:ascii="Times New Roman;serif" w:hAnsi="Times New Roman;serif"/>
          <w:b w:val="false"/>
          <w:color w:val="000000"/>
          <w:sz w:val="20"/>
        </w:rPr>
        <w:t>below. Our Mobile Solutions customer base is primarily comprised of mobile operators. These mobile operators include Verizon Wireless, T-Mobile and U.S. Cellular in the United States, Rogers and Telus in Canada, and various companies in other vertical markets.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Fixed wireless access solutions</w:t>
      </w:r>
      <w:r>
        <w:rPr>
          <w:rFonts w:ascii="Times New Roman;serif" w:hAnsi="Times New Roman;serif"/>
          <w:b w:val="false"/>
          <w:color w:val="000000"/>
          <w:sz w:val="20"/>
        </w:rPr>
        <w:t xml:space="preserve">: 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0" w:after="0"/>
        <w:jc w:val="left"/>
        <w:rPr/>
      </w:pPr>
      <w:r>
        <w:rPr>
          <w:rFonts w:ascii="Times New Roman;serif" w:hAnsi="Times New Roman;serif"/>
          <w:b w:val="false"/>
          <w:i/>
          <w:color w:val="000000"/>
          <w:sz w:val="20"/>
        </w:rPr>
        <w:t>Services and other</w:t>
      </w:r>
      <w:r>
        <w:rPr>
          <w:color w:val="000000"/>
        </w:rPr>
        <w:t xml:space="preserve"> </w:t>
      </w:r>
      <w:r>
        <w:rPr>
          <w:rFonts w:ascii="Times New Roman;serif" w:hAnsi="Times New Roman;serif"/>
          <w:b w:val="false"/>
          <w:color w:val="000000"/>
          <w:sz w:val="20"/>
        </w:rPr>
        <w:t xml:space="preserve">below. These devices, sold under the Wavemaker brands, are sold by mobile operators such as T-Mobile, U.S. Cellular and Verizon Wireless along with distribution and channel partners.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Services and other</w:t>
      </w:r>
      <w:r>
        <w:rPr>
          <w:rFonts w:ascii="Times New Roman;serif" w:hAnsi="Times New Roman;serif"/>
          <w:b w:val="false"/>
          <w:color w:val="000000"/>
          <w:sz w:val="20"/>
        </w:rPr>
        <w:t xml:space="preserve">: A substantial majority of our Services and Other revenue comes from providing a SaaS wireless subscriber management solution (Inseego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 </w:t>
      </w:r>
      <w:r>
        <w:rPr>
          <w:rFonts w:ascii="Times New Roman;serif" w:hAnsi="Times New Roman;serif"/>
          <w:b w:val="false"/>
          <w:i/>
          <w:color w:val="000000"/>
          <w:sz w:val="20"/>
        </w:rPr>
        <w:t>Service and other</w:t>
      </w:r>
      <w:r>
        <w:rPr>
          <w:color w:val="000000"/>
        </w:rPr>
        <w:t xml:space="preserve"> </w:t>
      </w:r>
      <w:r>
        <w:rPr>
          <w:rFonts w:ascii="Times New Roman;serif" w:hAnsi="Times New Roman;serif"/>
          <w:b w:val="false"/>
          <w:color w:val="000000"/>
          <w:sz w:val="20"/>
        </w:rPr>
        <w:t>revenue.</w:t>
      </w:r>
    </w:p>
    <w:p>
      <w:pPr>
        <w:pStyle w:val="TextBody"/>
        <w:bidi w:val="0"/>
        <w:spacing w:lineRule="auto" w:line="276"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Segment Reporting</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w:t>
      </w:r>
      <w:r>
        <w:rPr>
          <w:rFonts w:ascii="Times New Roman;serif" w:hAnsi="Times New Roman;serif"/>
          <w:b w:val="false"/>
          <w:color w:val="000000"/>
          <w:sz w:val="20"/>
        </w:rPr>
        <w:t>As such, our operations constitute a single operating segment and one reportable segment.</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discussed in the Form 10-K.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Three Months Ended June 30, 2025 Compared to Three Months Ended June 30, 2024 </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three months ended June 30, 2025 were $40.2 million, compared to $51.6 million for the same period in 2024.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our two categories (in thousands):</w:t>
      </w:r>
    </w:p>
    <w:tbl>
      <w:tblPr>
        <w:tblW w:w="7090"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 xml:space="preserve">The $12.2 million decrease in mobile solutions revenues is primarily due to decreased sales with one of our carrier partners due to significant promotional activity in the prior period. </w:t>
      </w:r>
    </w:p>
    <w:p>
      <w:pPr>
        <w:pStyle w:val="TextBody"/>
        <w:bidi w:val="0"/>
        <w:spacing w:lineRule="auto" w:line="276" w:before="180" w:after="180"/>
        <w:ind w:left="0" w:right="0" w:firstLine="450"/>
        <w:jc w:val="left"/>
        <w:rPr/>
      </w:pPr>
      <w:r>
        <w:rPr>
          <w:rFonts w:ascii="Times New Roman;serif" w:hAnsi="Times New Roman;serif"/>
          <w:b w:val="false"/>
          <w:i/>
          <w:color w:val="000000"/>
          <w:sz w:val="20"/>
          <w:shd w:fill="FFFFFF" w:val="clear"/>
        </w:rPr>
        <w:t>Fixed wireless access solutions.</w:t>
      </w:r>
      <w:r>
        <w:rPr>
          <w:color w:val="000000"/>
          <w:shd w:fill="FFFFFF" w:val="clear"/>
        </w:rPr>
        <w:t xml:space="preserve"> </w:t>
      </w:r>
      <w:r>
        <w:rPr>
          <w:rFonts w:ascii="Times New Roman;serif" w:hAnsi="Times New Roman;serif"/>
          <w:b w:val="false"/>
          <w:color w:val="000000"/>
          <w:sz w:val="20"/>
          <w:shd w:fill="FFFFFF" w:val="clear"/>
        </w:rPr>
        <w:t xml:space="preserve">The $1.2 million increase in fixed wireless </w:t>
      </w:r>
      <w:r>
        <w:rPr>
          <w:rFonts w:ascii="Times New Roman;serif" w:hAnsi="Times New Roman;serif"/>
          <w:b w:val="false"/>
          <w:color w:val="000000"/>
          <w:sz w:val="20"/>
        </w:rPr>
        <w:t>access solutions revenues is primarily due to the successful launch of our current generation indoor FWA solution during the current period.</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Services and other </w:t>
      </w:r>
      <w:r>
        <w:rPr>
          <w:rFonts w:ascii="Times New Roman;serif" w:hAnsi="Times New Roman;serif"/>
          <w:b w:val="false"/>
          <w:color w:val="000000"/>
          <w:sz w:val="20"/>
        </w:rPr>
        <w:t>The $0.4 million decrease in services and other revenues is primarily due to non-recurring engineering revenue generated in the prior period.</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three months ended June 30, 2025 was $23.7 million, or 58.9% of revenues, compared to $32.8 million, or 63.6% of revenues, for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339" w:type="dxa"/>
        <w:jc w:val="left"/>
        <w:tblInd w:w="0" w:type="dxa"/>
        <w:tblLayout w:type="fixed"/>
        <w:tblCellMar>
          <w:top w:w="28" w:type="dxa"/>
          <w:left w:w="28" w:type="dxa"/>
          <w:bottom w:w="28" w:type="dxa"/>
          <w:right w:w="28" w:type="dxa"/>
        </w:tblCellMar>
      </w:tblPr>
      <w:tblGrid>
        <w:gridCol w:w="608"/>
        <w:gridCol w:w="535"/>
        <w:gridCol w:w="536"/>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301"/>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$8.1 million decrease in product cost of revenues is primarily due to decreased product revenues, partially offset by an increased proportion of higher cost FWA products in comparison to lower cost mobile products.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Services and other.</w:t>
      </w:r>
      <w:r>
        <w:rPr>
          <w:color w:val="000000"/>
        </w:rPr>
        <w:t xml:space="preserve"> </w:t>
      </w:r>
      <w:r>
        <w:rPr>
          <w:rFonts w:ascii="Times New Roman;serif" w:hAnsi="Times New Roman;serif"/>
          <w:b w:val="false"/>
          <w:color w:val="000000"/>
          <w:sz w:val="20"/>
        </w:rPr>
        <w:t>The $1.0 million decrease in services and other cost of revenues is primarily due to decreased outside service costs related to Inseego Subscribe revenues, decreased annual incentive bonus accruals, and decreased non-recurring engineering revenues and the related costs of performing those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three months ended June 30, 2025 was $16.5 million, or a gross margin of 41.1%, compared to $18.8 million, or a gross margin of 36.4%</w:t>
      </w:r>
      <w:r>
        <w:rPr>
          <w:rFonts w:ascii="Times New Roman;serif" w:hAnsi="Times New Roman;serif"/>
          <w:b w:val="false"/>
          <w:color w:val="000000"/>
          <w:sz w:val="20"/>
          <w:shd w:fill="FFFFFF" w:val="clear"/>
        </w:rPr>
        <w:t>, for the same period in 2024. The decrease in gross profit is primarily due to decreased mobile solutions revenues. The increase in gross margin is primarily due to a increased proportion of higher margin service and FWA revenues as a percentage of total revenues.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tbl>
      <w:tblPr>
        <w:tblW w:w="7076" w:type="dxa"/>
        <w:jc w:val="left"/>
        <w:tblInd w:w="0" w:type="dxa"/>
        <w:tblLayout w:type="fixed"/>
        <w:tblCellMar>
          <w:top w:w="28" w:type="dxa"/>
          <w:left w:w="28" w:type="dxa"/>
          <w:bottom w:w="28" w:type="dxa"/>
          <w:right w:w="28" w:type="dxa"/>
        </w:tblCellMar>
      </w:tblPr>
      <w:tblGrid>
        <w:gridCol w:w="863"/>
        <w:gridCol w:w="760"/>
        <w:gridCol w:w="762"/>
        <w:gridCol w:w="199"/>
        <w:gridCol w:w="656"/>
        <w:gridCol w:w="110"/>
        <w:gridCol w:w="110"/>
        <w:gridCol w:w="110"/>
        <w:gridCol w:w="110"/>
        <w:gridCol w:w="199"/>
        <w:gridCol w:w="656"/>
        <w:gridCol w:w="110"/>
        <w:gridCol w:w="109"/>
        <w:gridCol w:w="109"/>
        <w:gridCol w:w="109"/>
        <w:gridCol w:w="196"/>
        <w:gridCol w:w="631"/>
        <w:gridCol w:w="109"/>
        <w:gridCol w:w="109"/>
        <w:gridCol w:w="109"/>
        <w:gridCol w:w="109"/>
        <w:gridCol w:w="268"/>
        <w:gridCol w:w="272"/>
        <w:gridCol w:w="301"/>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three months ended June 30, 2025 were $4.8 million, or 12.0% of revenues, compared to $5.2 million, or 10.0% of revenues, for the same period in 2024. The decrease in research and development expenses was primarily due to more research and development projects that were capitalizable during the three months ended June 30, 2025, which resulted in a lower percentage of research and development costs being recorded as operating expenses, and decreased annual incentive bonus accruals, partially offset by increased outside services costs related to the Company’s increased development efforts for its next line of products. </w:t>
      </w:r>
    </w:p>
    <w:p>
      <w:pPr>
        <w:pStyle w:val="TextBody"/>
        <w:bidi w:val="0"/>
        <w:spacing w:lineRule="auto" w:line="276"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three months ended June 30, 2025 were $4.0 million, or 9.8% of revenues, compared to $4.2 million, or 8.2% of revenues, for the same period in 2024. The decrease in sales and marketing expenses was primarily due to decreased sales commissions as a result of lower sales and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three months ended June 30, 2025 were $4.7 million, or 11.7% of revenues, compared to $3.9 million, or 7.6% of revenues, for the same period in 2024. The increase in general and administrative expense was primarily due to an increase in share-based compensation expense related to awards issued to the Company’s CEO who was hired in January 2025 and an increase in compensation costs due to increased headcount, partially offset by decreased legal and consulting expenses related to the Company’s overall capital structure management efforts in the three months ended June 30, 2024.</w:t>
      </w:r>
    </w:p>
    <w:p>
      <w:pPr>
        <w:pStyle w:val="TextBody"/>
        <w:bidi w:val="0"/>
        <w:spacing w:lineRule="auto" w:line="276" w:before="180" w:after="180"/>
        <w:ind w:left="0" w:right="0" w:firstLine="450"/>
        <w:jc w:val="left"/>
        <w:rPr/>
      </w:pPr>
      <w:r>
        <w:rPr>
          <w:rFonts w:ascii="Times New Roman;serif" w:hAnsi="Times New Roman;serif"/>
          <w:b/>
          <w:i/>
          <w:color w:val="000000"/>
          <w:sz w:val="20"/>
          <w:shd w:fill="FFFFFF" w:val="clear"/>
        </w:rPr>
        <w:t>Depreciation and amortization expenses</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Depreciation</w:t>
      </w:r>
      <w:r>
        <w:rPr>
          <w:color w:val="000000"/>
        </w:rPr>
        <w:t xml:space="preserve"> </w:t>
      </w:r>
      <w:r>
        <w:rPr>
          <w:rFonts w:ascii="Times New Roman;serif" w:hAnsi="Times New Roman;serif"/>
          <w:b w:val="false"/>
          <w:color w:val="000000"/>
          <w:sz w:val="20"/>
        </w:rPr>
        <w:t>and amortization expenses for the three months ended June 30, 2025 were $1.8 million, or 4.4% of revenues, compared to $3.7 million, or 7.1% of revenues, for the same period in 2024. The decrease in depreciation and amortization expenses was primarily due to the capitalized costs on the Company’s next generation of software intended for sale being capitalized but not amortizable until future quarters and the ending of useful life of certain amortizable purchased intangibles.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8275" w:type="dxa"/>
        <w:jc w:val="left"/>
        <w:tblInd w:w="0" w:type="dxa"/>
        <w:tblLayout w:type="fixed"/>
        <w:tblCellMar>
          <w:top w:w="28" w:type="dxa"/>
          <w:left w:w="28" w:type="dxa"/>
          <w:bottom w:w="28" w:type="dxa"/>
          <w:right w:w="28" w:type="dxa"/>
        </w:tblCellMar>
      </w:tblPr>
      <w:tblGrid>
        <w:gridCol w:w="1334"/>
        <w:gridCol w:w="1176"/>
        <w:gridCol w:w="1180"/>
        <w:gridCol w:w="215"/>
        <w:gridCol w:w="544"/>
        <w:gridCol w:w="119"/>
        <w:gridCol w:w="119"/>
        <w:gridCol w:w="119"/>
        <w:gridCol w:w="119"/>
        <w:gridCol w:w="215"/>
        <w:gridCol w:w="692"/>
        <w:gridCol w:w="119"/>
        <w:gridCol w:w="109"/>
        <w:gridCol w:w="109"/>
        <w:gridCol w:w="109"/>
        <w:gridCol w:w="200"/>
        <w:gridCol w:w="430"/>
        <w:gridCol w:w="109"/>
        <w:gridCol w:w="109"/>
        <w:gridCol w:w="109"/>
        <w:gridCol w:w="109"/>
        <w:gridCol w:w="313"/>
        <w:gridCol w:w="317"/>
        <w:gridCol w:w="301"/>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$0.8 million decrease in interest expense for the three months ended June 30, 2025 over the same period in 2024 was primarily a result the Company’s various repurchases and exchanges of the 2025 Convertible Notes (as defined below) that occurred during 2024 and the full repayment of the remaining Notes on May 1, 2025, resulting in lower coupon interest, partially offset by interest expense on the Company’s 2029 Senior Secured Notes (as defined below) that were issued in the fourth quarter of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Loss on extinguishment of revolving credit facility </w:t>
      </w:r>
      <w:r>
        <w:rPr>
          <w:rFonts w:ascii="Times New Roman;serif" w:hAnsi="Times New Roman;serif"/>
          <w:b w:val="false"/>
          <w:color w:val="000000"/>
          <w:sz w:val="20"/>
        </w:rPr>
        <w:t xml:space="preserve">The $0.8 million loss on extinguishment of revolving credit facility for the three months ended June 30, 2024 relates to the terminations of the Company’s Credit Facility (as defined in Part I, Item 1, </w:t>
      </w:r>
      <w:r>
        <w:rPr>
          <w:rFonts w:ascii="Times New Roman;serif" w:hAnsi="Times New Roman;serif"/>
          <w:b w:val="false"/>
          <w:i/>
          <w:color w:val="000000"/>
          <w:sz w:val="20"/>
        </w:rPr>
        <w:t>Note 5 - Debt</w:t>
      </w:r>
      <w:r>
        <w:rPr>
          <w:rFonts w:ascii="Times New Roman;serif" w:hAnsi="Times New Roman;serif"/>
          <w:b w:val="false"/>
          <w:color w:val="000000"/>
          <w:sz w:val="20"/>
        </w:rPr>
        <w:t>) in April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Gain on debt restructurings, net </w:t>
      </w:r>
      <w:r>
        <w:rPr>
          <w:rFonts w:ascii="Times New Roman;serif" w:hAnsi="Times New Roman;serif"/>
          <w:b w:val="false"/>
          <w:color w:val="000000"/>
          <w:sz w:val="20"/>
        </w:rPr>
        <w:t>The $1.3 million net gain on troubled debt restructurings for the three months ended June 30, 2024 is a result of the Company’s various 2025 Convertible Notes restructurings completed during 2024 as part of our overall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three months ended June 30, 2025 and 2024 was $0.2 million and $(0.4) million, respectively. The increase in other income, net was primarily due to interest income earned on money market fund accounts that the Company began investing in during the first quarter of 2025.</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w:t>
      </w:r>
      <w:r>
        <w:rPr>
          <w:rFonts w:ascii="Times New Roman;serif" w:hAnsi="Times New Roman;serif"/>
          <w:b w:val="false"/>
          <w:color w:val="000000"/>
          <w:sz w:val="20"/>
        </w:rPr>
        <w:t>Income tax provision for the six months ended June 30, 2025 and 2024 was a provision of $0.0 million and $0.1 million, respectively.</w:t>
      </w:r>
    </w:p>
    <w:p>
      <w:pPr>
        <w:pStyle w:val="TextBody"/>
        <w:bidi w:val="0"/>
        <w:spacing w:lineRule="auto" w:line="268" w:before="0" w:after="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Income (loss) from discontinued operations, net of tax for the three months ended June 30, 2025 and 2024 was $0.0 million and $0.5 million, respectively.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three months ended June 30, 2025 and 2024, we recorded dividends of $0.9 million and $0.8 million, respectively, on our Series 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180" w:after="180"/>
        <w:ind w:left="0" w:right="0" w:firstLine="450"/>
        <w:jc w:val="left"/>
        <w:rPr>
          <w:rFonts w:ascii="Times New Roman;serif" w:hAnsi="Times New Roman;serif"/>
          <w:b/>
          <w:color w:val="000000"/>
          <w:sz w:val="20"/>
        </w:rPr>
      </w:pPr>
      <w:r>
        <w:rPr>
          <w:rFonts w:ascii="Times New Roman;serif" w:hAnsi="Times New Roman;serif"/>
          <w:b/>
          <w:color w:val="000000"/>
          <w:sz w:val="20"/>
        </w:rPr>
        <w:t>Six Months Ended June 30, 2025 Compared to Six Months Ended June 30, 2024</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six months ended June 30, 2025 were $71.9 million, compared to $89.1 million for the same period in 2024.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our two product categories (in thousands):</w:t>
      </w:r>
    </w:p>
    <w:tbl>
      <w:tblPr>
        <w:tblW w:w="7090"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Mobile solutions.</w:t>
      </w:r>
      <w:r>
        <w:rPr>
          <w:color w:val="000000"/>
          <w:shd w:fill="FFFFFF" w:val="clear"/>
        </w:rPr>
        <w:t xml:space="preserve"> </w:t>
      </w:r>
      <w:r>
        <w:rPr>
          <w:rFonts w:ascii="Times New Roman;serif" w:hAnsi="Times New Roman;serif"/>
          <w:b w:val="false"/>
          <w:color w:val="000000"/>
          <w:sz w:val="20"/>
          <w:shd w:fill="FFFFFF" w:val="clear"/>
        </w:rPr>
        <w:t xml:space="preserve">The $9.7 million decrease in </w:t>
      </w:r>
      <w:r>
        <w:rPr>
          <w:rFonts w:ascii="Times New Roman;serif" w:hAnsi="Times New Roman;serif"/>
          <w:b w:val="false"/>
          <w:color w:val="000000"/>
          <w:sz w:val="20"/>
        </w:rPr>
        <w:t xml:space="preserve">mobile solutions revenues is primarily due to decreased sales with one of our carrier partners due to significant promotional activity in the prior period. </w:t>
      </w:r>
    </w:p>
    <w:p>
      <w:pPr>
        <w:pStyle w:val="TextBody"/>
        <w:bidi w:val="0"/>
        <w:spacing w:lineRule="auto" w:line="268" w:before="180" w:after="180"/>
        <w:ind w:left="0" w:right="0" w:firstLine="450"/>
        <w:jc w:val="left"/>
        <w:rPr/>
      </w:pPr>
      <w:r>
        <w:rPr>
          <w:rFonts w:ascii="Times New Roman;serif" w:hAnsi="Times New Roman;serif"/>
          <w:b w:val="false"/>
          <w:i/>
          <w:color w:val="000000"/>
          <w:sz w:val="20"/>
          <w:shd w:fill="FFFFFF" w:val="clear"/>
        </w:rPr>
        <w:t>Fixed wireless access solutions.</w:t>
      </w:r>
      <w:r>
        <w:rPr>
          <w:color w:val="000000"/>
          <w:shd w:fill="FFFFFF" w:val="clear"/>
        </w:rPr>
        <w:t xml:space="preserve"> </w:t>
      </w:r>
      <w:r>
        <w:rPr>
          <w:rFonts w:ascii="Times New Roman;serif" w:hAnsi="Times New Roman;serif"/>
          <w:b w:val="false"/>
          <w:color w:val="000000"/>
          <w:sz w:val="20"/>
          <w:shd w:fill="FFFFFF" w:val="clear"/>
        </w:rPr>
        <w:t xml:space="preserve">The $11.1 million decrease in fixed wireless access solutions revenues is primarily due to decreased sales with one of our carrier partners during the first three months of 2025 as we transitioned to our next generation of fixed wireless access products that launched during the second quarter of 2025 combined with decreased sales in our channel program.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 xml:space="preserve">Services and other </w:t>
      </w:r>
      <w:r>
        <w:rPr>
          <w:rFonts w:ascii="Times New Roman;serif" w:hAnsi="Times New Roman;serif"/>
          <w:b w:val="false"/>
          <w:color w:val="000000"/>
          <w:sz w:val="20"/>
        </w:rPr>
        <w:t xml:space="preserve">The $3.5 million increase in services and other revenues is primarily due to increased Inseego Subscribe revenues related to the terms of a two-year service contract renewal with a major customer that was executed in April 2024. </w:t>
      </w:r>
    </w:p>
    <w:p>
      <w:pPr>
        <w:pStyle w:val="TextBody"/>
        <w:bidi w:val="0"/>
        <w:spacing w:lineRule="auto" w:line="268"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six months ended June 30, 2025 was $40.4 million, or 56.2% of revenues, compared to $57.1 million, or 64.0% of revenues, for the same period in 2024. </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429" w:type="dxa"/>
        <w:jc w:val="left"/>
        <w:tblInd w:w="0" w:type="dxa"/>
        <w:tblLayout w:type="fixed"/>
        <w:tblCellMar>
          <w:top w:w="28" w:type="dxa"/>
          <w:left w:w="28" w:type="dxa"/>
          <w:bottom w:w="28" w:type="dxa"/>
          <w:right w:w="28" w:type="dxa"/>
        </w:tblCellMar>
      </w:tblPr>
      <w:tblGrid>
        <w:gridCol w:w="608"/>
        <w:gridCol w:w="535"/>
        <w:gridCol w:w="536"/>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$15.5 million decrease in product cost of revenues is primarily due to decreased product revenues, partially offset by an increased proportion of higher cost FWA products in comparison to lower cost mobile products.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Services and other.</w:t>
      </w:r>
      <w:r>
        <w:rPr>
          <w:color w:val="000000"/>
        </w:rPr>
        <w:t xml:space="preserve"> </w:t>
      </w:r>
      <w:r>
        <w:rPr>
          <w:rFonts w:ascii="Times New Roman;serif" w:hAnsi="Times New Roman;serif"/>
          <w:b w:val="false"/>
          <w:color w:val="000000"/>
          <w:sz w:val="20"/>
        </w:rPr>
        <w:t>The $1.2 million decrease in services and other cost of revenues is primarily due to decreased outside service costs related to Inseego Subscribe revenues, decreased annual incentive bonus accruals, and decreased non-recurring engineering revenues and the related costs of performing those services.</w:t>
      </w:r>
    </w:p>
    <w:p>
      <w:pPr>
        <w:pStyle w:val="TextBody"/>
        <w:bidi w:val="0"/>
        <w:spacing w:lineRule="auto" w:line="268"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xml:space="preserve">Gross profit for the six months ended June 30, 2025 was $31.5 million, or a gross margin of 43.8%, compared to $32.1 million, or a gross margin of 36.0%, for the same period in 2024. The decrease </w:t>
      </w:r>
      <w:r>
        <w:rPr>
          <w:rFonts w:ascii="Times New Roman;serif" w:hAnsi="Times New Roman;serif"/>
          <w:b w:val="false"/>
          <w:color w:val="000000"/>
          <w:sz w:val="20"/>
          <w:shd w:fill="FFFFFF" w:val="clear"/>
        </w:rPr>
        <w:t>in gross profit is primarily due to decreased product revenues, partially offset by increased Inseego Subscribe service revenues. The increase in gross margin is primarily due to a increased proportion of higher margin service revenues as a percentage of total revenues.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450"/>
        <w:jc w:val="left"/>
        <w:rPr/>
      </w:pPr>
      <w:r>
        <w:rPr/>
      </w:r>
    </w:p>
    <w:tbl>
      <w:tblPr>
        <w:tblW w:w="7224" w:type="dxa"/>
        <w:jc w:val="left"/>
        <w:tblInd w:w="0" w:type="dxa"/>
        <w:tblLayout w:type="fixed"/>
        <w:tblCellMar>
          <w:top w:w="28" w:type="dxa"/>
          <w:left w:w="28" w:type="dxa"/>
          <w:bottom w:w="28" w:type="dxa"/>
          <w:right w:w="28" w:type="dxa"/>
        </w:tblCellMar>
      </w:tblPr>
      <w:tblGrid>
        <w:gridCol w:w="928"/>
        <w:gridCol w:w="817"/>
        <w:gridCol w:w="81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8"/>
        <w:gridCol w:w="272"/>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six months ended June 30, 2025 were $9.4 million, or 13.0% of revenues, compared to $9.9 million, or 11.1% of revenues, for the same period in 2024. The decrease in research and development expenses was primarily due to more research and development projects that were capitalizable during the six months ended June 30, 2025, which resulted in a lower percentage of research and development costs being recorded as operating expenses, and decreased annual incentive bonus accruals, partially offset by increased prototype builds, testing and certification costs, and outside services costs related to the Company’s increased development efforts for its next line of products. </w:t>
      </w:r>
    </w:p>
    <w:p>
      <w:pPr>
        <w:pStyle w:val="TextBody"/>
        <w:bidi w:val="0"/>
        <w:spacing w:lineRule="auto" w:line="268"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six months ended June 30, 2025 were $7.9 million, or 11.0% of revenues, compared to $8.1 million, or 9.0% of revenues, for the same period in 2024. The decrease in sales and marketing expenses was primarily due to decreased sales commissions as a result of lower sales and decreased annual incentive bonus accruals, partially offset by increased sales personnel-related compensation costs as a result of an increase in overall sales headcount.</w:t>
      </w:r>
    </w:p>
    <w:p>
      <w:pPr>
        <w:pStyle w:val="TextBody"/>
        <w:bidi w:val="0"/>
        <w:spacing w:lineRule="auto" w:line="268"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six months ended June 30, 2025 were $9.2 million, or 12.8% of revenues, compared to $7.9 million, or 8.8% of revenues, for the same period in 2024. The increase in general and administrative expense was primarily due to an increase in share-based compensation expense related to awards issued to the Company’s CEO who was hired in January 2025, partially offset by decreased legal and consulting expenses related to the Company’s overall capital structure management efforts in the six months ended June 30, 2024.</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six months ended June 30, 2025 were $3.8 million, or 5.3% of revenues, compared to $6.9 million, or 7.8% of revenues, for the same period in 2024. The decrease in depreciation and amortization expenses was primarily due to the capitalized costs on the Company’s next generation of software intended for sale being capitalized but not amortizable during all or most of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and the ending of the useful life of certain amortizable purchased intangibles.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For each of the six months ended June 30, 2025 and 2024, we recorded impairments of $0.4 million,</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8188" w:type="dxa"/>
        <w:jc w:val="left"/>
        <w:tblInd w:w="0" w:type="dxa"/>
        <w:tblLayout w:type="fixed"/>
        <w:tblCellMar>
          <w:top w:w="28" w:type="dxa"/>
          <w:left w:w="28" w:type="dxa"/>
          <w:bottom w:w="28" w:type="dxa"/>
          <w:right w:w="28" w:type="dxa"/>
        </w:tblCellMar>
      </w:tblPr>
      <w:tblGrid>
        <w:gridCol w:w="1334"/>
        <w:gridCol w:w="1176"/>
        <w:gridCol w:w="1180"/>
        <w:gridCol w:w="196"/>
        <w:gridCol w:w="631"/>
        <w:gridCol w:w="109"/>
        <w:gridCol w:w="109"/>
        <w:gridCol w:w="109"/>
        <w:gridCol w:w="109"/>
        <w:gridCol w:w="196"/>
        <w:gridCol w:w="631"/>
        <w:gridCol w:w="109"/>
        <w:gridCol w:w="109"/>
        <w:gridCol w:w="109"/>
        <w:gridCol w:w="109"/>
        <w:gridCol w:w="196"/>
        <w:gridCol w:w="556"/>
        <w:gridCol w:w="109"/>
        <w:gridCol w:w="109"/>
        <w:gridCol w:w="109"/>
        <w:gridCol w:w="109"/>
        <w:gridCol w:w="313"/>
        <w:gridCol w:w="317"/>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$2.0 million decrease in interest expense for the six months ended June 30, 2025 over the same period in 2024 was primarily a result the Company’s various repurchases and exchanges of the 2025 Convertible Notes (as defined below) that occurred during 2024 and the full repayment of the remaining Notes on May 1, 2025, resulting in lower coupon interest, partially offset by interest expense on the Company’s 2029 Senior Secured Notes (as defined below) that were issued in the fourth quarter of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Loss on extinguishment of revolving credit facility </w:t>
      </w:r>
      <w:r>
        <w:rPr>
          <w:rFonts w:ascii="Times New Roman;serif" w:hAnsi="Times New Roman;serif"/>
          <w:b w:val="false"/>
          <w:color w:val="000000"/>
          <w:sz w:val="20"/>
        </w:rPr>
        <w:t>The $0.8 million loss on extinguishment of revolving credit facility for the six months ended June 30, 2024 relates to the terminations of the Company’s Credit Facility in April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Gain on debt restructurings, net </w:t>
      </w:r>
      <w:r>
        <w:rPr>
          <w:rFonts w:ascii="Times New Roman;serif" w:hAnsi="Times New Roman;serif"/>
          <w:b w:val="false"/>
          <w:color w:val="000000"/>
          <w:sz w:val="20"/>
        </w:rPr>
        <w:t>The $1.3 million net gain on troubled debt restructurings for the six months ended June 30, 2024 is a result of the Company’s various 2025 Convertible Notes restructurings completed during 2024 as part of our overall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six months ended June 30, 2025 and 2024 was $0.5 million and $(0.8) million, respectively. The increase in other income, net was primarily due to interest income earned on money market fund accounts that the Company began investing in during the first quarter of 2025 and a decrease in consulting and legal fees that were incurred during 2024 related to the preliminary stages of the Company’s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w:t>
      </w:r>
      <w:r>
        <w:rPr>
          <w:rFonts w:ascii="Times New Roman;serif" w:hAnsi="Times New Roman;serif"/>
          <w:b w:val="false"/>
          <w:color w:val="000000"/>
          <w:sz w:val="20"/>
        </w:rPr>
        <w:t>Income tax provision for the six months ended June 30, 2025 and 2024 was a provision of $0.0 million and $0.1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Income (loss) from discontinued operations, net of tax for the six months ended June 30, 2025 and 2024 was $(0.4) million and $1.6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six months ended June 30, 2025 and 2024, we recorded dividends of $1.7 million and $1.6 million, respectively, on our Series 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available cash and cash equivalents totaling $13.2 million and maintained positive working capital of $9.9 million. The Company had negative cash outflows from operations of $7.9 million for the six months ended June 30, 2025, which was largely due to the payout of the Company’s annual bonuses that were fully accrued for at December 31, 2024 and an increase in sales occurring late in the current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3.25% convertible notes due in 2025 (the “2025 Convertible Notes”) had a principal balance of $14.9 million as of December 31, 2024 and matured on May 1, 2025, at which time all outstanding principal and related accrued interest was paid-off in full. The Company’s 9.0% senior secured notes due in 2029 (the “2029 Senior Secured Notes”) had a principal balance of $40.9 million as of June 30, 2025 and mature on May 1, 2029.</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Company’s liquidity and financial results had several positive developments in 2024,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June 30, 2025, our future payments under these noncancellable purchase obligations were approximately $62.3 million.</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$40.9 million in outstanding borrowings under the 2029 Senior Secured Notes; see Part I Item 1, </w:t>
      </w:r>
      <w:r>
        <w:rPr>
          <w:rFonts w:ascii="Times New Roman;serif" w:hAnsi="Times New Roman;serif"/>
          <w:b w:val="false"/>
          <w:i/>
          <w:color w:val="000000"/>
          <w:sz w:val="20"/>
        </w:rPr>
        <w:t>Note 5 – Debt</w:t>
      </w:r>
      <w:r>
        <w:rPr>
          <w:rFonts w:ascii="Times New Roman;serif" w:hAnsi="Times New Roman;serif"/>
          <w:b w:val="false"/>
          <w:color w:val="000000"/>
          <w:sz w:val="20"/>
        </w:rPr>
        <w:t>;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Operating lease liabilities that are included on our consolidated balance sheet.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in our other contractual obligations, other than the full repayment upon maturity of the 2025 Convertible Notes, during the three or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Historical Cash Flows</w:t>
      </w:r>
    </w:p>
    <w:p>
      <w:pPr>
        <w:pStyle w:val="TextBody"/>
        <w:bidi w:val="0"/>
        <w:spacing w:lineRule="auto" w:line="276" w:before="180" w:after="180"/>
        <w:ind w:left="0" w:right="0" w:firstLine="495"/>
        <w:jc w:val="left"/>
        <w:rPr/>
      </w:pPr>
      <w:r>
        <w:rPr>
          <w:rFonts w:ascii="Times New Roman;serif" w:hAnsi="Times New Roman;serif"/>
          <w:b w:val="false"/>
          <w:color w:val="000000"/>
          <w:sz w:val="20"/>
        </w:rPr>
        <w:t>The following table summarizes our unaudited condensed consolidated statements of cash flows for the periods indicated (in thousands):</w:t>
      </w:r>
      <w:r>
        <w:rPr>
          <w:color w:val="000000"/>
        </w:rPr>
        <w:t> </w:t>
      </w:r>
    </w:p>
    <w:tbl>
      <w:tblPr>
        <w:tblW w:w="6369" w:type="dxa"/>
        <w:jc w:val="left"/>
        <w:tblInd w:w="0" w:type="dxa"/>
        <w:tblLayout w:type="fixed"/>
        <w:tblCellMar>
          <w:top w:w="28" w:type="dxa"/>
          <w:left w:w="28" w:type="dxa"/>
          <w:bottom w:w="28" w:type="dxa"/>
          <w:right w:w="28" w:type="dxa"/>
        </w:tblCellMar>
      </w:tblPr>
      <w:tblGrid>
        <w:gridCol w:w="1481"/>
        <w:gridCol w:w="1303"/>
        <w:gridCol w:w="1311"/>
        <w:gridCol w:w="196"/>
        <w:gridCol w:w="646"/>
        <w:gridCol w:w="109"/>
        <w:gridCol w:w="109"/>
        <w:gridCol w:w="109"/>
        <w:gridCol w:w="109"/>
        <w:gridCol w:w="196"/>
        <w:gridCol w:w="64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is primarily comprised of a $0.7 million net loss from continuing operations during the period and net cash used for working capital of $15.0 million, which was largely due to the payout of the Company’s annual bonuses that were fully accrued for at December 31, 2024 and an increase in sales occurring late in the current period, partially offset by non-cash charges, including depreciation and amortization of $3.9 million, share-based compensation expense of $3.3 million, and provision for excess and obsolete inventory of $1.2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six months ended June 30, 2024 is comprised of cash flows from continuing operations of $32.0 million and cash flows from discontinued operations of $0.9 million. The cash inflows from continuing operations were primarily related to net cash provided by working capital of $28.6 million, partially offset by a net loss from continuing operations of $5.4 million that was offset by non-cash charges, including depreciating and amortization of $7.0 million, share-based compensation expense of $1.5 million, amortization of debt discount and debt issuance costs of $0.9 million, and capitalized software impairments of $0.4 million.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2025 is comprised of $4.4 million of cash outflows related to the development of software in support of our products and services, partially offset by $0.7 million received during the period related to a working capital adjustment payment from the purchaser of the Company’s Telematics Business that was sold in 2024.</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2024 is comprised of $2.3 million of cash outflows related to the development of software in support of our products and services.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2025 is primarily comprised of the repayment of the remaining $14.9 million 2025 Convertible Notes principal balance, partially offset by $0.3 million of cash received from exercises of 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2024 is comprised of $16.5 million from the issuance of the short-term loan and common stock warrants, partially offset by $4.0 million of cash outflow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termination and repayment of our revolving credit facility and $1.7 million of cash outflow from the repurchase of a portion of our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Our revenue, earnings, cash flows, receivables, and payables are subject to fluctuations due to changes in foreign currency exchange rates.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The Company’s only outstanding interest bearing debt as of June 30, 2025 are the fixed-rate 2029 Senior Secured Notes, which have an outstanding principal balance of</w:t>
      </w:r>
      <w:r>
        <w:rPr>
          <w:color w:val="000000"/>
          <w:shd w:fill="FFFFFF" w:val="clear"/>
        </w:rPr>
        <w:t xml:space="preserve"> </w:t>
      </w:r>
      <w:r>
        <w:rPr>
          <w:rFonts w:ascii="Times New Roman;serif" w:hAnsi="Times New Roman;serif"/>
          <w:b w:val="false"/>
          <w:color w:val="000000"/>
          <w:sz w:val="20"/>
        </w:rPr>
        <w:t>$40.9 million. We record all fixed-rate borrowings at amortized cost and therefore, any changes in interest rates do not impact the values that we report for these senior notes on our consolidated financial statements. As of June 30, 2025 and December 31, 2024, we had no variable-rate borrowings.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76"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Currency Risk</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six months ended June 30, 2025, sales denominated in foreign currencies were approximately 0.3%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Canadian Dollar, and Australian Dollar. For the six months ended June 30, 2025, a hypothetical 10% change in these foreign currencies would have increased or decreased our revenue by less than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 Actual gains and losses in the future may differ materially from the hypothetical gains and losses discussed above based on changes in the timing and amount of foreign currency exchange rate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June 30, 2025, the end of the period covered by this report. Based on the foregoing, our principal executive officer and principal financial officer concluded that our disclosure controls and procedures were effective as of June 30, 2025.</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promulgated under the Exchange Act, during the quarter ended June 30,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108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 xml:space="preserve">Legal Proceedings.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hanging="108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 xml:space="preserve">Risk Factors.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the amended and additional risk factors set forth below, there were no material changes to the risk factors disclosed in Part I, Item 1A, Risk Factors of the Form 10-K, which was filed with the Securities and Exchange Commission on February 19, 2025. Any of the risks discussed in such report, as well as additional risks and uncertainties not currently known to us or that we currently deem immaterial, could materially and adversely affect our results of operations, financial condition or prospects.</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Tariffs and other trade restrictions may have an adverse impact on our business, operations and financial results.</w:t>
      </w:r>
    </w:p>
    <w:p>
      <w:pPr>
        <w:pStyle w:val="TextBody"/>
        <w:bidi w:val="0"/>
        <w:spacing w:lineRule="auto" w:line="276" w:before="120" w:after="12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source materials from, and manufacture products in, foreign countries, including countries in Asia, and we also sell products in foreign countries. As a result, the price and availability of our products is susceptible to international trade risks and other international conditions. For example, any economic and political uncertainty caused by the tariffs imposed on goods from other countries by the current administration of the United States, and any corresponding tariffs or currency devaluations from other countries in response, may negatively impact demand and/or increase the cost for certain of our products. Furthermore, the imposition of additional tariffs, duties, border adjustment taxes or other trade restrictions by the United States could result in the adoption of additional or increased tariffs or other trade restrictions by other countries. Tariffs may in the future increase our cost of materials and may cause us to increase prices to our customers, which we believe may reduce demand for our products. Our price increases may not be sufficient to fully offset the impact of tariffs and may result in lowering our margin on products sold. In sum, if the United States Government increases or implements additional tariffs, or if additional tariffs or trade restrictions are implemented by other countries, the resulting trade barriers could have a significant adverse impact on our suppliers, our customers and on our business. The volatility and unpredictability of international trade policies and conditions add further complexity to our operations, making it challenging to forecast and plan effectively. We are not able to predict future trade policy of the United States or of any foreign countries in which we operate or purchase goods, or the terms of any trade agreements or their impact on our business. The adoption and expansion of trade restrictions and tariffs, quotas and embargoes, the occurrence or threat of a trade war or other governmental action related to tariffs or trade agreements or policies, has the potential to adversely impact demand for our products, our costs, our customers, our suppliers and the world and U.S. economies, which in turn could have a material adverse effect on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 xml:space="preserve">Defaults Upon Senior Securities.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 xml:space="preserve">Mine Safety Disclosures.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5.     </w:t>
      </w:r>
      <w:r>
        <w:rPr>
          <w:rFonts w:ascii="Times New Roman;serif" w:hAnsi="Times New Roman;serif"/>
          <w:b/>
          <w:i/>
          <w:color w:val="000000"/>
          <w:sz w:val="20"/>
        </w:rPr>
        <w:t xml:space="preserve">Other Information. </w:t>
      </w:r>
    </w:p>
    <w:p>
      <w:pPr>
        <w:pStyle w:val="TextBody"/>
        <w:bidi w:val="0"/>
        <w:spacing w:lineRule="auto" w:line="26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81"/>
        <w:gridCol w:w="246"/>
        <w:gridCol w:w="249"/>
        <w:gridCol w:w="109"/>
        <w:gridCol w:w="109"/>
        <w:gridCol w:w="109"/>
        <w:gridCol w:w="2382"/>
        <w:gridCol w:w="2315"/>
        <w:gridCol w:w="2338"/>
        <w:gridCol w:w="250"/>
        <w:gridCol w:w="190"/>
        <w:gridCol w:w="176"/>
        <w:gridCol w:w="250"/>
        <w:gridCol w:w="250"/>
        <w:gridCol w:w="183"/>
        <w:gridCol w:w="269"/>
        <w:gridCol w:w="215"/>
        <w:gridCol w:w="284"/>
      </w:tblGrid>
      <w:tr>
        <w:trPr/>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Incorporated by Reference to:</w:t>
            </w:r>
          </w:p>
        </w:tc>
      </w:tr>
      <w:tr>
        <w:trPr/>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11/9/2016</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3">
              <w:r>
                <w:rPr>
                  <w:rStyle w:val="InternetLink"/>
                  <w:rFonts w:ascii="Times New Roman;serif" w:hAnsi="Times New Roman;serif"/>
                  <w:b w:val="false"/>
                  <w:color w:val="0000FF"/>
                  <w:sz w:val="20"/>
                  <w:u w:val="single"/>
                </w:rPr>
                <w:t>Amended and Restated Bylaws.</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5/9/2025</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8/13/2019</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3/10/2020</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of Certificate of Incorporation of Inseego Corp., dated January 23, 2024.</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1/23/2024</w:t>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630ex311.htm">
              <w:r>
                <w:rPr>
                  <w:rStyle w:val="InternetLink"/>
                  <w:rFonts w:ascii="Times New Roman;serif" w:hAnsi="Times New Roman;serif"/>
                  <w:b w:val="false"/>
                  <w:color w:val="0000FF"/>
                  <w:sz w:val="20"/>
                  <w:u w:val="single"/>
                </w:rPr>
                <w:t>Certification of our Principal Executive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630ex312.htm">
              <w:r>
                <w:rPr>
                  <w:rStyle w:val="InternetLink"/>
                  <w:rFonts w:ascii="Times New Roman;serif" w:hAnsi="Times New Roman;serif"/>
                  <w:b w:val="false"/>
                  <w:color w:val="0000FF"/>
                  <w:sz w:val="20"/>
                  <w:u w:val="single"/>
                </w:rPr>
                <w:t>Certification of our Principal Financial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630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630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9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5"/>
        <w:gridCol w:w="135"/>
        <w:gridCol w:w="135"/>
        <w:gridCol w:w="135"/>
        <w:gridCol w:w="135"/>
        <w:gridCol w:w="135"/>
        <w:gridCol w:w="570"/>
        <w:gridCol w:w="570"/>
        <w:gridCol w:w="8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Inseego Corp.</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JUHO SARVIKAS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Juho Sarvikas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0" w:after="0"/>
        <w:jc w:val="left"/>
        <w:rPr>
          <w:color w:val="000000"/>
        </w:rPr>
      </w:pPr>
      <w:r>
        <w:rPr>
          <w:color w:val="000000"/>
        </w:rPr>
        <w:t> </w:t>
      </w:r>
    </w:p>
    <w:tbl>
      <w:tblPr>
        <w:tblW w:w="3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09"/>
        <w:gridCol w:w="109"/>
        <w:gridCol w:w="109"/>
        <w:gridCol w:w="570"/>
        <w:gridCol w:w="570"/>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b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Juho Sarvikas, certify that: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Steven Gatoff, certify that: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0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140"/>
        <w:jc w:val="left"/>
        <w:rPr>
          <w:rFonts w:ascii="Times New Roman;serif" w:hAnsi="Times New Roman;serif"/>
          <w:b w:val="false"/>
          <w:color w:val="000000"/>
          <w:sz w:val="20"/>
        </w:rPr>
      </w:pPr>
      <w:r>
        <w:rPr>
          <w:rFonts w:ascii="Times New Roman;serif" w:hAnsi="Times New Roman;serif"/>
          <w:b w:val="false"/>
          <w:color w:val="000000"/>
          <w:sz w:val="20"/>
        </w:rPr>
        <w:t>I, Juho Sarvikas,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60" w:after="140"/>
        <w:jc w:val="left"/>
        <w:rPr>
          <w:rFonts w:ascii="Times New Roman;serif" w:hAnsi="Times New Roman;serif"/>
          <w:b w:val="false"/>
          <w:color w:val="000000"/>
          <w:sz w:val="20"/>
        </w:rPr>
      </w:pPr>
      <w:r>
        <w:rPr>
          <w:rFonts w:ascii="Times New Roman;serif" w:hAnsi="Times New Roman;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June 30,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2652/000119312516763609/d261554dex31.htm" TargetMode="External"/><Relationship Id="rId3" Type="http://schemas.openxmlformats.org/officeDocument/2006/relationships/hyperlink" Target="https://www.sec.gov/Archives/edgar/data/1022652/000102265225000012/insg20250331ex32-amendedan.htm" TargetMode="External"/><Relationship Id="rId4" Type="http://schemas.openxmlformats.org/officeDocument/2006/relationships/hyperlink" Target="https://www.sec.gov/Archives/edgar/data/1022652/000119312519219943/d792529dex31.htm" TargetMode="External"/><Relationship Id="rId5" Type="http://schemas.openxmlformats.org/officeDocument/2006/relationships/hyperlink" Target="https://www.sec.gov/Archives/edgar/data/1022652/000119312520067668/d824727dex31.htm" TargetMode="External"/><Relationship Id="rId6" Type="http://schemas.openxmlformats.org/officeDocument/2006/relationships/hyperlink" Target="https://www.sec.gov/Archives/edgar/data/1022652/000168316824000396/inseego_ex03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17053</Words>
  <Characters>95158</Characters>
  <CharactersWithSpaces>111030</CharactersWithSpaces>
  <Paragraphs>2552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