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4060" w:right="2040" w:hanging="4052"/>
        <w:spacing w:after="0" w:line="369"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w w:val="92"/>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6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60" w:type="dxa"/>
            <w:vAlign w:val="bottom"/>
            <w:gridSpan w:val="3"/>
          </w:tcPr>
          <w:p>
            <w:pPr>
              <w:ind w:left="840"/>
              <w:spacing w:after="0"/>
              <w:rPr>
                <w:sz w:val="20"/>
                <w:szCs w:val="20"/>
                <w:color w:val="auto"/>
              </w:rPr>
            </w:pPr>
            <w:r>
              <w:rPr>
                <w:rFonts w:ascii="Arial" w:cs="Arial" w:eastAsia="Arial" w:hAnsi="Arial"/>
                <w:sz w:val="18"/>
                <w:szCs w:val="18"/>
                <w:color w:val="auto"/>
                <w:w w:val="93"/>
              </w:rPr>
              <w:t>Commission file number: 000-31659</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color w:val="auto"/>
                <w:w w:val="88"/>
              </w:rPr>
              <w:t>(State or Other Jurisdiction of</w:t>
            </w:r>
          </w:p>
        </w:tc>
        <w:tc>
          <w:tcPr>
            <w:tcW w:w="2960" w:type="dxa"/>
            <w:vAlign w:val="bottom"/>
          </w:tcPr>
          <w:p>
            <w:pPr>
              <w:jc w:val="center"/>
              <w:ind w:left="188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60" w:type="dxa"/>
            <w:vAlign w:val="bottom"/>
          </w:tcPr>
          <w:p>
            <w:pPr>
              <w:jc w:val="center"/>
              <w:ind w:right="1884"/>
              <w:spacing w:after="0"/>
              <w:rPr>
                <w:sz w:val="20"/>
                <w:szCs w:val="20"/>
                <w:color w:val="auto"/>
              </w:rPr>
            </w:pPr>
            <w:r>
              <w:rPr>
                <w:rFonts w:ascii="Arial" w:cs="Arial" w:eastAsia="Arial" w:hAnsi="Arial"/>
                <w:sz w:val="14"/>
                <w:szCs w:val="14"/>
                <w:color w:val="auto"/>
                <w:w w:val="89"/>
              </w:rPr>
              <w:t>Incorporation or Organization)</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93"/>
              </w:rPr>
              <w:t>Identification No.)</w:t>
            </w:r>
          </w:p>
        </w:tc>
      </w:tr>
      <w:tr>
        <w:trPr>
          <w:trHeight w:val="40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296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60" w:type="dxa"/>
            <w:vAlign w:val="bottom"/>
          </w:tcPr>
          <w:p>
            <w:pPr>
              <w:jc w:val="center"/>
              <w:ind w:right="1864"/>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87"/>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92"/>
              </w:rPr>
              <w:t>The number of shares of the registrant’s common stock outstanding as of May 2, 2014 was 34,318,974.</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M2M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cost containment initiatives and operating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2013. If one or more events related to these or other risks or uncertainties materialize, or if our underlying assumptions prove to be incorrect, actual results may differ materially from what we anticipate.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Trademarks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“MiFi.Freedom. My Way” are trademarks of Novatel Wireless, Inc. “Enfora”, the Enfora logo, “Spider”, “Enabling Information Anywhere”, “Enabler”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274" w:right="6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16,612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$2,491 at March 31, 2014 and $2,449 at December 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30,028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39,985</w:t>
            </w: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85,214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95,629</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Property and equipment, net of accumulated depreciation of $64,207 at March 31, 2014 and $62,334 at December 31, 2013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$13,235 at March 31, 2014 and $12,983 at December 31, 2013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96,871</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111,465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24,538</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21,141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23,271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contingent loss for litigation</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margin loan facility</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of contingent loss for litigation</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60,675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66,549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Common stock, par value $0.001; 50,000 shares authorized, 34,315 and 34,097 shares issued and outstanding at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31, 2014 and December 31, 2013,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441,628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441,368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(380,472)</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(371,491)</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March 31, 2014 and December 31, 2013, respectively</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96,871</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111,465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48,284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38,216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16,848</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18,995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(8,927)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(8,956)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(8,981)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(9,122)</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34,172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$(8,981)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2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(8,980)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(8,981)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Non-cash income tax benefit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(1,175)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(2,085)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(2,268)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Restricted cash relating to short-term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(2,485)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00" w:type="dxa"/>
            <w:vAlign w:val="bottom"/>
          </w:tcPr>
          <w:p>
            <w:pPr>
              <w:ind w:left="172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11,827</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2014 and the results of the Company’s operations for the three months ended March 31, 2014 and 2013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2013.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litigation, provision for warranty costs, income taxes, share-based compensation expense and best estimate of selling price in a multiple element arrangement.</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8" w:name="page9"/>
    <w:bookmarkEnd w:id="8"/>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2014</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20" w:type="dxa"/>
            <w:vAlign w:val="bottom"/>
            <w:gridSpan w:val="4"/>
            <w:vMerge w:val="continue"/>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in Years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15,332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rPr>
              <w:t>1 to 2</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$ 16,052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$ 16,058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20" w:type="dxa"/>
            <w:vAlign w:val="bottom"/>
            <w:gridSpan w:val="4"/>
            <w:vMerge w:val="continue"/>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in Years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19,173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rPr>
              <w:t>1 to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to 2</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$ 22,616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$ 22,621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an interest rate at the bank’s base rate plus 1%. At March 31, 2014, the Company had approximately $2.9 million in marketable securities held at this bank, and the Company’s unused borrowing capacity at March 31, 2014 under the credit facility was $2.2 million. Any monies borrowed and interest incurred are payable on demand, and there is no express expiration date to the credit facility. During the three months ended March 31, 2014, the Company did not borrow against the facility, and had outstanding borrowings of $298,000 under this facility at March 31, 2014.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March 31, 2014. At March 31, 2014, the Company had no cash equivalents held at this bank.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both"/>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2014, the Company recorded a net unrealized gain of $6,000.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March 31,</w:t>
            </w:r>
          </w:p>
        </w:tc>
        <w:tc>
          <w:tcPr>
            <w:tcW w:w="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left="1396"/>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$ 18,506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6,623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$ 25,129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March 31,</w:t>
            </w:r>
          </w:p>
        </w:tc>
        <w:tc>
          <w:tcPr>
            <w:tcW w:w="4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left="1396"/>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3,411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4,173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3,287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2,602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3,993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$ 21,141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2"/>
              </w:rPr>
              <w:t>March 31, 2014</w:t>
            </w: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from/use of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1,367</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280"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w w:val="98"/>
              </w:rPr>
              <w:t>December 31, 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2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(10,976)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1,795</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(10,752)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2014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 (remaining 9 months)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1,795</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Additionally, at March 31, 2014 and December 31, 2013, the Company had $84,000 and $112,000, respectively, of acquired software licenses, net of accumulated amortization of $2.3 million and $2.2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financial instruments consist principally of cash and cash equivalents, and short-term and long-term marketable debt securities. The Company’s cash and cash equivalents consist of its investment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both"/>
        <w:ind w:right="8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jc w:val="both"/>
        <w:ind w:right="400" w:firstLine="456"/>
        <w:spacing w:after="0" w:line="332" w:lineRule="auto"/>
        <w:rPr>
          <w:sz w:val="20"/>
          <w:szCs w:val="20"/>
          <w:color w:val="auto"/>
        </w:rPr>
      </w:pPr>
      <w:r>
        <w:rPr>
          <w:rFonts w:ascii="Arial" w:cs="Arial" w:eastAsia="Arial" w:hAnsi="Arial"/>
          <w:sz w:val="16"/>
          <w:szCs w:val="16"/>
          <w:color w:val="auto"/>
        </w:rPr>
        <w:t>At March 31, 2014 the Company did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2014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2014</w:t>
            </w:r>
          </w:p>
        </w:tc>
        <w:tc>
          <w:tcPr>
            <w:tcW w:w="5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7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1,763</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2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16,302</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2"/>
              </w:rPr>
              <w:t>See Note 2 for discussion of restricted cash and restricted marketable securities related to our credit facility.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20" w:type="dxa"/>
            <w:vAlign w:val="bottom"/>
            <w:gridSpan w:val="3"/>
          </w:tcPr>
          <w:p>
            <w:pPr>
              <w:ind w:left="56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December 31, 2013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80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5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10,638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19,178</w:t>
            </w:r>
          </w:p>
        </w:tc>
        <w:tc>
          <w:tcPr>
            <w:tcW w:w="100" w:type="dxa"/>
            <w:vAlign w:val="bottom"/>
            <w:shd w:val="clear" w:color="auto" w:fill="CCEEFF"/>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23,108</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condensed consolidated statements of operations for the three months ended March 31, 2014 and 2013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55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55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expense resulted from change in the estimated forfeiture rates during the first quarters of 2014 and 2013.</w:t>
      </w:r>
    </w:p>
    <w:p>
      <w:pPr>
        <w:spacing w:after="0" w:line="246" w:lineRule="exact"/>
        <w:rPr>
          <w:sz w:val="20"/>
          <w:szCs w:val="20"/>
          <w:color w:val="auto"/>
        </w:rPr>
      </w:pPr>
    </w:p>
    <w:p>
      <w:pPr>
        <w:ind w:left="460" w:right="75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left="900" w:right="4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Segment revenues and segment operating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loss and identifiable assets for our reportable segments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64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$ 36,198</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5"/>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$ 48,284</w:t>
            </w:r>
          </w:p>
        </w:tc>
        <w:tc>
          <w:tcPr>
            <w:tcW w:w="100" w:type="dxa"/>
            <w:vAlign w:val="bottom"/>
          </w:tcPr>
          <w:p>
            <w:pPr>
              <w:spacing w:after="0"/>
              <w:rPr>
                <w:sz w:val="19"/>
                <w:szCs w:val="19"/>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Operating loss by reportable segment:</w:t>
            </w:r>
          </w:p>
        </w:tc>
        <w:tc>
          <w:tcPr>
            <w:tcW w:w="5520" w:type="dxa"/>
            <w:vAlign w:val="bottom"/>
            <w:tcBorders>
              <w:bottom w:val="single" w:sz="8" w:color="CCEEFF"/>
            </w:tcBorders>
            <w:gridSpan w:val="2"/>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(6,126)</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0"/>
        </w:trPr>
        <w:tc>
          <w:tcPr>
            <w:tcW w:w="840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5"/>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(8,927)</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March 31,</w:t>
            </w:r>
          </w:p>
        </w:tc>
        <w:tc>
          <w:tcPr>
            <w:tcW w:w="52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5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$ 80,235</w:t>
            </w: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5"/>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$ 96,871</w:t>
            </w:r>
          </w:p>
        </w:tc>
        <w:tc>
          <w:tcPr>
            <w:tcW w:w="100" w:type="dxa"/>
            <w:vAlign w:val="bottom"/>
          </w:tcPr>
          <w:p>
            <w:pPr>
              <w:spacing w:after="0"/>
              <w:rPr>
                <w:sz w:val="19"/>
                <w:szCs w:val="19"/>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$ 94,572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108,932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Canada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$ 96,871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The following table details the concentration of the Company’s net revenues by geographic region: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8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4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Latin America</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Asia and Australia</w:t>
            </w:r>
          </w:p>
        </w:tc>
        <w:tc>
          <w:tcPr>
            <w:tcW w:w="44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516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Concentrations of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 significant portion of the Company’s net revenues are derived from a small number of customers. For the three months ended March 31, 2014, sales to our largest customer accounted for 39% of net revenues. In the same period in 2013, sales to our largest customer accounted for 60% of net revenues. The Company outsources its manufacturing to several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March 31, 2014 and 2013, basic and diluted weighted-average common shares outstanding were 34,171,921 and 33,716,594, respectively. As of March 31, 2014 and 2013, weighted-average options, RSUs, and ESPP shares to acquire a total of 5,120,187 and 6,027,732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40" w:hanging="452"/>
        <w:spacing w:after="0" w:line="391" w:lineRule="auto"/>
        <w:tabs>
          <w:tab w:leader="none" w:pos="17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is being pursued on behalf of persons who purchased the Company’s common stock between February 27, 2007 and September 15, 2008. As previously disclosed, on December 6, 2013, to avoid the costs, disruption and distraction of further litigation, legal counsel for the defendants entered into a binding Memorandum of Understanding (“MOU”) with legal counsel for the lead plaintiffs, reflecting a proposed agreement to settle the Litigation. The proposed agreement did not admit any liability and the Company and the individual defendants continue to deny any and all liability. Under the terms of the proposed settlement, the Company would pay $6 million in cash, $5 million in the Company’s common stock and a $5 million secured promissory note, to resolve all claims asserted in the Litigation on behalf of class members. A portion of the $6 million in cash would be funded by insurers for the Company. The $5 million in shares of the Company’s common stock would be unrestricted and freely tradable shares and either registered or exempt from registration at the time of issuance and distribution to class members, which would occur within 10 business days after the entry of a final order of approval by the Court. The $5 million secured note, with a 5% interest rate, would have a 30 month maturity and be secured by the Company’s accounts receivables. The Company has the right, at its sole option, to substitute cash for the note prior to the entry of final approval by the Court. The settlement is subject to the following conditions: (1) the funding by the Company of the settlement; (2) the Company’s right to terminate the settlement if an agreed upon portion of the class members deliver timely and valid requests for exclusion from the class; (3) entry of final judgment by the Court approving the settlement; and (4) satisfaction of waiver of all covenants in the MOU.</w:t>
      </w:r>
    </w:p>
    <w:p>
      <w:pPr>
        <w:spacing w:after="0" w:line="1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March 7, 2014, the Court entered an order giving preliminary approval to the settlement. The Court set a hearing on June 20, 2014, for final approval of the settlement of the Litigation.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After a review of the four sources of taxable income as of March 31, 2014 (as described above), the Company recognized increases in the valuation allowance primarily related to its U.S.-based deferred tax amounts, resulting from carryforward net operating losses generated during the three months ended March 31, 2014. These deferred tax benefits, combined with a corresponding charge to income tax expense related to an increase in the valuation allowance of $3.6 million for the three months ended March 31, 2014, resulted in an insignificant effective income tax rate. The Company’s valuation allowance was $83.0 million on net deferred tax assets of $83.1 million at March 31, 2014. The net unreserved portion of the Company’s remaining deferred tax assets at March 31, 2014 primarily related to research and development tax credits associated with the Company’s Canadian subsidiary.</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the three months ended March 31, 2014, the Company recorded an income tax expense, including discrete items, of $25,000. This amount varies from the income tax expense that would be computed at the U.S. statutory rate resulting from its operating loss during the period primarily due to the aforementioned offsetting increase in the Company’s deferred tax assets valuation allowance.</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is in the process of completing a IRC Section 382 analysis, and the Company expects to have this analysis completed within the next three months.</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2014 and December 31, 2013, the total liability for unrecognized tax benefits was $62,000 and $62,000, respectively, and is included in other long-term liabilities. For the three months ended March 31, 2014, the Company included $0 of interest benefit related to uncertain tax positions in its condensed consolidated statements of operations.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fourth quarter of 2014, the Company expects to release $62,000 of its liability for unrecognized tax benefits due to the expiration of the statute of limitations applicable to the 2009 taxable year.</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2013 calendar years due to the availability of net operating loss carryforwards. The Company believes appropriate provisions for 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6" w:name="page17"/>
    <w:bookmarkEnd w:id="16"/>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2013, the Company commenced certain restructuring initiatives including the closure of the Company’s development site in Calgary, Canada, and the consolidation of certain supply chain management activities. During February and March 2014, the Company commenced additional reduction in force initiatives resulting in headcount reductions of 41 employees and 21 employees, respectively. During the quarter ended March 31, 2014, the Company recorded restructuring charges of $1.2 million consisting primarily of employee-related compensation charges, as well as ongoing expenses related to vacating all or a portion of certain facilities in the United States and Canada during the fourth quarter of 2013. The restructuring charges for the three months ended March 31, 2014 consisted of $1.1 million in employee severance costs and $72,000 in facility exit related costs. Of the $1.2 million of restructuring charges for the three months ended March 31, 2014, $1.1 million relates to the Mobile Computing Products segment, and $42,000 relates to the M2M Products and Solutions segment. The restructuring charges incurred to date related to these restructuring initiatives total approximately $4.5 million, including restructuring charges recorded during the year ended December 31, 2013 of $3.3 million. Of the $4.5 million of restructuring charges recorded to date, $4.2 million relates to the Mobile Computing Products segment, and $248,000 relates to the M2M Products and Solutions segment.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fourth quarter of 2013, as a result of the September 2013 restructuring initiatives, the Company exited its development site in Calgary, Canada,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a portion of its San Diego facility. The Company has not yet entered into sublease agreements for these facilities. The Company recorded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$72,000 in restructuring expense during the three months ended March 31, 2014 relating to exiting these facilities, which is included in operating expenses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accounts for facility exit costs in accordance with ASC 420 “Exit or Disposal Cost Obligations,”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it is not the intent to sublease.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for which the sublease income can be expected.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amounts currently expected. Exit costs the Company records under these provisions are neither associated with, nor do they benefit, continuing activities.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activity in the restructuring liability for the three months ended March 31, 2014, which is primarily comprised of employee severance costs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Facility Exit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2"/>
              </w:rPr>
              <w:t>Costs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1,166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(1,006)</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Balance at March 31, 2014</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7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balance of the restructuring liability at March 31, 2014 consists of $775,000 in short-term and $266,000 in long-term. The balance of the restructuring liability at March 31, 2014 is anticipated to be fully distributed by the end of the third quarter of 2017, at the expiration of our facility lease in Canada. We do not expect to incur significant additional expenses related to the September 2013 restructuring initiatives.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2013 contained in our Annual Report on Form 10-K for the year ended December 31, 2013.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 Our M2M products and solutions include our M2M embedded modules, integrated M2M communications devices and our service delivery platform, the N4A</w:t>
      </w:r>
      <w:r>
        <w:rPr>
          <w:rFonts w:ascii="Arial" w:cs="Arial" w:eastAsia="Arial" w:hAnsi="Arial"/>
          <w:sz w:val="10"/>
          <w:szCs w:val="10"/>
          <w:color w:val="auto"/>
        </w:rPr>
        <w:t>™</w:t>
      </w:r>
      <w:r>
        <w:rPr>
          <w:rFonts w:ascii="Arial" w:cs="Arial" w:eastAsia="Arial" w:hAnsi="Arial"/>
          <w:sz w:val="16"/>
          <w:szCs w:val="16"/>
          <w:color w:val="auto"/>
        </w:rPr>
        <w:t xml:space="preserve"> Device Manager (DM) and N4A</w:t>
      </w:r>
      <w:r>
        <w:rPr>
          <w:rFonts w:ascii="Arial" w:cs="Arial" w:eastAsia="Arial" w:hAnsi="Arial"/>
          <w:sz w:val="10"/>
          <w:szCs w:val="10"/>
          <w:color w:val="auto"/>
        </w:rPr>
        <w:t>™</w:t>
      </w:r>
      <w:r>
        <w:rPr>
          <w:rFonts w:ascii="Arial" w:cs="Arial" w:eastAsia="Arial" w:hAnsi="Arial"/>
          <w:sz w:val="16"/>
          <w:szCs w:val="16"/>
          <w:color w:val="auto"/>
        </w:rPr>
        <w:t xml:space="preserve"> Communication and Management Software (CMS), that provides easy device management and service enablement.</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application service providers and distributors. Our solutions address multiple vertical markets for our customers including commercial telematics, after market telematics, remote monitoring and control, security and connected home. We have strategic relationships with several of these customers that provide input and validation of our product requirements across the various vertical markets.</w:t>
      </w:r>
    </w:p>
    <w:p>
      <w:pPr>
        <w:spacing w:after="0" w:line="14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currently restructuring our operations in an effort to increase future revenue levels and gross margins, lower our operating costs and achieve profitability. In the mobile computing business, we are now focusing our development efforts only on those products that we believe have the greatest potential sales volume and will generate the highest gross profits and return on development investment. These products are targeted at the tier one telecom operators in North America. We expect this strategy to reduce the number of products developed for sale in the mobile computing segment and result in an improved return on investment from development costs expended.</w:t>
      </w:r>
    </w:p>
    <w:p>
      <w:pPr>
        <w:sectPr>
          <w:pgSz w:w="11900" w:h="16838" w:orient="portrait"/>
          <w:cols w:equalWidth="0" w:num="1">
            <w:col w:w="11420"/>
          </w:cols>
          <w:pgMar w:left="240" w:top="274" w:right="239" w:bottom="1440" w:gutter="0" w:footer="0" w:header="0"/>
        </w:sectPr>
      </w:pPr>
    </w:p>
    <w:bookmarkStart w:id="18" w:name="page19"/>
    <w:bookmarkEnd w:id="18"/>
    <w:p>
      <w:pPr>
        <w:ind w:right="60" w:firstLine="456"/>
        <w:spacing w:after="0" w:line="332" w:lineRule="auto"/>
        <w:rPr>
          <w:sz w:val="20"/>
          <w:szCs w:val="20"/>
          <w:color w:val="auto"/>
        </w:rPr>
      </w:pPr>
      <w:r>
        <w:rPr>
          <w:rFonts w:ascii="Arial" w:cs="Arial" w:eastAsia="Arial" w:hAnsi="Arial"/>
          <w:sz w:val="16"/>
          <w:szCs w:val="16"/>
          <w:color w:val="auto"/>
        </w:rPr>
        <w:t>As a result of this change in strategic direction, we intend to exit the mobile computing laptop business during the first half of 2014 as our current products reach end of life. We will monitor this product category for favorable changes in market conditions that may indicate a point of re-entry for new opportunities.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we have invested significant capital in our M2M product and services portfolio. This investment has allowed us to engage with new development partner customers in targeted verticals, including commercial and aftermarket telematics, remote monitoring, control and security, which we believe will experience high growth rates in the near future. These efforts have resulted in design wins with several significant M2M customers, with whom we are now integrating our products and services into their business processes. Upon the completion of these integration efforts, we believe we will begin product shipments that will contribute to future revenue growth.</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in our M2M Products and Solutions Segment grew 17% in the first quarter of 2014, compared to the year ago period. We expect our revenues to continue to grow and increase in this segment during the first half of 2014 over the first half of 2013. We believe the adoption of new products that we plan to launch in 2014 as well as the addition of new customers during 2014 will contribute to this performance.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revenues from our Mobile Computing Products decreased 52% in the first quarter of 2014, compared to the year ago period as our older products continue to approach the end of their life cycle. Additionally, our revenues have been negatively impacted by competitive pricing pressures at our largest customer and our gross margins have been adversely impacted by lower average sales prices and increased product development costs. Given the current market conditions we are retrenching the size of our product portfolio to only those products which have a very high probability of providing satisfactory returns. We expect, in the first half of 2014, our mobile computing revenues will continue to be lower than the first half of 2013, as many of our legacy mobile computing products are near end of life. However, we intend to launch a new MiFi product during the second half of 2014 that we expect will increase our mobile computing revenues from current levels. We are also experiencing mobile computing component supply constraints that are expected to continue through the first half of 2014 that may impact our ability to meet demand for our largest selling MiFi product.</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restructured our research and development process by reducing the size of our in-house engineering staff and utilizing outsourced engineering services for product development. This change replaced some of our fixed research and development costs with variable costs and will result in a lower overall cost of research and development and a more variable cost structure. This reduction will primarily be due to a decrease in our employee headcount and related compensation expenses. We expect to continue to make focused investments in research and development.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also been focused on completing the integration of our mobile computing business with our M2M business to increase operational efficiencies and reduce our operating expenses. The total operating expenses incurred for the three months ended March 31, 2014 were $19.0 million compared to $26.0 million for the same period in 2013, a 27% year over year reduction. This reduction is primarily due to a reduction of employee headcount and related compensation expenses. Our current employee headcount is 261 as compared to 413 for the same period last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increased competition from other wireless data device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EV-DO and HSPA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a result of the extremely competitive market for wireless devices, we have experienced significant downward pressure on the average selling prices of our products. This competitive pricing pressure has the potential to materially adversely affect our results of operations and financial condition in future periods and we cannot predict the magnitude or timing of future reductions in the average selling prices of our products.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which will require that we incur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Research and development are at the core of our ability to produce innovative, leading-edge products. This category consists primarily of engineers, technicians and outside engineering resources who design and test our highly complex products and the acquisition of testing and certification services.</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Sales and marketing expense consists primarily of our sales force and product-marketing professionals. In order to maintain strong sales relationships, we provide co-marketing, trade show support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07"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General and administrative expenses include primarily corporate functions such as accounting, human resources,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are not directly related to revenue levels, certain expenses such as litigation settlements, legal expenses, and provisions for bad debts may cause significant volatility in future general and administrative expenses.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0" w:name="page21"/>
    <w:bookmarkEnd w:id="2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undertaken certain restructuring activities and cost reduction initiatives in an effort to better align our organizational structure and costs with our strategy. Restructuring activities consist primarily of severance costs incurred in connection with the reduction of our workforce and facility exit related costs.</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Three Months Ended March 31, 2013</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March 31, 2014 were $48.3 million, a decrease of $37.6 million or 43.8%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net revenues by product categories during the three months ended March 31, 2014 and March 31, 2013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8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revenues by reportable segment:</w:t>
            </w: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8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Mobile Computing Products</w:t>
            </w:r>
          </w:p>
        </w:tc>
        <w:tc>
          <w:tcPr>
            <w:tcW w:w="6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$36,198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M2M Products and Solutions</w:t>
            </w: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12,086</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48,284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revenues by product categories:</w:t>
            </w: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8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Mobile Broadband Devices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$34,381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Embedded Solutions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8,973</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Management Solutions &amp; Services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gridSpan w:val="4"/>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48,284</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March 31, 2014 were $36.2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$39.4 million or 52.1% compared to the same period in 2013. The decrease is primarily attributable to lower sales of Mobile Broadband devices caused by competitive pricing pressures at our largest customer and legacy products reaching their end of life cycle. Additionally, our product shipments were limited by shortages of certain hardware components.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three months ended March 31, 2014 were $12.1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$1.8 million or 17.3% compared to the same period in 2013. The increase is primarily due to increased sales of embedded products to M2M customers.</w:t>
      </w:r>
    </w:p>
    <w:p>
      <w:pPr>
        <w:spacing w:after="0" w:line="14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N4A DM and/or N4A CMS software, that transmit information about the assets into which these products are integrated. These hardware and software products can be bundled or sold separately.</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2014 was $38.2 million, or 79.1% of net revenues, as compared to $69.1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80.4% of net revenues, for the same period in 2013. During the first quarter of 2014, the cost of net revenues as a percentage of net revenues decreased due to reduced labor cost attributed to headcount reductions and lower warranty costs during the quarter. The cost of net revenues as a percentage of revenues is expected to fluctuate in future quarters depending on revenue levels, the mix of products sold, competitive pricing, new product introduction costs and other factors.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2" w:name="page23"/>
    <w:bookmarkEnd w:id="22"/>
    <w:p>
      <w:pPr>
        <w:ind w:firstLine="456"/>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Gross profit. </w:t>
      </w:r>
      <w:r>
        <w:rPr>
          <w:rFonts w:ascii="Arial" w:cs="Arial" w:eastAsia="Arial" w:hAnsi="Arial"/>
          <w:sz w:val="16"/>
          <w:szCs w:val="16"/>
          <w:color w:val="auto"/>
        </w:rPr>
        <w:t>Gross profit for the three months ended March 31, 2014 was $10.1 million, or a gross margin of 20.9% of net revenues, compared to $16.8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19.6% of net revenues for the same period in 2013. The gross profit decrease was primarily attributable to the changes in net revenues and cost of net revenues as discussed above. We expect that our gross margin percentage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three months ended March 31, 2014 were $8.6 million, or 17.8%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$13.8 million, or 16.1% of net revenues, for the same period in 2013. Research and development expenses for the three months ended March 31, 2014 were lower as compared to the same period in 2013, due to reduced labor cost attributed to headcount reductions and lower outside service costs.</w:t>
      </w:r>
    </w:p>
    <w:p>
      <w:pPr>
        <w:spacing w:after="0" w:line="8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2014 were $4.0 million, or 8.3%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$5.8 million, or 6.7% of net revenues, for the same period in 2013. Sales and marketing expenses for the three months ended March 31, 2014 were lower as compared to the same period in 2013, primarily due to a decrease in salaries and related expenditures.</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2014 were $5.1 million, or 10.5%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$6.3 million, or 7.4% of net revenues, for the same period in 2013. General and administrative expenses for the three months ended March 31, 2014 were lower as compared to the same period in 2013 due to reduced labor cost attributed to headcount reductions and reduced legal fees incurred during the period. While we are closely monitoring and working to control general and administrative costs, we expect these costs to be negatively impacted by legal fees to defend the claims described in Note 8 to our condensed consolidated financial statements included in this report. During the first quarter periods in 2014 and 2013, the Company incurred $1.6 million and $2.3 million in legal expenses, respectively.</w:t>
      </w:r>
    </w:p>
    <w:p>
      <w:pPr>
        <w:spacing w:after="0" w:line="11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2014 and 2013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$140,000.</w:t>
      </w:r>
    </w:p>
    <w:p>
      <w:pPr>
        <w:spacing w:after="0" w:line="12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for the three months ended March 31, 2014 were $1.2 million, and predominantly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costs incurred in connection with the reduction of our workforce, as well as facility exit related costs. In September 2013, the Company commenced certain restructuring initiatives including the closure of the Company’s development site in Calgary, Canada, and the consolidation of certain supply chain management activities. During February and March 2014, the Company commenced additional reduction in force initiatives resulting in headcount reductions of 62 employees.</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2014 was $15,000 as compared to $57,000 for the same period in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weighted-average interest rate earned by the Company on its cash, cash equivalents and marketable securities was 0.42% and 0.40% in the first quarter of 2014 and 2013,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March 31, 2014 was $44,000 as compared to $77,000 for the same period in 2013.</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March 31, 2014 was $25,000, as compared to $83,000 of benefit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2013.</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2014 is different than the U.S. statutory rate primarily due to a valuation allowance recorded against additional tax assets generated in the first quarter of 2014.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3" w:name="page24"/>
    <w:bookmarkEnd w:id="23"/>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loss. </w:t>
      </w:r>
      <w:r>
        <w:rPr>
          <w:rFonts w:ascii="Arial" w:cs="Arial" w:eastAsia="Arial" w:hAnsi="Arial"/>
          <w:sz w:val="18"/>
          <w:szCs w:val="18"/>
          <w:color w:val="auto"/>
        </w:rPr>
        <w:t>For the three months ended March 31, 2014, we reported a net loss of $9.0 million, as compared to a net loss of $9.1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2013. Our net loss was impacted by changes in net revenue and restructuring charges recognized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the Company’s cash and cash equivalents and marketable securities on deposit at the bank. During the three months ended March 31, 2014, the Company did not borrow against the facility, and had outstanding borrowings of $298,000 under this facility at March 31, 2014. Under the terms of the credit facility, the bank may liquidate any of the Company’s cash equivalents or marketable securities held at any time in order to recoup the outstanding balance of the facility. Accordingly, a like amount of marketable equity securities has been classified by the Company as restricted marketable securities on the balance sheet at March 31, 2014. At March 31, 2014, the Company had no cash equivalents held at this bank. The Company’s unused borrowing capacity at March 31, 2014 under the credit facility was $2.2 million.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our cash resources from cash and cash equivalents and marketable securities, together with anticipated cash flows from operations, will be sufficient to meet our working capital needs for the next twelve months. In order to accelerate the development of new mobile computing products targeted at tier one telecom operators in North America and invest in our M2M product and services portfolio, or to fund substantial business growth internally or through acquisitions of complementary products, businesses or technologies, we may need to raise additional funds. Accordingly, in March 2014, we filed a shelf registration statement on Form S-3 with the Securities and Exchange Commission, or the SEC, that, if declared effective by the SEC, would allow us to sell up to $75 million of equity, debt or other securities described in the registration statement in one or more offerings by us from time to time. As set forth in the shelf registration statement, the net proceeds from the sale of our securities may be used for working capital, repayment of indebtedness and general corporate purposes. We may also use a portion of the net proceeds that we receive to acquire or invest in complementary businesses, products, services, technologies or other assets. As of the date of this report, our shelf registration statement has not been declared effective by the SEC and we have not issued any securities under the registration statement.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6"/>
              </w:rPr>
              <w:t>2014</w:t>
            </w:r>
          </w:p>
        </w:tc>
        <w:tc>
          <w:tcPr>
            <w:tcW w:w="5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Increase /</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36,262</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11,827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2,911</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15,040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(1,572)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(2,723)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27,587</w:t>
            </w: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restricted marketable securities.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working capital decreased $4.7 million from December 31, 2013 to March 31, 2014. The decrease was primarily due to losses from operations incurred during the three months ended March 31, 2014.</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2014, cash and cash equivalents and marketable securities increased by $4.6 million from December 31, 2013. The principal component of this net increase was the cash provided by our operating activities of $5.4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(3,447)</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(2,485)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w:t>
            </w:r>
          </w:p>
        </w:tc>
      </w:tr>
      <w:tr>
        <w:trPr>
          <w:trHeight w:val="223"/>
        </w:trPr>
        <w:tc>
          <w:tcPr>
            <w:tcW w:w="20" w:type="dxa"/>
            <w:vAlign w:val="bottom"/>
          </w:tcPr>
          <w:p>
            <w:pPr>
              <w:spacing w:after="0"/>
              <w:rPr>
                <w:sz w:val="19"/>
                <w:szCs w:val="19"/>
                <w:color w:val="auto"/>
              </w:rPr>
            </w:pPr>
          </w:p>
        </w:tc>
        <w:tc>
          <w:tcPr>
            <w:tcW w:w="9800" w:type="dxa"/>
            <w:vAlign w:val="bottom"/>
          </w:tcPr>
          <w:p>
            <w:pPr>
              <w:jc w:val="center"/>
              <w:ind w:right="5092"/>
              <w:spacing w:after="0"/>
              <w:rPr>
                <w:sz w:val="20"/>
                <w:szCs w:val="20"/>
                <w:color w:val="auto"/>
              </w:rPr>
            </w:pPr>
            <w:r>
              <w:rPr>
                <w:rFonts w:ascii="Arial" w:cs="Arial" w:eastAsia="Arial" w:hAnsi="Arial"/>
                <w:sz w:val="18"/>
                <w:szCs w:val="18"/>
                <w:color w:val="auto"/>
                <w:w w:val="86"/>
              </w:rPr>
              <w:t>Effect of exchange rates on cash and cash equivalents</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jc w:val="center"/>
              <w:ind w:right="5092"/>
              <w:spacing w:after="0"/>
              <w:rPr>
                <w:sz w:val="20"/>
                <w:szCs w:val="20"/>
                <w:color w:val="auto"/>
              </w:rPr>
            </w:pPr>
            <w:r>
              <w:rPr>
                <w:rFonts w:ascii="Arial" w:cs="Arial" w:eastAsia="Arial" w:hAnsi="Arial"/>
                <w:sz w:val="18"/>
                <w:szCs w:val="18"/>
                <w:color w:val="auto"/>
                <w:w w:val="85"/>
              </w:rPr>
              <w:t>Net increase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18,272</w:t>
            </w: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$5.4 million for the three months ended March 31, 2014 compared to net cash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operating activities of $1.9 million for the same period in 2013. Net cash provided for the three months ended March 31, 2014 was attributable to net losses in the period, offset by a net increase in cash caused by changes in working capital accounts, and non-cash charges for depreciation and amortization and share based compensation expense. For the three months ended March 31, 2013, net cash provided by operating activities was primarily related to net losses for the period, offset by a net increase in cash caused by changes in working capital accounts, and non-cash charges for depreciation and amortization and share based compensation expense.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three months ended March 31, 2014 was $6.1 million compared to $3.4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during the same period in 2013. Cash provided by investing activities during the three months ended March 31, 2014 was related to net sales of marketable securities of $6.6 million, partially offset by purchases of property, plant, and equipment for approximately $513,000. Cash used in investing activities during the same period in 2013 was primarily related to purchases of property, plant, and equipment for approximately $2.9 million, and net purchases of marketable securities of $595,000.</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during the three months ended March 31, 2014 was $2.5 million compared to cash provided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$3.9 million during the same period in 2013. Net cash used in financing activities during the three months ended March 31, 2014 was primarily related to principal repayments and restricted cash on our margin credit facility borrowings, and payroll taxes paid on behalf of employees for restricted stock units which vested during the period. Net cash provided by financing activities during the three months ended March 31, 2013 was primarily related to proceeds received from borrowing on our margin credit facility, partially offset by principal repayments and restricted cash on our margin credit facility borrowings, and payroll taxes paid on behalf of employees for restricted stock units which vested during the period.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8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$2.0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raise additional funds pursuant to a shelf registration statement on Form S-3, as discussed above.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2013,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2014,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2014,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In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Court entered an order giving preliminary approval to the settlement negotiated by the parties and announced in December 2013. The Court set a hearing on June 20, 2014, for final approval of the settlement of this case.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Form 10-K for the year ended December 31,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1142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0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80" w:right="100" w:hanging="107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March 31, 2014 formatted in Extensible Business Reporting Language (XBRL): (i) Condensed Consolidated Balance Sheets; (ii) Condensed Consolidated Statements of Operations; (iii) Condensed Consolidated Statements of Comprehensive Loss; (iv) Condensed Consolidated Statements of Cash Flows; and (v) the Notes to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Date: May 7, 2014</w:t>
            </w:r>
          </w:p>
        </w:tc>
        <w:tc>
          <w:tcPr>
            <w:tcW w:w="7940" w:type="dxa"/>
            <w:vAlign w:val="bottom"/>
            <w:gridSpan w:val="3"/>
          </w:tcPr>
          <w:p>
            <w:pPr>
              <w:ind w:left="2340"/>
              <w:spacing w:after="0"/>
              <w:rPr>
                <w:sz w:val="20"/>
                <w:szCs w:val="20"/>
                <w:color w:val="auto"/>
              </w:rPr>
            </w:pPr>
            <w:r>
              <w:rPr>
                <w:rFonts w:ascii="Arial" w:cs="Arial" w:eastAsia="Arial" w:hAnsi="Arial"/>
                <w:sz w:val="18"/>
                <w:szCs w:val="18"/>
                <w:color w:val="auto"/>
              </w:rPr>
              <w:t>Novatel Wireless, Inc.</w:t>
            </w:r>
          </w:p>
        </w:tc>
      </w:tr>
      <w:tr>
        <w:trPr>
          <w:trHeight w:val="433"/>
        </w:trPr>
        <w:tc>
          <w:tcPr>
            <w:tcW w:w="3480" w:type="dxa"/>
            <w:vAlign w:val="bottom"/>
          </w:tcPr>
          <w:p>
            <w:pPr>
              <w:spacing w:after="0"/>
              <w:rPr>
                <w:sz w:val="24"/>
                <w:szCs w:val="24"/>
                <w:color w:val="auto"/>
              </w:rPr>
            </w:pPr>
          </w:p>
        </w:tc>
        <w:tc>
          <w:tcPr>
            <w:tcW w:w="2960" w:type="dxa"/>
            <w:vAlign w:val="bottom"/>
            <w:gridSpan w:val="2"/>
          </w:tcPr>
          <w:p>
            <w:pPr>
              <w:ind w:left="2340"/>
              <w:spacing w:after="0"/>
              <w:rPr>
                <w:sz w:val="20"/>
                <w:szCs w:val="20"/>
                <w:color w:val="auto"/>
              </w:rPr>
            </w:pPr>
            <w:r>
              <w:rPr>
                <w:rFonts w:ascii="Arial" w:cs="Arial" w:eastAsia="Arial" w:hAnsi="Arial"/>
                <w:sz w:val="18"/>
                <w:szCs w:val="18"/>
                <w:color w:val="auto"/>
              </w:rPr>
              <w:t>By: /s/</w:t>
            </w:r>
          </w:p>
        </w:tc>
        <w:tc>
          <w:tcPr>
            <w:tcW w:w="498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16"/>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Leparulo</w:t>
            </w:r>
          </w:p>
        </w:tc>
      </w:tr>
      <w:tr>
        <w:trPr>
          <w:trHeight w:val="222"/>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433"/>
        </w:trPr>
        <w:tc>
          <w:tcPr>
            <w:tcW w:w="3480" w:type="dxa"/>
            <w:vAlign w:val="bottom"/>
          </w:tcPr>
          <w:p>
            <w:pPr>
              <w:spacing w:after="0"/>
              <w:rPr>
                <w:sz w:val="24"/>
                <w:szCs w:val="24"/>
                <w:color w:val="auto"/>
              </w:rPr>
            </w:pPr>
          </w:p>
        </w:tc>
        <w:tc>
          <w:tcPr>
            <w:tcW w:w="2960" w:type="dxa"/>
            <w:vAlign w:val="bottom"/>
            <w:gridSpan w:val="2"/>
          </w:tcPr>
          <w:p>
            <w:pPr>
              <w:ind w:left="2340"/>
              <w:spacing w:after="0"/>
              <w:rPr>
                <w:sz w:val="20"/>
                <w:szCs w:val="20"/>
                <w:color w:val="auto"/>
              </w:rPr>
            </w:pPr>
            <w:r>
              <w:rPr>
                <w:rFonts w:ascii="Arial" w:cs="Arial" w:eastAsia="Arial" w:hAnsi="Arial"/>
                <w:sz w:val="18"/>
                <w:szCs w:val="18"/>
                <w:color w:val="auto"/>
              </w:rPr>
              <w:t>By: /s/</w:t>
            </w:r>
          </w:p>
        </w:tc>
        <w:tc>
          <w:tcPr>
            <w:tcW w:w="4980" w:type="dxa"/>
            <w:vAlign w:val="bottom"/>
          </w:tcPr>
          <w:p>
            <w:pPr>
              <w:ind w:left="1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16"/>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Kenneth Leddon</w:t>
            </w:r>
          </w:p>
        </w:tc>
      </w:tr>
      <w:tr>
        <w:trPr>
          <w:trHeight w:val="222"/>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480" w:type="dxa"/>
            <w:vAlign w:val="bottom"/>
          </w:tcPr>
          <w:p>
            <w:pPr>
              <w:spacing w:after="0"/>
              <w:rPr>
                <w:sz w:val="24"/>
                <w:szCs w:val="24"/>
                <w:color w:val="auto"/>
              </w:rPr>
            </w:pPr>
          </w:p>
        </w:tc>
        <w:tc>
          <w:tcPr>
            <w:tcW w:w="2720" w:type="dxa"/>
            <w:vAlign w:val="bottom"/>
          </w:tcPr>
          <w:p>
            <w:pPr>
              <w:jc w:val="right"/>
              <w:ind w:right="312"/>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7,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7,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Peter Leparulo, Chairman and Chief Executive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7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2014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7,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Kenneth Leddon, Senior Vice President and Chief Financial Officer of Novatel Wireless, Inc. (Company), do hereby certify, pursuant to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84" w:lineRule="exact"/>
        <w:rPr>
          <w:sz w:val="20"/>
          <w:szCs w:val="20"/>
          <w:color w:val="auto"/>
        </w:rPr>
      </w:pPr>
    </w:p>
    <w:p>
      <w:pPr>
        <w:ind w:left="900" w:right="7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2014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7,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2019-12-06T16:10:22Z</dcterms:created>
  <dcterms:modified xsi:type="dcterms:W3CDTF">2019-12-06T16:10:22Z</dcterms:modified>
</cp:coreProperties>
</file>