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40" w:after="283"/>
        <w:ind w:left="0" w:right="0" w:firstLine="72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2473" w:type="dxa"/>
        <w:jc w:val="center"/>
        <w:tblInd w:w="0" w:type="dxa"/>
        <w:tblLayout w:type="fixed"/>
        <w:tblCellMar>
          <w:top w:w="28" w:type="dxa"/>
          <w:left w:w="28" w:type="dxa"/>
          <w:bottom w:w="28" w:type="dxa"/>
          <w:right w:w="28" w:type="dxa"/>
        </w:tblCellMar>
      </w:tblPr>
      <w:tblGrid>
        <w:gridCol w:w="446"/>
        <w:gridCol w:w="392"/>
        <w:gridCol w:w="393"/>
        <w:gridCol w:w="109"/>
        <w:gridCol w:w="109"/>
        <w:gridCol w:w="109"/>
        <w:gridCol w:w="267"/>
        <w:gridCol w:w="267"/>
        <w:gridCol w:w="381"/>
      </w:tblGrid>
      <w:tr>
        <w:trPr/>
        <w:tc>
          <w:tcPr>
            <w:tcW w:w="4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100" w:after="283"/>
              <w:jc w:val="center"/>
              <w:rPr>
                <w:rFonts w:ascii="Times New Roman;serif" w:hAnsi="Times New Roman;serif"/>
                <w:b/>
                <w:color w:val="000000"/>
                <w:sz w:val="36"/>
              </w:rPr>
            </w:pPr>
            <w:r>
              <w:rPr>
                <w:rFonts w:ascii="Times New Roman;serif" w:hAnsi="Times New Roman;serif"/>
                <w:b/>
                <w:color w:val="000000"/>
                <w:sz w:val="36"/>
              </w:rPr>
              <w:t>FORM</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100" w:after="283"/>
              <w:jc w:val="center"/>
              <w:rPr>
                <w:rFonts w:ascii="Times New Roman;serif" w:hAnsi="Times New Roman;serif"/>
                <w:b/>
                <w:color w:val="000000"/>
                <w:sz w:val="36"/>
              </w:rPr>
            </w:pPr>
            <w:r>
              <w:rPr>
                <w:rFonts w:ascii="Times New Roman;serif" w:hAnsi="Times New Roman;serif"/>
                <w:b/>
                <w:color w:val="000000"/>
                <w:sz w:val="36"/>
              </w:rPr>
              <w:t>10-Q</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0"/>
        <w:jc w:val="center"/>
        <w:rPr/>
      </w:pPr>
      <w:r>
        <w:rPr>
          <w:rFonts w:ascii="Times New Roman;serif" w:hAnsi="Times New Roman;serif"/>
          <w:b/>
          <w:color w:val="000000"/>
          <w:sz w:val="20"/>
        </w:rPr>
        <w:t>For the transition period from</w:t>
      </w:r>
      <w:r>
        <w:rPr>
          <w:color w:val="000000"/>
        </w:rPr>
        <w:t xml:space="preserve">  </w:t>
      </w:r>
      <w:r>
        <w:rPr>
          <w:color w:val="000000"/>
          <w:u w:val="single"/>
        </w:rPr>
        <w:t>                     </w:t>
      </w:r>
      <w:r>
        <w:rPr>
          <w:color w:val="000000"/>
        </w:rPr>
        <w:t xml:space="preserve">   </w:t>
      </w:r>
      <w:r>
        <w:rPr>
          <w:rFonts w:ascii="Times New Roman;serif" w:hAnsi="Times New Roman;serif"/>
          <w:b/>
          <w:color w:val="000000"/>
          <w:sz w:val="20"/>
        </w:rPr>
        <w:t>to</w:t>
      </w:r>
      <w:r>
        <w:rPr>
          <w:color w:val="000000"/>
        </w:rPr>
        <w:t xml:space="preserve"> </w:t>
      </w:r>
      <w:r>
        <w:rPr>
          <w:color w:val="000000"/>
          <w:u w:val="single"/>
        </w:rPr>
        <w:t>                   </w:t>
      </w:r>
      <w:r>
        <w:rPr>
          <w:color w:val="000000"/>
        </w:rPr>
        <w:t> </w:t>
      </w:r>
      <w:r>
        <w:rPr>
          <w:rFonts w:ascii="Times New Roman;serif" w:hAnsi="Times New Roman;serif"/>
          <w:b w:val="false"/>
          <w:color w:val="000000"/>
          <w:sz w:val="20"/>
        </w:rPr>
        <w:t>.  </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 xml:space="preserve">Commission File Number: 001-38358 </w:t>
      </w:r>
    </w:p>
    <w:tbl>
      <w:tblPr>
        <w:tblW w:w="4256" w:type="dxa"/>
        <w:jc w:val="center"/>
        <w:tblInd w:w="0" w:type="dxa"/>
        <w:tblLayout w:type="fixed"/>
        <w:tblCellMar>
          <w:top w:w="28" w:type="dxa"/>
          <w:left w:w="28" w:type="dxa"/>
          <w:bottom w:w="28" w:type="dxa"/>
          <w:right w:w="28" w:type="dxa"/>
        </w:tblCellMar>
      </w:tblPr>
      <w:tblGrid>
        <w:gridCol w:w="124"/>
        <w:gridCol w:w="109"/>
        <w:gridCol w:w="109"/>
        <w:gridCol w:w="1146"/>
        <w:gridCol w:w="1146"/>
        <w:gridCol w:w="16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00" w:after="283"/>
              <w:jc w:val="center"/>
              <w:rPr>
                <w:rFonts w:ascii="Times New Roman;serif" w:hAnsi="Times New Roman;serif"/>
                <w:b/>
                <w:color w:val="000000"/>
                <w:sz w:val="36"/>
              </w:rPr>
            </w:pPr>
            <w:r>
              <w:rPr>
                <w:rFonts w:ascii="Times New Roman;serif" w:hAnsi="Times New Roman;serif"/>
                <w:b/>
                <w:color w:val="000000"/>
                <w:sz w:val="36"/>
              </w:rPr>
              <w:t>INSEEGO CORP.</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tc>
      </w:tr>
    </w:tbl>
    <w:tbl>
      <w:tblPr>
        <w:tblW w:w="4822" w:type="dxa"/>
        <w:jc w:val="left"/>
        <w:tblInd w:w="0" w:type="dxa"/>
        <w:tblLayout w:type="fixed"/>
        <w:tblCellMar>
          <w:top w:w="28" w:type="dxa"/>
          <w:left w:w="28" w:type="dxa"/>
          <w:bottom w:w="28" w:type="dxa"/>
          <w:right w:w="28" w:type="dxa"/>
        </w:tblCellMar>
      </w:tblPr>
      <w:tblGrid>
        <w:gridCol w:w="555"/>
        <w:gridCol w:w="488"/>
        <w:gridCol w:w="488"/>
        <w:gridCol w:w="488"/>
        <w:gridCol w:w="488"/>
        <w:gridCol w:w="504"/>
        <w:gridCol w:w="109"/>
        <w:gridCol w:w="109"/>
        <w:gridCol w:w="109"/>
        <w:gridCol w:w="433"/>
        <w:gridCol w:w="433"/>
        <w:gridCol w:w="618"/>
      </w:tblGrid>
      <w:tr>
        <w:trPr/>
        <w:tc>
          <w:tcPr>
            <w:tcW w:w="55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301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81-3377646</w:t>
            </w:r>
          </w:p>
        </w:tc>
      </w:tr>
      <w:tr>
        <w:trPr/>
        <w:tc>
          <w:tcPr>
            <w:tcW w:w="301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9710 Scranton Road, Suite 200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San Diego,</w:t>
            </w:r>
          </w:p>
        </w:tc>
        <w:tc>
          <w:tcPr>
            <w:tcW w:w="1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92121</w:t>
            </w:r>
          </w:p>
        </w:tc>
      </w:tr>
      <w:tr>
        <w:trPr/>
        <w:tc>
          <w:tcPr>
            <w:tcW w:w="301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(858) 812-3400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924" w:type="dxa"/>
        <w:jc w:val="center"/>
        <w:tblInd w:w="0" w:type="dxa"/>
        <w:tblLayout w:type="fixed"/>
        <w:tblCellMar>
          <w:top w:w="28" w:type="dxa"/>
          <w:left w:w="28" w:type="dxa"/>
          <w:bottom w:w="28" w:type="dxa"/>
          <w:right w:w="28" w:type="dxa"/>
        </w:tblCellMar>
      </w:tblPr>
      <w:tblGrid>
        <w:gridCol w:w="1304"/>
        <w:gridCol w:w="1141"/>
        <w:gridCol w:w="1155"/>
        <w:gridCol w:w="539"/>
        <w:gridCol w:w="539"/>
        <w:gridCol w:w="541"/>
        <w:gridCol w:w="1085"/>
        <w:gridCol w:w="1085"/>
        <w:gridCol w:w="1535"/>
      </w:tblGrid>
      <w:tr>
        <w:trPr/>
        <w:tc>
          <w:tcPr>
            <w:tcW w:w="1304"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60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$0.001 per share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INSG</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lineRule="auto" w:line="288" w:before="0" w:after="0"/>
        <w:ind w:left="0" w:right="0" w:firstLine="495"/>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20"/>
        </w:rPr>
        <w:t xml:space="preserve">No  </w:t>
      </w:r>
      <w:r>
        <w:rPr>
          <w:color w:val="000000"/>
        </w:rPr>
        <w:t>☐</w:t>
      </w:r>
    </w:p>
    <w:p>
      <w:pPr>
        <w:pStyle w:val="TextBody"/>
        <w:bidi w:val="0"/>
        <w:spacing w:lineRule="auto" w:line="288" w:before="100" w:after="283"/>
        <w:ind w:left="0" w:right="0" w:firstLine="495"/>
        <w:jc w:val="left"/>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20"/>
        </w:rPr>
        <w:t xml:space="preserve">No  </w:t>
      </w:r>
      <w:r>
        <w:rPr>
          <w:color w:val="000000"/>
        </w:rPr>
        <w:t>☐</w:t>
      </w:r>
    </w:p>
    <w:p>
      <w:pPr>
        <w:pStyle w:val="TextBody"/>
        <w:bidi w:val="0"/>
        <w:spacing w:lineRule="auto" w:line="288"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4928" w:type="dxa"/>
        <w:jc w:val="center"/>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20" w:after="283"/>
        <w:jc w:val="left"/>
        <w:rPr/>
      </w:pPr>
      <w:r>
        <w:rPr>
          <w:rFonts w:ascii="Times New Roman;serif" w:hAnsi="Times New Roman;serif"/>
          <w:b w:val="false"/>
          <w:color w:val="000000"/>
          <w:sz w:val="20"/>
        </w:rPr>
        <w:t xml:space="preserve">Indicate by check mark whether the registrant is a shell company </w:t>
      </w:r>
      <w:r>
        <w:rPr>
          <w:rFonts w:ascii="Times New Roman;serif" w:hAnsi="Times New Roman;serif"/>
          <w:b w:val="false"/>
          <w:color w:val="000000"/>
          <w:sz w:val="18"/>
        </w:rPr>
        <w:t>(as defined in Rule 12b-2 of the Exchange Act)</w:t>
      </w:r>
      <w:r>
        <w:rPr>
          <w:rFonts w:ascii="Times New Roman;serif" w:hAnsi="Times New Roman;serif"/>
          <w:b w:val="false"/>
          <w:color w:val="000000"/>
          <w:sz w:val="20"/>
        </w:rPr>
        <w:t xml:space="preserve">. Yes </w:t>
      </w:r>
      <w:r>
        <w:rPr>
          <w:color w:val="000000"/>
        </w:rPr>
        <w:t xml:space="preserve">☐ </w:t>
      </w:r>
      <w:r>
        <w:rPr>
          <w:rFonts w:ascii="Times New Roman;serif" w:hAnsi="Times New Roman;serif"/>
          <w:b w:val="false"/>
          <w:color w:val="000000"/>
          <w:sz w:val="20"/>
        </w:rPr>
        <w:t>No </w:t>
      </w:r>
      <w:r>
        <w:rPr>
          <w:color w:val="000000"/>
        </w:rPr>
        <w: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number of shares of the registrant’s common stock outstanding as of July 29, 2026, was 16,420,592.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0"/>
        <w:jc w:val="left"/>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607"/>
        <w:gridCol w:w="535"/>
        <w:gridCol w:w="535"/>
        <w:gridCol w:w="2667"/>
        <w:gridCol w:w="2661"/>
        <w:gridCol w:w="2686"/>
        <w:gridCol w:w="149"/>
        <w:gridCol w:w="149"/>
        <w:gridCol w:w="216"/>
      </w:tblGrid>
      <w:tr>
        <w:trPr/>
        <w:tc>
          <w:tcPr>
            <w:tcW w:w="607"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2667" w:type="dxa"/>
            <w:tcBorders/>
            <w:vAlign w:val="center"/>
          </w:tcPr>
          <w:p>
            <w:pPr>
              <w:pStyle w:val="TableContents"/>
              <w:bidi w:val="0"/>
              <w:spacing w:before="0" w:after="283"/>
              <w:jc w:val="left"/>
              <w:rPr>
                <w:sz w:val="4"/>
                <w:szCs w:val="4"/>
              </w:rPr>
            </w:pPr>
            <w:r>
              <w:rPr>
                <w:sz w:val="4"/>
                <w:szCs w:val="4"/>
              </w:rPr>
            </w:r>
          </w:p>
        </w:tc>
        <w:tc>
          <w:tcPr>
            <w:tcW w:w="2661" w:type="dxa"/>
            <w:tcBorders/>
            <w:vAlign w:val="center"/>
          </w:tcPr>
          <w:p>
            <w:pPr>
              <w:pStyle w:val="TableContents"/>
              <w:bidi w:val="0"/>
              <w:spacing w:before="0" w:after="283"/>
              <w:jc w:val="left"/>
              <w:rPr>
                <w:sz w:val="4"/>
                <w:szCs w:val="4"/>
              </w:rPr>
            </w:pPr>
            <w:r>
              <w:rPr>
                <w:sz w:val="4"/>
                <w:szCs w:val="4"/>
              </w:rPr>
            </w:r>
          </w:p>
        </w:tc>
        <w:tc>
          <w:tcPr>
            <w:tcW w:w="268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969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Page</w:t>
            </w:r>
          </w:p>
        </w:tc>
      </w:tr>
      <w:tr>
        <w:trPr/>
        <w:tc>
          <w:tcPr>
            <w:tcW w:w="9691" w:type="dxa"/>
            <w:gridSpan w:val="6"/>
            <w:tcBorders/>
            <w:tcMar>
              <w:top w:w="0" w:type="dxa"/>
              <w:left w:w="0" w:type="dxa"/>
              <w:bottom w:w="0" w:type="dxa"/>
              <w:right w:w="0" w:type="dxa"/>
            </w:tcMar>
            <w:vAlign w:val="center"/>
          </w:tcPr>
          <w:p>
            <w:pPr>
              <w:pStyle w:val="TableContents"/>
              <w:bidi w:val="0"/>
              <w:spacing w:lineRule="auto" w:line="240" w:before="100" w:after="100"/>
              <w:jc w:val="left"/>
              <w:rPr/>
            </w:pPr>
            <w:hyperlink w:anchor="i9dd7984c95ce4fe99468a685a2c5b695_13">
              <w:r>
                <w:rPr>
                  <w:rStyle w:val="InternetLink"/>
                  <w:rFonts w:ascii="Times New Roman;serif" w:hAnsi="Times New Roman;serif"/>
                  <w:b w:val="false"/>
                  <w:strike w:val="false"/>
                  <w:dstrike w:val="false"/>
                  <w:color w:val="0000FF"/>
                  <w:sz w:val="20"/>
                  <w:u w:val="none"/>
                  <w:effect w:val="none"/>
                </w:rPr>
                <w:t>PART I—FINANCIAL INFORMATION</w:t>
              </w:r>
            </w:hyperlink>
          </w:p>
        </w:tc>
        <w:tc>
          <w:tcPr>
            <w:tcW w:w="5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0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d7984c95ce4fe99468a685a2c5b695_13">
              <w:r>
                <w:rPr>
                  <w:rStyle w:val="InternetLink"/>
                  <w:rFonts w:ascii="Times New Roman;serif" w:hAnsi="Times New Roman;serif"/>
                  <w:b w:val="false"/>
                  <w:strike w:val="false"/>
                  <w:dstrike w:val="false"/>
                  <w:color w:val="0000FF"/>
                  <w:sz w:val="20"/>
                  <w:u w:val="none"/>
                  <w:effect w:val="none"/>
                </w:rPr>
                <w:t>Financial Statements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dd7984c95ce4fe99468a685a2c5b695_13">
              <w:r>
                <w:rPr>
                  <w:rStyle w:val="InternetLink"/>
                  <w:rFonts w:ascii="Times New Roman;serif" w:hAnsi="Times New Roman;serif"/>
                  <w:b w:val="false"/>
                  <w:strike w:val="false"/>
                  <w:dstrike w:val="false"/>
                  <w:color w:val="0000FF"/>
                  <w:sz w:val="20"/>
                  <w:u w:val="none"/>
                  <w:effect w:val="none"/>
                </w:rPr>
                <w:t>3</w:t>
              </w:r>
            </w:hyperlink>
          </w:p>
        </w:tc>
      </w:tr>
      <w:tr>
        <w:trPr/>
        <w:tc>
          <w:tcPr>
            <w:tcW w:w="1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d7984c95ce4fe99468a685a2c5b695_13">
              <w:r>
                <w:rPr>
                  <w:rStyle w:val="InternetLink"/>
                  <w:rFonts w:ascii="Times New Roman;serif" w:hAnsi="Times New Roman;serif"/>
                  <w:b w:val="false"/>
                  <w:strike w:val="false"/>
                  <w:dstrike w:val="false"/>
                  <w:color w:val="0000FF"/>
                  <w:sz w:val="20"/>
                  <w:u w:val="none"/>
                  <w:effect w:val="none"/>
                </w:rPr>
                <w:t>Condensed Consolidated Balance Sheets (Unaudited)</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dd7984c95ce4fe99468a685a2c5b695_13">
              <w:r>
                <w:rPr>
                  <w:rStyle w:val="InternetLink"/>
                  <w:rFonts w:ascii="Times New Roman;serif" w:hAnsi="Times New Roman;serif"/>
                  <w:b w:val="false"/>
                  <w:strike w:val="false"/>
                  <w:dstrike w:val="false"/>
                  <w:color w:val="0000FF"/>
                  <w:sz w:val="20"/>
                  <w:u w:val="none"/>
                  <w:effect w:val="none"/>
                </w:rPr>
                <w:t>3</w:t>
              </w:r>
            </w:hyperlink>
          </w:p>
        </w:tc>
      </w:tr>
      <w:tr>
        <w:trPr/>
        <w:tc>
          <w:tcPr>
            <w:tcW w:w="1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d7984c95ce4fe99468a685a2c5b695_16">
              <w:r>
                <w:rPr>
                  <w:rStyle w:val="InternetLink"/>
                  <w:rFonts w:ascii="Times New Roman;serif" w:hAnsi="Times New Roman;serif"/>
                  <w:b w:val="false"/>
                  <w:strike w:val="false"/>
                  <w:dstrike w:val="false"/>
                  <w:color w:val="0000FF"/>
                  <w:sz w:val="20"/>
                  <w:u w:val="none"/>
                  <w:effect w:val="none"/>
                </w:rPr>
                <w:t>Condensed Consolidated Statements of Operations and Comprehensive Income (Loss) (Unaudited)</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dd7984c95ce4fe99468a685a2c5b695_16">
              <w:r>
                <w:rPr>
                  <w:rStyle w:val="InternetLink"/>
                  <w:rFonts w:ascii="Times New Roman;serif" w:hAnsi="Times New Roman;serif"/>
                  <w:b w:val="false"/>
                  <w:strike w:val="false"/>
                  <w:dstrike w:val="false"/>
                  <w:color w:val="0000FF"/>
                  <w:sz w:val="20"/>
                  <w:u w:val="none"/>
                  <w:effect w:val="none"/>
                </w:rPr>
                <w:t>4</w:t>
              </w:r>
            </w:hyperlink>
          </w:p>
        </w:tc>
      </w:tr>
      <w:tr>
        <w:trPr/>
        <w:tc>
          <w:tcPr>
            <w:tcW w:w="1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7" w:type="dxa"/>
            <w:gridSpan w:val="3"/>
            <w:tcBorders/>
            <w:vAlign w:val="center"/>
          </w:tcPr>
          <w:p>
            <w:pPr>
              <w:pStyle w:val="TableContents"/>
              <w:bidi w:val="0"/>
              <w:spacing w:before="0" w:after="283"/>
              <w:jc w:val="left"/>
              <w:rPr>
                <w:sz w:val="4"/>
                <w:szCs w:val="4"/>
              </w:rPr>
            </w:pPr>
            <w:r>
              <w:rPr>
                <w:sz w:val="4"/>
                <w:szCs w:val="4"/>
              </w:rPr>
            </w:r>
          </w:p>
        </w:tc>
        <w:tc>
          <w:tcPr>
            <w:tcW w:w="8014" w:type="dxa"/>
            <w:gridSpan w:val="3"/>
            <w:tcBorders/>
            <w:vAlign w:val="center"/>
          </w:tcPr>
          <w:p>
            <w:pPr>
              <w:pStyle w:val="TableContents"/>
              <w:bidi w:val="0"/>
              <w:spacing w:before="0" w:after="283"/>
              <w:jc w:val="left"/>
              <w:rPr>
                <w:sz w:val="4"/>
                <w:szCs w:val="4"/>
              </w:rPr>
            </w:pPr>
            <w:r>
              <w:rPr>
                <w:sz w:val="4"/>
                <w:szCs w:val="4"/>
              </w:rPr>
            </w:r>
          </w:p>
        </w:tc>
        <w:tc>
          <w:tcPr>
            <w:tcW w:w="514" w:type="dxa"/>
            <w:gridSpan w:val="3"/>
            <w:tcBorders/>
            <w:vAlign w:val="center"/>
          </w:tcPr>
          <w:p>
            <w:pPr>
              <w:pStyle w:val="TableContents"/>
              <w:bidi w:val="0"/>
              <w:spacing w:before="0" w:after="283"/>
              <w:jc w:val="left"/>
              <w:rPr>
                <w:sz w:val="4"/>
                <w:szCs w:val="4"/>
              </w:rPr>
            </w:pPr>
            <w:r>
              <w:rPr>
                <w:sz w:val="4"/>
                <w:szCs w:val="4"/>
              </w:rPr>
            </w:r>
          </w:p>
        </w:tc>
      </w:tr>
      <w:tr>
        <w:trPr/>
        <w:tc>
          <w:tcPr>
            <w:tcW w:w="1677" w:type="dxa"/>
            <w:gridSpan w:val="3"/>
            <w:tcBorders/>
            <w:vAlign w:val="center"/>
          </w:tcPr>
          <w:p>
            <w:pPr>
              <w:pStyle w:val="TableContents"/>
              <w:bidi w:val="0"/>
              <w:spacing w:before="0" w:after="283"/>
              <w:jc w:val="left"/>
              <w:rPr>
                <w:sz w:val="4"/>
                <w:szCs w:val="4"/>
              </w:rPr>
            </w:pPr>
            <w:r>
              <w:rPr>
                <w:sz w:val="4"/>
                <w:szCs w:val="4"/>
              </w:rPr>
            </w:r>
          </w:p>
        </w:tc>
        <w:tc>
          <w:tcPr>
            <w:tcW w:w="8014" w:type="dxa"/>
            <w:gridSpan w:val="3"/>
            <w:tcBorders/>
            <w:vAlign w:val="center"/>
          </w:tcPr>
          <w:p>
            <w:pPr>
              <w:pStyle w:val="TableContents"/>
              <w:bidi w:val="0"/>
              <w:spacing w:before="0" w:after="283"/>
              <w:jc w:val="left"/>
              <w:rPr>
                <w:sz w:val="4"/>
                <w:szCs w:val="4"/>
              </w:rPr>
            </w:pPr>
            <w:r>
              <w:rPr>
                <w:sz w:val="4"/>
                <w:szCs w:val="4"/>
              </w:rPr>
            </w:r>
          </w:p>
        </w:tc>
        <w:tc>
          <w:tcPr>
            <w:tcW w:w="514" w:type="dxa"/>
            <w:gridSpan w:val="3"/>
            <w:tcBorders/>
            <w:vAlign w:val="center"/>
          </w:tcPr>
          <w:p>
            <w:pPr>
              <w:pStyle w:val="TableContents"/>
              <w:bidi w:val="0"/>
              <w:spacing w:before="0" w:after="283"/>
              <w:jc w:val="left"/>
              <w:rPr>
                <w:sz w:val="4"/>
                <w:szCs w:val="4"/>
              </w:rPr>
            </w:pPr>
            <w:r>
              <w:rPr>
                <w:sz w:val="4"/>
                <w:szCs w:val="4"/>
              </w:rPr>
            </w:r>
          </w:p>
        </w:tc>
      </w:tr>
      <w:tr>
        <w:trPr/>
        <w:tc>
          <w:tcPr>
            <w:tcW w:w="1677" w:type="dxa"/>
            <w:gridSpan w:val="3"/>
            <w:tcBorders/>
            <w:vAlign w:val="center"/>
          </w:tcPr>
          <w:p>
            <w:pPr>
              <w:pStyle w:val="TableContents"/>
              <w:bidi w:val="0"/>
              <w:spacing w:before="0" w:after="283"/>
              <w:jc w:val="left"/>
              <w:rPr>
                <w:sz w:val="4"/>
                <w:szCs w:val="4"/>
              </w:rPr>
            </w:pPr>
            <w:r>
              <w:rPr>
                <w:sz w:val="4"/>
                <w:szCs w:val="4"/>
              </w:rPr>
            </w:r>
          </w:p>
        </w:tc>
        <w:tc>
          <w:tcPr>
            <w:tcW w:w="8014" w:type="dxa"/>
            <w:gridSpan w:val="3"/>
            <w:tcBorders/>
            <w:vAlign w:val="center"/>
          </w:tcPr>
          <w:p>
            <w:pPr>
              <w:pStyle w:val="TableContents"/>
              <w:bidi w:val="0"/>
              <w:spacing w:before="0" w:after="283"/>
              <w:jc w:val="left"/>
              <w:rPr>
                <w:sz w:val="4"/>
                <w:szCs w:val="4"/>
              </w:rPr>
            </w:pPr>
            <w:r>
              <w:rPr>
                <w:sz w:val="4"/>
                <w:szCs w:val="4"/>
              </w:rPr>
            </w:r>
          </w:p>
        </w:tc>
        <w:tc>
          <w:tcPr>
            <w:tcW w:w="514" w:type="dxa"/>
            <w:gridSpan w:val="3"/>
            <w:tcBorders/>
            <w:vAlign w:val="center"/>
          </w:tcPr>
          <w:p>
            <w:pPr>
              <w:pStyle w:val="TableContents"/>
              <w:bidi w:val="0"/>
              <w:spacing w:before="0" w:after="283"/>
              <w:jc w:val="left"/>
              <w:rPr>
                <w:sz w:val="4"/>
                <w:szCs w:val="4"/>
              </w:rPr>
            </w:pPr>
            <w:r>
              <w:rPr>
                <w:sz w:val="4"/>
                <w:szCs w:val="4"/>
              </w:rPr>
            </w:r>
          </w:p>
        </w:tc>
      </w:tr>
      <w:tr>
        <w:trPr/>
        <w:tc>
          <w:tcPr>
            <w:tcW w:w="1677" w:type="dxa"/>
            <w:gridSpan w:val="3"/>
            <w:tcBorders/>
            <w:vAlign w:val="center"/>
          </w:tcPr>
          <w:p>
            <w:pPr>
              <w:pStyle w:val="TableContents"/>
              <w:bidi w:val="0"/>
              <w:spacing w:before="0" w:after="283"/>
              <w:jc w:val="left"/>
              <w:rPr>
                <w:sz w:val="4"/>
                <w:szCs w:val="4"/>
              </w:rPr>
            </w:pPr>
            <w:r>
              <w:rPr>
                <w:sz w:val="4"/>
                <w:szCs w:val="4"/>
              </w:rPr>
            </w:r>
          </w:p>
        </w:tc>
        <w:tc>
          <w:tcPr>
            <w:tcW w:w="8014" w:type="dxa"/>
            <w:gridSpan w:val="3"/>
            <w:tcBorders/>
            <w:vAlign w:val="center"/>
          </w:tcPr>
          <w:p>
            <w:pPr>
              <w:pStyle w:val="TableContents"/>
              <w:bidi w:val="0"/>
              <w:spacing w:before="0" w:after="283"/>
              <w:jc w:val="left"/>
              <w:rPr>
                <w:sz w:val="4"/>
                <w:szCs w:val="4"/>
              </w:rPr>
            </w:pPr>
            <w:r>
              <w:rPr>
                <w:sz w:val="4"/>
                <w:szCs w:val="4"/>
              </w:rPr>
            </w:r>
          </w:p>
        </w:tc>
        <w:tc>
          <w:tcPr>
            <w:tcW w:w="514" w:type="dxa"/>
            <w:gridSpan w:val="3"/>
            <w:tcBorders/>
            <w:vAlign w:val="center"/>
          </w:tcPr>
          <w:p>
            <w:pPr>
              <w:pStyle w:val="TableContents"/>
              <w:bidi w:val="0"/>
              <w:spacing w:before="0" w:after="283"/>
              <w:jc w:val="left"/>
              <w:rPr>
                <w:sz w:val="4"/>
                <w:szCs w:val="4"/>
              </w:rPr>
            </w:pPr>
            <w:r>
              <w:rPr>
                <w:sz w:val="4"/>
                <w:szCs w:val="4"/>
              </w:rPr>
            </w:r>
          </w:p>
        </w:tc>
      </w:tr>
      <w:tr>
        <w:trPr/>
        <w:tc>
          <w:tcPr>
            <w:tcW w:w="1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d7984c95ce4fe99468a685a2c5b695_22">
              <w:r>
                <w:rPr>
                  <w:rStyle w:val="InternetLink"/>
                  <w:rFonts w:ascii="Times New Roman;serif" w:hAnsi="Times New Roman;serif"/>
                  <w:b w:val="false"/>
                  <w:strike w:val="false"/>
                  <w:dstrike w:val="false"/>
                  <w:color w:val="0000FF"/>
                  <w:sz w:val="20"/>
                  <w:u w:val="none"/>
                  <w:effect w:val="none"/>
                </w:rPr>
                <w:t>Condensed Consolidated Statements of Stockholders’ Deficit (Unaudited)</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dd7984c95ce4fe99468a685a2c5b695_22">
              <w:r>
                <w:rPr>
                  <w:rStyle w:val="InternetLink"/>
                  <w:rFonts w:ascii="Times New Roman;serif" w:hAnsi="Times New Roman;serif"/>
                  <w:b w:val="false"/>
                  <w:strike w:val="false"/>
                  <w:dstrike w:val="false"/>
                  <w:color w:val="0000FF"/>
                  <w:sz w:val="20"/>
                  <w:u w:val="none"/>
                  <w:effect w:val="none"/>
                </w:rPr>
                <w:t>6</w:t>
              </w:r>
            </w:hyperlink>
          </w:p>
        </w:tc>
      </w:tr>
      <w:tr>
        <w:trPr/>
        <w:tc>
          <w:tcPr>
            <w:tcW w:w="1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FF"/>
                <w:sz w:val="20"/>
              </w:rPr>
            </w:pPr>
            <w:r>
              <w:rPr>
                <w:rFonts w:ascii="Times New Roman;serif" w:hAnsi="Times New Roman;serif"/>
                <w:b w:val="false"/>
                <w:color w:val="0000FF"/>
                <w:sz w:val="20"/>
              </w:rPr>
              <w:t>Condensed Consolidated Statements of Cash Flows (Unaudited)</w:t>
            </w:r>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dd7984c95ce4fe99468a685a2c5b695_28">
              <w:r>
                <w:rPr>
                  <w:rStyle w:val="InternetLink"/>
                  <w:rFonts w:ascii="Times New Roman;serif" w:hAnsi="Times New Roman;serif"/>
                  <w:b w:val="false"/>
                  <w:strike w:val="false"/>
                  <w:dstrike w:val="false"/>
                  <w:color w:val="0000FF"/>
                  <w:sz w:val="20"/>
                  <w:u w:val="none"/>
                  <w:effect w:val="none"/>
                </w:rPr>
                <w:t>8</w:t>
              </w:r>
            </w:hyperlink>
          </w:p>
        </w:tc>
      </w:tr>
      <w:tr>
        <w:trPr/>
        <w:tc>
          <w:tcPr>
            <w:tcW w:w="1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d7984c95ce4fe99468a685a2c5b695_31">
              <w:r>
                <w:rPr>
                  <w:rStyle w:val="InternetLink"/>
                  <w:rFonts w:ascii="Times New Roman;serif" w:hAnsi="Times New Roman;serif"/>
                  <w:b w:val="false"/>
                  <w:strike w:val="false"/>
                  <w:dstrike w:val="false"/>
                  <w:color w:val="0000FF"/>
                  <w:sz w:val="20"/>
                  <w:u w:val="none"/>
                  <w:effect w:val="none"/>
                </w:rPr>
                <w:t>Notes to Condensed Consolidated Financial Statements (Unaudited)</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dd7984c95ce4fe99468a685a2c5b695_31">
              <w:r>
                <w:rPr>
                  <w:rStyle w:val="InternetLink"/>
                  <w:rFonts w:ascii="Times New Roman;serif" w:hAnsi="Times New Roman;serif"/>
                  <w:b w:val="false"/>
                  <w:strike w:val="false"/>
                  <w:dstrike w:val="false"/>
                  <w:color w:val="0000FF"/>
                  <w:sz w:val="20"/>
                  <w:u w:val="none"/>
                  <w:effect w:val="none"/>
                </w:rPr>
                <w:t>9</w:t>
              </w:r>
            </w:hyperlink>
          </w:p>
        </w:tc>
      </w:tr>
      <w:tr>
        <w:trPr/>
        <w:tc>
          <w:tcPr>
            <w:tcW w:w="1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014" w:type="dxa"/>
            <w:gridSpan w:val="3"/>
            <w:tcBorders/>
            <w:tcMar>
              <w:top w:w="0" w:type="dxa"/>
              <w:left w:w="0" w:type="dxa"/>
              <w:bottom w:w="0" w:type="dxa"/>
              <w:right w:w="0" w:type="dxa"/>
            </w:tcMar>
            <w:vAlign w:val="center"/>
          </w:tcPr>
          <w:p>
            <w:pPr>
              <w:pStyle w:val="TableContents"/>
              <w:bidi w:val="0"/>
              <w:spacing w:lineRule="auto" w:line="240" w:before="0" w:after="0"/>
              <w:ind w:left="0" w:right="0" w:hanging="1080"/>
              <w:jc w:val="left"/>
              <w:rPr/>
            </w:pPr>
            <w:hyperlink w:anchor="i9dd7984c95ce4fe99468a685a2c5b695_94">
              <w:r>
                <w:rPr>
                  <w:rStyle w:val="InternetLink"/>
                  <w:rFonts w:ascii="Times New Roman;serif" w:hAnsi="Times New Roman;serif"/>
                  <w:b w:val="false"/>
                  <w:strike w:val="false"/>
                  <w:dstrike w:val="false"/>
                  <w:color w:val="0000FF"/>
                  <w:sz w:val="20"/>
                  <w:u w:val="none"/>
                  <w:effect w:val="none"/>
                </w:rPr>
                <w:t>Management’s Discussion and Analysis of Financial Condition and Results of Operations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dd7984c95ce4fe99468a685a2c5b695_94">
              <w:r>
                <w:rPr>
                  <w:rStyle w:val="InternetLink"/>
                  <w:rFonts w:ascii="Times New Roman;serif" w:hAnsi="Times New Roman;serif"/>
                  <w:b w:val="false"/>
                  <w:strike w:val="false"/>
                  <w:dstrike w:val="false"/>
                  <w:color w:val="0000FF"/>
                  <w:sz w:val="20"/>
                  <w:u w:val="none"/>
                  <w:effect w:val="none"/>
                </w:rPr>
                <w:t>23</w:t>
              </w:r>
            </w:hyperlink>
          </w:p>
        </w:tc>
      </w:tr>
      <w:tr>
        <w:trPr/>
        <w:tc>
          <w:tcPr>
            <w:tcW w:w="1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0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d7984c95ce4fe99468a685a2c5b695_109">
              <w:r>
                <w:rPr>
                  <w:rStyle w:val="InternetLink"/>
                  <w:rFonts w:ascii="Times New Roman;serif" w:hAnsi="Times New Roman;serif"/>
                  <w:b w:val="false"/>
                  <w:strike w:val="false"/>
                  <w:dstrike w:val="false"/>
                  <w:color w:val="0000FF"/>
                  <w:sz w:val="20"/>
                  <w:u w:val="none"/>
                  <w:effect w:val="none"/>
                </w:rPr>
                <w:t>Quantitative and Qualitative Disclosures About Market Risk</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dd7984c95ce4fe99468a685a2c5b695_109">
              <w:r>
                <w:rPr>
                  <w:rStyle w:val="InternetLink"/>
                  <w:rFonts w:ascii="Times New Roman;serif" w:hAnsi="Times New Roman;serif"/>
                  <w:b w:val="false"/>
                  <w:strike w:val="false"/>
                  <w:dstrike w:val="false"/>
                  <w:color w:val="0000FF"/>
                  <w:sz w:val="20"/>
                  <w:u w:val="none"/>
                  <w:effect w:val="none"/>
                </w:rPr>
                <w:t>35</w:t>
              </w:r>
            </w:hyperlink>
          </w:p>
        </w:tc>
      </w:tr>
      <w:tr>
        <w:trPr/>
        <w:tc>
          <w:tcPr>
            <w:tcW w:w="1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0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d7984c95ce4fe99468a685a2c5b695_112">
              <w:r>
                <w:rPr>
                  <w:rStyle w:val="InternetLink"/>
                  <w:rFonts w:ascii="Times New Roman;serif" w:hAnsi="Times New Roman;serif"/>
                  <w:b w:val="false"/>
                  <w:strike w:val="false"/>
                  <w:dstrike w:val="false"/>
                  <w:color w:val="0000FF"/>
                  <w:sz w:val="20"/>
                  <w:u w:val="none"/>
                  <w:effect w:val="none"/>
                </w:rPr>
                <w:t>Controls and Procedures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dd7984c95ce4fe99468a685a2c5b695_112">
              <w:r>
                <w:rPr>
                  <w:rStyle w:val="InternetLink"/>
                  <w:rFonts w:ascii="Times New Roman;serif" w:hAnsi="Times New Roman;serif"/>
                  <w:b w:val="false"/>
                  <w:strike w:val="false"/>
                  <w:dstrike w:val="false"/>
                  <w:color w:val="0000FF"/>
                  <w:sz w:val="20"/>
                  <w:u w:val="none"/>
                  <w:effect w:val="none"/>
                </w:rPr>
                <w:t>35</w:t>
              </w:r>
            </w:hyperlink>
          </w:p>
        </w:tc>
      </w:tr>
      <w:tr>
        <w:trPr/>
        <w:tc>
          <w:tcPr>
            <w:tcW w:w="969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9dd7984c95ce4fe99468a685a2c5b695_115">
              <w:r>
                <w:rPr>
                  <w:rStyle w:val="InternetLink"/>
                  <w:rFonts w:ascii="Times New Roman;serif" w:hAnsi="Times New Roman;serif"/>
                  <w:b w:val="false"/>
                  <w:strike w:val="false"/>
                  <w:dstrike w:val="false"/>
                  <w:color w:val="0000FF"/>
                  <w:sz w:val="20"/>
                  <w:u w:val="none"/>
                  <w:effect w:val="none"/>
                </w:rPr>
                <w:t>PART II—OTHER INFORMATION</w:t>
              </w:r>
            </w:hyperlink>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0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d7984c95ce4fe99468a685a2c5b695_118">
              <w:r>
                <w:rPr>
                  <w:rStyle w:val="InternetLink"/>
                  <w:rFonts w:ascii="Times New Roman;serif" w:hAnsi="Times New Roman;serif"/>
                  <w:b w:val="false"/>
                  <w:strike w:val="false"/>
                  <w:dstrike w:val="false"/>
                  <w:color w:val="0000FF"/>
                  <w:sz w:val="20"/>
                  <w:u w:val="none"/>
                  <w:effect w:val="none"/>
                </w:rPr>
                <w:t>Legal Proceedings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dd7984c95ce4fe99468a685a2c5b695_118">
              <w:r>
                <w:rPr>
                  <w:rStyle w:val="InternetLink"/>
                  <w:rFonts w:ascii="Times New Roman;serif" w:hAnsi="Times New Roman;serif"/>
                  <w:b w:val="false"/>
                  <w:strike w:val="false"/>
                  <w:dstrike w:val="false"/>
                  <w:color w:val="0000FF"/>
                  <w:sz w:val="20"/>
                  <w:u w:val="none"/>
                  <w:effect w:val="none"/>
                </w:rPr>
                <w:t>37</w:t>
              </w:r>
            </w:hyperlink>
          </w:p>
        </w:tc>
      </w:tr>
      <w:tr>
        <w:trPr/>
        <w:tc>
          <w:tcPr>
            <w:tcW w:w="1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80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d7984c95ce4fe99468a685a2c5b695_121">
              <w:r>
                <w:rPr>
                  <w:rStyle w:val="InternetLink"/>
                  <w:rFonts w:ascii="Times New Roman;serif" w:hAnsi="Times New Roman;serif"/>
                  <w:b w:val="false"/>
                  <w:strike w:val="false"/>
                  <w:dstrike w:val="false"/>
                  <w:color w:val="0000FF"/>
                  <w:sz w:val="20"/>
                  <w:u w:val="none"/>
                  <w:effect w:val="none"/>
                </w:rPr>
                <w:t>Risk Factors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dd7984c95ce4fe99468a685a2c5b695_121">
              <w:r>
                <w:rPr>
                  <w:rStyle w:val="InternetLink"/>
                  <w:rFonts w:ascii="Times New Roman;serif" w:hAnsi="Times New Roman;serif"/>
                  <w:b w:val="false"/>
                  <w:strike w:val="false"/>
                  <w:dstrike w:val="false"/>
                  <w:color w:val="0000FF"/>
                  <w:sz w:val="20"/>
                  <w:u w:val="none"/>
                  <w:effect w:val="none"/>
                </w:rPr>
                <w:t>37</w:t>
              </w:r>
            </w:hyperlink>
          </w:p>
        </w:tc>
      </w:tr>
      <w:tr>
        <w:trPr/>
        <w:tc>
          <w:tcPr>
            <w:tcW w:w="1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0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d7984c95ce4fe99468a685a2c5b695_124">
              <w:r>
                <w:rPr>
                  <w:rStyle w:val="InternetLink"/>
                  <w:rFonts w:ascii="Times New Roman;serif" w:hAnsi="Times New Roman;serif"/>
                  <w:b w:val="false"/>
                  <w:strike w:val="false"/>
                  <w:dstrike w:val="false"/>
                  <w:color w:val="0000FF"/>
                  <w:sz w:val="20"/>
                  <w:u w:val="none"/>
                  <w:effect w:val="none"/>
                </w:rPr>
                <w:t>Unregistered Sales of Equity Securities and Use of Proceeds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dd7984c95ce4fe99468a685a2c5b695_124">
              <w:r>
                <w:rPr>
                  <w:rStyle w:val="InternetLink"/>
                  <w:rFonts w:ascii="Times New Roman;serif" w:hAnsi="Times New Roman;serif"/>
                  <w:b w:val="false"/>
                  <w:strike w:val="false"/>
                  <w:dstrike w:val="false"/>
                  <w:color w:val="0000FF"/>
                  <w:sz w:val="20"/>
                  <w:u w:val="none"/>
                  <w:effect w:val="none"/>
                </w:rPr>
                <w:t>38</w:t>
              </w:r>
            </w:hyperlink>
          </w:p>
        </w:tc>
      </w:tr>
      <w:tr>
        <w:trPr/>
        <w:tc>
          <w:tcPr>
            <w:tcW w:w="1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0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d7984c95ce4fe99468a685a2c5b695_127">
              <w:r>
                <w:rPr>
                  <w:rStyle w:val="InternetLink"/>
                  <w:rFonts w:ascii="Times New Roman;serif" w:hAnsi="Times New Roman;serif"/>
                  <w:b w:val="false"/>
                  <w:strike w:val="false"/>
                  <w:dstrike w:val="false"/>
                  <w:color w:val="0000FF"/>
                  <w:sz w:val="20"/>
                  <w:u w:val="none"/>
                  <w:effect w:val="none"/>
                </w:rPr>
                <w:t>Defaults Upon Senior Securities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dd7984c95ce4fe99468a685a2c5b695_127">
              <w:r>
                <w:rPr>
                  <w:rStyle w:val="InternetLink"/>
                  <w:rFonts w:ascii="Times New Roman;serif" w:hAnsi="Times New Roman;serif"/>
                  <w:b w:val="false"/>
                  <w:strike w:val="false"/>
                  <w:dstrike w:val="false"/>
                  <w:color w:val="0000FF"/>
                  <w:sz w:val="20"/>
                  <w:u w:val="none"/>
                  <w:effect w:val="none"/>
                </w:rPr>
                <w:t>38</w:t>
              </w:r>
            </w:hyperlink>
          </w:p>
        </w:tc>
      </w:tr>
      <w:tr>
        <w:trPr/>
        <w:tc>
          <w:tcPr>
            <w:tcW w:w="1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0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d7984c95ce4fe99468a685a2c5b695_130">
              <w:r>
                <w:rPr>
                  <w:rStyle w:val="InternetLink"/>
                  <w:rFonts w:ascii="Times New Roman;serif" w:hAnsi="Times New Roman;serif"/>
                  <w:b w:val="false"/>
                  <w:strike w:val="false"/>
                  <w:dstrike w:val="false"/>
                  <w:color w:val="0000FF"/>
                  <w:sz w:val="20"/>
                  <w:u w:val="none"/>
                  <w:effect w:val="none"/>
                </w:rPr>
                <w:t>Mine Safety Disclosures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dd7984c95ce4fe99468a685a2c5b695_130">
              <w:r>
                <w:rPr>
                  <w:rStyle w:val="InternetLink"/>
                  <w:rFonts w:ascii="Times New Roman;serif" w:hAnsi="Times New Roman;serif"/>
                  <w:b w:val="false"/>
                  <w:strike w:val="false"/>
                  <w:dstrike w:val="false"/>
                  <w:color w:val="0000FF"/>
                  <w:sz w:val="20"/>
                  <w:u w:val="none"/>
                  <w:effect w:val="none"/>
                </w:rPr>
                <w:t>38</w:t>
              </w:r>
            </w:hyperlink>
          </w:p>
        </w:tc>
      </w:tr>
      <w:tr>
        <w:trPr/>
        <w:tc>
          <w:tcPr>
            <w:tcW w:w="969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80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d7984c95ce4fe99468a685a2c5b695_133">
              <w:r>
                <w:rPr>
                  <w:rStyle w:val="InternetLink"/>
                  <w:rFonts w:ascii="Times New Roman;serif" w:hAnsi="Times New Roman;serif"/>
                  <w:b w:val="false"/>
                  <w:strike w:val="false"/>
                  <w:dstrike w:val="false"/>
                  <w:color w:val="0000FF"/>
                  <w:sz w:val="20"/>
                  <w:u w:val="none"/>
                  <w:effect w:val="none"/>
                </w:rPr>
                <w:t>Other Information</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dd7984c95ce4fe99468a685a2c5b695_133">
              <w:r>
                <w:rPr>
                  <w:rStyle w:val="InternetLink"/>
                  <w:rFonts w:ascii="Times New Roman;serif" w:hAnsi="Times New Roman;serif"/>
                  <w:b w:val="false"/>
                  <w:strike w:val="false"/>
                  <w:dstrike w:val="false"/>
                  <w:color w:val="0000FF"/>
                  <w:sz w:val="20"/>
                  <w:u w:val="none"/>
                  <w:effect w:val="none"/>
                </w:rPr>
                <w:t>38</w:t>
              </w:r>
            </w:hyperlink>
          </w:p>
        </w:tc>
      </w:tr>
      <w:tr>
        <w:trPr/>
        <w:tc>
          <w:tcPr>
            <w:tcW w:w="969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80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d7984c95ce4fe99468a685a2c5b695_136">
              <w:r>
                <w:rPr>
                  <w:rStyle w:val="InternetLink"/>
                  <w:rFonts w:ascii="Times New Roman;serif" w:hAnsi="Times New Roman;serif"/>
                  <w:b w:val="false"/>
                  <w:strike w:val="false"/>
                  <w:dstrike w:val="false"/>
                  <w:color w:val="0000FF"/>
                  <w:sz w:val="20"/>
                  <w:u w:val="none"/>
                  <w:effect w:val="none"/>
                </w:rPr>
                <w:t>Exhibits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dd7984c95ce4fe99468a685a2c5b695_136">
              <w:r>
                <w:rPr>
                  <w:rStyle w:val="InternetLink"/>
                  <w:rFonts w:ascii="Times New Roman;serif" w:hAnsi="Times New Roman;serif"/>
                  <w:b w:val="false"/>
                  <w:strike w:val="false"/>
                  <w:dstrike w:val="false"/>
                  <w:color w:val="0000FF"/>
                  <w:sz w:val="20"/>
                  <w:u w:val="none"/>
                  <w:effect w:val="none"/>
                </w:rPr>
                <w:t>39</w:t>
              </w:r>
            </w:hyperlink>
          </w:p>
        </w:tc>
      </w:tr>
      <w:tr>
        <w:trPr/>
        <w:tc>
          <w:tcPr>
            <w:tcW w:w="969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9dd7984c95ce4fe99468a685a2c5b695_139">
              <w:r>
                <w:rPr>
                  <w:rStyle w:val="InternetLink"/>
                  <w:rFonts w:ascii="Times New Roman;serif" w:hAnsi="Times New Roman;serif"/>
                  <w:b w:val="false"/>
                  <w:strike w:val="false"/>
                  <w:dstrike w:val="false"/>
                  <w:color w:val="0000FF"/>
                  <w:sz w:val="20"/>
                  <w:u w:val="none"/>
                  <w:effect w:val="none"/>
                </w:rPr>
                <w:t>SIGNATURES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dd7984c95ce4fe99468a685a2c5b695_139">
              <w:r>
                <w:rPr>
                  <w:rStyle w:val="InternetLink"/>
                  <w:rFonts w:ascii="Times New Roman;serif" w:hAnsi="Times New Roman;serif"/>
                  <w:b w:val="false"/>
                  <w:strike w:val="false"/>
                  <w:dstrike w:val="false"/>
                  <w:color w:val="0000FF"/>
                  <w:sz w:val="20"/>
                  <w:u w:val="none"/>
                  <w:effect w:val="none"/>
                </w:rPr>
                <w:t>40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00"/>
        <w:jc w:val="left"/>
        <w:rPr>
          <w:rFonts w:ascii="Times New Roman;serif" w:hAnsi="Times New Roman;serif"/>
          <w:b/>
          <w:color w:val="000000"/>
          <w:sz w:val="20"/>
        </w:rPr>
      </w:pPr>
      <w:r>
        <w:rPr>
          <w:rFonts w:ascii="Times New Roman;serif" w:hAnsi="Times New Roman;serif"/>
          <w:b/>
          <w:color w:val="000000"/>
          <w:sz w:val="20"/>
        </w:rPr>
        <w:t>PART I—FINANCIAL INFORMATION</w:t>
      </w:r>
    </w:p>
    <w:p>
      <w:pPr>
        <w:pStyle w:val="TextBody"/>
        <w:bidi w:val="0"/>
        <w:spacing w:lineRule="auto" w:line="288" w:before="100" w:after="100"/>
        <w:jc w:val="left"/>
        <w:rPr/>
      </w:pPr>
      <w:r>
        <w:rPr>
          <w:rFonts w:ascii="Times New Roman;serif" w:hAnsi="Times New Roman;serif"/>
          <w:b/>
          <w:color w:val="000000"/>
          <w:sz w:val="20"/>
        </w:rPr>
        <w:t>Item 1.     </w:t>
      </w:r>
      <w:r>
        <w:rPr>
          <w:rFonts w:ascii="Times New Roman;serif" w:hAnsi="Times New Roman;serif"/>
          <w:b/>
          <w:i/>
          <w:color w:val="000000"/>
          <w:sz w:val="20"/>
        </w:rPr>
        <w:t>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INSEEGO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BALANCE SHEETS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thousands, except par value, share and per share data)</w:t>
      </w:r>
    </w:p>
    <w:tbl>
      <w:tblPr>
        <w:tblW w:w="10205" w:type="dxa"/>
        <w:jc w:val="left"/>
        <w:tblInd w:w="0" w:type="dxa"/>
        <w:tblLayout w:type="fixed"/>
        <w:tblCellMar>
          <w:top w:w="28" w:type="dxa"/>
          <w:left w:w="28" w:type="dxa"/>
          <w:bottom w:w="28" w:type="dxa"/>
          <w:right w:w="28" w:type="dxa"/>
        </w:tblCellMar>
      </w:tblPr>
      <w:tblGrid>
        <w:gridCol w:w="3181"/>
        <w:gridCol w:w="2336"/>
        <w:gridCol w:w="2344"/>
        <w:gridCol w:w="198"/>
        <w:gridCol w:w="652"/>
        <w:gridCol w:w="109"/>
        <w:gridCol w:w="109"/>
        <w:gridCol w:w="109"/>
        <w:gridCol w:w="109"/>
        <w:gridCol w:w="207"/>
        <w:gridCol w:w="684"/>
        <w:gridCol w:w="167"/>
      </w:tblGrid>
      <w:tr>
        <w:trPr/>
        <w:tc>
          <w:tcPr>
            <w:tcW w:w="3181" w:type="dxa"/>
            <w:tcBorders/>
            <w:vAlign w:val="center"/>
          </w:tcPr>
          <w:p>
            <w:pPr>
              <w:pStyle w:val="TableContents"/>
              <w:bidi w:val="0"/>
              <w:spacing w:before="0" w:after="283"/>
              <w:jc w:val="left"/>
              <w:rPr>
                <w:sz w:val="4"/>
                <w:szCs w:val="4"/>
              </w:rPr>
            </w:pPr>
            <w:r>
              <w:rPr>
                <w:sz w:val="4"/>
                <w:szCs w:val="4"/>
              </w:rPr>
            </w:r>
          </w:p>
        </w:tc>
        <w:tc>
          <w:tcPr>
            <w:tcW w:w="2336" w:type="dxa"/>
            <w:tcBorders/>
            <w:vAlign w:val="center"/>
          </w:tcPr>
          <w:p>
            <w:pPr>
              <w:pStyle w:val="TableContents"/>
              <w:bidi w:val="0"/>
              <w:spacing w:before="0" w:after="283"/>
              <w:jc w:val="left"/>
              <w:rPr>
                <w:sz w:val="4"/>
                <w:szCs w:val="4"/>
              </w:rPr>
            </w:pPr>
            <w:r>
              <w:rPr>
                <w:sz w:val="4"/>
                <w:szCs w:val="4"/>
              </w:rPr>
            </w:r>
          </w:p>
        </w:tc>
        <w:tc>
          <w:tcPr>
            <w:tcW w:w="234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7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24,886 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8"/>
              </w:rPr>
              <w:t>Accounts receivable, net of allowance for expected credit losses of $201 and $159, respectively</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25,086 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7,726 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6,389 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1"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r>
      <w:tr>
        <w:trPr/>
        <w:tc>
          <w:tcPr>
            <w:tcW w:w="7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8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64,087 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 of accumulated depreciation of $12,445 and $26,063, respectively</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Intangible assets, net of accumulated amortization of $34,839 and $32,336, respectively</w:t>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20,676 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1"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r>
      <w:tr>
        <w:trPr/>
        <w:tc>
          <w:tcPr>
            <w:tcW w:w="7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90,388 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93,807 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DEFICIT</w:t>
            </w:r>
          </w:p>
        </w:tc>
        <w:tc>
          <w:tcPr>
            <w:tcW w:w="9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23,583 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24,856 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1"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r>
      <w:tr>
        <w:trPr/>
        <w:tc>
          <w:tcPr>
            <w:tcW w:w="7861"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r>
      <w:tr>
        <w:trPr/>
        <w:tc>
          <w:tcPr>
            <w:tcW w:w="7861"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r>
      <w:tr>
        <w:trPr/>
        <w:tc>
          <w:tcPr>
            <w:tcW w:w="7861"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r>
      <w:tr>
        <w:trPr/>
        <w:tc>
          <w:tcPr>
            <w:tcW w:w="7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8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48,439 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liabilities:</w:t>
            </w:r>
          </w:p>
        </w:tc>
        <w:tc>
          <w:tcPr>
            <w:tcW w:w="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liabilities, net</w:t>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Working Capital Facility</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 Senior Secured Notes, net</w:t>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41,611 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1"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r>
      <w:tr>
        <w:trPr/>
        <w:tc>
          <w:tcPr>
            <w:tcW w:w="7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8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120,950 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97,851 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9.)</w:t>
            </w:r>
          </w:p>
        </w:tc>
        <w:tc>
          <w:tcPr>
            <w:tcW w:w="9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deficit:</w:t>
            </w:r>
          </w:p>
        </w:tc>
        <w:tc>
          <w:tcPr>
            <w:tcW w:w="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par value $0.001; 2,000,000 shares authorized:</w:t>
            </w:r>
          </w:p>
        </w:tc>
        <w:tc>
          <w:tcPr>
            <w:tcW w:w="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par value $0.001; 39,500 shares designated, no shares outstanding as of June 30, 2026, 25,000 issued and outstanding as of December 31, 2025 (aggregate liquidation preference of $41,966 as of December 31, 2025)</w:t>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par value $0.001; 150,000,000 shares authorized, 16,401,284 and 15,388,978 shares issued and outstanding as of June 30, 2026 and December 31, 2025, respectively</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875,237 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903,899 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(906,235)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(908,361)</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deficit</w:t>
            </w:r>
          </w:p>
        </w:tc>
        <w:tc>
          <w:tcPr>
            <w:tcW w:w="8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(4,044)</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deficit</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90,388 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93,807 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INSEEGO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INCOME (LOSS)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thousands, except share and per share data)</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977"/>
        <w:gridCol w:w="1458"/>
        <w:gridCol w:w="1462"/>
        <w:gridCol w:w="223"/>
        <w:gridCol w:w="738"/>
        <w:gridCol w:w="109"/>
        <w:gridCol w:w="109"/>
        <w:gridCol w:w="109"/>
        <w:gridCol w:w="109"/>
        <w:gridCol w:w="223"/>
        <w:gridCol w:w="738"/>
        <w:gridCol w:w="109"/>
        <w:gridCol w:w="109"/>
        <w:gridCol w:w="109"/>
        <w:gridCol w:w="109"/>
        <w:gridCol w:w="219"/>
        <w:gridCol w:w="742"/>
        <w:gridCol w:w="109"/>
        <w:gridCol w:w="109"/>
        <w:gridCol w:w="109"/>
        <w:gridCol w:w="109"/>
        <w:gridCol w:w="223"/>
        <w:gridCol w:w="738"/>
        <w:gridCol w:w="156"/>
      </w:tblGrid>
      <w:tr>
        <w:trPr/>
        <w:tc>
          <w:tcPr>
            <w:tcW w:w="1977"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w:t>
            </w:r>
          </w:p>
        </w:tc>
      </w:tr>
      <w:tr>
        <w:trPr/>
        <w:tc>
          <w:tcPr>
            <w:tcW w:w="4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8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10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Mobile solutions</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Fixed wireless access solutions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16,414 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47,876 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Software services and other</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78,322 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71,896 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revenues:</w:t>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37,761 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Software services and other</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 of revenues</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40,398 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31,498 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costs and expenses:</w:t>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7,885 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capitalized software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costs and expenses</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30,642 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 (loss)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income:</w:t>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489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income taxes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(618)</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provision (benefit)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continuing operations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(8,438)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(663)</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(loss) from discontinued operations (net of income tax provision (benefit) of $—, $—, $— and $400, respectively)</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(8,438)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(1,063)</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Preferred stock dividends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Preferred stock exchange deemed contribution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income (loss) attributable to common stockholders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(2,810)</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Per share data:</w:t>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earnings (loss) per share</w:t>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Basic</w:t>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Continuing operations</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Discontinued operations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earnings (loss) per share*</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(0.19)</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Diluted</w:t>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Continuing operations</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Discontinued operations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earnings (loss) per share*</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(0.19)</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shares used in computation of net earnings (loss) per share</w:t>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16,317,614 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15,023,832 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16,206,141 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15,012,918 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16,317,614 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15,023,832 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16,672,326 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15,012,918 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 (loss)</w:t>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(8,394)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(12,957)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(948)</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16"/>
        </w:rPr>
      </w:pPr>
      <w:r>
        <w:rPr>
          <w:rFonts w:ascii="Times New Roman;serif" w:hAnsi="Times New Roman;serif"/>
          <w:b w:val="false"/>
          <w:color w:val="000000"/>
          <w:sz w:val="16"/>
        </w:rPr>
        <w:t>*Rounding may impact summation of amounts</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INSEEGO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DEFICIT</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thousands)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center"/>
        <w:rPr/>
      </w:pPr>
      <w:r>
        <w:rPr/>
      </w:r>
    </w:p>
    <w:tbl>
      <w:tblPr>
        <w:tblW w:w="10240" w:type="dxa"/>
        <w:jc w:val="left"/>
        <w:tblInd w:w="0" w:type="dxa"/>
        <w:tblLayout w:type="fixed"/>
        <w:tblCellMar>
          <w:top w:w="28" w:type="dxa"/>
          <w:left w:w="28" w:type="dxa"/>
          <w:bottom w:w="28" w:type="dxa"/>
          <w:right w:w="28" w:type="dxa"/>
        </w:tblCellMar>
      </w:tblPr>
      <w:tblGrid>
        <w:gridCol w:w="630"/>
        <w:gridCol w:w="225"/>
        <w:gridCol w:w="226"/>
        <w:gridCol w:w="203"/>
        <w:gridCol w:w="203"/>
        <w:gridCol w:w="171"/>
        <w:gridCol w:w="109"/>
        <w:gridCol w:w="109"/>
        <w:gridCol w:w="109"/>
        <w:gridCol w:w="196"/>
        <w:gridCol w:w="406"/>
        <w:gridCol w:w="109"/>
        <w:gridCol w:w="109"/>
        <w:gridCol w:w="109"/>
        <w:gridCol w:w="109"/>
        <w:gridCol w:w="323"/>
        <w:gridCol w:w="323"/>
        <w:gridCol w:w="171"/>
        <w:gridCol w:w="109"/>
        <w:gridCol w:w="109"/>
        <w:gridCol w:w="109"/>
        <w:gridCol w:w="196"/>
        <w:gridCol w:w="331"/>
        <w:gridCol w:w="109"/>
        <w:gridCol w:w="109"/>
        <w:gridCol w:w="109"/>
        <w:gridCol w:w="109"/>
        <w:gridCol w:w="196"/>
        <w:gridCol w:w="736"/>
        <w:gridCol w:w="109"/>
        <w:gridCol w:w="109"/>
        <w:gridCol w:w="109"/>
        <w:gridCol w:w="109"/>
        <w:gridCol w:w="196"/>
        <w:gridCol w:w="751"/>
        <w:gridCol w:w="109"/>
        <w:gridCol w:w="109"/>
        <w:gridCol w:w="109"/>
        <w:gridCol w:w="109"/>
        <w:gridCol w:w="275"/>
        <w:gridCol w:w="592"/>
        <w:gridCol w:w="154"/>
        <w:gridCol w:w="109"/>
        <w:gridCol w:w="109"/>
        <w:gridCol w:w="109"/>
        <w:gridCol w:w="196"/>
        <w:gridCol w:w="661"/>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br/>
              <w:t>Other</w:t>
              <w:br/>
              <w:t>Comprehensive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br/>
              <w:t>Stockholders’ Deficit</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December 31, 2024</w:t>
            </w:r>
          </w:p>
        </w:tc>
        <w:tc>
          <w:tcPr>
            <w:tcW w:w="4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14,991 </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892,534 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(905,625)</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(12,858)</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Exercises of stock options, vesting of restricted stock units and stock issued under employee stock purchase plan, net of taxes withheld</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stock dividends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June 30, 2025</w:t>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15,043 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897,591 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(908,435)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(10,496)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December 31, 2025</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15,389 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903,899 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(908,361)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(4,044)</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Exercises of stock options, vesting of restricted stock units and stock issued under employee stock purchase plan, net of taxes withheld</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stock exchange</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(33,793)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June 30, 2026</w:t>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16,401 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875,237 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(906,235)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(30,562)</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center"/>
        <w:rPr/>
      </w:pPr>
      <w:r>
        <w:rPr/>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pPr>
      <w:r>
        <w:rPr>
          <w:color w:val="000000"/>
        </w:rPr>
        <w:t> </w:t>
      </w:r>
      <w:r>
        <w:rPr>
          <w:rFonts w:ascii="Times New Roman;serif" w:hAnsi="Times New Roman;serif"/>
          <w:b/>
          <w:color w:val="000000"/>
          <w:sz w:val="20"/>
        </w:rPr>
        <w:t>INSEEGO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DEFICIT</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thousands)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center"/>
        <w:rPr/>
      </w:pPr>
      <w:r>
        <w:rPr/>
      </w:r>
    </w:p>
    <w:tbl>
      <w:tblPr>
        <w:tblW w:w="10240" w:type="dxa"/>
        <w:jc w:val="left"/>
        <w:tblInd w:w="0" w:type="dxa"/>
        <w:tblLayout w:type="fixed"/>
        <w:tblCellMar>
          <w:top w:w="28" w:type="dxa"/>
          <w:left w:w="28" w:type="dxa"/>
          <w:bottom w:w="28" w:type="dxa"/>
          <w:right w:w="28" w:type="dxa"/>
        </w:tblCellMar>
      </w:tblPr>
      <w:tblGrid>
        <w:gridCol w:w="630"/>
        <w:gridCol w:w="225"/>
        <w:gridCol w:w="226"/>
        <w:gridCol w:w="203"/>
        <w:gridCol w:w="203"/>
        <w:gridCol w:w="171"/>
        <w:gridCol w:w="109"/>
        <w:gridCol w:w="109"/>
        <w:gridCol w:w="109"/>
        <w:gridCol w:w="196"/>
        <w:gridCol w:w="406"/>
        <w:gridCol w:w="109"/>
        <w:gridCol w:w="109"/>
        <w:gridCol w:w="109"/>
        <w:gridCol w:w="109"/>
        <w:gridCol w:w="323"/>
        <w:gridCol w:w="323"/>
        <w:gridCol w:w="171"/>
        <w:gridCol w:w="109"/>
        <w:gridCol w:w="109"/>
        <w:gridCol w:w="109"/>
        <w:gridCol w:w="196"/>
        <w:gridCol w:w="331"/>
        <w:gridCol w:w="109"/>
        <w:gridCol w:w="109"/>
        <w:gridCol w:w="109"/>
        <w:gridCol w:w="109"/>
        <w:gridCol w:w="196"/>
        <w:gridCol w:w="736"/>
        <w:gridCol w:w="109"/>
        <w:gridCol w:w="109"/>
        <w:gridCol w:w="109"/>
        <w:gridCol w:w="109"/>
        <w:gridCol w:w="196"/>
        <w:gridCol w:w="751"/>
        <w:gridCol w:w="109"/>
        <w:gridCol w:w="109"/>
        <w:gridCol w:w="109"/>
        <w:gridCol w:w="109"/>
        <w:gridCol w:w="275"/>
        <w:gridCol w:w="592"/>
        <w:gridCol w:w="154"/>
        <w:gridCol w:w="109"/>
        <w:gridCol w:w="109"/>
        <w:gridCol w:w="109"/>
        <w:gridCol w:w="196"/>
        <w:gridCol w:w="661"/>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br/>
              <w:t>Other</w:t>
              <w:br/>
              <w:t xml:space="preserve">Comprehensive (Loss) Income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br/>
              <w:t>Stockholders’ Deficit</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March 31, 2025</w:t>
            </w:r>
          </w:p>
        </w:tc>
        <w:tc>
          <w:tcPr>
            <w:tcW w:w="4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15,007 </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894,825 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(908,059)</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(12,995)</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Exercises of stock options, vesting of restricted stock units and stock issued under employee stock purchase plan, net of taxes withheld</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stock dividends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June 30, 2025</w:t>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15,043 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897,591 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(908,435)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(10,496)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March 31, 2026</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16,229 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871,990 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(897,797)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(25,415)</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Exercises of stock options, vesting of restricted stock units and stock issued under employee stock purchase plan, net of taxes withheld</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stock exchange</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June 30, 2026</w:t>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16,401 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875,237 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(906,235)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(30,562)</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INSEEGO CORP.</w:t>
      </w:r>
    </w:p>
    <w:p>
      <w:pPr>
        <w:pStyle w:val="TextBody"/>
        <w:bidi w:val="0"/>
        <w:spacing w:lineRule="auto" w:line="288" w:before="0" w:after="0"/>
        <w:ind w:left="0" w:right="0" w:hanging="9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ind w:left="0" w:right="0" w:hanging="90"/>
        <w:jc w:val="center"/>
        <w:rPr>
          <w:rFonts w:ascii="Times New Roman;serif" w:hAnsi="Times New Roman;serif"/>
          <w:b/>
          <w:color w:val="000000"/>
          <w:sz w:val="18"/>
        </w:rPr>
      </w:pPr>
      <w:r>
        <w:rPr>
          <w:rFonts w:ascii="Times New Roman;serif" w:hAnsi="Times New Roman;serif"/>
          <w:b/>
          <w:color w:val="000000"/>
          <w:sz w:val="18"/>
        </w:rPr>
        <w:t>(In thousands)</w:t>
      </w:r>
    </w:p>
    <w:p>
      <w:pPr>
        <w:pStyle w:val="TextBody"/>
        <w:bidi w:val="0"/>
        <w:spacing w:lineRule="auto" w:line="288" w:before="0" w:after="0"/>
        <w:ind w:left="0" w:right="0" w:hanging="90"/>
        <w:jc w:val="center"/>
        <w:rPr>
          <w:rFonts w:ascii="Times New Roman;serif" w:hAnsi="Times New Roman;serif"/>
          <w:b/>
          <w:color w:val="000000"/>
          <w:sz w:val="18"/>
        </w:rPr>
      </w:pPr>
      <w:r>
        <w:rPr>
          <w:rFonts w:ascii="Times New Roman;serif" w:hAnsi="Times New Roman;serif"/>
          <w:b/>
          <w:color w:val="000000"/>
          <w:sz w:val="18"/>
        </w:rPr>
        <w:t>(Unaudited)</w:t>
      </w:r>
    </w:p>
    <w:tbl>
      <w:tblPr>
        <w:tblW w:w="9098" w:type="dxa"/>
        <w:jc w:val="center"/>
        <w:tblInd w:w="0" w:type="dxa"/>
        <w:tblLayout w:type="fixed"/>
        <w:tblCellMar>
          <w:top w:w="28" w:type="dxa"/>
          <w:left w:w="28" w:type="dxa"/>
          <w:bottom w:w="28" w:type="dxa"/>
          <w:right w:w="28" w:type="dxa"/>
        </w:tblCellMar>
      </w:tblPr>
      <w:tblGrid>
        <w:gridCol w:w="2446"/>
        <w:gridCol w:w="2142"/>
        <w:gridCol w:w="2161"/>
        <w:gridCol w:w="196"/>
        <w:gridCol w:w="721"/>
        <w:gridCol w:w="109"/>
        <w:gridCol w:w="109"/>
        <w:gridCol w:w="109"/>
        <w:gridCol w:w="109"/>
        <w:gridCol w:w="196"/>
        <w:gridCol w:w="646"/>
        <w:gridCol w:w="154"/>
      </w:tblGrid>
      <w:tr>
        <w:trPr/>
        <w:tc>
          <w:tcPr>
            <w:tcW w:w="2446"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w:t>
            </w:r>
          </w:p>
        </w:tc>
      </w:tr>
      <w:tr>
        <w:trPr/>
        <w:tc>
          <w:tcPr>
            <w:tcW w:w="6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Cash flows from operating activities:</w:t>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income (loss)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(12,974)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Adjustments to reconcile net loss to net cash used in operating activities:</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(Income) Loss from discontinued operations, net of tax</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Depreciation and amortization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Provision for expected credit losses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Impairment of capitalized software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Provision for excess and obsolete inventory</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Share-based compensation expense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Amortization of debt discount (premium) and debt issuance costs, net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Deferred income taxes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Non-cash operating lease expense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Changes in assets and liabilities: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Accounts receivable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(15,085)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(10,370)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Inventories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Prepaid expenses and other assets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Accounts payable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Accrued expenses and other liabilities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(7,853)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(7,404)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Operating lease liabilities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Operating cash flows from continuing operations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(22,062)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(7,055)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Operating cash flows from discontinued operations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Net cash used in operating activities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(22,062)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(7,936)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Cash flows from investing activities: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Purchases of property, plant and equipment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Additions to capitalized software development costs and purchases of intangible assets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(7,808)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Investing cash flows from continuing operations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(8,287)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(4,591)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Investing cash flows from discontinued operations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Net cash used in investing activities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(8,287)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(3,881)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Cash flows from financing activities: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Payments related to repayments of 2025 Convertible Notes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(14,949)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Draws on Working Capital Facility</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Cash payments as part of preferred stock exchange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Proceeds from stock option exercises and employee stock purchase plan, net of taxes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Financing cash flows from continuing operations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7,365 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(14,677)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Financing cash flows from discontinued operations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Net cash provided by (used in) financing activities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7,365 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(14,677)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Effect of exchange rates on cash</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Net decrease in cash and cash equivalents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(23,008)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(26,375)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Cash and cash equivalents, beginning of period</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39,596 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Cash and cash equivalents,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13,221 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Supplemental disclosures of cash flow information:</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Cash paid during the year for:</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Interest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Income taxes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Supplemental disclosures of non-cash investing and financing activities: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Capital expenditures financed through accounts payable or accrued liabilities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Fair value of common stock, debt, and cash payables issued as part of preferred stock exchange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Carrying value of preferred stock removed as part of preferred stock exchange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hanging="90"/>
        <w:jc w:val="left"/>
        <w:rPr/>
      </w:pPr>
      <w:r>
        <w:rPr/>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INSEEGO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 Nature of Business and Significant Accounting Policies</w:t>
      </w:r>
    </w:p>
    <w:p>
      <w:pPr>
        <w:pStyle w:val="TextBody"/>
        <w:bidi w:val="0"/>
        <w:spacing w:lineRule="auto" w:line="276" w:before="180" w:after="180"/>
        <w:ind w:left="0" w:right="0" w:firstLine="450"/>
        <w:jc w:val="left"/>
        <w:rPr>
          <w:rFonts w:ascii="Times New Roman;serif" w:hAnsi="Times New Roman;serif"/>
          <w:b/>
          <w:i/>
          <w:color w:val="000000"/>
          <w:sz w:val="20"/>
        </w:rPr>
      </w:pPr>
      <w:r>
        <w:rPr>
          <w:rFonts w:ascii="Times New Roman;serif" w:hAnsi="Times New Roman;serif"/>
          <w:b/>
          <w:i/>
          <w:color w:val="000000"/>
          <w:sz w:val="20"/>
        </w:rPr>
        <w:t>Basis of Presentation and Consolidation</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(“Financial Statements”) have been prepared by Inseego Corp. (the “Company”, “we”, “us” or “our”) in accordance with accounting principles generally accepted in the U.S. (“GAAP”) and applicable rules and regulations of the Securities and Exchange Commission (“SEC”) regarding interim financial reporting. The Financial Statements include the accounts of the Company and its consolidated subsidiaries. All significant intercompany balances and transactions have been eliminated in consolidation. These Financial Statements should be read in conjunction with the audited consolidated financial statements and notes as of and for the year ended December 31, 2025, included in the Company's Annual Report on Form 10-K for the year ended December 31, 2025 (the “Form 10-K”).</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condensed consolidated balance sheet as of December 31, 2025 was derived from the audited consolidated financial statements as of that date, but does not include all disclosures required by GAAP. In management’s opinion, the accompanying Financial Statements reflect all normal recurring adjustments necessary for their fair presentation. Other than described below, there have been no changes to the Company’s significant accounting policies described in the Form 10-K that have had a material impact on the Company’s Financial Statements. The results of operations for the interim periods presented are not necessarily indicative of results to be expected for any other interim period or for the year as a whole. </w:t>
      </w:r>
    </w:p>
    <w:p>
      <w:pPr>
        <w:pStyle w:val="TextBody"/>
        <w:bidi w:val="0"/>
        <w:spacing w:lineRule="auto" w:line="276" w:before="180" w:after="180"/>
        <w:ind w:left="0" w:right="0" w:firstLine="45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Segment Information</w:t>
      </w:r>
    </w:p>
    <w:p>
      <w:pPr>
        <w:pStyle w:val="TextBody"/>
        <w:bidi w:val="0"/>
        <w:spacing w:lineRule="auto" w:line="268" w:before="0" w:after="0"/>
        <w:ind w:left="0" w:right="0" w:firstLine="450"/>
        <w:jc w:val="left"/>
        <w:rPr/>
      </w:pPr>
      <w:r>
        <w:rPr>
          <w:rFonts w:ascii="Times New Roman;serif" w:hAnsi="Times New Roman;serif"/>
          <w:b w:val="false"/>
          <w:color w:val="000000"/>
          <w:sz w:val="20"/>
          <w:shd w:fill="FFFFFF" w:val="clear"/>
        </w:rPr>
        <w:t>The Company has one reportable segment.</w:t>
      </w:r>
      <w:r>
        <w:rPr>
          <w:color w:val="000000"/>
        </w:rPr>
        <w:t xml:space="preserve"> </w:t>
      </w:r>
      <w:r>
        <w:rPr>
          <w:rFonts w:ascii="Times New Roman;serif" w:hAnsi="Times New Roman;serif"/>
          <w:b w:val="false"/>
          <w:color w:val="000000"/>
          <w:sz w:val="20"/>
          <w:shd w:fill="FFFFFF" w:val="clear"/>
        </w:rPr>
        <w:t xml:space="preserve">The Company’s Chief Executive Officer (“CEO”), who is also the Chief Operating Decision Maker, does not manage any part of the Company separately, and the allocation of resources and assessment of performance are based solely on the Company’s consolidated operations and financial results. </w:t>
      </w:r>
    </w:p>
    <w:p>
      <w:pPr>
        <w:pStyle w:val="TextBody"/>
        <w:bidi w:val="0"/>
        <w:spacing w:lineRule="auto" w:line="268" w:before="0" w:after="0"/>
        <w:jc w:val="left"/>
        <w:rPr/>
      </w:pPr>
      <w:r>
        <w:rPr>
          <w:rFonts w:ascii="Times New Roman;serif" w:hAnsi="Times New Roman;serif"/>
          <w:b w:val="false"/>
          <w:color w:val="000000"/>
          <w:sz w:val="20"/>
        </w:rPr>
        <w:t xml:space="preserve">As such, our operations constitute a single operating segment and </w:t>
      </w:r>
      <w:r>
        <w:rPr>
          <w:rFonts w:ascii="Times New Roman;serif" w:hAnsi="Times New Roman;serif"/>
          <w:b w:val="false"/>
          <w:color w:val="000000"/>
          <w:sz w:val="20"/>
          <w:shd w:fill="FFFFFF" w:val="clear"/>
        </w:rPr>
        <w:t>one</w:t>
      </w:r>
      <w:r>
        <w:rPr>
          <w:color w:val="000000"/>
        </w:rPr>
        <w:t xml:space="preserve"> </w:t>
      </w:r>
      <w:r>
        <w:rPr>
          <w:rFonts w:ascii="Times New Roman;serif" w:hAnsi="Times New Roman;serif"/>
          <w:b w:val="false"/>
          <w:color w:val="000000"/>
          <w:sz w:val="20"/>
        </w:rPr>
        <w:t>reportable segment</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 xml:space="preserve">See </w:t>
      </w:r>
      <w:r>
        <w:rPr>
          <w:rFonts w:ascii="Times New Roman;serif" w:hAnsi="Times New Roman;serif"/>
          <w:b w:val="false"/>
          <w:i/>
          <w:color w:val="000000"/>
          <w:sz w:val="20"/>
        </w:rPr>
        <w:t>Note 8 – Segment, Geographic, and Concentrations of Risk Information</w:t>
      </w:r>
      <w:r>
        <w:rPr>
          <w:color w:val="000000"/>
        </w:rPr>
        <w:t xml:space="preserve"> </w:t>
      </w:r>
      <w:r>
        <w:rPr>
          <w:rFonts w:ascii="Times New Roman;serif" w:hAnsi="Times New Roman;serif"/>
          <w:b w:val="false"/>
          <w:color w:val="000000"/>
          <w:sz w:val="20"/>
        </w:rPr>
        <w:t>for more information.</w:t>
      </w:r>
    </w:p>
    <w:p>
      <w:pPr>
        <w:pStyle w:val="TextBody"/>
        <w:bidi w:val="0"/>
        <w:spacing w:lineRule="auto" w:line="276" w:before="180" w:after="180"/>
        <w:ind w:left="0" w:right="0" w:firstLine="450"/>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GAAP requires management to make estimates and assumptions. These estimates and assumptions affect the reported amounts of assets, liabilities, revenues and expenses, and the disclosure of contingent liabilities. Actual results could differ materially from these estimates. Estimates are assessed each period and updated to reflect current information. Significant estimates include revenue recognition, capitalized software costs, allowance for credit losses, provision for excess and obsolete inventory, accrued liabilities related to our contract manufacturers, valuation of tangible and intangible long-lived assets, valuation of goodwill, valuation of derivatives, accruals relating to litigation, income taxes and share-based compensation expense.</w:t>
      </w:r>
    </w:p>
    <w:p>
      <w:pPr>
        <w:pStyle w:val="TextBody"/>
        <w:bidi w:val="0"/>
        <w:spacing w:lineRule="auto" w:line="276" w:before="180" w:after="180"/>
        <w:ind w:left="0" w:right="0" w:firstLine="450"/>
        <w:jc w:val="left"/>
        <w:rPr>
          <w:rFonts w:ascii="Times New Roman;serif" w:hAnsi="Times New Roman;serif"/>
          <w:b/>
          <w:i/>
          <w:color w:val="000000"/>
          <w:sz w:val="20"/>
        </w:rPr>
      </w:pPr>
      <w:r>
        <w:rPr>
          <w:rFonts w:ascii="Times New Roman;serif" w:hAnsi="Times New Roman;serif"/>
          <w:b/>
          <w:i/>
          <w:color w:val="000000"/>
          <w:sz w:val="20"/>
        </w:rPr>
        <w:t>Reclassifications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Certain amounts recorded in the prior period consolidated financial statements have been reclassified to conform to the current period financial statement presentation. These reclassifications had no effect on previously reported operating results.</w:t>
      </w:r>
    </w:p>
    <w:p>
      <w:pPr>
        <w:pStyle w:val="TextBody"/>
        <w:bidi w:val="0"/>
        <w:spacing w:lineRule="auto" w:line="276" w:before="180" w:after="180"/>
        <w:ind w:left="0" w:right="0" w:firstLine="450"/>
        <w:jc w:val="both"/>
        <w:rPr>
          <w:rFonts w:ascii="Times New Roman;serif" w:hAnsi="Times New Roman;serif"/>
          <w:b/>
          <w:i/>
          <w:color w:val="000000"/>
          <w:sz w:val="20"/>
        </w:rPr>
      </w:pPr>
      <w:r>
        <w:rPr>
          <w:rFonts w:ascii="Times New Roman;serif" w:hAnsi="Times New Roman;serif"/>
          <w:b/>
          <w:i/>
          <w:color w:val="000000"/>
          <w:sz w:val="20"/>
        </w:rPr>
        <w:t>Asset Purchase Agreement with Nokia</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April 30, 2026, the Company entered into an Asset Purchase Agreement (the “Purchase Agreement”) with Nokia Solutions and Networks Oy (“Nokia”), pursuant to which Inseego has agreed to purchase substantially all of the assets (the “Purchased Assets”) comprising Nokia’s fixed wireless access business (the “Nokia FWA Business”). Under the Purchase Agreement and subject to the terms and conditions set forth therein, at the closing (the “Closing”) of the transactions contemplated by the Purchase Agreement (collectively, the “Transaction”), Inseego will purchase the Purchased Assets from Nokia for a purchase price consisting of (i) 1,163,693 shares (the “Shares”) of Inseego’s common stock (“Common Stock”), (ii) warrants to purchase an aggregate of 521,139 shares of Common Stock, at an exercise price of $12.89 per share and (iii) the assumption of certain liabilities relating to the Nokia FWA Business. The warrants will be exercisable for a period of four years following the Closing and will be exercisable on a cash basis.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Purchase Agreement contains customary representations, warranties and indemnities made or given by each of Nokia and Inseego. The Purchase Agreement also contains customary covenants of the parties, including covenants relating to the conduct of the Nokia FWA Business prior to Closing, efforts to obtain required consents and approvals, and other matters. Nokia, on behalf of itself and its affiliates, has agreed that for a period of three years after the Closing (the “Restricted Period”) it will not, anywhere in the world, engage in any business that develops, produces or sells certain fixed wireless access products and devices sold by the Nokia FWA Business, subject to certain exceptions. In addition, Nokia has agreed that if during the Restricted Period it determines that it intends to solicit proposals from, or to enter into negotiations with, any third party for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INSEEGO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76" w:before="180" w:after="180"/>
        <w:jc w:val="left"/>
        <w:rPr>
          <w:rFonts w:ascii="Times New Roman;serif" w:hAnsi="Times New Roman;serif"/>
          <w:b w:val="false"/>
          <w:color w:val="000000"/>
          <w:sz w:val="20"/>
        </w:rPr>
      </w:pPr>
      <w:r>
        <w:rPr>
          <w:rFonts w:ascii="Times New Roman;serif" w:hAnsi="Times New Roman;serif"/>
          <w:b w:val="false"/>
          <w:color w:val="000000"/>
          <w:sz w:val="20"/>
        </w:rPr>
        <w:t>development of any product or device featuring upstream connectivity with both wired and cellular radio access and use products or technology comprising part of the Purchased Assets, Nokia will provide Inseego with a right of first offer to provide such products.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pursuant to the Purchase Agreement, Nokia has agreed that if the EBITDA (as defined in the Purchase Agreement) of the Nokia FWA Business for the first 12 months following the Closing is negative, Nokia will reimburse Inseego on a quarterly basis by the amount of such negative EBITDA, capped at an aggregate total payment of $38.0 million, subject to certain limitations. Additionally, for the next 24 months after the initial 12-month period after Closing, Inseego has agreed to pay to Nokia a portion of the EBITDA profits generated by the Nokia FWA Business, if any, ranging from 0% to 50%, dependent upon the Nokia FWA Business achieving certain revenue thresholds.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Purchase Agreement is subject to customary closing conditions and termination rights of the parties, including the right of either party to terminate the Purchase Agreement if the Closing has not occurred by January 15, 2027, subject to Inseego’s right to extend such date by up to three months if certain deliverables have not been provided.</w:t>
      </w:r>
    </w:p>
    <w:p>
      <w:pPr>
        <w:pStyle w:val="TextBody"/>
        <w:bidi w:val="0"/>
        <w:spacing w:lineRule="auto" w:line="276" w:before="180" w:after="180"/>
        <w:ind w:left="0" w:right="0" w:firstLine="450"/>
        <w:jc w:val="left"/>
        <w:rPr>
          <w:rFonts w:ascii="Times New Roman;serif" w:hAnsi="Times New Roman;serif"/>
          <w:b/>
          <w:i/>
          <w:color w:val="000000"/>
          <w:sz w:val="20"/>
        </w:rPr>
      </w:pPr>
      <w:r>
        <w:rPr>
          <w:rFonts w:ascii="Times New Roman;serif" w:hAnsi="Times New Roman;serif"/>
          <w:b/>
          <w:i/>
          <w:color w:val="000000"/>
          <w:sz w:val="20"/>
        </w:rPr>
        <w:t>Nokia Investment in Inseego</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April 30, 2026, Inseego and Nokia also entered into a Subscription Agreement (the “Subscription Agreement”), pursuant to which, subject to the terms and conditions contained therein (including the Closing occurring), at the Closing, Nokia will invest $10.0 million in cash in Inseego, for which it will receive 775,795 shares of Common Stock and warrants to purchase an aggregate of 260,569 shares of Common Stock, at an exercise price of $12.89 per share and otherwise in the same form as the warrants to be issued pursuant to the terms of the Purchase Agreement, except that such warrants will be exercisable for cash or on a cashless exercise basis.</w:t>
      </w:r>
    </w:p>
    <w:p>
      <w:pPr>
        <w:pStyle w:val="TextBody"/>
        <w:bidi w:val="0"/>
        <w:spacing w:lineRule="auto" w:line="276" w:before="180" w:after="180"/>
        <w:ind w:left="0" w:right="0" w:firstLine="450"/>
        <w:jc w:val="left"/>
        <w:rPr>
          <w:rFonts w:ascii="Times New Roman;serif" w:hAnsi="Times New Roman;serif"/>
          <w:b/>
          <w:i/>
          <w:color w:val="000000"/>
          <w:sz w:val="20"/>
        </w:rPr>
      </w:pPr>
      <w:r>
        <w:rPr>
          <w:rFonts w:ascii="Times New Roman;serif" w:hAnsi="Times New Roman;serif"/>
          <w:b/>
          <w:i/>
          <w:color w:val="000000"/>
          <w:sz w:val="20"/>
        </w:rPr>
        <w:t>Recently Adopted Accounting Pronouncements</w:t>
      </w:r>
    </w:p>
    <w:p>
      <w:pPr>
        <w:pStyle w:val="TextBody"/>
        <w:bidi w:val="0"/>
        <w:spacing w:lineRule="auto" w:line="276" w:before="180" w:after="180"/>
        <w:ind w:left="0" w:right="0" w:firstLine="450"/>
        <w:jc w:val="left"/>
        <w:rPr/>
      </w:pPr>
      <w:r>
        <w:rPr>
          <w:rFonts w:ascii="Times New Roman;serif" w:hAnsi="Times New Roman;serif"/>
          <w:b w:val="false"/>
          <w:color w:val="000000"/>
          <w:sz w:val="20"/>
        </w:rPr>
        <w:t xml:space="preserve">In July 2025, the Financial Accounting Standards Board (“FASB”) issued Accounting Standard Update (“ASU”) 2025-05, </w:t>
      </w:r>
      <w:r>
        <w:rPr>
          <w:rFonts w:ascii="Times New Roman;serif" w:hAnsi="Times New Roman;serif"/>
          <w:b w:val="false"/>
          <w:i/>
          <w:color w:val="000000"/>
          <w:sz w:val="20"/>
        </w:rPr>
        <w:t>Financial Instruments - Credit Losses (Topic 326): Measurement of Credit Losses for Accounts Receivable and Contract Assets</w:t>
      </w:r>
      <w:r>
        <w:rPr>
          <w:rFonts w:ascii="Times New Roman;serif" w:hAnsi="Times New Roman;serif"/>
          <w:b w:val="false"/>
          <w:color w:val="000000"/>
          <w:sz w:val="20"/>
        </w:rPr>
        <w:t xml:space="preserve">. ASU 2025-05 provides a practical expedient related to the estimation of expected credit losses for current accounts receivable and current contract assets that arise from transactions accounted for under Accounting Standards Codification </w:t>
      </w:r>
      <w:r>
        <w:rPr>
          <w:rFonts w:ascii="Times New Roman;serif" w:hAnsi="Times New Roman;serif"/>
          <w:b w:val="false"/>
          <w:i/>
          <w:color w:val="000000"/>
          <w:sz w:val="20"/>
        </w:rPr>
        <w:t>Topic 606: Revenue from Contracts with Customers</w:t>
      </w:r>
      <w:r>
        <w:rPr>
          <w:rFonts w:ascii="Times New Roman;serif" w:hAnsi="Times New Roman;serif"/>
          <w:b w:val="false"/>
          <w:color w:val="000000"/>
          <w:sz w:val="20"/>
        </w:rPr>
        <w:t>. The practical expedient permits an entity to assume that current conditions as of the balance sheet date do not change for the remaining life of the current accounts receivable and current contract assets. The Company adopted ASU 2025</w:t>
        <w:noBreakHyphen/>
        <w:t>05 during the first quarter of 2026. The adoption of this guidance did not have an impact on the Company’s financial statements or related disclosures.</w:t>
      </w:r>
    </w:p>
    <w:p>
      <w:pPr>
        <w:pStyle w:val="TextBody"/>
        <w:bidi w:val="0"/>
        <w:spacing w:lineRule="auto" w:line="276" w:before="180" w:after="180"/>
        <w:ind w:left="0" w:right="0" w:firstLine="450"/>
        <w:jc w:val="left"/>
        <w:rPr>
          <w:rFonts w:ascii="Times New Roman;serif" w:hAnsi="Times New Roman;serif"/>
          <w:b/>
          <w:i/>
          <w:color w:val="000000"/>
          <w:sz w:val="20"/>
        </w:rPr>
      </w:pPr>
      <w:r>
        <w:rPr>
          <w:rFonts w:ascii="Times New Roman;serif" w:hAnsi="Times New Roman;serif"/>
          <w:b/>
          <w:i/>
          <w:color w:val="000000"/>
          <w:sz w:val="20"/>
        </w:rPr>
        <w:t xml:space="preserve">Recent Accounting Pronouncements Not Yet Adopted </w:t>
      </w:r>
    </w:p>
    <w:p>
      <w:pPr>
        <w:pStyle w:val="TextBody"/>
        <w:bidi w:val="0"/>
        <w:spacing w:lineRule="auto" w:line="276" w:before="180" w:after="180"/>
        <w:ind w:left="0" w:right="0" w:firstLine="450"/>
        <w:jc w:val="left"/>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Income Statement—Reporting Comprehensive Income—Expense Disaggregation Disclosures (Subtopic 220-40)</w:t>
      </w:r>
      <w:r>
        <w:rPr>
          <w:rFonts w:ascii="Times New Roman;serif" w:hAnsi="Times New Roman;serif"/>
          <w:b w:val="false"/>
          <w:color w:val="000000"/>
          <w:sz w:val="20"/>
        </w:rPr>
        <w:t>. This ASU requires disclosure on an annual and interim basis, in the notes to the financial statements, of disaggregated information about specific categories underlying certain income statement expense line items. The guidance is effective for annual periods beginning after December 15, 2026, and interim periods within annual reporting periods beginning after December 15, 2027, on a retrospective basis. The Company is currently evaluating the impact of this standard on our consolidated financial statements and related disclosures.</w:t>
      </w:r>
    </w:p>
    <w:p>
      <w:pPr>
        <w:pStyle w:val="TextBody"/>
        <w:bidi w:val="0"/>
        <w:spacing w:lineRule="auto" w:line="276" w:before="180" w:after="180"/>
        <w:ind w:left="0" w:right="0" w:firstLine="450"/>
        <w:jc w:val="left"/>
        <w:rPr/>
      </w:pPr>
      <w:r>
        <w:rPr>
          <w:rFonts w:ascii="Times New Roman;serif" w:hAnsi="Times New Roman;serif"/>
          <w:b w:val="false"/>
          <w:color w:val="000000"/>
          <w:sz w:val="20"/>
        </w:rPr>
        <w:t xml:space="preserve">In September 2025, the FASB issued ASU No. 2025-06, </w:t>
      </w:r>
      <w:r>
        <w:rPr>
          <w:rFonts w:ascii="Times New Roman;serif" w:hAnsi="Times New Roman;serif"/>
          <w:b w:val="false"/>
          <w:i/>
          <w:color w:val="000000"/>
          <w:sz w:val="20"/>
        </w:rPr>
        <w:t>Intangibles - Goodwill and Other - Internal-Use Software (Subtopic 350-40): Targeted Improvements to the Accounting for Internal-Use Software.</w:t>
      </w:r>
      <w:r>
        <w:rPr>
          <w:color w:val="000000"/>
        </w:rPr>
        <w:t xml:space="preserve"> </w:t>
      </w:r>
      <w:r>
        <w:rPr>
          <w:rFonts w:ascii="Times New Roman;serif" w:hAnsi="Times New Roman;serif"/>
          <w:b w:val="false"/>
          <w:color w:val="000000"/>
          <w:sz w:val="20"/>
        </w:rPr>
        <w:t xml:space="preserve">ASU 2025-06 updates the recognition and capitalization framework to reflect current software development practices, including iterative and agile methodologies, by removing references to "development stages". It also clarifies the criteria for capitalization, which begins when both of the following occur: (1) management has authorized and committed to funding the software project and (2) it is probable that the project will be completed and the software will be used to perform the function intended. The amendments in ASU 2025-06 are effective for annual periods beginning after December 15, 2027, and interim periods within those annual periods, which for the Company would be the fiscal first quarter ending February 28, 2029. Early adoption is permitted as of the beginning of an annual reporting period. The Company is currently evaluating the impact of adopting this ASU on its consolidated financial statements and disclosures. </w:t>
      </w:r>
    </w:p>
    <w:p>
      <w:pPr>
        <w:pStyle w:val="TextBody"/>
        <w:bidi w:val="0"/>
        <w:spacing w:lineRule="auto" w:line="276" w:before="180" w:after="180"/>
        <w:ind w:left="0" w:right="0" w:firstLine="450"/>
        <w:jc w:val="left"/>
        <w:rPr/>
      </w:pPr>
      <w:r>
        <w:rPr>
          <w:rFonts w:ascii="Times New Roman;serif" w:hAnsi="Times New Roman;serif"/>
          <w:b w:val="false"/>
          <w:color w:val="000000"/>
          <w:sz w:val="20"/>
        </w:rPr>
        <w:t>In November 2025, the FASB issued ASU No. 2025</w:t>
        <w:noBreakHyphen/>
        <w:t xml:space="preserve">09, </w:t>
      </w:r>
      <w:r>
        <w:rPr>
          <w:rFonts w:ascii="Times New Roman;serif" w:hAnsi="Times New Roman;serif"/>
          <w:b w:val="false"/>
          <w:i/>
          <w:color w:val="000000"/>
          <w:sz w:val="20"/>
        </w:rPr>
        <w:t>Derivatives and Hedging (Topic 815): Hedge Accounting Improvements</w:t>
      </w:r>
      <w:r>
        <w:rPr>
          <w:rFonts w:ascii="Times New Roman;serif" w:hAnsi="Times New Roman;serif"/>
          <w:b w:val="false"/>
          <w:color w:val="000000"/>
          <w:sz w:val="20"/>
        </w:rPr>
        <w:t>. This ASU provides targeted amendments to improve and clarify the application of hedge accounting and better align hedge accounting results with an entity’s risk management activities. The guidance is effective for annual periods beginning after December 15, 2026, including interim periods within those annual periods, with early adoption permitted. The amendments are required to be applied prospectively. The Company is currently evaluating the impact of adopting this ASU on its consolidated financial statements and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INSEEGO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Note 2. Financial Statement Details</w:t>
      </w:r>
    </w:p>
    <w:p>
      <w:pPr>
        <w:pStyle w:val="TextBody"/>
        <w:bidi w:val="0"/>
        <w:spacing w:lineRule="auto" w:line="276" w:before="180" w:after="180"/>
        <w:jc w:val="left"/>
        <w:rPr>
          <w:rFonts w:ascii="Times New Roman;serif" w:hAnsi="Times New Roman;serif"/>
          <w:b w:val="false"/>
          <w:i/>
          <w:color w:val="000000"/>
          <w:sz w:val="20"/>
        </w:rPr>
      </w:pPr>
      <w:r>
        <w:rPr>
          <w:rFonts w:ascii="Times New Roman;serif" w:hAnsi="Times New Roman;serif"/>
          <w:b w:val="false"/>
          <w:i/>
          <w:color w:val="000000"/>
          <w:sz w:val="20"/>
        </w:rPr>
        <w:t>Inventories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Inventories consist of the following (in thousands):</w:t>
      </w:r>
    </w:p>
    <w:tbl>
      <w:tblPr>
        <w:tblW w:w="4652" w:type="dxa"/>
        <w:jc w:val="left"/>
        <w:tblInd w:w="0" w:type="dxa"/>
        <w:tblLayout w:type="fixed"/>
        <w:tblCellMar>
          <w:top w:w="28" w:type="dxa"/>
          <w:left w:w="28" w:type="dxa"/>
          <w:bottom w:w="28" w:type="dxa"/>
          <w:right w:w="28" w:type="dxa"/>
        </w:tblCellMar>
      </w:tblPr>
      <w:tblGrid>
        <w:gridCol w:w="841"/>
        <w:gridCol w:w="739"/>
        <w:gridCol w:w="745"/>
        <w:gridCol w:w="196"/>
        <w:gridCol w:w="556"/>
        <w:gridCol w:w="109"/>
        <w:gridCol w:w="109"/>
        <w:gridCol w:w="109"/>
        <w:gridCol w:w="109"/>
        <w:gridCol w:w="246"/>
        <w:gridCol w:w="700"/>
        <w:gridCol w:w="193"/>
      </w:tblGrid>
      <w:tr>
        <w:trPr/>
        <w:tc>
          <w:tcPr>
            <w:tcW w:w="841"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Finished goods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7,726 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Raw materials and components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inventories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7,726 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180"/>
        <w:ind w:left="0" w:right="0" w:hanging="180"/>
        <w:jc w:val="left"/>
        <w:rPr>
          <w:rFonts w:ascii="Times New Roman;serif" w:hAnsi="Times New Roman;serif"/>
          <w:b w:val="false"/>
          <w:i/>
          <w:color w:val="000000"/>
          <w:sz w:val="20"/>
        </w:rPr>
      </w:pPr>
      <w:r>
        <w:rPr>
          <w:rFonts w:ascii="Times New Roman;serif" w:hAnsi="Times New Roman;serif"/>
          <w:b w:val="false"/>
          <w:i/>
          <w:color w:val="000000"/>
          <w:sz w:val="20"/>
        </w:rPr>
        <w:t>Prepaid expenses and other</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consists of the following (in thousands):</w:t>
      </w:r>
    </w:p>
    <w:tbl>
      <w:tblPr>
        <w:tblW w:w="5435" w:type="dxa"/>
        <w:jc w:val="left"/>
        <w:tblInd w:w="0" w:type="dxa"/>
        <w:tblLayout w:type="fixed"/>
        <w:tblCellMar>
          <w:top w:w="28" w:type="dxa"/>
          <w:left w:w="28" w:type="dxa"/>
          <w:bottom w:w="28" w:type="dxa"/>
          <w:right w:w="28" w:type="dxa"/>
        </w:tblCellMar>
      </w:tblPr>
      <w:tblGrid>
        <w:gridCol w:w="1085"/>
        <w:gridCol w:w="956"/>
        <w:gridCol w:w="958"/>
        <w:gridCol w:w="196"/>
        <w:gridCol w:w="556"/>
        <w:gridCol w:w="109"/>
        <w:gridCol w:w="109"/>
        <w:gridCol w:w="109"/>
        <w:gridCol w:w="109"/>
        <w:gridCol w:w="249"/>
        <w:gridCol w:w="707"/>
        <w:gridCol w:w="138"/>
        <w:gridCol w:w="154"/>
      </w:tblGrid>
      <w:tr>
        <w:trPr/>
        <w:tc>
          <w:tcPr>
            <w:tcW w:w="1085"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999"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154" w:type="dxa"/>
            <w:tcBorders/>
          </w:tcPr>
          <w:p>
            <w:pPr>
              <w:pStyle w:val="TableContents"/>
              <w:bidi w:val="0"/>
              <w:spacing w:before="0" w:after="283"/>
              <w:jc w:val="left"/>
              <w:rPr>
                <w:sz w:val="4"/>
                <w:szCs w:val="4"/>
              </w:rPr>
            </w:pPr>
            <w:r>
              <w:rPr>
                <w:sz w:val="4"/>
                <w:szCs w:val="4"/>
              </w:rPr>
            </w:r>
          </w:p>
        </w:tc>
      </w:tr>
      <w:tr>
        <w:trPr/>
        <w:tc>
          <w:tcPr>
            <w:tcW w:w="2999" w:type="dxa"/>
            <w:gridSpan w:val="3"/>
            <w:vMerge w:val="continue"/>
            <w:tcBorders/>
            <w:tcMar>
              <w:top w:w="0" w:type="dxa"/>
              <w:left w:w="0" w:type="dxa"/>
              <w:bottom w:w="0" w:type="dxa"/>
              <w:right w:w="0" w:type="dxa"/>
            </w:tcMar>
            <w:vAlign w:val="center"/>
          </w:tcPr>
          <w:p>
            <w:pPr>
              <w:pStyle w:val="Normal"/>
              <w:bidi w:val="0"/>
              <w:jc w:val="left"/>
              <w:rPr/>
            </w:pPr>
            <w:r>
              <w:rPr/>
            </w:r>
          </w:p>
        </w:tc>
        <w:tc>
          <w:tcPr>
            <w:tcW w:w="8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94" w:type="dxa"/>
            <w:gridSpan w:val="3"/>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Rebate receivables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2,608 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Receivables from contract manufacturers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prepaid expenses and other</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6,389 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bl>
    <w:p>
      <w:pPr>
        <w:pStyle w:val="TextBody"/>
        <w:bidi w:val="0"/>
        <w:spacing w:lineRule="auto" w:line="276" w:before="180" w:after="180"/>
        <w:jc w:val="left"/>
        <w:rPr>
          <w:rFonts w:ascii="Times New Roman;serif" w:hAnsi="Times New Roman;serif"/>
          <w:b w:val="false"/>
          <w:i/>
          <w:color w:val="000000"/>
          <w:sz w:val="20"/>
        </w:rPr>
      </w:pPr>
      <w:r>
        <w:rPr>
          <w:rFonts w:ascii="Times New Roman;serif" w:hAnsi="Times New Roman;serif"/>
          <w:b w:val="false"/>
          <w:i/>
          <w:color w:val="000000"/>
          <w:sz w:val="20"/>
        </w:rPr>
        <w:t>Accrued expenses and other current liabilities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 consist of the following (in thousands):</w:t>
      </w:r>
    </w:p>
    <w:tbl>
      <w:tblPr>
        <w:tblW w:w="6093" w:type="dxa"/>
        <w:jc w:val="left"/>
        <w:tblInd w:w="0" w:type="dxa"/>
        <w:tblLayout w:type="fixed"/>
        <w:tblCellMar>
          <w:top w:w="28" w:type="dxa"/>
          <w:left w:w="28" w:type="dxa"/>
          <w:bottom w:w="28" w:type="dxa"/>
          <w:right w:w="28" w:type="dxa"/>
        </w:tblCellMar>
      </w:tblPr>
      <w:tblGrid>
        <w:gridCol w:w="1332"/>
        <w:gridCol w:w="1169"/>
        <w:gridCol w:w="1174"/>
        <w:gridCol w:w="196"/>
        <w:gridCol w:w="646"/>
        <w:gridCol w:w="109"/>
        <w:gridCol w:w="109"/>
        <w:gridCol w:w="109"/>
        <w:gridCol w:w="109"/>
        <w:gridCol w:w="224"/>
        <w:gridCol w:w="740"/>
        <w:gridCol w:w="176"/>
      </w:tblGrid>
      <w:tr>
        <w:trPr/>
        <w:tc>
          <w:tcPr>
            <w:tcW w:w="1332"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6,168 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Payroll and related expenses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contract manufacturing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5,874 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payable for preferred stock exchange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Royalties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interest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accrued expenses and other current liabilities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24,856 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180"/>
        <w:jc w:val="left"/>
        <w:rPr>
          <w:rFonts w:ascii="Times New Roman;serif" w:hAnsi="Times New Roman;serif"/>
          <w:b w:val="false"/>
          <w:i/>
          <w:color w:val="000000"/>
          <w:sz w:val="20"/>
        </w:rPr>
      </w:pPr>
      <w:r>
        <w:rPr>
          <w:rFonts w:ascii="Times New Roman;serif" w:hAnsi="Times New Roman;serif"/>
          <w:b w:val="false"/>
          <w:i/>
          <w:color w:val="000000"/>
          <w:sz w:val="20"/>
        </w:rPr>
        <w:t>Other long-term liabilities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Other long-term liabilities consist of the following (in thousands):</w:t>
      </w:r>
    </w:p>
    <w:tbl>
      <w:tblPr>
        <w:tblW w:w="4622" w:type="dxa"/>
        <w:jc w:val="left"/>
        <w:tblInd w:w="0" w:type="dxa"/>
        <w:tblLayout w:type="fixed"/>
        <w:tblCellMar>
          <w:top w:w="28" w:type="dxa"/>
          <w:left w:w="28" w:type="dxa"/>
          <w:bottom w:w="28" w:type="dxa"/>
          <w:right w:w="28" w:type="dxa"/>
        </w:tblCellMar>
      </w:tblPr>
      <w:tblGrid>
        <w:gridCol w:w="830"/>
        <w:gridCol w:w="730"/>
        <w:gridCol w:w="735"/>
        <w:gridCol w:w="196"/>
        <w:gridCol w:w="556"/>
        <w:gridCol w:w="109"/>
        <w:gridCol w:w="109"/>
        <w:gridCol w:w="109"/>
        <w:gridCol w:w="109"/>
        <w:gridCol w:w="246"/>
        <w:gridCol w:w="700"/>
        <w:gridCol w:w="193"/>
      </w:tblGrid>
      <w:tr>
        <w:trPr/>
        <w:tc>
          <w:tcPr>
            <w:tcW w:w="83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deferred 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4,558 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long-term liabilities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4,705 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June 30, 2026, of the $3.6 million long-term deferred revenue balance, $2.8 million relates to performance obligations expected to be satisfied between one and two years from June 30, 2026, and $0.8 million relates to performance obligations expected to be satisfied thereafter.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INSEEGO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180" w:after="120"/>
        <w:jc w:val="left"/>
        <w:rPr>
          <w:rFonts w:ascii="Times New Roman;serif" w:hAnsi="Times New Roman;serif"/>
          <w:b/>
          <w:color w:val="000000"/>
          <w:sz w:val="20"/>
        </w:rPr>
      </w:pPr>
      <w:r>
        <w:rPr>
          <w:rFonts w:ascii="Times New Roman;serif" w:hAnsi="Times New Roman;serif"/>
          <w:b/>
          <w:color w:val="000000"/>
          <w:sz w:val="20"/>
        </w:rPr>
        <w:t>Note 3. Fair Value Measurements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fair value of the financial assets and liabilities measured on a recurring basis and indicates the fair value hierarchy utilized to determine such fair value (in thousands):</w:t>
      </w:r>
    </w:p>
    <w:tbl>
      <w:tblPr>
        <w:tblW w:w="5105" w:type="dxa"/>
        <w:jc w:val="left"/>
        <w:tblInd w:w="0" w:type="dxa"/>
        <w:tblLayout w:type="fixed"/>
        <w:tblCellMar>
          <w:top w:w="28" w:type="dxa"/>
          <w:left w:w="28" w:type="dxa"/>
          <w:bottom w:w="28" w:type="dxa"/>
          <w:right w:w="28" w:type="dxa"/>
        </w:tblCellMar>
      </w:tblPr>
      <w:tblGrid>
        <w:gridCol w:w="607"/>
        <w:gridCol w:w="533"/>
        <w:gridCol w:w="539"/>
        <w:gridCol w:w="165"/>
        <w:gridCol w:w="166"/>
        <w:gridCol w:w="166"/>
        <w:gridCol w:w="109"/>
        <w:gridCol w:w="109"/>
        <w:gridCol w:w="109"/>
        <w:gridCol w:w="210"/>
        <w:gridCol w:w="210"/>
        <w:gridCol w:w="211"/>
        <w:gridCol w:w="109"/>
        <w:gridCol w:w="109"/>
        <w:gridCol w:w="109"/>
        <w:gridCol w:w="210"/>
        <w:gridCol w:w="210"/>
        <w:gridCol w:w="211"/>
        <w:gridCol w:w="109"/>
        <w:gridCol w:w="109"/>
        <w:gridCol w:w="109"/>
        <w:gridCol w:w="203"/>
        <w:gridCol w:w="203"/>
        <w:gridCol w:w="280"/>
      </w:tblGrid>
      <w:tr>
        <w:trPr/>
        <w:tc>
          <w:tcPr>
            <w:tcW w:w="607"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4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equivalents:</w:t>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Money market funds</w:t>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vAlign w:val="center"/>
          </w:tcPr>
          <w:p>
            <w:pPr>
              <w:pStyle w:val="TableContents"/>
              <w:bidi w:val="0"/>
              <w:spacing w:before="0" w:after="283"/>
              <w:jc w:val="left"/>
              <w:rPr>
                <w:sz w:val="4"/>
                <w:szCs w:val="4"/>
              </w:rPr>
            </w:pPr>
            <w:r>
              <w:rPr>
                <w:sz w:val="4"/>
                <w:szCs w:val="4"/>
              </w:rPr>
            </w:r>
          </w:p>
        </w:tc>
        <w:tc>
          <w:tcPr>
            <w:tcW w:w="4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6" w:type="dxa"/>
            <w:gridSpan w:val="3"/>
            <w:tcBorders/>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cash equivalents</w:t>
            </w:r>
          </w:p>
        </w:tc>
        <w:tc>
          <w:tcPr>
            <w:tcW w:w="3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vAlign w:val="center"/>
          </w:tcPr>
          <w:p>
            <w:pPr>
              <w:pStyle w:val="TableContents"/>
              <w:bidi w:val="0"/>
              <w:spacing w:before="0" w:after="283"/>
              <w:jc w:val="left"/>
              <w:rPr>
                <w:sz w:val="4"/>
                <w:szCs w:val="4"/>
              </w:rPr>
            </w:pPr>
            <w:r>
              <w:rPr>
                <w:sz w:val="4"/>
                <w:szCs w:val="4"/>
              </w:rPr>
            </w:r>
          </w:p>
        </w:tc>
        <w:tc>
          <w:tcPr>
            <w:tcW w:w="4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6" w:type="dxa"/>
            <w:gridSpan w:val="3"/>
            <w:tcBorders/>
            <w:vAlign w:val="center"/>
          </w:tcPr>
          <w:p>
            <w:pPr>
              <w:pStyle w:val="TableContents"/>
              <w:bidi w:val="0"/>
              <w:spacing w:before="0" w:after="283"/>
              <w:jc w:val="left"/>
              <w:rPr>
                <w:sz w:val="4"/>
                <w:szCs w:val="4"/>
              </w:rPr>
            </w:pPr>
            <w:r>
              <w:rPr>
                <w:sz w:val="4"/>
                <w:szCs w:val="4"/>
              </w:rPr>
            </w:r>
          </w:p>
        </w:tc>
      </w:tr>
      <w:tr>
        <w:trPr/>
        <w:tc>
          <w:tcPr>
            <w:tcW w:w="1679" w:type="dxa"/>
            <w:gridSpan w:val="3"/>
            <w:tcBorders/>
            <w:vAlign w:val="center"/>
          </w:tcPr>
          <w:p>
            <w:pPr>
              <w:pStyle w:val="TableContents"/>
              <w:bidi w:val="0"/>
              <w:spacing w:before="0" w:after="283"/>
              <w:jc w:val="left"/>
              <w:rPr>
                <w:sz w:val="4"/>
                <w:szCs w:val="4"/>
              </w:rPr>
            </w:pPr>
            <w:r>
              <w:rPr>
                <w:sz w:val="4"/>
                <w:szCs w:val="4"/>
              </w:rPr>
            </w:r>
          </w:p>
        </w:tc>
        <w:tc>
          <w:tcPr>
            <w:tcW w:w="4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6" w:type="dxa"/>
            <w:gridSpan w:val="3"/>
            <w:tcBorders/>
            <w:vAlign w:val="center"/>
          </w:tcPr>
          <w:p>
            <w:pPr>
              <w:pStyle w:val="TableContents"/>
              <w:bidi w:val="0"/>
              <w:spacing w:before="0" w:after="283"/>
              <w:jc w:val="left"/>
              <w:rPr>
                <w:sz w:val="4"/>
                <w:szCs w:val="4"/>
              </w:rPr>
            </w:pPr>
            <w:r>
              <w:rPr>
                <w:sz w:val="4"/>
                <w:szCs w:val="4"/>
              </w:rPr>
            </w:r>
          </w:p>
        </w:tc>
      </w:tr>
      <w:tr>
        <w:trPr/>
        <w:tc>
          <w:tcPr>
            <w:tcW w:w="1679" w:type="dxa"/>
            <w:gridSpan w:val="3"/>
            <w:tcBorders/>
            <w:vAlign w:val="center"/>
          </w:tcPr>
          <w:p>
            <w:pPr>
              <w:pStyle w:val="TableContents"/>
              <w:bidi w:val="0"/>
              <w:spacing w:before="0" w:after="283"/>
              <w:jc w:val="left"/>
              <w:rPr>
                <w:sz w:val="4"/>
                <w:szCs w:val="4"/>
              </w:rPr>
            </w:pPr>
            <w:r>
              <w:rPr>
                <w:sz w:val="4"/>
                <w:szCs w:val="4"/>
              </w:rPr>
            </w:r>
          </w:p>
        </w:tc>
        <w:tc>
          <w:tcPr>
            <w:tcW w:w="4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6" w:type="dxa"/>
            <w:gridSpan w:val="3"/>
            <w:tcBorders/>
            <w:vAlign w:val="center"/>
          </w:tcPr>
          <w:p>
            <w:pPr>
              <w:pStyle w:val="TableContents"/>
              <w:bidi w:val="0"/>
              <w:spacing w:before="0" w:after="283"/>
              <w:jc w:val="left"/>
              <w:rPr>
                <w:sz w:val="4"/>
                <w:szCs w:val="4"/>
              </w:rPr>
            </w:pPr>
            <w:r>
              <w:rPr>
                <w:sz w:val="4"/>
                <w:szCs w:val="4"/>
              </w:rPr>
            </w:r>
          </w:p>
        </w:tc>
      </w:tr>
      <w:tr>
        <w:trPr/>
        <w:tc>
          <w:tcPr>
            <w:tcW w:w="1679" w:type="dxa"/>
            <w:gridSpan w:val="3"/>
            <w:tcBorders/>
            <w:vAlign w:val="center"/>
          </w:tcPr>
          <w:p>
            <w:pPr>
              <w:pStyle w:val="TableContents"/>
              <w:bidi w:val="0"/>
              <w:spacing w:before="0" w:after="283"/>
              <w:jc w:val="left"/>
              <w:rPr>
                <w:sz w:val="4"/>
                <w:szCs w:val="4"/>
              </w:rPr>
            </w:pPr>
            <w:r>
              <w:rPr>
                <w:sz w:val="4"/>
                <w:szCs w:val="4"/>
              </w:rPr>
            </w:r>
          </w:p>
        </w:tc>
        <w:tc>
          <w:tcPr>
            <w:tcW w:w="4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6" w:type="dxa"/>
            <w:gridSpan w:val="3"/>
            <w:tcBorders/>
            <w:vAlign w:val="center"/>
          </w:tcPr>
          <w:p>
            <w:pPr>
              <w:pStyle w:val="TableContents"/>
              <w:bidi w:val="0"/>
              <w:spacing w:before="0" w:after="283"/>
              <w:jc w:val="left"/>
              <w:rPr>
                <w:sz w:val="4"/>
                <w:szCs w:val="4"/>
              </w:rPr>
            </w:pPr>
            <w:r>
              <w:rPr>
                <w:sz w:val="4"/>
                <w:szCs w:val="4"/>
              </w:rPr>
            </w:r>
          </w:p>
        </w:tc>
      </w:tr>
      <w:tr>
        <w:trPr/>
        <w:tc>
          <w:tcPr>
            <w:tcW w:w="1679" w:type="dxa"/>
            <w:gridSpan w:val="3"/>
            <w:tcBorders/>
            <w:vAlign w:val="center"/>
          </w:tcPr>
          <w:p>
            <w:pPr>
              <w:pStyle w:val="TableContents"/>
              <w:bidi w:val="0"/>
              <w:spacing w:before="0" w:after="283"/>
              <w:jc w:val="left"/>
              <w:rPr>
                <w:sz w:val="4"/>
                <w:szCs w:val="4"/>
              </w:rPr>
            </w:pPr>
            <w:r>
              <w:rPr>
                <w:sz w:val="4"/>
                <w:szCs w:val="4"/>
              </w:rPr>
            </w:r>
          </w:p>
        </w:tc>
        <w:tc>
          <w:tcPr>
            <w:tcW w:w="4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6" w:type="dxa"/>
            <w:gridSpan w:val="3"/>
            <w:tcBorders/>
            <w:vAlign w:val="center"/>
          </w:tcPr>
          <w:p>
            <w:pPr>
              <w:pStyle w:val="TableContents"/>
              <w:bidi w:val="0"/>
              <w:spacing w:before="0" w:after="283"/>
              <w:jc w:val="left"/>
              <w:rPr>
                <w:sz w:val="4"/>
                <w:szCs w:val="4"/>
              </w:rPr>
            </w:pPr>
            <w:r>
              <w:rPr>
                <w:sz w:val="4"/>
                <w:szCs w:val="4"/>
              </w:rPr>
            </w:r>
          </w:p>
        </w:tc>
      </w:tr>
      <w:tr>
        <w:trPr/>
        <w:tc>
          <w:tcPr>
            <w:tcW w:w="1679" w:type="dxa"/>
            <w:gridSpan w:val="3"/>
            <w:tcBorders/>
            <w:vAlign w:val="center"/>
          </w:tcPr>
          <w:p>
            <w:pPr>
              <w:pStyle w:val="TableContents"/>
              <w:bidi w:val="0"/>
              <w:spacing w:before="0" w:after="283"/>
              <w:jc w:val="left"/>
              <w:rPr>
                <w:sz w:val="4"/>
                <w:szCs w:val="4"/>
              </w:rPr>
            </w:pPr>
            <w:r>
              <w:rPr>
                <w:sz w:val="4"/>
                <w:szCs w:val="4"/>
              </w:rPr>
            </w:r>
          </w:p>
        </w:tc>
        <w:tc>
          <w:tcPr>
            <w:tcW w:w="4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6" w:type="dxa"/>
            <w:gridSpan w:val="3"/>
            <w:tcBorders/>
            <w:vAlign w:val="center"/>
          </w:tcPr>
          <w:p>
            <w:pPr>
              <w:pStyle w:val="TableContents"/>
              <w:bidi w:val="0"/>
              <w:spacing w:before="0" w:after="283"/>
              <w:jc w:val="left"/>
              <w:rPr>
                <w:sz w:val="4"/>
                <w:szCs w:val="4"/>
              </w:rPr>
            </w:pPr>
            <w:r>
              <w:rPr>
                <w:sz w:val="4"/>
                <w:szCs w:val="4"/>
              </w:rPr>
            </w:r>
          </w:p>
        </w:tc>
      </w:tr>
    </w:tbl>
    <w:tbl>
      <w:tblPr>
        <w:tblW w:w="5647" w:type="dxa"/>
        <w:jc w:val="left"/>
        <w:tblInd w:w="0" w:type="dxa"/>
        <w:tblLayout w:type="fixed"/>
        <w:tblCellMar>
          <w:top w:w="28" w:type="dxa"/>
          <w:left w:w="28" w:type="dxa"/>
          <w:bottom w:w="28" w:type="dxa"/>
          <w:right w:w="28" w:type="dxa"/>
        </w:tblCellMar>
      </w:tblPr>
      <w:tblGrid>
        <w:gridCol w:w="607"/>
        <w:gridCol w:w="533"/>
        <w:gridCol w:w="539"/>
        <w:gridCol w:w="323"/>
        <w:gridCol w:w="323"/>
        <w:gridCol w:w="166"/>
        <w:gridCol w:w="109"/>
        <w:gridCol w:w="109"/>
        <w:gridCol w:w="109"/>
        <w:gridCol w:w="323"/>
        <w:gridCol w:w="323"/>
        <w:gridCol w:w="211"/>
        <w:gridCol w:w="109"/>
        <w:gridCol w:w="109"/>
        <w:gridCol w:w="109"/>
        <w:gridCol w:w="210"/>
        <w:gridCol w:w="210"/>
        <w:gridCol w:w="211"/>
        <w:gridCol w:w="109"/>
        <w:gridCol w:w="109"/>
        <w:gridCol w:w="109"/>
        <w:gridCol w:w="203"/>
        <w:gridCol w:w="203"/>
        <w:gridCol w:w="281"/>
      </w:tblGrid>
      <w:tr>
        <w:trPr/>
        <w:tc>
          <w:tcPr>
            <w:tcW w:w="607"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8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equivalents:</w:t>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Money market funds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17,737 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17,737 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cash equivalents</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17,737 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17,737 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r>
      <w:tr>
        <w:trPr/>
        <w:tc>
          <w:tcPr>
            <w:tcW w:w="1679"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r>
      <w:tr>
        <w:trPr/>
        <w:tc>
          <w:tcPr>
            <w:tcW w:w="1679"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r>
      <w:tr>
        <w:trPr/>
        <w:tc>
          <w:tcPr>
            <w:tcW w:w="1679"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r>
      <w:tr>
        <w:trPr/>
        <w:tc>
          <w:tcPr>
            <w:tcW w:w="1679"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r>
      <w:tr>
        <w:trPr/>
        <w:tc>
          <w:tcPr>
            <w:tcW w:w="1679"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No transfers between levels occurred during the three or six months ended June 30, 2026 or June 30, 2025.</w:t>
      </w:r>
    </w:p>
    <w:p>
      <w:pPr>
        <w:pStyle w:val="TextBody"/>
        <w:bidi w:val="0"/>
        <w:spacing w:lineRule="auto" w:line="276" w:before="180" w:after="180"/>
        <w:ind w:left="0" w:right="0" w:firstLine="450"/>
        <w:jc w:val="left"/>
        <w:rPr/>
      </w:pPr>
      <w:r>
        <w:rPr>
          <w:rFonts w:ascii="Times New Roman;serif" w:hAnsi="Times New Roman;serif"/>
          <w:b w:val="false"/>
          <w:color w:val="000000"/>
          <w:sz w:val="20"/>
        </w:rPr>
        <w:t xml:space="preserve">The Company also had an interest make-whole payment derivative liability on its 2025 Convertible Notes (as defined in </w:t>
      </w:r>
      <w:r>
        <w:rPr>
          <w:rFonts w:ascii="Times New Roman;serif" w:hAnsi="Times New Roman;serif"/>
          <w:b w:val="false"/>
          <w:i/>
          <w:color w:val="000000"/>
          <w:sz w:val="20"/>
        </w:rPr>
        <w:t>Note 4 – Debt</w:t>
      </w:r>
      <w:r>
        <w:rPr>
          <w:rFonts w:ascii="Times New Roman;serif" w:hAnsi="Times New Roman;serif"/>
          <w:b w:val="false"/>
          <w:color w:val="000000"/>
          <w:sz w:val="20"/>
        </w:rPr>
        <w:t>) that was measured at fair value on a recurring basis prior to the maturity and full repayment of the 2025 Convertible Notes on May 1, 2025. The interest make-whole payment derivative liability was a Level 3 instrument and was valued using a Monte Carlo model.</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2025, there were no conversions of the 2025 Convertible Notes into shares of the Company’s common stock. There were also no changes in the fair value of the interest make-whole liability during the six months ended June 30, 2025.</w:t>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Other Financial Instruments</w:t>
      </w:r>
    </w:p>
    <w:p>
      <w:pPr>
        <w:pStyle w:val="TextBody"/>
        <w:bidi w:val="0"/>
        <w:spacing w:lineRule="auto" w:line="276" w:before="180" w:after="180"/>
        <w:ind w:left="0" w:right="0" w:firstLine="450"/>
        <w:jc w:val="left"/>
        <w:rPr/>
      </w:pPr>
      <w:r>
        <w:rPr>
          <w:rFonts w:ascii="Times New Roman;serif" w:hAnsi="Times New Roman;serif"/>
          <w:b w:val="false"/>
          <w:color w:val="000000"/>
          <w:sz w:val="20"/>
        </w:rPr>
        <w:t xml:space="preserve">The carrying values of the Company’s other financial assets and liabilities approximate their fair values because of their short-term nature, with the exception of the 2029 Senior Secured Notes (as defined in </w:t>
      </w:r>
      <w:r>
        <w:rPr>
          <w:rFonts w:ascii="Times New Roman;serif" w:hAnsi="Times New Roman;serif"/>
          <w:b w:val="false"/>
          <w:i/>
          <w:color w:val="000000"/>
          <w:sz w:val="20"/>
        </w:rPr>
        <w:t>Note 4 – Debt</w:t>
      </w:r>
      <w:r>
        <w:rPr>
          <w:rFonts w:ascii="Times New Roman;serif" w:hAnsi="Times New Roman;serif"/>
          <w:b w:val="false"/>
          <w:color w:val="000000"/>
          <w:sz w:val="20"/>
        </w:rPr>
        <w:t>) and 2025 Convertible Notes. The 2029 Senior Secured Notes and 2025 Convertible Notes are carried at amortized cost, and the 2025 Convertible notes were adjusted for changes in fair value of the embedded interest make-whole payment derivative.</w:t>
      </w:r>
    </w:p>
    <w:p>
      <w:pPr>
        <w:pStyle w:val="TextBody"/>
        <w:bidi w:val="0"/>
        <w:spacing w:lineRule="auto" w:line="276" w:before="180" w:after="180"/>
        <w:ind w:left="0" w:right="0" w:firstLine="450"/>
        <w:jc w:val="left"/>
        <w:rPr/>
      </w:pPr>
      <w:r>
        <w:rPr>
          <w:rFonts w:ascii="Times New Roman;serif" w:hAnsi="Times New Roman;serif"/>
          <w:b w:val="false"/>
          <w:color w:val="000000"/>
          <w:sz w:val="20"/>
        </w:rPr>
        <w:t xml:space="preserve">As detailed in </w:t>
      </w:r>
      <w:r>
        <w:rPr>
          <w:rFonts w:ascii="Times New Roman;serif" w:hAnsi="Times New Roman;serif"/>
          <w:b w:val="false"/>
          <w:i/>
          <w:color w:val="000000"/>
          <w:sz w:val="20"/>
        </w:rPr>
        <w:t>Note 7 – Stockholders' Equity (Deficit)</w:t>
      </w:r>
      <w:r>
        <w:rPr>
          <w:color w:val="000000"/>
        </w:rPr>
        <w:t xml:space="preserve"> </w:t>
      </w:r>
      <w:r>
        <w:rPr>
          <w:rFonts w:ascii="Times New Roman;serif" w:hAnsi="Times New Roman;serif"/>
          <w:b w:val="false"/>
          <w:color w:val="000000"/>
          <w:sz w:val="20"/>
        </w:rPr>
        <w:t>below, the additional $8.0 million in 2029 Senior Secured Notes principal and $10.0 million cash payable issued during the six months ended June 30, 2026, as part of the Preferred Stock Exchange Agreement were initially recorded upon issuance at fair value, which were $8.9 million and $9.7 million, respectively. The fair value of both the additional 2029 Senior Secured Notes principal and cash payable were determined based on a discounted cash flow model, which represents a Level 3 measurement. The fair value of the additional 2029 Senior Secured Notes principal was estimated using probability-weighted scenarios which include assumptions that are highly subjective and required judgment regarding significant matters, such as the timing of redemption, amount and timing of future cash flows and an adjusted market yield of 5.29%. The fair value of the cash payable was estimated using an adjusted market yield of 4.91%. The use of different assumptions could have a material effect on the fair value estimates.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INSEEGO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4. Debt</w:t>
      </w:r>
    </w:p>
    <w:p>
      <w:pPr>
        <w:pStyle w:val="TextBody"/>
        <w:bidi w:val="0"/>
        <w:spacing w:lineRule="auto" w:line="276" w:before="180" w:after="180"/>
        <w:jc w:val="both"/>
        <w:rPr>
          <w:rFonts w:ascii="Times New Roman;serif" w:hAnsi="Times New Roman;serif"/>
          <w:b/>
          <w:i/>
          <w:color w:val="000000"/>
          <w:sz w:val="20"/>
        </w:rPr>
      </w:pPr>
      <w:r>
        <w:rPr>
          <w:rFonts w:ascii="Times New Roman;serif" w:hAnsi="Times New Roman;serif"/>
          <w:b/>
          <w:i/>
          <w:color w:val="000000"/>
          <w:sz w:val="20"/>
        </w:rPr>
        <w:t>Working Capital Facility</w:t>
      </w:r>
    </w:p>
    <w:p>
      <w:pPr>
        <w:pStyle w:val="TextBody"/>
        <w:bidi w:val="0"/>
        <w:spacing w:lineRule="auto" w:line="26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August 5, 2025, the Company entered into a Credit and Security Agreement (the “Working Capital Facility Agreement”) with BMO Bank N.A. (“BMO”) that provides up to a maximum $15.0 million secured asset-backed revolving credit facility (the “Working Capital Facility”). On May 22, 2026, the Company amended the Working Capital Facility Agreement to increase the maximum borrowing capacity to $20.0 million. The facility matures on August 5, 2028 and contains certain financial and non-financial covenants. The Company was in compliance with all covenants under the Working Capital Facility Agreement as of June 30, 2026.</w:t>
      </w:r>
    </w:p>
    <w:p>
      <w:pPr>
        <w:pStyle w:val="TextBody"/>
        <w:bidi w:val="0"/>
        <w:spacing w:lineRule="auto" w:line="268"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Obligations under the Working Capital Facility are secured by a continuing security interest in substantially all property of Inseego Corp. and certain of its subsidiaries, subject to customary exclusions. Availability under the Working Capital Facility is determined monthly as the excess of a borrowing base (“Borrowing Base”), comprised of a percentage of eligible accounts receivable and eligible inventory, over the total loans and issued letters of credit outstanding under the Working Capital Facility. If the aggregate outstanding amount of the Working Capital Facility, including outstanding letters of credit, exceeds the Borrowing Base at any time, the excess amount shall be payable on demand by BMO.</w:t>
      </w:r>
    </w:p>
    <w:p>
      <w:pPr>
        <w:pStyle w:val="TextBody"/>
        <w:bidi w:val="0"/>
        <w:spacing w:lineRule="auto" w:line="268"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Priority of the obligations of the Company with respect to the Working Capital Facility is senior to the priority of the obligations of the Company with respect to the 2029 Senior Secured Notes on the assets of the Company which constitute current assets and junior to the priority to the obligations of the Company with respect to the 2029 Senior Secured Notes on the assets of the Company which are not current assets, as set forth in the Working Capital Facility Agreement. The Working Capital Facility contains customary events of default, including a cross-default and cross-payment default for certain indebtedness in an aggregate principal amount in excess of $1.0 million and a cross-default for certain termination events under Swap Contracts with a termination value (determined in accordance with the terms of the Working Capital Facility Agreement) in excess of $1.0 million, as set forth in the Working Capital Facility Agreement.</w:t>
      </w:r>
    </w:p>
    <w:p>
      <w:pPr>
        <w:pStyle w:val="TextBody"/>
        <w:bidi w:val="0"/>
        <w:spacing w:lineRule="auto" w:line="26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Loans made under the Working Capital Facility bear interest at a Term Secured Overnight Financing Rate (“SOFR”), as defined in the Working Capital Facility Agreement, plus an applicable margin ranging from 1.00-2.50%, subject to certain exceptions. Interest on loans made under the Working Capital Facility are paid in cash, in arrears, on a semi-annual basis.</w:t>
      </w:r>
    </w:p>
    <w:p>
      <w:pPr>
        <w:pStyle w:val="TextBody"/>
        <w:bidi w:val="0"/>
        <w:spacing w:lineRule="auto" w:line="26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Company had $3.0 million of outstanding letters of credit issued under the Working Capital Facility to support inventory purchases. No amounts had been drawn under the letters of credit as of June 30, 2026, and no funded obligations were payable to BMO. </w:t>
      </w:r>
    </w:p>
    <w:p>
      <w:pPr>
        <w:pStyle w:val="TextBody"/>
        <w:bidi w:val="0"/>
        <w:spacing w:lineRule="auto" w:line="276"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details the outstanding borrowings and availability to borrow under the Working Capital Facility (in thousands):</w:t>
      </w:r>
    </w:p>
    <w:tbl>
      <w:tblPr>
        <w:tblW w:w="4277" w:type="dxa"/>
        <w:jc w:val="left"/>
        <w:tblInd w:w="0" w:type="dxa"/>
        <w:tblLayout w:type="fixed"/>
        <w:tblCellMar>
          <w:top w:w="28" w:type="dxa"/>
          <w:left w:w="28" w:type="dxa"/>
          <w:bottom w:w="28" w:type="dxa"/>
          <w:right w:w="28" w:type="dxa"/>
        </w:tblCellMar>
      </w:tblPr>
      <w:tblGrid>
        <w:gridCol w:w="674"/>
        <w:gridCol w:w="591"/>
        <w:gridCol w:w="595"/>
        <w:gridCol w:w="196"/>
        <w:gridCol w:w="646"/>
        <w:gridCol w:w="109"/>
        <w:gridCol w:w="109"/>
        <w:gridCol w:w="109"/>
        <w:gridCol w:w="109"/>
        <w:gridCol w:w="294"/>
        <w:gridCol w:w="611"/>
        <w:gridCol w:w="234"/>
      </w:tblGrid>
      <w:tr>
        <w:trPr/>
        <w:tc>
          <w:tcPr>
            <w:tcW w:w="67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borrowings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Availability to borrow</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14,452 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180"/>
        <w:jc w:val="both"/>
        <w:rPr>
          <w:rFonts w:ascii="Times New Roman;serif" w:hAnsi="Times New Roman;serif"/>
          <w:b/>
          <w:i/>
          <w:color w:val="000000"/>
          <w:sz w:val="20"/>
        </w:rPr>
      </w:pPr>
      <w:r>
        <w:rPr>
          <w:rFonts w:ascii="Times New Roman;serif" w:hAnsi="Times New Roman;serif"/>
          <w:b/>
          <w:i/>
          <w:color w:val="000000"/>
          <w:sz w:val="20"/>
        </w:rPr>
        <w:t>2029 Senior Secured Notes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November 6, 2024, the Company issued to multiple noteholders approximately $40.9 million in principal amount of new senior secured notes due in 2029 (the “2029 Senior Secured Notes”). The 2029 Senior Secured Notes bear interest at 9.0% per annum, to be paid in cash, in arrears, on a semi-annual basis, and have a maturity date of May 1, 2029. The Company may, subject to certain provisions, issue additional principal amounts of the 2029 Senior Secured Notes with the same terms as the notes issued on November 6, 2024, with the exception of the first date on which interest expense begins to accrue.</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2029 Senior Secured Notes are secured by a first priority lien on substantially all of the Company’s assets. The Company may redeem all or part of the 2029 Senior Secured Notes at any time prior to May 1, 2029 at a redemption price equal to 100% of the principal amount of the 2029 Senior Secured Notes to be redeemed, plus the present value of the sum of all required interest payments from such redemption date through May 1, 2029 at such redemption date, plus accrued and unpaid interest on such 2029 Senior Secured Notes to, but excluding, the redemption date.</w:t>
      </w:r>
    </w:p>
    <w:p>
      <w:pPr>
        <w:pStyle w:val="TextBody"/>
        <w:bidi w:val="0"/>
        <w:spacing w:lineRule="auto" w:line="276" w:before="180" w:after="180"/>
        <w:ind w:left="0" w:right="0" w:firstLine="450"/>
        <w:jc w:val="left"/>
        <w:rPr/>
      </w:pPr>
      <w:r>
        <w:rPr>
          <w:rFonts w:ascii="Times New Roman;serif" w:hAnsi="Times New Roman;serif"/>
          <w:b w:val="false"/>
          <w:color w:val="000000"/>
          <w:sz w:val="20"/>
        </w:rPr>
        <w:t xml:space="preserve">On January 14, 2026, as part of the exchange of its outstanding preferred stock, which is discussed in further detail in </w:t>
      </w:r>
      <w:r>
        <w:rPr>
          <w:rFonts w:ascii="Times New Roman;serif" w:hAnsi="Times New Roman;serif"/>
          <w:b w:val="false"/>
          <w:i/>
          <w:color w:val="000000"/>
          <w:sz w:val="20"/>
        </w:rPr>
        <w:t>Note 7 – Stockholders' Equity (Deficit)</w:t>
      </w:r>
      <w:r>
        <w:rPr>
          <w:rFonts w:ascii="Times New Roman;serif" w:hAnsi="Times New Roman;serif"/>
          <w:b w:val="false"/>
          <w:color w:val="000000"/>
          <w:sz w:val="20"/>
        </w:rPr>
        <w:t>, the Company issued an additional $8.0 million in principal amount of 2029 Senior Secured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INSEEGO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June 30, 2026, $48.9 million of principal of the 2029 Senior Secured Notes was outstanding, $31.8 million of which was held by related parties.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2029 Senior Secured Notes, net consists of the following (in thousands):</w:t>
      </w:r>
    </w:p>
    <w:tbl>
      <w:tblPr>
        <w:tblW w:w="4878" w:type="dxa"/>
        <w:jc w:val="left"/>
        <w:tblInd w:w="0" w:type="dxa"/>
        <w:tblLayout w:type="fixed"/>
        <w:tblCellMar>
          <w:top w:w="28" w:type="dxa"/>
          <w:left w:w="28" w:type="dxa"/>
          <w:bottom w:w="28" w:type="dxa"/>
          <w:right w:w="28" w:type="dxa"/>
        </w:tblCellMar>
      </w:tblPr>
      <w:tblGrid>
        <w:gridCol w:w="891"/>
        <w:gridCol w:w="782"/>
        <w:gridCol w:w="787"/>
        <w:gridCol w:w="196"/>
        <w:gridCol w:w="646"/>
        <w:gridCol w:w="109"/>
        <w:gridCol w:w="109"/>
        <w:gridCol w:w="109"/>
        <w:gridCol w:w="109"/>
        <w:gridCol w:w="224"/>
        <w:gridCol w:w="740"/>
        <w:gridCol w:w="176"/>
      </w:tblGrid>
      <w:tr>
        <w:trPr/>
        <w:tc>
          <w:tcPr>
            <w:tcW w:w="89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gross amount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40,879 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 unamortized debt premium</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unamortized issuance costs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carrying amount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50,291 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41,611 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283"/>
        <w:ind w:left="0" w:right="0" w:firstLine="450"/>
        <w:jc w:val="both"/>
        <w:rPr>
          <w:rFonts w:ascii="Times New Roman;serif" w:hAnsi="Times New Roman;serif"/>
          <w:b/>
          <w:i/>
          <w:color w:val="000000"/>
          <w:sz w:val="20"/>
        </w:rPr>
      </w:pPr>
      <w:r>
        <w:rPr>
          <w:rFonts w:ascii="Times New Roman;serif" w:hAnsi="Times New Roman;serif"/>
          <w:b/>
          <w:i/>
          <w:color w:val="000000"/>
          <w:sz w:val="20"/>
        </w:rPr>
        <w:t xml:space="preserve">2025 Convertible Notes </w:t>
      </w:r>
    </w:p>
    <w:p>
      <w:pPr>
        <w:pStyle w:val="TextBody"/>
        <w:bidi w:val="0"/>
        <w:spacing w:lineRule="auto" w:line="276"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2020, the Company completed both a registered public offering and a privately negotiated exchange agreement that resulted in the issuance of 3.25% convertible senior notes due in 2025 (the “2025 Convertible Notes”).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2025 Convertible Notes matured on May 1, 2025. The 2025 Convertible Notes were senior unsecured obligations of the Company and bore interest at an annual rate of 3.25%, which was payable semi-annually in arrears on May 1 and November 1 of each year.</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2025 Convertible Notes matured on May 1, 2025, at which time all outstanding principal of $14.9 million and related accrued interest was repaid.</w:t>
      </w:r>
    </w:p>
    <w:p>
      <w:pPr>
        <w:pStyle w:val="TextBody"/>
        <w:bidi w:val="0"/>
        <w:spacing w:lineRule="auto" w:line="276" w:before="180" w:after="180"/>
        <w:jc w:val="left"/>
        <w:rPr>
          <w:rFonts w:ascii="Times New Roman;serif" w:hAnsi="Times New Roman;serif"/>
          <w:b/>
          <w:i/>
          <w:color w:val="000000"/>
          <w:sz w:val="20"/>
        </w:rPr>
      </w:pPr>
      <w:r>
        <w:rPr>
          <w:rFonts w:ascii="Times New Roman;serif" w:hAnsi="Times New Roman;serif"/>
          <w:b/>
          <w:i/>
          <w:color w:val="000000"/>
          <w:sz w:val="20"/>
        </w:rPr>
        <w:t>Interest Expense, Summary</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total interest expense, annualized effective interest rate, and interest expense related to related parties, if applicable, for each of the debt instruments detailed above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INSEEGO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tbl>
      <w:tblPr>
        <w:tblW w:w="7952" w:type="dxa"/>
        <w:jc w:val="left"/>
        <w:tblInd w:w="0" w:type="dxa"/>
        <w:tblLayout w:type="fixed"/>
        <w:tblCellMar>
          <w:top w:w="28" w:type="dxa"/>
          <w:left w:w="28" w:type="dxa"/>
          <w:bottom w:w="28" w:type="dxa"/>
          <w:right w:w="28" w:type="dxa"/>
        </w:tblCellMar>
      </w:tblPr>
      <w:tblGrid>
        <w:gridCol w:w="1095"/>
        <w:gridCol w:w="963"/>
        <w:gridCol w:w="971"/>
        <w:gridCol w:w="196"/>
        <w:gridCol w:w="556"/>
        <w:gridCol w:w="256"/>
        <w:gridCol w:w="109"/>
        <w:gridCol w:w="109"/>
        <w:gridCol w:w="109"/>
        <w:gridCol w:w="196"/>
        <w:gridCol w:w="421"/>
        <w:gridCol w:w="256"/>
        <w:gridCol w:w="109"/>
        <w:gridCol w:w="109"/>
        <w:gridCol w:w="109"/>
        <w:gridCol w:w="196"/>
        <w:gridCol w:w="556"/>
        <w:gridCol w:w="256"/>
        <w:gridCol w:w="109"/>
        <w:gridCol w:w="109"/>
        <w:gridCol w:w="109"/>
        <w:gridCol w:w="196"/>
        <w:gridCol w:w="556"/>
        <w:gridCol w:w="301"/>
      </w:tblGrid>
      <w:tr>
        <w:trPr/>
        <w:tc>
          <w:tcPr>
            <w:tcW w:w="1095"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2029 Senior Secured Notes</w:t>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Contractual interest expense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1,840 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issuance costs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discount/(premium)</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 expense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1,730 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Effective interest rate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Related party interest expense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1,345 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Working Capital Facility</w:t>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Contractual interest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issuance costs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 expense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Effective interest rate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2025 Convertible Notes</w:t>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Contractual interest expense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issuance costs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discount/(premium)</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 expense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Effective interest rate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interest expense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interest expense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1,210 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933 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2,271 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1,959 </w:t>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5. Share-based Compensation</w:t>
      </w:r>
    </w:p>
    <w:p>
      <w:pPr>
        <w:pStyle w:val="TextBody"/>
        <w:bidi w:val="0"/>
        <w:spacing w:lineRule="auto" w:line="276" w:before="180" w:after="180"/>
        <w:ind w:left="0" w:right="0" w:firstLine="450"/>
        <w:jc w:val="left"/>
        <w:rPr/>
      </w:pPr>
      <w:r>
        <w:rPr>
          <w:rFonts w:ascii="Times New Roman;serif" w:hAnsi="Times New Roman;serif"/>
          <w:b w:val="false"/>
          <w:color w:val="000000"/>
          <w:sz w:val="20"/>
          <w:shd w:fill="FFFFFF" w:val="clear"/>
        </w:rPr>
        <w:t xml:space="preserve">During the six months ended June 30, 2026 and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 xml:space="preserve">, the Company granted awards under the 2018 Omnibus Incentive Compensation Plan, previously named the Amended and Restated 2009 Omnibus Incentive Compensation Plan (the “2018 Plan”), and the 2015 Incentive Compensation Plan (the “2015 Plan”). The Compensation Committee of the Board of Directors administers the plans. Under the 2018 Plan, </w:t>
      </w:r>
      <w:r>
        <w:rPr>
          <w:rFonts w:ascii="Times New Roman;serif" w:hAnsi="Times New Roman;serif"/>
          <w:b w:val="false"/>
          <w:color w:val="000000"/>
          <w:sz w:val="20"/>
        </w:rPr>
        <w:t xml:space="preserve">shares of common stock may be issued upon the exercise of stock options, in the form of restricted stock, or in settlement of restricted stock units (“RSUs”) or other awards, including awards with alternative vesting schedules such as performance-based criteria. The 2018 Plan authorizes 5,775,308 shares, of which 1,623,331 remain available for future grants as of </w:t>
      </w:r>
      <w:r>
        <w:rPr>
          <w:rFonts w:ascii="Times New Roman;serif" w:hAnsi="Times New Roman;serif"/>
          <w:b w:val="false"/>
          <w:color w:val="000000"/>
          <w:sz w:val="20"/>
          <w:shd w:fill="FFFFFF" w:val="clear"/>
        </w:rPr>
        <w:t>June 30, 2026</w:t>
      </w:r>
      <w:r>
        <w:rPr>
          <w:rFonts w:ascii="Times New Roman;serif" w:hAnsi="Times New Roman;serif"/>
          <w:b w:val="false"/>
          <w:color w:val="000000"/>
          <w:sz w:val="20"/>
        </w:rPr>
        <w:t>.</w:t>
      </w:r>
    </w:p>
    <w:p>
      <w:pPr>
        <w:pStyle w:val="TextBody"/>
        <w:bidi w:val="0"/>
        <w:spacing w:lineRule="auto" w:line="276" w:before="180" w:after="180"/>
        <w:ind w:left="0" w:right="0" w:firstLine="450"/>
        <w:jc w:val="left"/>
        <w:rPr/>
      </w:pPr>
      <w:r>
        <w:rPr>
          <w:rFonts w:ascii="Times New Roman;serif" w:hAnsi="Times New Roman;serif"/>
          <w:b w:val="false"/>
          <w:color w:val="000000"/>
          <w:sz w:val="20"/>
          <w:shd w:fill="FFFFFF" w:val="clear"/>
        </w:rPr>
        <w:t xml:space="preserve">The following table presents total share-based compensation expense within each functional line item on the condensed consolidated statements of operations for the </w:t>
      </w:r>
      <w:r>
        <w:rPr>
          <w:rFonts w:ascii="Times New Roman;serif" w:hAnsi="Times New Roman;serif"/>
          <w:b w:val="false"/>
          <w:color w:val="000000"/>
          <w:sz w:val="20"/>
        </w:rPr>
        <w:t xml:space="preserve">three and six </w:t>
      </w:r>
      <w:r>
        <w:rPr>
          <w:rFonts w:ascii="Times New Roman;serif" w:hAnsi="Times New Roman;serif"/>
          <w:b w:val="false"/>
          <w:color w:val="000000"/>
          <w:sz w:val="20"/>
          <w:shd w:fill="FFFFFF" w:val="clear"/>
        </w:rPr>
        <w:t>months end</w:t>
      </w:r>
      <w:r>
        <w:rPr>
          <w:rFonts w:ascii="Times New Roman;serif" w:hAnsi="Times New Roman;serif"/>
          <w:b w:val="false"/>
          <w:color w:val="000000"/>
          <w:sz w:val="20"/>
        </w:rPr>
        <w:t>ed June 30, 2026 and 2025 (in thousands):</w:t>
      </w:r>
    </w:p>
    <w:tbl>
      <w:tblPr>
        <w:tblW w:w="6479" w:type="dxa"/>
        <w:jc w:val="center"/>
        <w:tblInd w:w="0" w:type="dxa"/>
        <w:tblLayout w:type="fixed"/>
        <w:tblCellMar>
          <w:top w:w="28" w:type="dxa"/>
          <w:left w:w="28" w:type="dxa"/>
          <w:bottom w:w="28" w:type="dxa"/>
          <w:right w:w="28" w:type="dxa"/>
        </w:tblCellMar>
      </w:tblPr>
      <w:tblGrid>
        <w:gridCol w:w="728"/>
        <w:gridCol w:w="639"/>
        <w:gridCol w:w="642"/>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54"/>
      </w:tblGrid>
      <w:tr>
        <w:trPr/>
        <w:tc>
          <w:tcPr>
            <w:tcW w:w="72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revenues</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INSEEGO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Stock Options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Compensation Committee of the Board of Directors determines eligibility, vesting schedules and exercise prices for stock options granted. The Company generally uses the Black-Scholes option pricing model to estimate the fair value of its stock options, which generally only include time-based vesting requirements. Stock options generally have a term of ten years and vest over a three to four-year period.</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stock option activity for the six months ended June 30, 2026:</w:t>
      </w:r>
    </w:p>
    <w:tbl>
      <w:tblPr>
        <w:tblW w:w="4333" w:type="dxa"/>
        <w:jc w:val="left"/>
        <w:tblInd w:w="0" w:type="dxa"/>
        <w:tblLayout w:type="fixed"/>
        <w:tblCellMar>
          <w:top w:w="28" w:type="dxa"/>
          <w:left w:w="28" w:type="dxa"/>
          <w:bottom w:w="28" w:type="dxa"/>
          <w:right w:w="28" w:type="dxa"/>
        </w:tblCellMar>
      </w:tblPr>
      <w:tblGrid>
        <w:gridCol w:w="962"/>
        <w:gridCol w:w="844"/>
        <w:gridCol w:w="848"/>
        <w:gridCol w:w="435"/>
        <w:gridCol w:w="436"/>
        <w:gridCol w:w="109"/>
        <w:gridCol w:w="109"/>
        <w:gridCol w:w="109"/>
        <w:gridCol w:w="109"/>
        <w:gridCol w:w="109"/>
        <w:gridCol w:w="109"/>
        <w:gridCol w:w="154"/>
      </w:tblGrid>
      <w:tr>
        <w:trPr/>
        <w:tc>
          <w:tcPr>
            <w:tcW w:w="962"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 December 31, 2025</w:t>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1,517,039 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Canceled</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(63,725)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 June 30, 2026</w:t>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1,414,642 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Exercisable — June 30, 2026</w:t>
            </w:r>
          </w:p>
        </w:tc>
        <w:tc>
          <w:tcPr>
            <w:tcW w:w="87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455,465 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180"/>
        <w:ind w:left="0" w:right="0" w:firstLine="450"/>
        <w:jc w:val="left"/>
        <w:rPr/>
      </w:pPr>
      <w:r>
        <w:rPr>
          <w:rFonts w:ascii="Times New Roman;serif" w:hAnsi="Times New Roman;serif"/>
          <w:b w:val="false"/>
          <w:color w:val="000000"/>
          <w:sz w:val="20"/>
        </w:rPr>
        <w:t xml:space="preserve">During the six months ended June 30, 2025, the Company granted stock options to the CEO in connection with his hiring on January 6, 2025. These stock options contain a requirement that in order to be exercisable, the Company’s closing stock price must exceed the exercise price of the awards for 20 of the 30 trading-days immediately prior to the requested </w:t>
      </w:r>
      <w:r>
        <w:rPr>
          <w:rFonts w:ascii="Times New Roman;serif" w:hAnsi="Times New Roman;serif"/>
          <w:b w:val="false"/>
          <w:color w:val="000000"/>
          <w:sz w:val="20"/>
          <w:shd w:fill="FFFFFF" w:val="clear"/>
        </w:rPr>
        <w:t xml:space="preserve">exercise date. The Company granted a total of 850,000 of these options to the CEO at a weighted average exercise price of $18.46. The total grant-date fair value of the options was </w:t>
      </w:r>
      <w:r>
        <w:rPr>
          <w:rFonts w:ascii="Times New Roman;serif" w:hAnsi="Times New Roman;serif"/>
          <w:b w:val="false"/>
          <w:color w:val="000000"/>
          <w:sz w:val="20"/>
        </w:rPr>
        <w:t>$6.7 million and will be expensed over the four-year vesting term of the awards.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These options granted to the Company’s CEO were valued using a Monte Carlo simulation model. The following table details the key assumptions utilized in the Monte Carlo simulation model used to calculate the grant-date fair value of the awards:</w:t>
      </w:r>
    </w:p>
    <w:tbl>
      <w:tblPr>
        <w:tblW w:w="3330" w:type="dxa"/>
        <w:jc w:val="left"/>
        <w:tblInd w:w="0" w:type="dxa"/>
        <w:tblLayout w:type="fixed"/>
        <w:tblCellMar>
          <w:top w:w="28" w:type="dxa"/>
          <w:left w:w="28" w:type="dxa"/>
          <w:bottom w:w="28" w:type="dxa"/>
          <w:right w:w="28" w:type="dxa"/>
        </w:tblCellMar>
      </w:tblPr>
      <w:tblGrid>
        <w:gridCol w:w="707"/>
        <w:gridCol w:w="620"/>
        <w:gridCol w:w="623"/>
        <w:gridCol w:w="257"/>
        <w:gridCol w:w="729"/>
        <w:gridCol w:w="394"/>
      </w:tblGrid>
      <w:tr>
        <w:trPr/>
        <w:tc>
          <w:tcPr>
            <w:tcW w:w="70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January 6, 2025</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Valuation date stock price</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11.23 </w:t>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Simulation term (years)</w:t>
            </w:r>
          </w:p>
        </w:tc>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Risk-free interest rate</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4.57 </w:t>
            </w:r>
          </w:p>
        </w:tc>
        <w:tc>
          <w:tcPr>
            <w:tcW w:w="3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Volatility</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84.00 </w:t>
            </w:r>
          </w:p>
        </w:tc>
        <w:tc>
          <w:tcPr>
            <w:tcW w:w="3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Expected dividend yield</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At June 30, 2026, total unrecognized compensation expense related to stock options was $5.4 million, which is expected to be recognized over a weighted-average period of 2.70 years.</w:t>
      </w:r>
    </w:p>
    <w:p>
      <w:pPr>
        <w:pStyle w:val="TextBody"/>
        <w:bidi w:val="0"/>
        <w:spacing w:lineRule="auto" w:line="276" w:before="180" w:after="283"/>
        <w:jc w:val="left"/>
        <w:rPr>
          <w:rFonts w:ascii="Times New Roman;serif" w:hAnsi="Times New Roman;serif"/>
          <w:b w:val="false"/>
          <w:i/>
          <w:color w:val="000000"/>
          <w:sz w:val="20"/>
        </w:rPr>
      </w:pPr>
      <w:r>
        <w:rPr>
          <w:rFonts w:ascii="Times New Roman;serif" w:hAnsi="Times New Roman;serif"/>
          <w:b w:val="false"/>
          <w:i/>
          <w:color w:val="000000"/>
          <w:sz w:val="20"/>
        </w:rPr>
        <w:t>Restricted Stock Units</w:t>
      </w:r>
    </w:p>
    <w:p>
      <w:pPr>
        <w:pStyle w:val="TextBody"/>
        <w:bidi w:val="0"/>
        <w:spacing w:lineRule="auto" w:line="276"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Pursuant to the 2018 Plan and the 2015 Plan, the Company may issue RSUs that, upon satisfaction of vesting conditions, allow recipients to receive common stock. Issuances of such awards reduce common stock available under the 2018 Plan and 2015 Plan for stock incentive awards. The Company measures compensation cost associated with grants of RSUs at fair value, which is generally the closing price of the Company’s stock on the date of grant. RSUs generally vest over a three- to four-year period.</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RSU activity for the six months ended June 30, 2026:</w:t>
      </w:r>
    </w:p>
    <w:tbl>
      <w:tblPr>
        <w:tblW w:w="3634" w:type="dxa"/>
        <w:jc w:val="left"/>
        <w:tblInd w:w="0" w:type="dxa"/>
        <w:tblLayout w:type="fixed"/>
        <w:tblCellMar>
          <w:top w:w="28" w:type="dxa"/>
          <w:left w:w="28" w:type="dxa"/>
          <w:bottom w:w="28" w:type="dxa"/>
          <w:right w:w="28" w:type="dxa"/>
        </w:tblCellMar>
      </w:tblPr>
      <w:tblGrid>
        <w:gridCol w:w="945"/>
        <w:gridCol w:w="830"/>
        <w:gridCol w:w="834"/>
        <w:gridCol w:w="435"/>
        <w:gridCol w:w="436"/>
        <w:gridCol w:w="154"/>
      </w:tblGrid>
      <w:tr>
        <w:trPr/>
        <w:tc>
          <w:tcPr>
            <w:tcW w:w="94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Non-vested — December 31, 2025</w:t>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1,846,156 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139,381 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(235,900)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(108,907)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Non-vested — June 30, 2026</w:t>
            </w:r>
          </w:p>
        </w:tc>
        <w:tc>
          <w:tcPr>
            <w:tcW w:w="8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1,640,730 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2025, the Company granted RSUs to the CEO in connection with his hiring on January 6, 2025. The Company granted the CEO 124,347 RSUs that contain a time-based vesting requirement (“Time-based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INSEEGO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76" w:before="180" w:after="180"/>
        <w:jc w:val="left"/>
        <w:rPr/>
      </w:pPr>
      <w:r>
        <w:rPr>
          <w:rFonts w:ascii="Times New Roman;serif" w:hAnsi="Times New Roman;serif"/>
          <w:b w:val="false"/>
          <w:color w:val="000000"/>
          <w:sz w:val="20"/>
        </w:rPr>
        <w:t xml:space="preserve">CEO RSUs”) with a total grant-date fair value of $1.4 million that vest over four years. The Company also granted the CEO </w:t>
      </w:r>
      <w:r>
        <w:rPr>
          <w:rFonts w:ascii="Times New Roman;serif" w:hAnsi="Times New Roman;serif"/>
          <w:b w:val="false"/>
          <w:color w:val="000000"/>
          <w:sz w:val="20"/>
          <w:shd w:fill="FFFFFF" w:val="clear"/>
        </w:rPr>
        <w:t xml:space="preserve">RSUs that contain a market-based vesting condition in addition to a time-based vesting requirement (“Market-based CEO RSUs”). The Company granted 167,910 of these Market-based CEO RSUs with a total grant-date fair value of </w:t>
      </w:r>
      <w:r>
        <w:rPr>
          <w:rFonts w:ascii="Times New Roman;serif" w:hAnsi="Times New Roman;serif"/>
          <w:b w:val="false"/>
          <w:color w:val="000000"/>
          <w:sz w:val="20"/>
        </w:rPr>
        <w:t>$3.2 million that will be expensed over the three-year vesting term of the awards. The actual number of shares to be issued upon completion of the time-based vesting requirement of the Market-based CEO RSUs is dependent upon the Company’s share price performance relative to the total shareholder return of Russell Microcap Index (“rTSR”) over the vesting period, ranging from 0% to 200% of the number of market-based RSUs granted. The following table details the key assumptions utilized in the Monte Carlo simulation model used to calculate the grant-date fair value of the Market-based CEO RSUs:</w:t>
      </w:r>
    </w:p>
    <w:tbl>
      <w:tblPr>
        <w:tblW w:w="3330" w:type="dxa"/>
        <w:jc w:val="left"/>
        <w:tblInd w:w="0" w:type="dxa"/>
        <w:tblLayout w:type="fixed"/>
        <w:tblCellMar>
          <w:top w:w="28" w:type="dxa"/>
          <w:left w:w="28" w:type="dxa"/>
          <w:bottom w:w="28" w:type="dxa"/>
          <w:right w:w="28" w:type="dxa"/>
        </w:tblCellMar>
      </w:tblPr>
      <w:tblGrid>
        <w:gridCol w:w="707"/>
        <w:gridCol w:w="620"/>
        <w:gridCol w:w="623"/>
        <w:gridCol w:w="257"/>
        <w:gridCol w:w="729"/>
        <w:gridCol w:w="394"/>
      </w:tblGrid>
      <w:tr>
        <w:trPr/>
        <w:tc>
          <w:tcPr>
            <w:tcW w:w="70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January 6, 2025</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Valuation date stock price</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11.23 </w:t>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Simulation term (years)</w:t>
            </w:r>
          </w:p>
        </w:tc>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Risk-free interest rate</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4.25 </w:t>
            </w:r>
          </w:p>
        </w:tc>
        <w:tc>
          <w:tcPr>
            <w:tcW w:w="3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Volatility</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105.63 </w:t>
            </w:r>
          </w:p>
        </w:tc>
        <w:tc>
          <w:tcPr>
            <w:tcW w:w="3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Expected dividend yield</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Correlation coefficient</w:t>
            </w:r>
          </w:p>
        </w:tc>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0.3741</w:t>
            </w:r>
          </w:p>
        </w:tc>
      </w:tr>
    </w:tbl>
    <w:p>
      <w:pPr>
        <w:pStyle w:val="TextBody"/>
        <w:bidi w:val="0"/>
        <w:spacing w:lineRule="auto" w:line="276" w:before="180" w:after="180"/>
        <w:ind w:left="0" w:right="0" w:firstLine="450"/>
        <w:jc w:val="left"/>
        <w:rPr/>
      </w:pPr>
      <w:r>
        <w:rPr>
          <w:rFonts w:ascii="Times New Roman;serif" w:hAnsi="Times New Roman;serif"/>
          <w:b w:val="false"/>
          <w:color w:val="000000"/>
          <w:sz w:val="20"/>
        </w:rPr>
        <w:t>At June 30, 2026, total unrecognized compensation expense related</w:t>
      </w:r>
      <w:r>
        <w:rPr>
          <w:color w:val="000000"/>
          <w:shd w:fill="FFFFFF" w:val="clear"/>
        </w:rPr>
        <w:t xml:space="preserve"> </w:t>
      </w:r>
      <w:r>
        <w:rPr>
          <w:rFonts w:ascii="Times New Roman;serif" w:hAnsi="Times New Roman;serif"/>
          <w:b w:val="false"/>
          <w:color w:val="000000"/>
          <w:sz w:val="20"/>
          <w:shd w:fill="FFFFFF" w:val="clear"/>
        </w:rPr>
        <w:t>to RSUs, including the RS</w:t>
      </w:r>
      <w:r>
        <w:rPr>
          <w:rFonts w:ascii="Times New Roman;serif" w:hAnsi="Times New Roman;serif"/>
          <w:b w:val="false"/>
          <w:color w:val="000000"/>
          <w:sz w:val="20"/>
        </w:rPr>
        <w:t>Us with a market based condition discussed above, was $12.8 million, which is expected to be recognized over a weighted-average period of 2.70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6. Earnings (Loss) per Share</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Basic earnings (loss) per share (“EPS”) excludes dilution and is computed by dividing net loss attributable to common stockholders by the weighted-average number of common shares outstanding for the period. Diluted EPS reflects the potential dilution that could occur if securities or other contracts to issue common stock were exercised or converted into common stock using the treasury stock method. Potentially dilutive securities (consisting primarily of warrants, stock options and RSUs calculated using the treasury stock method) are excluded from the diluted EPS computation in loss periods and when their effect would be anti-dilutive.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INSEEGO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76" w:before="180" w:after="180"/>
        <w:jc w:val="left"/>
        <w:rPr>
          <w:rFonts w:ascii="Times New Roman;serif" w:hAnsi="Times New Roman;serif"/>
          <w:b w:val="false"/>
          <w:color w:val="000000"/>
          <w:sz w:val="20"/>
        </w:rPr>
      </w:pPr>
      <w:r>
        <w:rPr>
          <w:rFonts w:ascii="Times New Roman;serif" w:hAnsi="Times New Roman;serif"/>
          <w:b w:val="false"/>
          <w:color w:val="000000"/>
          <w:sz w:val="20"/>
        </w:rPr>
        <w:t>The calculation of basic and diluted EPS was as follows (in thousands, except per share data):</w:t>
      </w:r>
    </w:p>
    <w:tbl>
      <w:tblPr>
        <w:tblW w:w="10205" w:type="dxa"/>
        <w:jc w:val="left"/>
        <w:tblInd w:w="0" w:type="dxa"/>
        <w:tblLayout w:type="fixed"/>
        <w:tblCellMar>
          <w:top w:w="28" w:type="dxa"/>
          <w:left w:w="28" w:type="dxa"/>
          <w:bottom w:w="28" w:type="dxa"/>
          <w:right w:w="28" w:type="dxa"/>
        </w:tblCellMar>
      </w:tblPr>
      <w:tblGrid>
        <w:gridCol w:w="1981"/>
        <w:gridCol w:w="1735"/>
        <w:gridCol w:w="1742"/>
        <w:gridCol w:w="227"/>
        <w:gridCol w:w="837"/>
        <w:gridCol w:w="126"/>
        <w:gridCol w:w="109"/>
        <w:gridCol w:w="109"/>
        <w:gridCol w:w="109"/>
        <w:gridCol w:w="413"/>
        <w:gridCol w:w="413"/>
        <w:gridCol w:w="415"/>
        <w:gridCol w:w="109"/>
        <w:gridCol w:w="109"/>
        <w:gridCol w:w="109"/>
        <w:gridCol w:w="386"/>
        <w:gridCol w:w="968"/>
        <w:gridCol w:w="308"/>
      </w:tblGrid>
      <w:tr>
        <w:trPr/>
        <w:tc>
          <w:tcPr>
            <w:tcW w:w="1981"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c>
          <w:tcPr>
            <w:tcW w:w="1742"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r>
      <w:tr>
        <w:trPr/>
        <w:tc>
          <w:tcPr>
            <w:tcW w:w="5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Income/(Loss)</w:t>
              <w:br/>
              <w:t>(Numerator)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br/>
              <w:t>(Denominator)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Per-Share Amount*</w:t>
            </w:r>
          </w:p>
        </w:tc>
      </w:tr>
      <w:tr>
        <w:trPr/>
        <w:tc>
          <w:tcPr>
            <w:tcW w:w="54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For the three months ended June 30, 2026</w:t>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Basic and Diluted EPS</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(8,438)</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preferred stock dividends</w:t>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continuing operations attributable to common stockholders</w:t>
            </w:r>
          </w:p>
        </w:tc>
        <w:tc>
          <w:tcPr>
            <w:tcW w:w="10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(8,438)</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16,318 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(0.52)</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discontinued operations, net of tax</w:t>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16,318 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attributable to common stockholders</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(8,438)</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16,318 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(0.52)</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2" w:type="dxa"/>
            <w:gridSpan w:val="3"/>
            <w:tcBorders/>
            <w:vAlign w:val="center"/>
          </w:tcPr>
          <w:p>
            <w:pPr>
              <w:pStyle w:val="TableContents"/>
              <w:bidi w:val="0"/>
              <w:spacing w:before="0" w:after="283"/>
              <w:jc w:val="left"/>
              <w:rPr>
                <w:sz w:val="4"/>
                <w:szCs w:val="4"/>
              </w:rPr>
            </w:pPr>
            <w:r>
              <w:rPr>
                <w:sz w:val="4"/>
                <w:szCs w:val="4"/>
              </w:rPr>
            </w:r>
          </w:p>
        </w:tc>
      </w:tr>
      <w:tr>
        <w:trPr/>
        <w:tc>
          <w:tcPr>
            <w:tcW w:w="545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2" w:type="dxa"/>
            <w:gridSpan w:val="3"/>
            <w:tcBorders/>
            <w:vAlign w:val="center"/>
          </w:tcPr>
          <w:p>
            <w:pPr>
              <w:pStyle w:val="TableContents"/>
              <w:bidi w:val="0"/>
              <w:spacing w:before="0" w:after="283"/>
              <w:jc w:val="left"/>
              <w:rPr>
                <w:sz w:val="4"/>
                <w:szCs w:val="4"/>
              </w:rPr>
            </w:pPr>
            <w:r>
              <w:rPr>
                <w:sz w:val="4"/>
                <w:szCs w:val="4"/>
              </w:rPr>
            </w:r>
          </w:p>
        </w:tc>
      </w:tr>
      <w:tr>
        <w:trPr/>
        <w:tc>
          <w:tcPr>
            <w:tcW w:w="545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2" w:type="dxa"/>
            <w:gridSpan w:val="3"/>
            <w:tcBorders/>
            <w:vAlign w:val="center"/>
          </w:tcPr>
          <w:p>
            <w:pPr>
              <w:pStyle w:val="TableContents"/>
              <w:bidi w:val="0"/>
              <w:spacing w:before="0" w:after="283"/>
              <w:jc w:val="left"/>
              <w:rPr>
                <w:sz w:val="4"/>
                <w:szCs w:val="4"/>
              </w:rPr>
            </w:pPr>
            <w:r>
              <w:rPr>
                <w:sz w:val="4"/>
                <w:szCs w:val="4"/>
              </w:rPr>
            </w:r>
          </w:p>
        </w:tc>
      </w:tr>
      <w:tr>
        <w:trPr/>
        <w:tc>
          <w:tcPr>
            <w:tcW w:w="545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2" w:type="dxa"/>
            <w:gridSpan w:val="3"/>
            <w:tcBorders/>
            <w:vAlign w:val="center"/>
          </w:tcPr>
          <w:p>
            <w:pPr>
              <w:pStyle w:val="TableContents"/>
              <w:bidi w:val="0"/>
              <w:spacing w:before="0" w:after="283"/>
              <w:jc w:val="left"/>
              <w:rPr>
                <w:sz w:val="4"/>
                <w:szCs w:val="4"/>
              </w:rPr>
            </w:pPr>
            <w:r>
              <w:rPr>
                <w:sz w:val="4"/>
                <w:szCs w:val="4"/>
              </w:rPr>
            </w:r>
          </w:p>
        </w:tc>
      </w:tr>
      <w:tr>
        <w:trPr/>
        <w:tc>
          <w:tcPr>
            <w:tcW w:w="545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2" w:type="dxa"/>
            <w:gridSpan w:val="3"/>
            <w:tcBorders/>
            <w:vAlign w:val="center"/>
          </w:tcPr>
          <w:p>
            <w:pPr>
              <w:pStyle w:val="TableContents"/>
              <w:bidi w:val="0"/>
              <w:spacing w:before="0" w:after="283"/>
              <w:jc w:val="left"/>
              <w:rPr>
                <w:sz w:val="4"/>
                <w:szCs w:val="4"/>
              </w:rPr>
            </w:pPr>
            <w:r>
              <w:rPr>
                <w:sz w:val="4"/>
                <w:szCs w:val="4"/>
              </w:rPr>
            </w:r>
          </w:p>
        </w:tc>
      </w:tr>
      <w:tr>
        <w:trPr/>
        <w:tc>
          <w:tcPr>
            <w:tcW w:w="545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2" w:type="dxa"/>
            <w:gridSpan w:val="3"/>
            <w:tcBorders/>
            <w:vAlign w:val="center"/>
          </w:tcPr>
          <w:p>
            <w:pPr>
              <w:pStyle w:val="TableContents"/>
              <w:bidi w:val="0"/>
              <w:spacing w:before="0" w:after="283"/>
              <w:jc w:val="left"/>
              <w:rPr>
                <w:sz w:val="4"/>
                <w:szCs w:val="4"/>
              </w:rPr>
            </w:pPr>
            <w:r>
              <w:rPr>
                <w:sz w:val="4"/>
                <w:szCs w:val="4"/>
              </w:rPr>
            </w:r>
          </w:p>
        </w:tc>
      </w:tr>
      <w:tr>
        <w:trPr/>
        <w:tc>
          <w:tcPr>
            <w:tcW w:w="545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2" w:type="dxa"/>
            <w:gridSpan w:val="3"/>
            <w:tcBorders/>
            <w:vAlign w:val="center"/>
          </w:tcPr>
          <w:p>
            <w:pPr>
              <w:pStyle w:val="TableContents"/>
              <w:bidi w:val="0"/>
              <w:spacing w:before="0" w:after="283"/>
              <w:jc w:val="left"/>
              <w:rPr>
                <w:sz w:val="4"/>
                <w:szCs w:val="4"/>
              </w:rPr>
            </w:pPr>
            <w:r>
              <w:rPr>
                <w:sz w:val="4"/>
                <w:szCs w:val="4"/>
              </w:rPr>
            </w:r>
          </w:p>
        </w:tc>
      </w:tr>
      <w:tr>
        <w:trPr/>
        <w:tc>
          <w:tcPr>
            <w:tcW w:w="545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2" w:type="dxa"/>
            <w:gridSpan w:val="3"/>
            <w:tcBorders/>
            <w:vAlign w:val="center"/>
          </w:tcPr>
          <w:p>
            <w:pPr>
              <w:pStyle w:val="TableContents"/>
              <w:bidi w:val="0"/>
              <w:spacing w:before="0" w:after="283"/>
              <w:jc w:val="left"/>
              <w:rPr>
                <w:sz w:val="4"/>
                <w:szCs w:val="4"/>
              </w:rPr>
            </w:pPr>
            <w:r>
              <w:rPr>
                <w:sz w:val="4"/>
                <w:szCs w:val="4"/>
              </w:rPr>
            </w:r>
          </w:p>
        </w:tc>
      </w:tr>
      <w:tr>
        <w:trPr/>
        <w:tc>
          <w:tcPr>
            <w:tcW w:w="545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2" w:type="dxa"/>
            <w:gridSpan w:val="3"/>
            <w:tcBorders/>
            <w:vAlign w:val="center"/>
          </w:tcPr>
          <w:p>
            <w:pPr>
              <w:pStyle w:val="TableContents"/>
              <w:bidi w:val="0"/>
              <w:spacing w:before="0" w:after="283"/>
              <w:jc w:val="left"/>
              <w:rPr>
                <w:sz w:val="4"/>
                <w:szCs w:val="4"/>
              </w:rPr>
            </w:pPr>
            <w:r>
              <w:rPr>
                <w:sz w:val="4"/>
                <w:szCs w:val="4"/>
              </w:rPr>
            </w:r>
          </w:p>
        </w:tc>
      </w:tr>
      <w:tr>
        <w:trPr/>
        <w:tc>
          <w:tcPr>
            <w:tcW w:w="545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2" w:type="dxa"/>
            <w:gridSpan w:val="3"/>
            <w:tcBorders/>
            <w:vAlign w:val="center"/>
          </w:tcPr>
          <w:p>
            <w:pPr>
              <w:pStyle w:val="TableContents"/>
              <w:bidi w:val="0"/>
              <w:spacing w:before="0" w:after="283"/>
              <w:jc w:val="left"/>
              <w:rPr>
                <w:sz w:val="4"/>
                <w:szCs w:val="4"/>
              </w:rPr>
            </w:pPr>
            <w:r>
              <w:rPr>
                <w:sz w:val="4"/>
                <w:szCs w:val="4"/>
              </w:rPr>
            </w:r>
          </w:p>
        </w:tc>
      </w:tr>
      <w:tr>
        <w:trPr/>
        <w:tc>
          <w:tcPr>
            <w:tcW w:w="545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2" w:type="dxa"/>
            <w:gridSpan w:val="3"/>
            <w:tcBorders/>
            <w:vAlign w:val="center"/>
          </w:tcPr>
          <w:p>
            <w:pPr>
              <w:pStyle w:val="TableContents"/>
              <w:bidi w:val="0"/>
              <w:spacing w:before="0" w:after="283"/>
              <w:jc w:val="left"/>
              <w:rPr>
                <w:sz w:val="4"/>
                <w:szCs w:val="4"/>
              </w:rPr>
            </w:pPr>
            <w:r>
              <w:rPr>
                <w:sz w:val="4"/>
                <w:szCs w:val="4"/>
              </w:rPr>
            </w:r>
          </w:p>
        </w:tc>
      </w:tr>
      <w:tr>
        <w:trPr/>
        <w:tc>
          <w:tcPr>
            <w:tcW w:w="545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2" w:type="dxa"/>
            <w:gridSpan w:val="3"/>
            <w:tcBorders/>
            <w:vAlign w:val="center"/>
          </w:tcPr>
          <w:p>
            <w:pPr>
              <w:pStyle w:val="TableContents"/>
              <w:bidi w:val="0"/>
              <w:spacing w:before="0" w:after="283"/>
              <w:jc w:val="left"/>
              <w:rPr>
                <w:sz w:val="4"/>
                <w:szCs w:val="4"/>
              </w:rPr>
            </w:pPr>
            <w:r>
              <w:rPr>
                <w:sz w:val="4"/>
                <w:szCs w:val="4"/>
              </w:rPr>
            </w:r>
          </w:p>
        </w:tc>
      </w:tr>
      <w:tr>
        <w:trPr/>
        <w:tc>
          <w:tcPr>
            <w:tcW w:w="545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2" w:type="dxa"/>
            <w:gridSpan w:val="3"/>
            <w:tcBorders/>
            <w:vAlign w:val="center"/>
          </w:tcPr>
          <w:p>
            <w:pPr>
              <w:pStyle w:val="TableContents"/>
              <w:bidi w:val="0"/>
              <w:spacing w:before="0" w:after="283"/>
              <w:jc w:val="left"/>
              <w:rPr>
                <w:sz w:val="4"/>
                <w:szCs w:val="4"/>
              </w:rPr>
            </w:pPr>
            <w:r>
              <w:rPr>
                <w:sz w:val="4"/>
                <w:szCs w:val="4"/>
              </w:rPr>
            </w:r>
          </w:p>
        </w:tc>
      </w:tr>
      <w:tr>
        <w:trPr/>
        <w:tc>
          <w:tcPr>
            <w:tcW w:w="545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2" w:type="dxa"/>
            <w:gridSpan w:val="3"/>
            <w:tcBorders/>
            <w:vAlign w:val="center"/>
          </w:tcPr>
          <w:p>
            <w:pPr>
              <w:pStyle w:val="TableContents"/>
              <w:bidi w:val="0"/>
              <w:spacing w:before="0" w:after="283"/>
              <w:jc w:val="left"/>
              <w:rPr>
                <w:sz w:val="4"/>
                <w:szCs w:val="4"/>
              </w:rPr>
            </w:pPr>
            <w:r>
              <w:rPr>
                <w:sz w:val="4"/>
                <w:szCs w:val="4"/>
              </w:rPr>
            </w:r>
          </w:p>
        </w:tc>
      </w:tr>
      <w:tr>
        <w:trPr/>
        <w:tc>
          <w:tcPr>
            <w:tcW w:w="545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2" w:type="dxa"/>
            <w:gridSpan w:val="3"/>
            <w:tcBorders/>
            <w:vAlign w:val="center"/>
          </w:tcPr>
          <w:p>
            <w:pPr>
              <w:pStyle w:val="TableContents"/>
              <w:bidi w:val="0"/>
              <w:spacing w:before="0" w:after="283"/>
              <w:jc w:val="left"/>
              <w:rPr>
                <w:sz w:val="4"/>
                <w:szCs w:val="4"/>
              </w:rPr>
            </w:pPr>
            <w:r>
              <w:rPr>
                <w:sz w:val="4"/>
                <w:szCs w:val="4"/>
              </w:rPr>
            </w:r>
          </w:p>
        </w:tc>
      </w:tr>
      <w:tr>
        <w:trPr/>
        <w:tc>
          <w:tcPr>
            <w:tcW w:w="545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2" w:type="dxa"/>
            <w:gridSpan w:val="3"/>
            <w:tcBorders/>
            <w:vAlign w:val="center"/>
          </w:tcPr>
          <w:p>
            <w:pPr>
              <w:pStyle w:val="TableContents"/>
              <w:bidi w:val="0"/>
              <w:spacing w:before="0" w:after="283"/>
              <w:jc w:val="left"/>
              <w:rPr>
                <w:sz w:val="4"/>
                <w:szCs w:val="4"/>
              </w:rPr>
            </w:pPr>
            <w:r>
              <w:rPr>
                <w:sz w:val="4"/>
                <w:szCs w:val="4"/>
              </w:rPr>
            </w:r>
          </w:p>
        </w:tc>
      </w:tr>
      <w:tr>
        <w:trPr/>
        <w:tc>
          <w:tcPr>
            <w:tcW w:w="545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2" w:type="dxa"/>
            <w:gridSpan w:val="3"/>
            <w:tcBorders/>
            <w:vAlign w:val="center"/>
          </w:tcPr>
          <w:p>
            <w:pPr>
              <w:pStyle w:val="TableContents"/>
              <w:bidi w:val="0"/>
              <w:spacing w:before="0" w:after="283"/>
              <w:jc w:val="left"/>
              <w:rPr>
                <w:sz w:val="4"/>
                <w:szCs w:val="4"/>
              </w:rPr>
            </w:pPr>
            <w:r>
              <w:rPr>
                <w:sz w:val="4"/>
                <w:szCs w:val="4"/>
              </w:rPr>
            </w:r>
          </w:p>
        </w:tc>
      </w:tr>
      <w:tr>
        <w:trPr/>
        <w:tc>
          <w:tcPr>
            <w:tcW w:w="545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2" w:type="dxa"/>
            <w:gridSpan w:val="3"/>
            <w:tcBorders/>
            <w:vAlign w:val="center"/>
          </w:tcPr>
          <w:p>
            <w:pPr>
              <w:pStyle w:val="TableContents"/>
              <w:bidi w:val="0"/>
              <w:spacing w:before="0" w:after="283"/>
              <w:jc w:val="left"/>
              <w:rPr>
                <w:sz w:val="4"/>
                <w:szCs w:val="4"/>
              </w:rPr>
            </w:pPr>
            <w:r>
              <w:rPr>
                <w:sz w:val="4"/>
                <w:szCs w:val="4"/>
              </w:rPr>
            </w:r>
          </w:p>
        </w:tc>
      </w:tr>
      <w:tr>
        <w:trPr/>
        <w:tc>
          <w:tcPr>
            <w:tcW w:w="5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For the three months ended June 30, 2025</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Basic and Diluted EPS</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continuing operations</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preferred stock dividends</w:t>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(883)</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continuing operations attributable to common stockholders</w:t>
            </w:r>
          </w:p>
        </w:tc>
        <w:tc>
          <w:tcPr>
            <w:tcW w:w="10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15,024 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discontinued operations, net of tax</w:t>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15,024 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attributable to common stockholders</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15,024 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2" w:type="dxa"/>
            <w:gridSpan w:val="3"/>
            <w:tcBorders/>
            <w:vAlign w:val="center"/>
          </w:tcPr>
          <w:p>
            <w:pPr>
              <w:pStyle w:val="TableContents"/>
              <w:bidi w:val="0"/>
              <w:spacing w:before="0" w:after="283"/>
              <w:jc w:val="left"/>
              <w:rPr>
                <w:sz w:val="4"/>
                <w:szCs w:val="4"/>
              </w:rPr>
            </w:pPr>
            <w:r>
              <w:rPr>
                <w:sz w:val="4"/>
                <w:szCs w:val="4"/>
              </w:rPr>
            </w:r>
          </w:p>
        </w:tc>
      </w:tr>
      <w:tr>
        <w:trPr/>
        <w:tc>
          <w:tcPr>
            <w:tcW w:w="545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2" w:type="dxa"/>
            <w:gridSpan w:val="3"/>
            <w:tcBorders/>
            <w:vAlign w:val="center"/>
          </w:tcPr>
          <w:p>
            <w:pPr>
              <w:pStyle w:val="TableContents"/>
              <w:bidi w:val="0"/>
              <w:spacing w:before="0" w:after="283"/>
              <w:jc w:val="left"/>
              <w:rPr>
                <w:sz w:val="4"/>
                <w:szCs w:val="4"/>
              </w:rPr>
            </w:pPr>
            <w:r>
              <w:rPr>
                <w:sz w:val="4"/>
                <w:szCs w:val="4"/>
              </w:rPr>
            </w:r>
          </w:p>
        </w:tc>
      </w:tr>
      <w:tr>
        <w:trPr/>
        <w:tc>
          <w:tcPr>
            <w:tcW w:w="545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2" w:type="dxa"/>
            <w:gridSpan w:val="3"/>
            <w:tcBorders/>
            <w:vAlign w:val="center"/>
          </w:tcPr>
          <w:p>
            <w:pPr>
              <w:pStyle w:val="TableContents"/>
              <w:bidi w:val="0"/>
              <w:spacing w:before="0" w:after="283"/>
              <w:jc w:val="left"/>
              <w:rPr>
                <w:sz w:val="4"/>
                <w:szCs w:val="4"/>
              </w:rPr>
            </w:pPr>
            <w:r>
              <w:rPr>
                <w:sz w:val="4"/>
                <w:szCs w:val="4"/>
              </w:rPr>
            </w:r>
          </w:p>
        </w:tc>
      </w:tr>
      <w:tr>
        <w:trPr/>
        <w:tc>
          <w:tcPr>
            <w:tcW w:w="545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2" w:type="dxa"/>
            <w:gridSpan w:val="3"/>
            <w:tcBorders/>
            <w:vAlign w:val="center"/>
          </w:tcPr>
          <w:p>
            <w:pPr>
              <w:pStyle w:val="TableContents"/>
              <w:bidi w:val="0"/>
              <w:spacing w:before="0" w:after="283"/>
              <w:jc w:val="left"/>
              <w:rPr>
                <w:sz w:val="4"/>
                <w:szCs w:val="4"/>
              </w:rPr>
            </w:pPr>
            <w:r>
              <w:rPr>
                <w:sz w:val="4"/>
                <w:szCs w:val="4"/>
              </w:rPr>
            </w:r>
          </w:p>
        </w:tc>
      </w:tr>
      <w:tr>
        <w:trPr/>
        <w:tc>
          <w:tcPr>
            <w:tcW w:w="545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2" w:type="dxa"/>
            <w:gridSpan w:val="3"/>
            <w:tcBorders/>
            <w:vAlign w:val="center"/>
          </w:tcPr>
          <w:p>
            <w:pPr>
              <w:pStyle w:val="TableContents"/>
              <w:bidi w:val="0"/>
              <w:spacing w:before="0" w:after="283"/>
              <w:jc w:val="left"/>
              <w:rPr>
                <w:sz w:val="4"/>
                <w:szCs w:val="4"/>
              </w:rPr>
            </w:pPr>
            <w:r>
              <w:rPr>
                <w:sz w:val="4"/>
                <w:szCs w:val="4"/>
              </w:rPr>
            </w:r>
          </w:p>
        </w:tc>
      </w:tr>
      <w:tr>
        <w:trPr/>
        <w:tc>
          <w:tcPr>
            <w:tcW w:w="545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2" w:type="dxa"/>
            <w:gridSpan w:val="3"/>
            <w:tcBorders/>
            <w:vAlign w:val="center"/>
          </w:tcPr>
          <w:p>
            <w:pPr>
              <w:pStyle w:val="TableContents"/>
              <w:bidi w:val="0"/>
              <w:spacing w:before="0" w:after="283"/>
              <w:jc w:val="left"/>
              <w:rPr>
                <w:sz w:val="4"/>
                <w:szCs w:val="4"/>
              </w:rPr>
            </w:pPr>
            <w:r>
              <w:rPr>
                <w:sz w:val="4"/>
                <w:szCs w:val="4"/>
              </w:rPr>
            </w:r>
          </w:p>
        </w:tc>
      </w:tr>
      <w:tr>
        <w:trPr/>
        <w:tc>
          <w:tcPr>
            <w:tcW w:w="545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2" w:type="dxa"/>
            <w:gridSpan w:val="3"/>
            <w:tcBorders/>
            <w:vAlign w:val="center"/>
          </w:tcPr>
          <w:p>
            <w:pPr>
              <w:pStyle w:val="TableContents"/>
              <w:bidi w:val="0"/>
              <w:spacing w:before="0" w:after="283"/>
              <w:jc w:val="left"/>
              <w:rPr>
                <w:sz w:val="4"/>
                <w:szCs w:val="4"/>
              </w:rPr>
            </w:pPr>
            <w:r>
              <w:rPr>
                <w:sz w:val="4"/>
                <w:szCs w:val="4"/>
              </w:rPr>
            </w:r>
          </w:p>
        </w:tc>
      </w:tr>
      <w:tr>
        <w:trPr/>
        <w:tc>
          <w:tcPr>
            <w:tcW w:w="545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2" w:type="dxa"/>
            <w:gridSpan w:val="3"/>
            <w:tcBorders/>
            <w:vAlign w:val="center"/>
          </w:tcPr>
          <w:p>
            <w:pPr>
              <w:pStyle w:val="TableContents"/>
              <w:bidi w:val="0"/>
              <w:spacing w:before="0" w:after="283"/>
              <w:jc w:val="left"/>
              <w:rPr>
                <w:sz w:val="4"/>
                <w:szCs w:val="4"/>
              </w:rPr>
            </w:pPr>
            <w:r>
              <w:rPr>
                <w:sz w:val="4"/>
                <w:szCs w:val="4"/>
              </w:rPr>
            </w:r>
          </w:p>
        </w:tc>
      </w:tr>
      <w:tr>
        <w:trPr/>
        <w:tc>
          <w:tcPr>
            <w:tcW w:w="545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2" w:type="dxa"/>
            <w:gridSpan w:val="3"/>
            <w:tcBorders/>
            <w:vAlign w:val="center"/>
          </w:tcPr>
          <w:p>
            <w:pPr>
              <w:pStyle w:val="TableContents"/>
              <w:bidi w:val="0"/>
              <w:spacing w:before="0" w:after="283"/>
              <w:jc w:val="left"/>
              <w:rPr>
                <w:sz w:val="4"/>
                <w:szCs w:val="4"/>
              </w:rPr>
            </w:pPr>
            <w:r>
              <w:rPr>
                <w:sz w:val="4"/>
                <w:szCs w:val="4"/>
              </w:rPr>
            </w:r>
          </w:p>
        </w:tc>
      </w:tr>
      <w:tr>
        <w:trPr/>
        <w:tc>
          <w:tcPr>
            <w:tcW w:w="545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2" w:type="dxa"/>
            <w:gridSpan w:val="3"/>
            <w:tcBorders/>
            <w:vAlign w:val="center"/>
          </w:tcPr>
          <w:p>
            <w:pPr>
              <w:pStyle w:val="TableContents"/>
              <w:bidi w:val="0"/>
              <w:spacing w:before="0" w:after="283"/>
              <w:jc w:val="left"/>
              <w:rPr>
                <w:sz w:val="4"/>
                <w:szCs w:val="4"/>
              </w:rPr>
            </w:pPr>
            <w:r>
              <w:rPr>
                <w:sz w:val="4"/>
                <w:szCs w:val="4"/>
              </w:rPr>
            </w:r>
          </w:p>
        </w:tc>
      </w:tr>
      <w:tr>
        <w:trPr/>
        <w:tc>
          <w:tcPr>
            <w:tcW w:w="545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2" w:type="dxa"/>
            <w:gridSpan w:val="3"/>
            <w:tcBorders/>
            <w:vAlign w:val="center"/>
          </w:tcPr>
          <w:p>
            <w:pPr>
              <w:pStyle w:val="TableContents"/>
              <w:bidi w:val="0"/>
              <w:spacing w:before="0" w:after="283"/>
              <w:jc w:val="left"/>
              <w:rPr>
                <w:sz w:val="4"/>
                <w:szCs w:val="4"/>
              </w:rPr>
            </w:pPr>
            <w:r>
              <w:rPr>
                <w:sz w:val="4"/>
                <w:szCs w:val="4"/>
              </w:rPr>
            </w:r>
          </w:p>
        </w:tc>
      </w:tr>
      <w:tr>
        <w:trPr/>
        <w:tc>
          <w:tcPr>
            <w:tcW w:w="545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2" w:type="dxa"/>
            <w:gridSpan w:val="3"/>
            <w:tcBorders/>
            <w:vAlign w:val="center"/>
          </w:tcPr>
          <w:p>
            <w:pPr>
              <w:pStyle w:val="TableContents"/>
              <w:bidi w:val="0"/>
              <w:spacing w:before="0" w:after="283"/>
              <w:jc w:val="left"/>
              <w:rPr>
                <w:sz w:val="4"/>
                <w:szCs w:val="4"/>
              </w:rPr>
            </w:pPr>
            <w:r>
              <w:rPr>
                <w:sz w:val="4"/>
                <w:szCs w:val="4"/>
              </w:rPr>
            </w:r>
          </w:p>
        </w:tc>
      </w:tr>
      <w:tr>
        <w:trPr/>
        <w:tc>
          <w:tcPr>
            <w:tcW w:w="545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2" w:type="dxa"/>
            <w:gridSpan w:val="3"/>
            <w:tcBorders/>
            <w:vAlign w:val="center"/>
          </w:tcPr>
          <w:p>
            <w:pPr>
              <w:pStyle w:val="TableContents"/>
              <w:bidi w:val="0"/>
              <w:spacing w:before="0" w:after="283"/>
              <w:jc w:val="left"/>
              <w:rPr>
                <w:sz w:val="4"/>
                <w:szCs w:val="4"/>
              </w:rPr>
            </w:pPr>
            <w:r>
              <w:rPr>
                <w:sz w:val="4"/>
                <w:szCs w:val="4"/>
              </w:rPr>
            </w:r>
          </w:p>
        </w:tc>
      </w:tr>
      <w:tr>
        <w:trPr/>
        <w:tc>
          <w:tcPr>
            <w:tcW w:w="545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2" w:type="dxa"/>
            <w:gridSpan w:val="3"/>
            <w:tcBorders/>
            <w:vAlign w:val="center"/>
          </w:tcPr>
          <w:p>
            <w:pPr>
              <w:pStyle w:val="TableContents"/>
              <w:bidi w:val="0"/>
              <w:spacing w:before="0" w:after="283"/>
              <w:jc w:val="left"/>
              <w:rPr>
                <w:sz w:val="4"/>
                <w:szCs w:val="4"/>
              </w:rPr>
            </w:pPr>
            <w:r>
              <w:rPr>
                <w:sz w:val="4"/>
                <w:szCs w:val="4"/>
              </w:rPr>
            </w:r>
          </w:p>
        </w:tc>
      </w:tr>
      <w:tr>
        <w:trPr/>
        <w:tc>
          <w:tcPr>
            <w:tcW w:w="545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2" w:type="dxa"/>
            <w:gridSpan w:val="3"/>
            <w:tcBorders/>
            <w:vAlign w:val="center"/>
          </w:tcPr>
          <w:p>
            <w:pPr>
              <w:pStyle w:val="TableContents"/>
              <w:bidi w:val="0"/>
              <w:spacing w:before="0" w:after="283"/>
              <w:jc w:val="left"/>
              <w:rPr>
                <w:sz w:val="4"/>
                <w:szCs w:val="4"/>
              </w:rPr>
            </w:pPr>
            <w:r>
              <w:rPr>
                <w:sz w:val="4"/>
                <w:szCs w:val="4"/>
              </w:rPr>
            </w:r>
          </w:p>
        </w:tc>
      </w:tr>
      <w:tr>
        <w:trPr/>
        <w:tc>
          <w:tcPr>
            <w:tcW w:w="545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2" w:type="dxa"/>
            <w:gridSpan w:val="3"/>
            <w:tcBorders/>
            <w:vAlign w:val="center"/>
          </w:tcPr>
          <w:p>
            <w:pPr>
              <w:pStyle w:val="TableContents"/>
              <w:bidi w:val="0"/>
              <w:spacing w:before="0" w:after="283"/>
              <w:jc w:val="left"/>
              <w:rPr>
                <w:sz w:val="4"/>
                <w:szCs w:val="4"/>
              </w:rPr>
            </w:pPr>
            <w:r>
              <w:rPr>
                <w:sz w:val="4"/>
                <w:szCs w:val="4"/>
              </w:rPr>
            </w:r>
          </w:p>
        </w:tc>
      </w:tr>
      <w:tr>
        <w:trPr/>
        <w:tc>
          <w:tcPr>
            <w:tcW w:w="545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2" w:type="dxa"/>
            <w:gridSpan w:val="3"/>
            <w:tcBorders/>
            <w:vAlign w:val="center"/>
          </w:tcPr>
          <w:p>
            <w:pPr>
              <w:pStyle w:val="TableContents"/>
              <w:bidi w:val="0"/>
              <w:spacing w:before="0" w:after="283"/>
              <w:jc w:val="left"/>
              <w:rPr>
                <w:sz w:val="4"/>
                <w:szCs w:val="4"/>
              </w:rPr>
            </w:pPr>
            <w:r>
              <w:rPr>
                <w:sz w:val="4"/>
                <w:szCs w:val="4"/>
              </w:rPr>
            </w:r>
          </w:p>
        </w:tc>
      </w:tr>
      <w:tr>
        <w:trPr/>
        <w:tc>
          <w:tcPr>
            <w:tcW w:w="545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2" w:type="dxa"/>
            <w:gridSpan w:val="3"/>
            <w:tcBorders/>
            <w:vAlign w:val="center"/>
          </w:tcPr>
          <w:p>
            <w:pPr>
              <w:pStyle w:val="TableContents"/>
              <w:bidi w:val="0"/>
              <w:spacing w:before="0" w:after="283"/>
              <w:jc w:val="left"/>
              <w:rPr>
                <w:sz w:val="4"/>
                <w:szCs w:val="4"/>
              </w:rPr>
            </w:pPr>
            <w:r>
              <w:rPr>
                <w:sz w:val="4"/>
                <w:szCs w:val="4"/>
              </w:rPr>
            </w:r>
          </w:p>
        </w:tc>
      </w:tr>
      <w:tr>
        <w:trPr/>
        <w:tc>
          <w:tcPr>
            <w:tcW w:w="5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For the six months ended June 30, 2026</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Basic EPS</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(12,974)</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preferred stock dividends</w:t>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 preferred stock exchange deemed contribution</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15,100 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continuing operations attributable to common stockholders</w:t>
            </w:r>
          </w:p>
        </w:tc>
        <w:tc>
          <w:tcPr>
            <w:tcW w:w="10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16,206 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0.13 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discontinued operations, net of tax</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16,206 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attributable to common stockholders</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16,206 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0.13 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18"/>
              </w:rPr>
              <w:t xml:space="preserve">Diluted EPS </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Income (loss) attributable to common stockholders </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16,206 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Effect of dilutive stock options and unvested restricted stock </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Effect of common stock warrants </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2" w:type="dxa"/>
            <w:gridSpan w:val="3"/>
            <w:tcBorders/>
            <w:vAlign w:val="center"/>
          </w:tcPr>
          <w:p>
            <w:pPr>
              <w:pStyle w:val="TableContents"/>
              <w:bidi w:val="0"/>
              <w:spacing w:before="0" w:after="283"/>
              <w:jc w:val="left"/>
              <w:rPr>
                <w:sz w:val="4"/>
                <w:szCs w:val="4"/>
              </w:rPr>
            </w:pPr>
            <w:r>
              <w:rPr>
                <w:sz w:val="4"/>
                <w:szCs w:val="4"/>
              </w:rPr>
            </w:r>
          </w:p>
        </w:tc>
      </w:tr>
      <w:tr>
        <w:trPr/>
        <w:tc>
          <w:tcPr>
            <w:tcW w:w="54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Diluted EPS</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16,672 </w:t>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0.13 </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2" w:type="dxa"/>
            <w:gridSpan w:val="3"/>
            <w:tcBorders/>
            <w:vAlign w:val="center"/>
          </w:tcPr>
          <w:p>
            <w:pPr>
              <w:pStyle w:val="TableContents"/>
              <w:bidi w:val="0"/>
              <w:spacing w:before="0" w:after="283"/>
              <w:jc w:val="left"/>
              <w:rPr>
                <w:sz w:val="4"/>
                <w:szCs w:val="4"/>
              </w:rPr>
            </w:pPr>
            <w:r>
              <w:rPr>
                <w:sz w:val="4"/>
                <w:szCs w:val="4"/>
              </w:rPr>
            </w:r>
          </w:p>
        </w:tc>
      </w:tr>
      <w:tr>
        <w:trPr/>
        <w:tc>
          <w:tcPr>
            <w:tcW w:w="545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2" w:type="dxa"/>
            <w:gridSpan w:val="3"/>
            <w:tcBorders/>
            <w:vAlign w:val="center"/>
          </w:tcPr>
          <w:p>
            <w:pPr>
              <w:pStyle w:val="TableContents"/>
              <w:bidi w:val="0"/>
              <w:spacing w:before="0" w:after="283"/>
              <w:jc w:val="left"/>
              <w:rPr>
                <w:sz w:val="4"/>
                <w:szCs w:val="4"/>
              </w:rPr>
            </w:pPr>
            <w:r>
              <w:rPr>
                <w:sz w:val="4"/>
                <w:szCs w:val="4"/>
              </w:rPr>
            </w:r>
          </w:p>
        </w:tc>
      </w:tr>
      <w:tr>
        <w:trPr/>
        <w:tc>
          <w:tcPr>
            <w:tcW w:w="545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2" w:type="dxa"/>
            <w:gridSpan w:val="3"/>
            <w:tcBorders/>
            <w:vAlign w:val="center"/>
          </w:tcPr>
          <w:p>
            <w:pPr>
              <w:pStyle w:val="TableContents"/>
              <w:bidi w:val="0"/>
              <w:spacing w:before="0" w:after="283"/>
              <w:jc w:val="left"/>
              <w:rPr>
                <w:sz w:val="4"/>
                <w:szCs w:val="4"/>
              </w:rPr>
            </w:pPr>
            <w:r>
              <w:rPr>
                <w:sz w:val="4"/>
                <w:szCs w:val="4"/>
              </w:rPr>
            </w:r>
          </w:p>
        </w:tc>
      </w:tr>
      <w:tr>
        <w:trPr/>
        <w:tc>
          <w:tcPr>
            <w:tcW w:w="545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2" w:type="dxa"/>
            <w:gridSpan w:val="3"/>
            <w:tcBorders/>
            <w:vAlign w:val="center"/>
          </w:tcPr>
          <w:p>
            <w:pPr>
              <w:pStyle w:val="TableContents"/>
              <w:bidi w:val="0"/>
              <w:spacing w:before="0" w:after="283"/>
              <w:jc w:val="left"/>
              <w:rPr>
                <w:sz w:val="4"/>
                <w:szCs w:val="4"/>
              </w:rPr>
            </w:pPr>
            <w:r>
              <w:rPr>
                <w:sz w:val="4"/>
                <w:szCs w:val="4"/>
              </w:rPr>
            </w:r>
          </w:p>
        </w:tc>
      </w:tr>
      <w:tr>
        <w:trPr/>
        <w:tc>
          <w:tcPr>
            <w:tcW w:w="545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2" w:type="dxa"/>
            <w:gridSpan w:val="3"/>
            <w:tcBorders/>
            <w:vAlign w:val="center"/>
          </w:tcPr>
          <w:p>
            <w:pPr>
              <w:pStyle w:val="TableContents"/>
              <w:bidi w:val="0"/>
              <w:spacing w:before="0" w:after="283"/>
              <w:jc w:val="left"/>
              <w:rPr>
                <w:sz w:val="4"/>
                <w:szCs w:val="4"/>
              </w:rPr>
            </w:pPr>
            <w:r>
              <w:rPr>
                <w:sz w:val="4"/>
                <w:szCs w:val="4"/>
              </w:rPr>
            </w:r>
          </w:p>
        </w:tc>
      </w:tr>
      <w:tr>
        <w:trPr/>
        <w:tc>
          <w:tcPr>
            <w:tcW w:w="545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2" w:type="dxa"/>
            <w:gridSpan w:val="3"/>
            <w:tcBorders/>
            <w:vAlign w:val="center"/>
          </w:tcPr>
          <w:p>
            <w:pPr>
              <w:pStyle w:val="TableContents"/>
              <w:bidi w:val="0"/>
              <w:spacing w:before="0" w:after="283"/>
              <w:jc w:val="left"/>
              <w:rPr>
                <w:sz w:val="4"/>
                <w:szCs w:val="4"/>
              </w:rPr>
            </w:pPr>
            <w:r>
              <w:rPr>
                <w:sz w:val="4"/>
                <w:szCs w:val="4"/>
              </w:rPr>
            </w:r>
          </w:p>
        </w:tc>
      </w:tr>
      <w:tr>
        <w:trPr/>
        <w:tc>
          <w:tcPr>
            <w:tcW w:w="545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2" w:type="dxa"/>
            <w:gridSpan w:val="3"/>
            <w:tcBorders/>
            <w:vAlign w:val="center"/>
          </w:tcPr>
          <w:p>
            <w:pPr>
              <w:pStyle w:val="TableContents"/>
              <w:bidi w:val="0"/>
              <w:spacing w:before="0" w:after="283"/>
              <w:jc w:val="left"/>
              <w:rPr>
                <w:sz w:val="4"/>
                <w:szCs w:val="4"/>
              </w:rPr>
            </w:pPr>
            <w:r>
              <w:rPr>
                <w:sz w:val="4"/>
                <w:szCs w:val="4"/>
              </w:rPr>
            </w:r>
          </w:p>
        </w:tc>
      </w:tr>
      <w:tr>
        <w:trPr/>
        <w:tc>
          <w:tcPr>
            <w:tcW w:w="545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2" w:type="dxa"/>
            <w:gridSpan w:val="3"/>
            <w:tcBorders/>
            <w:vAlign w:val="center"/>
          </w:tcPr>
          <w:p>
            <w:pPr>
              <w:pStyle w:val="TableContents"/>
              <w:bidi w:val="0"/>
              <w:spacing w:before="0" w:after="283"/>
              <w:jc w:val="left"/>
              <w:rPr>
                <w:sz w:val="4"/>
                <w:szCs w:val="4"/>
              </w:rPr>
            </w:pPr>
            <w:r>
              <w:rPr>
                <w:sz w:val="4"/>
                <w:szCs w:val="4"/>
              </w:rPr>
            </w:r>
          </w:p>
        </w:tc>
      </w:tr>
      <w:tr>
        <w:trPr/>
        <w:tc>
          <w:tcPr>
            <w:tcW w:w="545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2" w:type="dxa"/>
            <w:gridSpan w:val="3"/>
            <w:tcBorders/>
            <w:vAlign w:val="center"/>
          </w:tcPr>
          <w:p>
            <w:pPr>
              <w:pStyle w:val="TableContents"/>
              <w:bidi w:val="0"/>
              <w:spacing w:before="0" w:after="283"/>
              <w:jc w:val="left"/>
              <w:rPr>
                <w:sz w:val="4"/>
                <w:szCs w:val="4"/>
              </w:rPr>
            </w:pPr>
            <w:r>
              <w:rPr>
                <w:sz w:val="4"/>
                <w:szCs w:val="4"/>
              </w:rPr>
            </w:r>
          </w:p>
        </w:tc>
      </w:tr>
      <w:tr>
        <w:trPr/>
        <w:tc>
          <w:tcPr>
            <w:tcW w:w="545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2" w:type="dxa"/>
            <w:gridSpan w:val="3"/>
            <w:tcBorders/>
            <w:vAlign w:val="center"/>
          </w:tcPr>
          <w:p>
            <w:pPr>
              <w:pStyle w:val="TableContents"/>
              <w:bidi w:val="0"/>
              <w:spacing w:before="0" w:after="283"/>
              <w:jc w:val="left"/>
              <w:rPr>
                <w:sz w:val="4"/>
                <w:szCs w:val="4"/>
              </w:rPr>
            </w:pPr>
            <w:r>
              <w:rPr>
                <w:sz w:val="4"/>
                <w:szCs w:val="4"/>
              </w:rPr>
            </w:r>
          </w:p>
        </w:tc>
      </w:tr>
      <w:tr>
        <w:trPr/>
        <w:tc>
          <w:tcPr>
            <w:tcW w:w="545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2" w:type="dxa"/>
            <w:gridSpan w:val="3"/>
            <w:tcBorders/>
            <w:vAlign w:val="center"/>
          </w:tcPr>
          <w:p>
            <w:pPr>
              <w:pStyle w:val="TableContents"/>
              <w:bidi w:val="0"/>
              <w:spacing w:before="0" w:after="283"/>
              <w:jc w:val="left"/>
              <w:rPr>
                <w:sz w:val="4"/>
                <w:szCs w:val="4"/>
              </w:rPr>
            </w:pPr>
            <w:r>
              <w:rPr>
                <w:sz w:val="4"/>
                <w:szCs w:val="4"/>
              </w:rPr>
            </w:r>
          </w:p>
        </w:tc>
      </w:tr>
      <w:tr>
        <w:trPr/>
        <w:tc>
          <w:tcPr>
            <w:tcW w:w="545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2" w:type="dxa"/>
            <w:gridSpan w:val="3"/>
            <w:tcBorders/>
            <w:vAlign w:val="center"/>
          </w:tcPr>
          <w:p>
            <w:pPr>
              <w:pStyle w:val="TableContents"/>
              <w:bidi w:val="0"/>
              <w:spacing w:before="0" w:after="283"/>
              <w:jc w:val="left"/>
              <w:rPr>
                <w:sz w:val="4"/>
                <w:szCs w:val="4"/>
              </w:rPr>
            </w:pPr>
            <w:r>
              <w:rPr>
                <w:sz w:val="4"/>
                <w:szCs w:val="4"/>
              </w:rPr>
            </w:r>
          </w:p>
        </w:tc>
      </w:tr>
      <w:tr>
        <w:trPr/>
        <w:tc>
          <w:tcPr>
            <w:tcW w:w="5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For the six months ended June 30, 2025</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Basic and Diluted EPS</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continuing operations</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(663)</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preferred stock dividends</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(1,747)</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2" w:type="dxa"/>
            <w:gridSpan w:val="3"/>
            <w:tcBorders/>
            <w:vAlign w:val="center"/>
          </w:tcPr>
          <w:p>
            <w:pPr>
              <w:pStyle w:val="TableContents"/>
              <w:bidi w:val="0"/>
              <w:spacing w:before="0" w:after="283"/>
              <w:jc w:val="left"/>
              <w:rPr>
                <w:sz w:val="4"/>
                <w:szCs w:val="4"/>
              </w:rPr>
            </w:pPr>
            <w:r>
              <w:rPr>
                <w:sz w:val="4"/>
                <w:szCs w:val="4"/>
              </w:rPr>
            </w:r>
          </w:p>
        </w:tc>
      </w:tr>
      <w:tr>
        <w:trPr/>
        <w:tc>
          <w:tcPr>
            <w:tcW w:w="54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continuing operations attributable to common stockholders</w:t>
            </w:r>
          </w:p>
        </w:tc>
        <w:tc>
          <w:tcPr>
            <w:tcW w:w="10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(2,410)</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15,013 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(0.16)</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discontinued operations, net of tax</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15,013 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attributable to common stockholders</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(2,810)</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15,013 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(0.19)</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60" w:after="60"/>
        <w:jc w:val="left"/>
        <w:rPr>
          <w:rFonts w:ascii="Times New Roman;serif" w:hAnsi="Times New Roman;serif"/>
          <w:b w:val="false"/>
          <w:color w:val="000000"/>
          <w:sz w:val="16"/>
        </w:rPr>
      </w:pPr>
      <w:r>
        <w:rPr>
          <w:rFonts w:ascii="Times New Roman;serif" w:hAnsi="Times New Roman;serif"/>
          <w:b w:val="false"/>
          <w:color w:val="000000"/>
          <w:sz w:val="16"/>
        </w:rPr>
        <w:t>(*) Rounding may affect summation.</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is a summary of outstanding anti-dilutive potential shares of common stock that have been excluded from diluted net loss per share attributable to common stockholders because their inclusion would have been anti-dilutive (in thousands):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INSEEGO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tbl>
      <w:tblPr>
        <w:tblW w:w="6542" w:type="dxa"/>
        <w:jc w:val="left"/>
        <w:tblInd w:w="0" w:type="dxa"/>
        <w:tblLayout w:type="fixed"/>
        <w:tblCellMar>
          <w:top w:w="28" w:type="dxa"/>
          <w:left w:w="28" w:type="dxa"/>
          <w:bottom w:w="28" w:type="dxa"/>
          <w:right w:w="28" w:type="dxa"/>
        </w:tblCellMar>
      </w:tblPr>
      <w:tblGrid>
        <w:gridCol w:w="821"/>
        <w:gridCol w:w="719"/>
        <w:gridCol w:w="725"/>
        <w:gridCol w:w="278"/>
        <w:gridCol w:w="278"/>
        <w:gridCol w:w="178"/>
        <w:gridCol w:w="178"/>
        <w:gridCol w:w="178"/>
        <w:gridCol w:w="178"/>
        <w:gridCol w:w="278"/>
        <w:gridCol w:w="278"/>
        <w:gridCol w:w="178"/>
        <w:gridCol w:w="109"/>
        <w:gridCol w:w="109"/>
        <w:gridCol w:w="109"/>
        <w:gridCol w:w="278"/>
        <w:gridCol w:w="278"/>
        <w:gridCol w:w="156"/>
        <w:gridCol w:w="154"/>
        <w:gridCol w:w="154"/>
        <w:gridCol w:w="154"/>
        <w:gridCol w:w="278"/>
        <w:gridCol w:w="278"/>
        <w:gridCol w:w="218"/>
      </w:tblGrid>
      <w:tr>
        <w:trPr/>
        <w:tc>
          <w:tcPr>
            <w:tcW w:w="821"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warrants</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2,930 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3,018 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3,018 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options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1,283 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units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1,321 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Employee stock purchase plan</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Total</w:t>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6,014 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5,657 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4,050 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5,657 </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Note 7. Stockholders' Equity (Deficit)</w:t>
      </w:r>
    </w:p>
    <w:p>
      <w:pPr>
        <w:pStyle w:val="TextBody"/>
        <w:bidi w:val="0"/>
        <w:spacing w:lineRule="auto" w:line="276" w:before="180" w:after="180"/>
        <w:ind w:left="0" w:right="0" w:firstLine="450"/>
        <w:jc w:val="both"/>
        <w:rPr>
          <w:rFonts w:ascii="Times New Roman;serif" w:hAnsi="Times New Roman;serif"/>
          <w:b/>
          <w:i/>
          <w:color w:val="000000"/>
          <w:sz w:val="20"/>
        </w:rPr>
      </w:pPr>
      <w:r>
        <w:rPr>
          <w:rFonts w:ascii="Times New Roman;serif" w:hAnsi="Times New Roman;serif"/>
          <w:b/>
          <w:i/>
          <w:color w:val="000000"/>
          <w:sz w:val="20"/>
        </w:rPr>
        <w:t>Warrants</w:t>
      </w:r>
    </w:p>
    <w:p>
      <w:pPr>
        <w:pStyle w:val="TextBody"/>
        <w:bidi w:val="0"/>
        <w:spacing w:lineRule="auto" w:line="276" w:before="180" w:after="180"/>
        <w:ind w:left="0" w:right="0" w:firstLine="450"/>
        <w:jc w:val="both"/>
        <w:rPr/>
      </w:pPr>
      <w:r>
        <w:rPr>
          <w:rFonts w:ascii="Times New Roman;serif" w:hAnsi="Times New Roman;serif"/>
          <w:b w:val="false"/>
          <w:color w:val="000000"/>
          <w:sz w:val="20"/>
        </w:rPr>
        <w:t xml:space="preserve">The Company has outstanding warrants to purchase shares of its common stock that were issued in prior periods. The terms and conditions of these warrants, including exercise prices, contractual lives, and settlement provisions, are described in detail in </w:t>
      </w:r>
      <w:r>
        <w:rPr>
          <w:rFonts w:ascii="Times New Roman;serif" w:hAnsi="Times New Roman;serif"/>
          <w:b w:val="false"/>
          <w:i/>
          <w:color w:val="000000"/>
          <w:sz w:val="20"/>
        </w:rPr>
        <w:t>Note 8. Stockholders’ Equity (Deficit)</w:t>
      </w:r>
      <w:r>
        <w:rPr>
          <w:color w:val="000000"/>
        </w:rPr>
        <w:t xml:space="preserve"> </w:t>
      </w:r>
      <w:r>
        <w:rPr>
          <w:rFonts w:ascii="Times New Roman;serif" w:hAnsi="Times New Roman;serif"/>
          <w:b w:val="false"/>
          <w:color w:val="000000"/>
          <w:sz w:val="20"/>
        </w:rPr>
        <w:t>to the Company’s consolidated financial statements included in its Annual Report on Form 10</w:t>
        <w:noBreakHyphen/>
        <w:t>K for the year ended December 31, 2025.</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warrants are classified as equity instruments as they are indexed to the Company’s own stock and meet the criteria for equity classification under applicable accounting guidance. Accordingly, the warrants are not remeasured at fair value subsequent to issuance.</w:t>
      </w:r>
    </w:p>
    <w:p>
      <w:pPr>
        <w:pStyle w:val="TextBody"/>
        <w:bidi w:val="0"/>
        <w:spacing w:lineRule="auto" w:line="276"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warrant activity for the six months ended June 30, 2026 and 2025:</w:t>
      </w:r>
    </w:p>
    <w:tbl>
      <w:tblPr>
        <w:tblW w:w="8885" w:type="dxa"/>
        <w:jc w:val="left"/>
        <w:tblInd w:w="0" w:type="dxa"/>
        <w:tblLayout w:type="fixed"/>
        <w:tblCellMar>
          <w:top w:w="28" w:type="dxa"/>
          <w:left w:w="28" w:type="dxa"/>
          <w:bottom w:w="28" w:type="dxa"/>
          <w:right w:w="28" w:type="dxa"/>
        </w:tblCellMar>
      </w:tblPr>
      <w:tblGrid>
        <w:gridCol w:w="1081"/>
        <w:gridCol w:w="949"/>
        <w:gridCol w:w="954"/>
        <w:gridCol w:w="488"/>
        <w:gridCol w:w="488"/>
        <w:gridCol w:w="311"/>
        <w:gridCol w:w="109"/>
        <w:gridCol w:w="109"/>
        <w:gridCol w:w="109"/>
        <w:gridCol w:w="382"/>
        <w:gridCol w:w="1116"/>
        <w:gridCol w:w="198"/>
        <w:gridCol w:w="109"/>
        <w:gridCol w:w="109"/>
        <w:gridCol w:w="109"/>
        <w:gridCol w:w="663"/>
        <w:gridCol w:w="663"/>
        <w:gridCol w:w="938"/>
      </w:tblGrid>
      <w:tr>
        <w:trPr/>
        <w:tc>
          <w:tcPr>
            <w:tcW w:w="1081"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w:t>
              <w:br/>
              <w:t>Remaining Term (Years)</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 December 31, 2024</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3,018,304 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w:t>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64"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64"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64"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 June 30, 2025</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3,018,304 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 December 31, 2025</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2,929,770 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w:t>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64"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64"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64"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 June 30, 2026</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2,929,770 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w:t>
            </w:r>
          </w:p>
        </w:tc>
      </w:tr>
    </w:tbl>
    <w:p>
      <w:pPr>
        <w:pStyle w:val="TextBody"/>
        <w:bidi w:val="0"/>
        <w:spacing w:lineRule="auto" w:line="276" w:before="180" w:after="180"/>
        <w:ind w:left="0" w:right="0" w:firstLine="450"/>
        <w:jc w:val="left"/>
        <w:rPr>
          <w:rFonts w:ascii="Times New Roman;serif" w:hAnsi="Times New Roman;serif"/>
          <w:b/>
          <w:i/>
          <w:color w:val="000000"/>
          <w:sz w:val="20"/>
        </w:rPr>
      </w:pPr>
      <w:r>
        <w:rPr>
          <w:rFonts w:ascii="Times New Roman;serif" w:hAnsi="Times New Roman;serif"/>
          <w:b/>
          <w:i/>
          <w:color w:val="000000"/>
          <w:sz w:val="20"/>
        </w:rPr>
        <w:t>Preferred Stock</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has a total of 2,000,000 shares of preferred stock authorized for issuance at a par value of $0.001 per share, 150,000 of which have been designated Series D Preferred Stock and 39,500 of which have been designated Series E Preferred Stock. As of December 31, 2025, the Company had 25,000 shares of Series E preferred stock issued and outstanding.</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January 14, 2026 (the “Preferred Stock Exchange Closing Date”), the Company entered into an Exchange Agreement (the “Preferred Stock Exchange Agreement”) with an affiliate of Mubadala Capital (the “Preferred Stock Holder”), which held all 25,000 outstanding shares of the Company’s Series E Preferred Stock.</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Pursuant to the Preferred Stock Exchange Agreement, on the Preferred Stock Exchange Closing Date all of the outstanding shares of Series E Preferred Stock, which had a liquidation value of $42.0 million as of December 31, 2025, were surrendered and forfeited by the Preferred Stock Holder in exchange for $10.0 million in cash, one-third of which was paid on the Preferred Stock Exchange Closing Date and the balance of which will be paid in two equal installments on the six and twelve month anniversaries of the Preferred Stock Exchange Closing Date, 767,165 shares of the Company’s common stock, and $8.0 million in additional principal amount of the Company’s existing 9.0% 2029 Senior Secured Notes. The shares of common stock and 2029 Senior Secured Notes were issued to the Preferred Stock Holder on the Preferred Stock Exchange Closing Date.</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2029 Senior Secured Notes principal, common stock, and cash payable issued to the Preferred Stock Holder as part of the Preferred Stock Exchange Agreement were all recorded at cumulative fair value of $26.9 million. The 2029 Senior Secured Noted principal was determined to have a fair value of $8.9 million. The resulting $0.9 million premium is included in the value of the 2029 Senior Secured Notes on the condensed consolidated balance sheet and will be amortized over the term of the 2029 Senior Secured Notes as a reduction to interest expense. The fair value of the common stock, based on the closing price of the Company’s common stock on the issuance date, was $8.2 million and was recorded within stockholders’ equity on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INSEEGO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76" w:before="180" w:after="180"/>
        <w:jc w:val="left"/>
        <w:rPr>
          <w:rFonts w:ascii="Times New Roman;serif" w:hAnsi="Times New Roman;serif"/>
          <w:b w:val="false"/>
          <w:color w:val="000000"/>
          <w:sz w:val="20"/>
        </w:rPr>
      </w:pPr>
      <w:r>
        <w:rPr>
          <w:rFonts w:ascii="Times New Roman;serif" w:hAnsi="Times New Roman;serif"/>
          <w:b w:val="false"/>
          <w:color w:val="000000"/>
          <w:sz w:val="20"/>
        </w:rPr>
        <w:t>condensed consolidated balance sheet. The fair value of the $10.0 million cash payable was determined to be $9.7 million and was recorded initially within accrued expenses and other current liabilities on the condensed consolidated balance sheet. The $0.3 million difference between the total cash payable and its fair value will be amortized to interest expense over the 12-month total repayment period.</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total liquidation preference of the outstanding preferred stock, which was $42.0 million at the time of the Preferred Stock Exchange Closing Date, was removed from stockholder’s equity as a result of the exchange. The $15.1 million difference between the $42.0 million liquidation preference and the $26.9 million cumulative fair value of the exchange consideration was recorded as a deemed contribution within accumulated deficit on the condensed consolidated statements of stockholders’ deficit.</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Subsequent to the Preferred Stock Exchange Agreement, the Company no longer has any outstanding preferred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Times New Roman;serif" w:hAnsi="Times New Roman;serif"/>
          <w:b/>
          <w:color w:val="000000"/>
          <w:sz w:val="20"/>
        </w:rPr>
      </w:pPr>
      <w:r>
        <w:rPr>
          <w:rFonts w:ascii="Times New Roman;serif" w:hAnsi="Times New Roman;serif"/>
          <w:b/>
          <w:color w:val="000000"/>
          <w:sz w:val="20"/>
        </w:rPr>
        <w:t>Note 8. Segment, Geographic, and Concentrations of Risk Information</w:t>
      </w:r>
    </w:p>
    <w:p>
      <w:pPr>
        <w:pStyle w:val="TextBody"/>
        <w:bidi w:val="0"/>
        <w:spacing w:lineRule="auto" w:line="276" w:before="180" w:after="180"/>
        <w:jc w:val="left"/>
        <w:rPr>
          <w:rFonts w:ascii="Times New Roman;serif" w:hAnsi="Times New Roman;serif"/>
          <w:b/>
          <w:i/>
          <w:color w:val="000000"/>
          <w:sz w:val="20"/>
        </w:rPr>
      </w:pPr>
      <w:r>
        <w:rPr>
          <w:rFonts w:ascii="Times New Roman;serif" w:hAnsi="Times New Roman;serif"/>
          <w:b/>
          <w:i/>
          <w:color w:val="000000"/>
          <w:sz w:val="20"/>
        </w:rPr>
        <w:t>Segment Information</w:t>
      </w:r>
    </w:p>
    <w:p>
      <w:pPr>
        <w:pStyle w:val="TextBody"/>
        <w:bidi w:val="0"/>
        <w:spacing w:lineRule="auto" w:line="276" w:before="180" w:after="180"/>
        <w:ind w:left="0" w:right="0" w:firstLine="450"/>
        <w:jc w:val="left"/>
        <w:rPr/>
      </w:pPr>
      <w:r>
        <w:rPr>
          <w:rFonts w:ascii="Times New Roman;serif" w:hAnsi="Times New Roman;serif"/>
          <w:b w:val="false"/>
          <w:color w:val="000000"/>
          <w:sz w:val="20"/>
        </w:rPr>
        <w:t xml:space="preserve">As previously detailed in </w:t>
      </w:r>
      <w:r>
        <w:rPr>
          <w:rFonts w:ascii="Times New Roman;serif" w:hAnsi="Times New Roman;serif"/>
          <w:b w:val="false"/>
          <w:i/>
          <w:color w:val="000000"/>
          <w:sz w:val="20"/>
        </w:rPr>
        <w:t>Note 1 – Nature of Business and Significant Accounting Policies</w:t>
      </w:r>
      <w:r>
        <w:rPr>
          <w:rFonts w:ascii="Times New Roman;serif" w:hAnsi="Times New Roman;serif"/>
          <w:b w:val="false"/>
          <w:color w:val="000000"/>
          <w:sz w:val="20"/>
        </w:rPr>
        <w:t xml:space="preserve">, the Company operates as </w:t>
      </w:r>
      <w:r>
        <w:rPr>
          <w:rFonts w:ascii="Times New Roman;serif" w:hAnsi="Times New Roman;serif"/>
          <w:b w:val="false"/>
          <w:color w:val="000000"/>
          <w:sz w:val="20"/>
          <w:shd w:fill="FFFFFF" w:val="clear"/>
        </w:rPr>
        <w:t>one</w:t>
      </w:r>
      <w:r>
        <w:rPr>
          <w:color w:val="000000"/>
        </w:rPr>
        <w:t xml:space="preserve"> </w:t>
      </w:r>
      <w:r>
        <w:rPr>
          <w:rFonts w:ascii="Times New Roman;serif" w:hAnsi="Times New Roman;serif"/>
          <w:b w:val="false"/>
          <w:color w:val="000000"/>
          <w:sz w:val="20"/>
        </w:rPr>
        <w:t xml:space="preserve">reportable segment. As of June 30, 2026, the Company’s CODM was its CEO. The Company’s CODM does not manage any part of the Company separately, and the allocation of resources and assessment of performance is based solely on the Company’s consolidated operations and financial results. The accounting policies of our single reportable segment are the same as those described in </w:t>
      </w:r>
      <w:r>
        <w:rPr>
          <w:rFonts w:ascii="Times New Roman;serif" w:hAnsi="Times New Roman;serif"/>
          <w:b w:val="false"/>
          <w:i/>
          <w:color w:val="000000"/>
          <w:sz w:val="20"/>
        </w:rPr>
        <w:t>Note 1 – Nature of Business and Significant Accounting Policies</w:t>
      </w:r>
      <w:r>
        <w:rPr>
          <w:rFonts w:ascii="Times New Roman;serif" w:hAnsi="Times New Roman;serif"/>
          <w:b w:val="false"/>
          <w:color w:val="000000"/>
          <w:sz w:val="20"/>
        </w:rPr>
        <w:t>.</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CODM uses net income (loss) in evaluating the performance of our single reportable segment and determining how to allocate resources of the Company as a whole, including investing in our products, services and customers. As the Company only has one reportable segment, the measure of segment assets is reported on the balance sheet as total consolidated assets.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details the revenues, significant expenses and other segment items regularly provided to the CODM: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INSEEGO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tbl>
      <w:tblPr>
        <w:tblW w:w="10205" w:type="dxa"/>
        <w:jc w:val="left"/>
        <w:tblInd w:w="0" w:type="dxa"/>
        <w:tblLayout w:type="fixed"/>
        <w:tblCellMar>
          <w:top w:w="28" w:type="dxa"/>
          <w:left w:w="28" w:type="dxa"/>
          <w:bottom w:w="28" w:type="dxa"/>
          <w:right w:w="28" w:type="dxa"/>
        </w:tblCellMar>
      </w:tblPr>
      <w:tblGrid>
        <w:gridCol w:w="1788"/>
        <w:gridCol w:w="1274"/>
        <w:gridCol w:w="1279"/>
        <w:gridCol w:w="235"/>
        <w:gridCol w:w="777"/>
        <w:gridCol w:w="130"/>
        <w:gridCol w:w="130"/>
        <w:gridCol w:w="130"/>
        <w:gridCol w:w="130"/>
        <w:gridCol w:w="235"/>
        <w:gridCol w:w="777"/>
        <w:gridCol w:w="130"/>
        <w:gridCol w:w="130"/>
        <w:gridCol w:w="130"/>
        <w:gridCol w:w="130"/>
        <w:gridCol w:w="235"/>
        <w:gridCol w:w="833"/>
        <w:gridCol w:w="130"/>
        <w:gridCol w:w="130"/>
        <w:gridCol w:w="130"/>
        <w:gridCol w:w="130"/>
        <w:gridCol w:w="235"/>
        <w:gridCol w:w="777"/>
        <w:gridCol w:w="200"/>
      </w:tblGrid>
      <w:tr>
        <w:trPr/>
        <w:tc>
          <w:tcPr>
            <w:tcW w:w="1788"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4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43,984 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40,223 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78,322 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71,896 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w:t>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Adjusted cost of revenues</w:t>
            </w:r>
            <w:r>
              <w:rPr>
                <w:color w:val="000000"/>
              </w:rPr>
              <w:t xml:space="preserve"> </w:t>
            </w:r>
            <w:r>
              <w:rPr>
                <w:rFonts w:ascii="Times New Roman;serif" w:hAnsi="Times New Roman;serif"/>
                <w:b w:val="false"/>
                <w:color w:val="000000"/>
                <w:sz w:val="12"/>
              </w:rPr>
              <w:t>(1)</w:t>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28,843 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23,653 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46,403 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40,291 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Adjusted research and development</w:t>
            </w:r>
            <w:r>
              <w:rPr>
                <w:color w:val="000000"/>
              </w:rPr>
              <w:t xml:space="preserve"> </w:t>
            </w:r>
            <w:r>
              <w:rPr>
                <w:rFonts w:ascii="Times New Roman;serif" w:hAnsi="Times New Roman;serif"/>
                <w:b w:val="false"/>
                <w:color w:val="000000"/>
                <w:sz w:val="12"/>
              </w:rPr>
              <w:t>(2)</w:t>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5,022 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10,617 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8,821 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Adjusted sales and marketing</w:t>
            </w:r>
            <w:r>
              <w:rPr>
                <w:color w:val="000000"/>
              </w:rPr>
              <w:t xml:space="preserve"> </w:t>
            </w:r>
            <w:r>
              <w:rPr>
                <w:rFonts w:ascii="Times New Roman;serif" w:hAnsi="Times New Roman;serif"/>
                <w:b w:val="false"/>
                <w:color w:val="000000"/>
                <w:sz w:val="12"/>
              </w:rPr>
              <w:t>(2)</w:t>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10,809 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7,596 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Adjusted general and administrative</w:t>
            </w:r>
            <w:r>
              <w:rPr>
                <w:color w:val="000000"/>
              </w:rPr>
              <w:t xml:space="preserve"> </w:t>
            </w:r>
            <w:r>
              <w:rPr>
                <w:rFonts w:ascii="Times New Roman;serif" w:hAnsi="Times New Roman;serif"/>
                <w:b w:val="false"/>
                <w:color w:val="000000"/>
                <w:sz w:val="12"/>
              </w:rPr>
              <w:t>(3)</w:t>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8,262 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6,868 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Adjusted depreciation and amortization</w:t>
            </w:r>
            <w:r>
              <w:rPr>
                <w:color w:val="000000"/>
              </w:rPr>
              <w:t xml:space="preserve"> </w:t>
            </w:r>
            <w:r>
              <w:rPr>
                <w:rFonts w:ascii="Times New Roman;serif" w:hAnsi="Times New Roman;serif"/>
                <w:b w:val="false"/>
                <w:color w:val="000000"/>
                <w:sz w:val="12"/>
              </w:rPr>
              <w:t>(4)</w:t>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3,509 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Capitalizable software development expenditures</w:t>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4,361 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software development expenditures</w:t>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(3,009)</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(1,985)</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(5,929)</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(4,361)</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3,255 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purchased intangible assets related to business combinations</w:t>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capitalized software</w:t>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r>
      <w:tr>
        <w:trPr/>
        <w:tc>
          <w:tcPr>
            <w:tcW w:w="4341"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r>
      <w:tr>
        <w:trPr/>
        <w:tc>
          <w:tcPr>
            <w:tcW w:w="4341"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r>
      <w:tr>
        <w:trPr/>
        <w:tc>
          <w:tcPr>
            <w:tcW w:w="4341"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r>
      <w:tr>
        <w:trPr/>
        <w:tc>
          <w:tcPr>
            <w:tcW w:w="4341"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r>
      <w:tr>
        <w:trPr/>
        <w:tc>
          <w:tcPr>
            <w:tcW w:w="43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Non</w:t>
              <w:noBreakHyphen/>
              <w:t>recurring transaction</w:t>
              <w:noBreakHyphen/>
              <w:t>related costs</w:t>
            </w:r>
            <w:r>
              <w:rPr>
                <w:rFonts w:ascii="Times New Roman;serif" w:hAnsi="Times New Roman;serif"/>
                <w:b w:val="false"/>
                <w:color w:val="000000"/>
                <w:sz w:val="12"/>
              </w:rPr>
              <w:t>(5)</w:t>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1,959 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provision (benefit)</w:t>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Segment net income (loss)</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(8,438)</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(12,974)</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(663)</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Reconciliation of profit or loss</w:t>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discontinued operations, net of tax</w:t>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net income (loss)</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(8,438)</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(12,974)</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(1,063)</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(1) Excludes any share-based compensation expense and non-recurring transaction-related costs.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(2) Excludes any depreciation and amortization, share-based compensation expense, and non-recurring transaction-related costs.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(3) Excludes any depreciation and amortization, share-based compensation expense, right-of-use asset impairments, gain on early lease terminations, debt restructuring costs, and non-recurring transaction-related costs.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(4) Excludes amortization of purchased intangible assets.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(5) Non-recurring transaction costs related to the Preferred Stock Exchange Agreement and Purchase Agreement for Nokia’s FWA business</w:t>
            </w:r>
          </w:p>
        </w:tc>
      </w:tr>
      <w:tr>
        <w:trPr/>
        <w:tc>
          <w:tcPr>
            <w:tcW w:w="4341"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left"/>
        <w:rPr>
          <w:rFonts w:ascii="Times New Roman;serif" w:hAnsi="Times New Roman;serif"/>
          <w:b/>
          <w:i/>
          <w:color w:val="000000"/>
          <w:sz w:val="20"/>
        </w:rPr>
      </w:pPr>
      <w:r>
        <w:rPr>
          <w:rFonts w:ascii="Times New Roman;serif" w:hAnsi="Times New Roman;serif"/>
          <w:b/>
          <w:i/>
          <w:color w:val="000000"/>
          <w:sz w:val="20"/>
        </w:rPr>
        <w:t>Geographic Information</w:t>
      </w:r>
    </w:p>
    <w:p>
      <w:pPr>
        <w:pStyle w:val="TextBody"/>
        <w:bidi w:val="0"/>
        <w:spacing w:lineRule="auto" w:line="276"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details the Company’s revenues by geographic region based on shipping destination (in thousands):</w:t>
      </w:r>
    </w:p>
    <w:tbl>
      <w:tblPr>
        <w:tblW w:w="7530" w:type="dxa"/>
        <w:jc w:val="left"/>
        <w:tblInd w:w="0" w:type="dxa"/>
        <w:tblLayout w:type="fixed"/>
        <w:tblCellMar>
          <w:top w:w="28" w:type="dxa"/>
          <w:left w:w="28" w:type="dxa"/>
          <w:bottom w:w="28" w:type="dxa"/>
          <w:right w:w="28" w:type="dxa"/>
        </w:tblCellMar>
      </w:tblPr>
      <w:tblGrid>
        <w:gridCol w:w="978"/>
        <w:gridCol w:w="857"/>
        <w:gridCol w:w="865"/>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54"/>
      </w:tblGrid>
      <w:tr>
        <w:trPr/>
        <w:tc>
          <w:tcPr>
            <w:tcW w:w="97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w:t>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 and Canada</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43,675 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40,130 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77,904 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71,750 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 (including United Kingdom)</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Australia</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78,322 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71,896 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180"/>
        <w:jc w:val="left"/>
        <w:rPr>
          <w:rFonts w:ascii="Times New Roman;serif" w:hAnsi="Times New Roman;serif"/>
          <w:b w:val="false"/>
          <w:color w:val="000000"/>
          <w:sz w:val="20"/>
        </w:rPr>
      </w:pPr>
      <w:r>
        <w:rPr>
          <w:rFonts w:ascii="Times New Roman;serif" w:hAnsi="Times New Roman;serif"/>
          <w:b w:val="false"/>
          <w:color w:val="000000"/>
          <w:sz w:val="20"/>
        </w:rPr>
        <w:t>Substantially all of the Company’s long-term assets are located within the United States.</w:t>
      </w:r>
    </w:p>
    <w:p>
      <w:pPr>
        <w:pStyle w:val="TextBody"/>
        <w:bidi w:val="0"/>
        <w:spacing w:lineRule="auto" w:line="276" w:before="180" w:after="180"/>
        <w:jc w:val="left"/>
        <w:rPr>
          <w:rFonts w:ascii="Times New Roman;serif" w:hAnsi="Times New Roman;serif"/>
          <w:b/>
          <w:i/>
          <w:color w:val="000000"/>
          <w:sz w:val="20"/>
        </w:rPr>
      </w:pPr>
      <w:r>
        <w:rPr>
          <w:rFonts w:ascii="Times New Roman;serif" w:hAnsi="Times New Roman;serif"/>
          <w:b/>
          <w:i/>
          <w:color w:val="000000"/>
          <w:sz w:val="20"/>
        </w:rPr>
        <w:t>Concentrations of Credit Risk</w:t>
      </w:r>
    </w:p>
    <w:p>
      <w:pPr>
        <w:pStyle w:val="TextBody"/>
        <w:bidi w:val="0"/>
        <w:spacing w:lineRule="auto" w:line="276" w:before="180" w:after="18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Customer Concentrations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June 30, 2026, two customers accounted for 42.6% and 37.8% of revenues, respectively. For the three months ended June 30, 2025, two customers accounted for 62.2% and 24.2% of revenues,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INSEEGO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2026, three customers accounted for 47.2%, 24.5%, and 18.7% of revenues, respectively. For the six months ended June 30, 2025, two customers accounted for 58.9% and 29.0% of revenues, respectively.</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two customers accounted for 41.8% and 42.2% of accounts receivable, net, respectively. As of December 31, 2025, two customers accounted for 52.9% and 16.0% of accounts receivable, net, respectively. </w:t>
      </w:r>
    </w:p>
    <w:p>
      <w:pPr>
        <w:pStyle w:val="TextBody"/>
        <w:bidi w:val="0"/>
        <w:spacing w:lineRule="auto" w:line="276" w:before="180" w:after="18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Concentrations in the Available Sources of Supply of Materials and Product</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services use hardware and software from various third parties, some of which are procured from single suppliers. For example, our MiFi mobile hotspots and fixed wireless access devices rely substantially on chipsets from Qualcomm. From time to time, certain components used in our products or solutions have been in short supply or their anticipated commercial introduction has been delayed or their availability has been interrupted for reasons outside our control.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9. Commitments and Contingencies</w:t>
      </w:r>
    </w:p>
    <w:p>
      <w:pPr>
        <w:pStyle w:val="TextBody"/>
        <w:bidi w:val="0"/>
        <w:spacing w:lineRule="auto" w:line="276" w:before="100" w:after="283"/>
        <w:jc w:val="left"/>
        <w:rPr>
          <w:rFonts w:ascii="Times New Roman;serif" w:hAnsi="Times New Roman;serif"/>
          <w:b w:val="false"/>
          <w:i/>
          <w:color w:val="000000"/>
          <w:sz w:val="20"/>
        </w:rPr>
      </w:pPr>
      <w:r>
        <w:rPr>
          <w:rFonts w:ascii="Times New Roman;serif" w:hAnsi="Times New Roman;serif"/>
          <w:b w:val="false"/>
          <w:i/>
          <w:color w:val="000000"/>
          <w:sz w:val="20"/>
        </w:rPr>
        <w:t>Noncancellable Purchase Obligations</w:t>
      </w:r>
    </w:p>
    <w:p>
      <w:pPr>
        <w:pStyle w:val="TextBody"/>
        <w:bidi w:val="0"/>
        <w:spacing w:lineRule="auto" w:line="276"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typically enters into commitments with its contract manufacturers and other vendors that require future purchases of goods or services in the three to four quarters following the balance sheet date. Such commitments are noncancellable (“noncancellable purchase obligations”). As of June 30, 2026, future payments under these noncancellable purchase obligations were approximately $119.9 million. </w:t>
      </w:r>
    </w:p>
    <w:p>
      <w:pPr>
        <w:pStyle w:val="TextBody"/>
        <w:bidi w:val="0"/>
        <w:spacing w:lineRule="auto" w:line="276" w:before="180" w:after="180"/>
        <w:jc w:val="left"/>
        <w:rPr>
          <w:rFonts w:ascii="Times New Roman;serif" w:hAnsi="Times New Roman;serif"/>
          <w:b w:val="false"/>
          <w:i/>
          <w:color w:val="000000"/>
          <w:sz w:val="20"/>
        </w:rPr>
      </w:pPr>
      <w:r>
        <w:rPr>
          <w:rFonts w:ascii="Times New Roman;serif" w:hAnsi="Times New Roman;serif"/>
          <w:b w:val="false"/>
          <w:i/>
          <w:color w:val="000000"/>
          <w:sz w:val="20"/>
        </w:rPr>
        <w:t xml:space="preserve">Legal </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from time to time, party to various legal proceedings arising in the ordinary course of business. The Company is regularly required to directly or indirectly participate in other U.S. patent infringement actions pursuant to its contractual indemnification obligations to certain customers. Based on an evaluation of these matters the Company currently believes that liabilities arising from, or sums paid in settlement of these existing matters, if any, would not have a material adverse effect on its consolidated results of operations or financial condition. </w:t>
      </w:r>
    </w:p>
    <w:p>
      <w:pPr>
        <w:pStyle w:val="TextBody"/>
        <w:bidi w:val="0"/>
        <w:spacing w:lineRule="auto" w:line="276" w:before="180" w:after="180"/>
        <w:jc w:val="left"/>
        <w:rPr>
          <w:rFonts w:ascii="Times New Roman;serif" w:hAnsi="Times New Roman;serif"/>
          <w:b w:val="false"/>
          <w:i/>
          <w:color w:val="000000"/>
          <w:sz w:val="20"/>
        </w:rPr>
      </w:pPr>
      <w:r>
        <w:rPr>
          <w:rFonts w:ascii="Times New Roman;serif" w:hAnsi="Times New Roman;serif"/>
          <w:b w:val="false"/>
          <w:i/>
          <w:color w:val="000000"/>
          <w:sz w:val="20"/>
        </w:rPr>
        <w:t xml:space="preserve">Indemnification </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the normal course of business, the Company periodically enters into agreements that require the Company to indemnify and defend its customers for, among other things, claims alleging that the Company’s products infringe upon third-party patents or other intellectual property rights. The Company’s maximum exposure under these indemnification provisions cannot be estimated but the Company does not believe that there are any matters individually or collectively that would have a material adverse effect on its consolidated results of operations or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Times New Roman;serif" w:hAnsi="Times New Roman;serif"/>
          <w:b/>
          <w:color w:val="000000"/>
          <w:sz w:val="20"/>
        </w:rPr>
      </w:pPr>
      <w:r>
        <w:rPr>
          <w:rFonts w:ascii="Times New Roman;serif" w:hAnsi="Times New Roman;serif"/>
          <w:b/>
          <w:color w:val="000000"/>
          <w:sz w:val="20"/>
        </w:rPr>
        <w:t>Note 10. Income Taxes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expense was less than $1.0 million for both the three and six months ended June 30, 2026 and June 30, 2025, consisting primarily of foreign income taxes at certain of the Company’s international entities and state taxes for its U.S.-based entities. The Company’s income tax expense differs from the expected expense based on statutory rates primarily due to full valuation allowances at all of its U.S.-based entities. </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(“OBBBA”) was signed into law which, among other things, provided a permanent extension of certain tax measures initially established under the 2017 Tax Cuts and Jobs Act, which were set to expire at the end of 2025, and modified tax legislation affecting bonus depreciation rules and the tax treatment of research and development expenses and interest deductions. Specifically, the OBBBA provides for 100% bonus depreciation and eliminates the requirement under Internal Revenue Code Section 174 to capitalize and amortize U.S. based research and experimental expenditures over five years, making these expenditures fully deductible in the period incurred beginning after 2024. The Company currently does not expect the OBBBA to have a material impact to our effective tax for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pPr>
      <w:r>
        <w:rPr>
          <w:rFonts w:ascii="Times New Roman;serif" w:hAnsi="Times New Roman;serif"/>
          <w:b/>
          <w:color w:val="000000"/>
          <w:sz w:val="20"/>
        </w:rPr>
        <w:t>Item 2.     </w:t>
      </w:r>
      <w:r>
        <w:rPr>
          <w:rFonts w:ascii="Times New Roman;serif" w:hAnsi="Times New Roman;serif"/>
          <w:b/>
          <w:i/>
          <w:color w:val="000000"/>
          <w:sz w:val="20"/>
        </w:rPr>
        <w:t>Management’s Discussion and Analysis of Financial Condition and Results of Operations.</w:t>
      </w:r>
    </w:p>
    <w:p>
      <w:pPr>
        <w:pStyle w:val="TextBody"/>
        <w:bidi w:val="0"/>
        <w:spacing w:lineRule="auto" w:line="276" w:before="100" w:after="283"/>
        <w:jc w:val="left"/>
        <w:rPr>
          <w:rFonts w:ascii="Times New Roman;serif" w:hAnsi="Times New Roman;serif"/>
          <w:b/>
          <w:color w:val="000000"/>
          <w:sz w:val="20"/>
        </w:rPr>
      </w:pPr>
      <w:r>
        <w:rPr>
          <w:rFonts w:ascii="Times New Roman;serif" w:hAnsi="Times New Roman;serif"/>
          <w:b/>
          <w:color w:val="000000"/>
          <w:sz w:val="20"/>
        </w:rPr>
        <w:t>Forward Looking Statements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This report contains forward-looking statements within the meaning of Section 27A of the Securities Act of 1933, as amended (the “Securities Act”) and Section 21E of the Securities Exchange Act of 1934, as amended (the “Exchange Act”), in reliance upon the safe harbor provisions of the Private Securities Litigation Reform Act of 1995. You should not place undue reliance on these statements. These forward-looking statements include, without limitation, statements that reflect the views of our senior management with respect to our current expectations, assumptions, estimates and projections about Inseego Corp. (the “Company” or “Inseego”) and our industry. These forward-looking statements speak only as of the date of this report. We disclaim any undertaking to publicly update or revise any forward-looking statements contained herein to reflect any change in our expectations with regard thereto or any change in events, conditions or circumstances on which any such statement is based. Statements that include the words “may,” “could,” “should,” “would,” “estimate,” “anticipate,” “believe,” “expect,” “preliminary,” “intend,” “plan,” “project,” “outlook,” “will” and similar words and phrases identify forward-looking statements (although not all forward-looking statements contain these words). Forward-looking statements are inherently subject to risks and uncertainties, some of which cannot be predicted or quantified; therefore, our actual results may differ materially from those anticipated in these forward-looking statements as of the date of this report. We believe that these factors include those related to:</w:t>
      </w:r>
    </w:p>
    <w:p>
      <w:pPr>
        <w:pStyle w:val="TextBody"/>
        <w:bidi w:val="0"/>
        <w:spacing w:lineRule="auto" w:line="276" w:before="140" w:after="140"/>
        <w:ind w:left="0" w:right="0" w:hanging="360"/>
        <w:jc w:val="left"/>
        <w:rPr/>
      </w:pPr>
      <w:r>
        <w:rPr>
          <w:color w:val="000000"/>
        </w:rPr>
        <w:t>•</w:t>
      </w:r>
      <w:r>
        <w:rPr>
          <w:rFonts w:ascii="Times New Roman;serif" w:hAnsi="Times New Roman;serif"/>
          <w:b w:val="false"/>
          <w:color w:val="000000"/>
          <w:sz w:val="20"/>
        </w:rPr>
        <w:t>our dependence on a small number of customers for a substantial portion of our revenues;</w:t>
      </w:r>
    </w:p>
    <w:p>
      <w:pPr>
        <w:pStyle w:val="TextBody"/>
        <w:bidi w:val="0"/>
        <w:spacing w:lineRule="auto" w:line="276" w:before="140" w:after="140"/>
        <w:ind w:left="0" w:right="0" w:hanging="360"/>
        <w:jc w:val="left"/>
        <w:rPr/>
      </w:pPr>
      <w:r>
        <w:rPr>
          <w:color w:val="000000"/>
        </w:rPr>
        <w:t>•</w:t>
      </w:r>
      <w:r>
        <w:rPr>
          <w:rFonts w:ascii="Times New Roman;serif" w:hAnsi="Times New Roman;serif"/>
          <w:b w:val="false"/>
          <w:color w:val="000000"/>
          <w:sz w:val="20"/>
        </w:rPr>
        <w:t>our ability to compete in the market for wireless broadband data access and wireless modem products and services;</w:t>
      </w:r>
    </w:p>
    <w:p>
      <w:pPr>
        <w:pStyle w:val="TextBody"/>
        <w:bidi w:val="0"/>
        <w:spacing w:lineRule="auto" w:line="276" w:before="140" w:after="140"/>
        <w:ind w:left="0" w:right="0" w:hanging="360"/>
        <w:jc w:val="left"/>
        <w:rPr/>
      </w:pPr>
      <w:r>
        <w:rPr>
          <w:color w:val="000000"/>
        </w:rPr>
        <w:t>•</w:t>
      </w:r>
      <w:r>
        <w:rPr>
          <w:rFonts w:ascii="Times New Roman;serif" w:hAnsi="Times New Roman;serif"/>
          <w:b w:val="false"/>
          <w:color w:val="000000"/>
          <w:sz w:val="20"/>
        </w:rPr>
        <w:t>our ability to successfully develop and introduce new products and services;</w:t>
      </w:r>
    </w:p>
    <w:p>
      <w:pPr>
        <w:pStyle w:val="TextBody"/>
        <w:bidi w:val="0"/>
        <w:spacing w:lineRule="auto" w:line="276" w:before="140" w:after="140"/>
        <w:ind w:left="0" w:right="0" w:hanging="360"/>
        <w:jc w:val="left"/>
        <w:rPr/>
      </w:pPr>
      <w:r>
        <w:rPr>
          <w:color w:val="000000"/>
        </w:rPr>
        <w:t>•</w:t>
      </w:r>
      <w:r>
        <w:rPr>
          <w:rFonts w:ascii="Times New Roman;serif" w:hAnsi="Times New Roman;serif"/>
          <w:b w:val="false"/>
          <w:color w:val="000000"/>
          <w:sz w:val="20"/>
        </w:rPr>
        <w:t>the pace of 5G wireless network rollouts globally and their adoption by customers;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our ability to attract new customers and retain existing customers;</w:t>
      </w:r>
    </w:p>
    <w:p>
      <w:pPr>
        <w:pStyle w:val="TextBody"/>
        <w:bidi w:val="0"/>
        <w:spacing w:lineRule="auto" w:line="276" w:before="140" w:after="140"/>
        <w:ind w:left="0" w:right="0" w:hanging="360"/>
        <w:jc w:val="left"/>
        <w:rPr/>
      </w:pPr>
      <w:r>
        <w:rPr>
          <w:color w:val="000000"/>
        </w:rPr>
        <w:t>•</w:t>
      </w:r>
      <w:r>
        <w:rPr>
          <w:rFonts w:ascii="Times New Roman;serif" w:hAnsi="Times New Roman;serif"/>
          <w:b w:val="false"/>
          <w:color w:val="000000"/>
          <w:sz w:val="20"/>
        </w:rPr>
        <w:t>our dependence on wireless telecommunication operators delivering acceptable wireless services;</w:t>
      </w:r>
    </w:p>
    <w:p>
      <w:pPr>
        <w:pStyle w:val="TextBody"/>
        <w:bidi w:val="0"/>
        <w:spacing w:lineRule="auto" w:line="276" w:before="140" w:after="140"/>
        <w:ind w:left="0" w:right="0" w:hanging="360"/>
        <w:jc w:val="left"/>
        <w:rPr/>
      </w:pPr>
      <w:r>
        <w:rPr>
          <w:color w:val="000000"/>
        </w:rPr>
        <w:t>•</w:t>
      </w:r>
      <w:r>
        <w:rPr>
          <w:rFonts w:ascii="Times New Roman;serif" w:hAnsi="Times New Roman;serif"/>
          <w:b w:val="false"/>
          <w:color w:val="000000"/>
          <w:sz w:val="20"/>
        </w:rPr>
        <w:t xml:space="preserve">our ability to develop sales channels and to onboard and execute successfully with channel partners; </w:t>
      </w:r>
    </w:p>
    <w:p>
      <w:pPr>
        <w:pStyle w:val="TextBody"/>
        <w:bidi w:val="0"/>
        <w:spacing w:lineRule="auto" w:line="276" w:before="140" w:after="140"/>
        <w:ind w:left="0" w:right="0" w:hanging="360"/>
        <w:jc w:val="left"/>
        <w:rPr/>
      </w:pPr>
      <w:r>
        <w:rPr>
          <w:color w:val="000000"/>
        </w:rPr>
        <w:t>•</w:t>
      </w:r>
      <w:r>
        <w:rPr>
          <w:rFonts w:ascii="Times New Roman;serif" w:hAnsi="Times New Roman;serif"/>
          <w:b w:val="false"/>
          <w:color w:val="000000"/>
          <w:sz w:val="20"/>
        </w:rPr>
        <w:t>our ability to develop and expand into new markets;</w:t>
      </w:r>
    </w:p>
    <w:p>
      <w:pPr>
        <w:pStyle w:val="TextBody"/>
        <w:bidi w:val="0"/>
        <w:spacing w:lineRule="auto" w:line="276" w:before="140" w:after="140"/>
        <w:ind w:left="0" w:right="0" w:hanging="360"/>
        <w:jc w:val="left"/>
        <w:rPr/>
      </w:pPr>
      <w:r>
        <w:rPr>
          <w:color w:val="000000"/>
        </w:rPr>
        <w:t>•</w:t>
      </w:r>
      <w:r>
        <w:rPr>
          <w:rFonts w:ascii="Times New Roman;serif" w:hAnsi="Times New Roman;serif"/>
          <w:b w:val="false"/>
          <w:color w:val="000000"/>
          <w:sz w:val="20"/>
        </w:rPr>
        <w:t xml:space="preserve">our ability to properly manage the growth of our business to avoid significant strains on our management and operations and disruptions to our business; </w:t>
      </w:r>
    </w:p>
    <w:p>
      <w:pPr>
        <w:pStyle w:val="TextBody"/>
        <w:bidi w:val="0"/>
        <w:spacing w:lineRule="auto" w:line="276" w:before="140" w:after="140"/>
        <w:ind w:left="0" w:right="0" w:hanging="360"/>
        <w:jc w:val="left"/>
        <w:rPr/>
      </w:pPr>
      <w:r>
        <w:rPr>
          <w:color w:val="000000"/>
        </w:rPr>
        <w:t>•</w:t>
      </w:r>
      <w:r>
        <w:rPr>
          <w:rFonts w:ascii="Times New Roman;serif" w:hAnsi="Times New Roman;serif"/>
          <w:b w:val="false"/>
          <w:color w:val="000000"/>
          <w:sz w:val="20"/>
        </w:rPr>
        <w:t xml:space="preserve">our reliance on contract manufacturers and third parties to manufacture our products; </w:t>
      </w:r>
    </w:p>
    <w:p>
      <w:pPr>
        <w:pStyle w:val="TextBody"/>
        <w:bidi w:val="0"/>
        <w:spacing w:lineRule="auto" w:line="276" w:before="140" w:after="140"/>
        <w:ind w:left="0" w:right="0" w:hanging="360"/>
        <w:jc w:val="left"/>
        <w:rPr/>
      </w:pPr>
      <w:r>
        <w:rPr>
          <w:color w:val="000000"/>
        </w:rPr>
        <w:t>•</w:t>
      </w:r>
      <w:r>
        <w:rPr>
          <w:rFonts w:ascii="Times New Roman;serif" w:hAnsi="Times New Roman;serif"/>
          <w:b w:val="false"/>
          <w:color w:val="000000"/>
          <w:sz w:val="20"/>
        </w:rPr>
        <w:t xml:space="preserve">our contract manufacturers’ ability to secure necessary supply to build our devices; </w:t>
      </w:r>
    </w:p>
    <w:p>
      <w:pPr>
        <w:pStyle w:val="TextBody"/>
        <w:bidi w:val="0"/>
        <w:spacing w:lineRule="auto" w:line="276" w:before="140" w:after="140"/>
        <w:ind w:left="0" w:right="0" w:hanging="360"/>
        <w:jc w:val="left"/>
        <w:rPr/>
      </w:pPr>
      <w:r>
        <w:rPr>
          <w:color w:val="000000"/>
        </w:rPr>
        <w:t>•</w:t>
      </w:r>
      <w:r>
        <w:rPr>
          <w:rFonts w:ascii="Times New Roman;serif" w:hAnsi="Times New Roman;serif"/>
          <w:b w:val="false"/>
          <w:color w:val="000000"/>
          <w:sz w:val="20"/>
        </w:rPr>
        <w:t>increases in costs, disruption of supply and/or the shortage of semiconductors or other key components of our products;</w:t>
      </w:r>
    </w:p>
    <w:p>
      <w:pPr>
        <w:pStyle w:val="TextBody"/>
        <w:bidi w:val="0"/>
        <w:spacing w:lineRule="auto" w:line="276" w:before="140" w:after="140"/>
        <w:ind w:left="0" w:right="0" w:hanging="360"/>
        <w:jc w:val="left"/>
        <w:rPr/>
      </w:pPr>
      <w:r>
        <w:rPr>
          <w:color w:val="000000"/>
        </w:rPr>
        <w:t>•</w:t>
      </w:r>
      <w:r>
        <w:rPr>
          <w:rFonts w:ascii="Times New Roman;serif" w:hAnsi="Times New Roman;serif"/>
          <w:b w:val="false"/>
          <w:color w:val="000000"/>
          <w:sz w:val="20"/>
        </w:rPr>
        <w:t xml:space="preserve">our ability to accurately forecast customer demand and order the manufacture and timely delivery of sufficient product quantities; </w:t>
      </w:r>
    </w:p>
    <w:p>
      <w:pPr>
        <w:pStyle w:val="TextBody"/>
        <w:bidi w:val="0"/>
        <w:spacing w:lineRule="auto" w:line="276" w:before="140" w:after="140"/>
        <w:ind w:left="0" w:right="0" w:hanging="360"/>
        <w:jc w:val="left"/>
        <w:rPr/>
      </w:pPr>
      <w:r>
        <w:rPr>
          <w:color w:val="000000"/>
        </w:rPr>
        <w:t>•</w:t>
      </w:r>
      <w:r>
        <w:rPr>
          <w:rFonts w:ascii="Times New Roman;serif" w:hAnsi="Times New Roman;serif"/>
          <w:b w:val="false"/>
          <w:color w:val="000000"/>
          <w:sz w:val="20"/>
        </w:rPr>
        <w:t xml:space="preserve">our reliance on sole source suppliers for some products and devices used in our solutions; </w:t>
      </w:r>
    </w:p>
    <w:p>
      <w:pPr>
        <w:pStyle w:val="TextBody"/>
        <w:bidi w:val="0"/>
        <w:spacing w:lineRule="auto" w:line="276" w:before="140" w:after="140"/>
        <w:ind w:left="0" w:right="0" w:hanging="360"/>
        <w:jc w:val="left"/>
        <w:rPr/>
      </w:pPr>
      <w:r>
        <w:rPr>
          <w:color w:val="000000"/>
        </w:rPr>
        <w:t>•</w:t>
      </w:r>
      <w:r>
        <w:rPr>
          <w:rFonts w:ascii="Times New Roman;serif" w:hAnsi="Times New Roman;serif"/>
          <w:b w:val="false"/>
          <w:color w:val="000000"/>
          <w:sz w:val="20"/>
        </w:rPr>
        <w:t xml:space="preserve">our ability to be cost competitive while meeting time-to-market requirements for our customers; </w:t>
      </w:r>
    </w:p>
    <w:p>
      <w:pPr>
        <w:pStyle w:val="TextBody"/>
        <w:bidi w:val="0"/>
        <w:spacing w:lineRule="auto" w:line="276" w:before="140" w:after="140"/>
        <w:ind w:left="0" w:right="0" w:hanging="360"/>
        <w:jc w:val="left"/>
        <w:rPr/>
      </w:pPr>
      <w:r>
        <w:rPr>
          <w:color w:val="000000"/>
        </w:rPr>
        <w:t>•</w:t>
      </w:r>
      <w:r>
        <w:rPr>
          <w:rFonts w:ascii="Times New Roman;serif" w:hAnsi="Times New Roman;serif"/>
          <w:b w:val="false"/>
          <w:color w:val="000000"/>
          <w:sz w:val="20"/>
        </w:rPr>
        <w:t>our ability to meet the product performance needs of our customers in mobile broadband and fixed wireless access markets;</w:t>
      </w:r>
    </w:p>
    <w:p>
      <w:pPr>
        <w:pStyle w:val="TextBody"/>
        <w:bidi w:val="0"/>
        <w:spacing w:lineRule="auto" w:line="276" w:before="140" w:after="140"/>
        <w:ind w:left="0" w:right="0" w:hanging="360"/>
        <w:jc w:val="left"/>
        <w:rPr/>
      </w:pPr>
      <w:r>
        <w:rPr>
          <w:color w:val="000000"/>
        </w:rPr>
        <w:t>•</w:t>
      </w:r>
      <w:r>
        <w:rPr>
          <w:rFonts w:ascii="Times New Roman;serif" w:hAnsi="Times New Roman;serif"/>
          <w:b w:val="false"/>
          <w:color w:val="000000"/>
          <w:sz w:val="20"/>
        </w:rPr>
        <w:t>our ability to make successful investments in research and development;</w:t>
      </w:r>
    </w:p>
    <w:p>
      <w:pPr>
        <w:pStyle w:val="TextBody"/>
        <w:bidi w:val="0"/>
        <w:spacing w:lineRule="auto" w:line="276" w:before="140" w:after="140"/>
        <w:ind w:left="0" w:right="0" w:hanging="360"/>
        <w:jc w:val="left"/>
        <w:rPr/>
      </w:pPr>
      <w:r>
        <w:rPr>
          <w:color w:val="000000"/>
        </w:rPr>
        <w:t>•</w:t>
      </w:r>
      <w:r>
        <w:rPr>
          <w:rFonts w:ascii="Times New Roman;serif" w:hAnsi="Times New Roman;serif"/>
          <w:b w:val="false"/>
          <w:color w:val="000000"/>
          <w:sz w:val="20"/>
        </w:rPr>
        <w:t>our ability to introduce and sell new products that comply with current and evolving industry standards and government regulations such as the evolving 5G New Radio (“5G NR”) price and performance standards;</w:t>
      </w:r>
    </w:p>
    <w:p>
      <w:pPr>
        <w:pStyle w:val="TextBody"/>
        <w:bidi w:val="0"/>
        <w:spacing w:lineRule="auto" w:line="276" w:before="140" w:after="140"/>
        <w:ind w:left="0" w:right="0" w:hanging="360"/>
        <w:jc w:val="left"/>
        <w:rPr/>
      </w:pPr>
      <w:r>
        <w:rPr>
          <w:color w:val="000000"/>
        </w:rPr>
        <w:t>•</w:t>
      </w:r>
      <w:r>
        <w:rPr>
          <w:rFonts w:ascii="Times New Roman;serif" w:hAnsi="Times New Roman;serif"/>
          <w:b w:val="false"/>
          <w:color w:val="000000"/>
          <w:sz w:val="20"/>
        </w:rPr>
        <w:t>our pending acquisition of Nokia’s fixed wireless access business;</w:t>
      </w:r>
    </w:p>
    <w:p>
      <w:pPr>
        <w:pStyle w:val="TextBody"/>
        <w:bidi w:val="0"/>
        <w:spacing w:lineRule="auto" w:line="276" w:before="140" w:after="140"/>
        <w:ind w:left="0" w:right="0" w:hanging="360"/>
        <w:jc w:val="left"/>
        <w:rPr/>
      </w:pPr>
      <w:r>
        <w:rPr>
          <w:color w:val="000000"/>
        </w:rPr>
        <w:t>•</w:t>
      </w:r>
      <w:r>
        <w:rPr>
          <w:rFonts w:ascii="Times New Roman;serif" w:hAnsi="Times New Roman;serif"/>
          <w:b w:val="false"/>
          <w:color w:val="000000"/>
          <w:sz w:val="20"/>
        </w:rPr>
        <w:t>the impact of laws and regulations on our business, including the adoption of new regulations;</w:t>
      </w:r>
    </w:p>
    <w:p>
      <w:pPr>
        <w:pStyle w:val="TextBody"/>
        <w:bidi w:val="0"/>
        <w:spacing w:lineRule="auto" w:line="276" w:before="140" w:after="140"/>
        <w:ind w:left="0" w:right="0" w:hanging="360"/>
        <w:jc w:val="left"/>
        <w:rPr/>
      </w:pPr>
      <w:r>
        <w:rPr>
          <w:color w:val="000000"/>
        </w:rPr>
        <w:t>•</w:t>
      </w:r>
      <w:r>
        <w:rPr>
          <w:rFonts w:ascii="Times New Roman;serif" w:hAnsi="Times New Roman;serif"/>
          <w:b w:val="false"/>
          <w:color w:val="000000"/>
          <w:sz w:val="20"/>
        </w:rPr>
        <w:t>our ability to mitigate the impact of trade restrictions, tariffs, or other government-imposed sanctions;</w:t>
      </w:r>
    </w:p>
    <w:p>
      <w:pPr>
        <w:pStyle w:val="TextBody"/>
        <w:bidi w:val="0"/>
        <w:spacing w:lineRule="auto" w:line="276" w:before="140" w:after="140"/>
        <w:ind w:left="0" w:right="0" w:hanging="360"/>
        <w:jc w:val="left"/>
        <w:rPr/>
      </w:pPr>
      <w:r>
        <w:rPr>
          <w:color w:val="000000"/>
        </w:rPr>
        <w:t>•</w:t>
      </w:r>
      <w:r>
        <w:rPr>
          <w:rFonts w:ascii="Times New Roman;serif" w:hAnsi="Times New Roman;serif"/>
          <w:b w:val="false"/>
          <w:color w:val="000000"/>
          <w:sz w:val="20"/>
        </w:rPr>
        <w:t>the continuing impact of uncertain global economic conditions on the demand for our products;</w:t>
      </w:r>
    </w:p>
    <w:p>
      <w:pPr>
        <w:pStyle w:val="TextBody"/>
        <w:bidi w:val="0"/>
        <w:spacing w:lineRule="auto" w:line="276" w:before="140" w:after="140"/>
        <w:ind w:left="0" w:right="0" w:hanging="360"/>
        <w:jc w:val="left"/>
        <w:rPr/>
      </w:pPr>
      <w:r>
        <w:rPr>
          <w:color w:val="000000"/>
        </w:rPr>
        <w:t>•</w:t>
      </w:r>
      <w:r>
        <w:rPr>
          <w:rFonts w:ascii="Times New Roman;serif" w:hAnsi="Times New Roman;serif"/>
          <w:b w:val="false"/>
          <w:color w:val="000000"/>
          <w:sz w:val="20"/>
        </w:rPr>
        <w:t>the impact of geopolitical instability on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ind w:left="0" w:right="0" w:firstLine="450"/>
        <w:jc w:val="left"/>
        <w:rPr/>
      </w:pPr>
      <w:r>
        <w:rPr/>
      </w:r>
    </w:p>
    <w:p>
      <w:pPr>
        <w:pStyle w:val="TextBody"/>
        <w:bidi w:val="0"/>
        <w:spacing w:lineRule="auto" w:line="276" w:before="140" w:after="140"/>
        <w:ind w:left="0" w:right="0" w:hanging="360"/>
        <w:jc w:val="left"/>
        <w:rPr/>
      </w:pPr>
      <w:r>
        <w:rPr>
          <w:color w:val="000000"/>
        </w:rPr>
        <w:t>•</w:t>
      </w:r>
      <w:r>
        <w:rPr>
          <w:rFonts w:ascii="Times New Roman;serif" w:hAnsi="Times New Roman;serif"/>
          <w:b w:val="false"/>
          <w:color w:val="000000"/>
          <w:sz w:val="20"/>
        </w:rPr>
        <w:t>our ability to make payments on or to refinance our indebtedness;</w:t>
      </w:r>
    </w:p>
    <w:p>
      <w:pPr>
        <w:pStyle w:val="TextBody"/>
        <w:bidi w:val="0"/>
        <w:spacing w:lineRule="auto" w:line="276" w:before="140" w:after="140"/>
        <w:ind w:left="0" w:right="0" w:hanging="360"/>
        <w:jc w:val="left"/>
        <w:rPr/>
      </w:pPr>
      <w:r>
        <w:rPr>
          <w:color w:val="000000"/>
        </w:rPr>
        <w:t>•</w:t>
      </w:r>
      <w:r>
        <w:rPr>
          <w:rFonts w:ascii="Times New Roman;serif" w:hAnsi="Times New Roman;serif"/>
          <w:b w:val="false"/>
          <w:color w:val="000000"/>
          <w:sz w:val="20"/>
        </w:rPr>
        <w:t>the outcome of any pending or future litigation, including intellectual property litigation;</w:t>
      </w:r>
    </w:p>
    <w:p>
      <w:pPr>
        <w:pStyle w:val="TextBody"/>
        <w:bidi w:val="0"/>
        <w:spacing w:lineRule="auto" w:line="276" w:before="140" w:after="140"/>
        <w:ind w:left="0" w:right="0" w:hanging="360"/>
        <w:jc w:val="left"/>
        <w:rPr/>
      </w:pPr>
      <w:r>
        <w:rPr>
          <w:color w:val="000000"/>
        </w:rPr>
        <w:t>•</w:t>
      </w:r>
      <w:r>
        <w:rPr>
          <w:rFonts w:ascii="Times New Roman;serif" w:hAnsi="Times New Roman;serif"/>
          <w:b w:val="false"/>
          <w:color w:val="000000"/>
          <w:sz w:val="20"/>
        </w:rPr>
        <w:t xml:space="preserve">our continued ability to license necessary third-party technology for the development and sale of our solutions; </w:t>
      </w:r>
    </w:p>
    <w:p>
      <w:pPr>
        <w:pStyle w:val="TextBody"/>
        <w:bidi w:val="0"/>
        <w:spacing w:lineRule="auto" w:line="276" w:before="140" w:after="140"/>
        <w:ind w:left="0" w:right="0" w:hanging="360"/>
        <w:jc w:val="left"/>
        <w:rPr/>
      </w:pPr>
      <w:r>
        <w:rPr>
          <w:color w:val="000000"/>
        </w:rPr>
        <w:t>•</w:t>
      </w:r>
      <w:r>
        <w:rPr>
          <w:rFonts w:ascii="Times New Roman;serif" w:hAnsi="Times New Roman;serif"/>
          <w:b w:val="false"/>
          <w:color w:val="000000"/>
          <w:sz w:val="20"/>
        </w:rPr>
        <w:t>the introduction of new products that could contain errors or defects;</w:t>
      </w:r>
    </w:p>
    <w:p>
      <w:pPr>
        <w:pStyle w:val="TextBody"/>
        <w:bidi w:val="0"/>
        <w:spacing w:lineRule="auto" w:line="276" w:before="140" w:after="140"/>
        <w:ind w:left="0" w:right="0" w:hanging="360"/>
        <w:jc w:val="left"/>
        <w:rPr/>
      </w:pPr>
      <w:r>
        <w:rPr>
          <w:color w:val="000000"/>
        </w:rPr>
        <w:t>•</w:t>
      </w:r>
      <w:r>
        <w:rPr>
          <w:rFonts w:ascii="Times New Roman;serif" w:hAnsi="Times New Roman;serif"/>
          <w:b w:val="false"/>
          <w:color w:val="000000"/>
          <w:sz w:val="20"/>
        </w:rPr>
        <w:t>our ability to hire, retain and manage qualified personnel to maintain and expand our business;</w:t>
      </w:r>
    </w:p>
    <w:p>
      <w:pPr>
        <w:pStyle w:val="TextBody"/>
        <w:bidi w:val="0"/>
        <w:spacing w:lineRule="auto" w:line="276" w:before="140" w:after="140"/>
        <w:ind w:left="0" w:right="0" w:hanging="360"/>
        <w:jc w:val="left"/>
        <w:rPr/>
      </w:pPr>
      <w:r>
        <w:rPr>
          <w:color w:val="000000"/>
        </w:rPr>
        <w:t>•</w:t>
      </w:r>
      <w:r>
        <w:rPr>
          <w:rFonts w:ascii="Times New Roman;serif" w:hAnsi="Times New Roman;serif"/>
          <w:b w:val="false"/>
          <w:color w:val="000000"/>
          <w:sz w:val="20"/>
        </w:rPr>
        <w:t>infringement claims with respect to intellectual property contained in our solutions;</w:t>
      </w:r>
    </w:p>
    <w:p>
      <w:pPr>
        <w:pStyle w:val="TextBody"/>
        <w:bidi w:val="0"/>
        <w:spacing w:lineRule="auto" w:line="276" w:before="140" w:after="140"/>
        <w:ind w:left="0" w:right="0" w:hanging="360"/>
        <w:jc w:val="left"/>
        <w:rPr/>
      </w:pPr>
      <w:r>
        <w:rPr>
          <w:color w:val="000000"/>
        </w:rPr>
        <w:t>•</w:t>
      </w:r>
      <w:r>
        <w:rPr>
          <w:rFonts w:ascii="Times New Roman;serif" w:hAnsi="Times New Roman;serif"/>
          <w:b w:val="false"/>
          <w:color w:val="000000"/>
          <w:sz w:val="20"/>
        </w:rPr>
        <w:t>conducting business abroad, including foreign currency risks; and</w:t>
      </w:r>
    </w:p>
    <w:p>
      <w:pPr>
        <w:pStyle w:val="TextBody"/>
        <w:bidi w:val="0"/>
        <w:spacing w:lineRule="auto" w:line="276" w:before="140" w:after="140"/>
        <w:ind w:left="0" w:right="0" w:hanging="360"/>
        <w:jc w:val="left"/>
        <w:rPr/>
      </w:pPr>
      <w:r>
        <w:rPr>
          <w:color w:val="000000"/>
        </w:rPr>
        <w:t>•</w:t>
      </w:r>
      <w:r>
        <w:rPr>
          <w:rFonts w:ascii="Times New Roman;serif" w:hAnsi="Times New Roman;serif"/>
          <w:b w:val="false"/>
          <w:color w:val="000000"/>
          <w:sz w:val="20"/>
        </w:rPr>
        <w:t>the impact of high rates of inflation and rising interest rates.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foregoing factors should not be construed as exhaustive and should be read together with the other cautionary statements included in this and other reports we file with or furnish to the Securities and Exchange Commission (“SEC”), including the information in “Item 1A. Risk Factors” included in Part I of our Annual Report on Form 10-K for the year ended December 31, 2025 (the “Form 10-K”). If one or more events related to these or other risks or uncertainties materialize, or if our underlying assumptions prove to be incorrect, actual results may differ materially from what we anticipate. As used in this report on Form 10-Q, unless the context otherwise requires, the terms “we,” “us,” “our,” the “Company” and “Inseego” refer to Inseego Corp., a Delaware corporation, and its wholly-owned subsidiaries. </w:t>
      </w:r>
    </w:p>
    <w:p>
      <w:pPr>
        <w:pStyle w:val="TextBody"/>
        <w:bidi w:val="0"/>
        <w:spacing w:lineRule="auto" w:line="276" w:before="180" w:after="283"/>
        <w:jc w:val="left"/>
        <w:rPr>
          <w:rFonts w:ascii="Times New Roman;serif" w:hAnsi="Times New Roman;serif"/>
          <w:b/>
          <w:color w:val="000000"/>
          <w:sz w:val="20"/>
        </w:rPr>
      </w:pPr>
      <w:r>
        <w:rPr>
          <w:rFonts w:ascii="Times New Roman;serif" w:hAnsi="Times New Roman;serif"/>
          <w:b/>
          <w:color w:val="000000"/>
          <w:sz w:val="20"/>
        </w:rPr>
        <w:t>Trademarks</w:t>
      </w:r>
    </w:p>
    <w:p>
      <w:pPr>
        <w:pStyle w:val="TextBody"/>
        <w:bidi w:val="0"/>
        <w:spacing w:lineRule="auto" w:line="276" w:before="180" w:after="180"/>
        <w:ind w:left="0" w:right="0" w:firstLine="450"/>
        <w:jc w:val="left"/>
        <w:rPr>
          <w:color w:val="000000"/>
        </w:rPr>
      </w:pPr>
      <w:r>
        <w:rPr>
          <w:color w:val="000000"/>
        </w:rPr>
        <w:t>“</w:t>
      </w:r>
      <w:r>
        <w:rPr>
          <w:rFonts w:ascii="Times New Roman;serif" w:hAnsi="Times New Roman;serif"/>
          <w:b w:val="false"/>
          <w:color w:val="000000"/>
          <w:sz w:val="20"/>
        </w:rPr>
        <w:t>Inseego”, the “Inseego logo”, “MiFi”, “Skyus”, “Inseego Connect”, “Inseego Subscribe” and “Inseego Wavemaker” are trademarks or registered trademarks of Inseego and its subsidiaries. Other trademarks, trade names or service marks used in this report are the property of their respective owners.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ind w:left="0" w:right="0" w:firstLine="450"/>
        <w:jc w:val="left"/>
        <w:rPr/>
      </w:pPr>
      <w:r>
        <w:rPr/>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information should be read in conjunction with the condensed consolidated financial statements and the accompanying notes included in Part I, Item 1 of this report, as well as the annual consolidated financial statements and accompanying notes and Management’s Discussion and Analysis of Financial Condition and Results of Operations for the year ended December 31, 2025, contained in our Form 10-K.</w:t>
      </w:r>
    </w:p>
    <w:p>
      <w:pPr>
        <w:pStyle w:val="TextBody"/>
        <w:bidi w:val="0"/>
        <w:spacing w:lineRule="auto" w:line="276" w:before="180" w:after="180"/>
        <w:jc w:val="left"/>
        <w:rPr>
          <w:rFonts w:ascii="Times New Roman;serif" w:hAnsi="Times New Roman;serif"/>
          <w:b/>
          <w:color w:val="000000"/>
          <w:sz w:val="20"/>
        </w:rPr>
      </w:pPr>
      <w:r>
        <w:rPr>
          <w:rFonts w:ascii="Times New Roman;serif" w:hAnsi="Times New Roman;serif"/>
          <w:b/>
          <w:color w:val="000000"/>
          <w:sz w:val="20"/>
        </w:rPr>
        <w:t>Business Overview</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Inseego is a leader in the design and development of cloud-managed wireless wide area network (“WAN”) and intelligent edge solutions. Our 5G WAN portfolio is comprised of secure and high-performance mobile broadband and fixed wireless access (“FWA”) solutions with associated cloud solutions for real time WAN visibility, monitoring, automation and control with centralized orchestration of network functions. These devices are specifically built for the carrier, enterprise and small and medium business (“SMB”) market segments with a focus on performance, scalability, quality and enterprise grade security. We also provide a Communication Service Provider (“CSP”) subscriber lifecycle management SaaS solution for carriers’ management of their government and complex enterprise customer subscriptions.</w:t>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5G products and associated cloud solutions are designed in the U.S. and are used in networks where internet reliability and security is of the utmost importance. These products support applications such as business broadband for both mobile and fixed use cases, enterprise networking and software-defined wide area network (“SD-WAN”) failover management.</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Inseego is at the forefront of providing high speed broadband through state-of-the-art 5G products and services to keep enterprise and SMB customers seamlessly connected. With multiple first-to-market innovations through several generations of 4G and 5G technologies, Inseego has been advancing wireless WAN technology and driving industry transformations for over 30 years.</w:t>
      </w:r>
    </w:p>
    <w:p>
      <w:pPr>
        <w:pStyle w:val="TextBody"/>
        <w:bidi w:val="0"/>
        <w:spacing w:lineRule="auto" w:line="276" w:before="180" w:after="180"/>
        <w:jc w:val="left"/>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lineRule="auto" w:line="276" w:before="180" w:after="18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Repurchase of Preferred Stock</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January 14, 2026 (the “Preferred Stock Exchange Closing Date’), the Company entered into an Exchange Agreement (the “Preferred Stock Exchange Agreement”) with an affiliate of Mubadala Capital (the “Preferred Stock Holder”), which held all 25,000 outstanding shares of the Company’s Fixed-Rate Cumulative Perpetual Preferred Stock, Series E (the “Series E Preferred Stock”).</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Pursuant to the Preferred Stock Exchange Agreement, on the Preferred Stock Exchange Closing Date all of the outstanding shares of Series E Preferred Stock, which had a liquidation value of $42.0 million as of December 31, 2025, were surrendered and forfeited by the Preferred Stock Holder in exchange for the following consideration, having an aggregate value of approximately $26 million and representing a discount of approximately 38% to the liquidation value: (i) $10.0 million in cash, one-third of which was paid on the Preferred Stock Exchange Closing Date and the balance of which will be paid in two equal installments on the six and twelve month anniversaries of the Preferred Stock Exchange Closing Date; (ii) 767,165 shares of the Company’s common stock (the “Common Shares”), and (iii) $8.0 million in additional principal amount of the Company’s existing 2029 Senior Secured Notes. The Common Shares and the 2029 Senior Secured Notes were issued to the Preferred Stock Holder on the Preferred Stock Exchange Closing Date.</w:t>
      </w:r>
    </w:p>
    <w:p>
      <w:pPr>
        <w:pStyle w:val="TextBody"/>
        <w:bidi w:val="0"/>
        <w:spacing w:lineRule="auto" w:line="276" w:before="180" w:after="18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Asset Purchase Agreement with Nokia</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April 30, 2026, the Company entered into an Asset Purchase Agreement (the “Purchase Agreement”) with Nokia Solutions and Networks Oy (“Nokia”), pursuant to which Inseego has agreed to purchase substantially all of the assets (the “Purchased Assets”) comprising Nokia’s fixed wireless access business (the “Nokia FWA Business”). Under the Purchase Agreement and subject to the terms and conditions set forth therein, at the closing (the “Closing”) of the transactions contemplated by the Purchase Agreement (collectively, the “Transaction”), Inseego will purchase the Purchased Assets from Nokia for a purchase price consisting of (i) 1,163,693 shares (the “Shares”) of Inseego’s common stock (“Common Stock”), (ii) warrants to purchase an aggregate of 521,139 shares of Common Stock, at an exercise price of $12.89 per share and (iii) the assumption of certain liabilities relating to the Nokia FWA Business. The warrants will be exercisable for a period of four years following the Closing and will be exercisable on a cash basis.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Purchase Agreement contains customary representations, warranties and indemnities made or given by each of Nokia and Inseego. The Purchase Agreement also contains customary covenants of the parties, including covenants relating to the conduct of the Nokia FWA Business prior to Closing, efforts to obtain required consents and approvals, and other matters. Nokia, on behalf of itself and its affiliates, has agreed that for a period of three years after the Closing (the “Restricted Period”) it will not, anywhere in the world, engage in any business that develops, produces or sells certain fixed wireless access products and devices sold by the Nokia FWA Business, subject to certain exceptions. In addition, Nokia has agreed that if during the Restricted Period it determines that it intends to solicit proposals from, or to enter into negotiations with, any third party for the development of any product or device featuring upstream connectivity with both wired and cellular radio access and use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ind w:left="0" w:right="0" w:firstLine="450"/>
        <w:jc w:val="left"/>
        <w:rPr/>
      </w:pPr>
      <w:r>
        <w:rPr/>
      </w:r>
    </w:p>
    <w:p>
      <w:pPr>
        <w:pStyle w:val="TextBody"/>
        <w:bidi w:val="0"/>
        <w:spacing w:lineRule="auto" w:line="276" w:before="180" w:after="180"/>
        <w:jc w:val="left"/>
        <w:rPr>
          <w:rFonts w:ascii="Times New Roman;serif" w:hAnsi="Times New Roman;serif"/>
          <w:b w:val="false"/>
          <w:color w:val="000000"/>
          <w:sz w:val="20"/>
        </w:rPr>
      </w:pPr>
      <w:r>
        <w:rPr>
          <w:rFonts w:ascii="Times New Roman;serif" w:hAnsi="Times New Roman;serif"/>
          <w:b w:val="false"/>
          <w:color w:val="000000"/>
          <w:sz w:val="20"/>
        </w:rPr>
        <w:t>products or technology comprising part of the Purchased Assets, Nokia will provide Inseego with a right of first offer to provide such products.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pursuant to the Purchase Agreement, Nokia has agreed that if the EBITDA (as defined in the Purchase Agreement) of the Nokia FWA Business for the first 12 months following the Closing is negative, Nokia will reimburse Inseego on a quarterly basis by the amount of such negative EBITDA, capped at an aggregate total payment of $38.0 million, subject to certain limitations. Additionally, for the next 24 months after the initial 12-month period after Closing, Inseego has agreed to pay to Nokia a portion of the EBITDA profits generated by the Nokia FWA Business, if any, ranging from 0% to 50%, dependent upon the Nokia FWA Business achieving certain revenue thresholds.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Purchase Agreement is subject to customary closing conditions and termination rights of the parties, including the right of either party to terminate the Purchase Agreement if the Closing has not occurred by January 15, 2027, subject to Inseego’s right to extend such date by up to three months if certain deliverables have not been provided.</w:t>
      </w:r>
    </w:p>
    <w:p>
      <w:pPr>
        <w:pStyle w:val="TextBody"/>
        <w:bidi w:val="0"/>
        <w:spacing w:lineRule="auto" w:line="276" w:before="180" w:after="18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Nokia Investment in Inseego</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April 30, 2026, Inseego and Nokia also entered into a Subscription Agreement (the “Subscription Agreement”), pursuant to which, subject to the terms and conditions contained therein (including the Closing occurring), at the Closing, Nokia will invest $10.0 million in cash in Inseego, for which it will receive 775,795 shares of Common Stock and warrants to purchase an aggregate of 260,569 shares of Common Stock, at an exercise price of $12.89 per share and otherwise in the same form as the warrants to be issued pursuant to the terms of the Purchase Agreement, except that such warrants will be exercisable for cash or on a cashless exercise basis.</w:t>
      </w:r>
    </w:p>
    <w:p>
      <w:pPr>
        <w:pStyle w:val="TextBody"/>
        <w:bidi w:val="0"/>
        <w:spacing w:lineRule="auto" w:line="276" w:before="180" w:after="180"/>
        <w:jc w:val="left"/>
        <w:rPr>
          <w:rFonts w:ascii="Times New Roman;serif" w:hAnsi="Times New Roman;serif"/>
          <w:b/>
          <w:color w:val="000000"/>
          <w:sz w:val="20"/>
        </w:rPr>
      </w:pPr>
      <w:r>
        <w:rPr>
          <w:rFonts w:ascii="Times New Roman;serif" w:hAnsi="Times New Roman;serif"/>
          <w:b/>
          <w:color w:val="000000"/>
          <w:sz w:val="20"/>
        </w:rPr>
        <w:t>Our Sources of Revenue</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classify our revenues from the sale of our products and services into two categories: Product Revenue, which consists of our Mobile Solutions and Fixed Wireless Access Solutions, and Software Services and Other. A description of each of the revenue classifications is as follows:</w:t>
      </w:r>
    </w:p>
    <w:p>
      <w:pPr>
        <w:pStyle w:val="TextBody"/>
        <w:bidi w:val="0"/>
        <w:spacing w:lineRule="auto" w:line="276" w:before="0" w:after="0"/>
        <w:jc w:val="left"/>
        <w:rPr/>
      </w:pPr>
      <w:r>
        <w:rPr>
          <w:rFonts w:ascii="Times New Roman;serif" w:hAnsi="Times New Roman;serif"/>
          <w:b w:val="false"/>
          <w:i/>
          <w:color w:val="000000"/>
          <w:sz w:val="20"/>
        </w:rPr>
        <w:t>Mobile Solutions</w:t>
      </w:r>
      <w:r>
        <w:rPr>
          <w:rFonts w:ascii="Times New Roman;serif" w:hAnsi="Times New Roman;serif"/>
          <w:b w:val="false"/>
          <w:color w:val="000000"/>
          <w:sz w:val="20"/>
        </w:rPr>
        <w:t>: Our mobile broadband devices, sold under the MiFi brand, are actively used by millions of end users to provide secure and convenient high-speed access to corporate, public and personal information through the Internet and enterprise networks. Our mobile portfolio is supported by our cloud offering, Inseego Connect for device management, whose revenues are included in</w:t>
      </w:r>
      <w:r>
        <w:rPr>
          <w:color w:val="000000"/>
        </w:rPr>
        <w:t xml:space="preserve"> </w:t>
      </w:r>
      <w:r>
        <w:rPr>
          <w:rFonts w:ascii="Times New Roman;serif" w:hAnsi="Times New Roman;serif"/>
          <w:b w:val="false"/>
          <w:i/>
          <w:color w:val="000000"/>
          <w:sz w:val="20"/>
        </w:rPr>
        <w:t>Software Services and Other</w:t>
      </w:r>
      <w:r>
        <w:rPr>
          <w:color w:val="000000"/>
        </w:rPr>
        <w:t xml:space="preserve"> </w:t>
      </w:r>
      <w:r>
        <w:rPr>
          <w:rFonts w:ascii="Times New Roman;serif" w:hAnsi="Times New Roman;serif"/>
          <w:b w:val="false"/>
          <w:color w:val="000000"/>
          <w:sz w:val="20"/>
        </w:rPr>
        <w:t>below. Our Mobile Solutions customer base is primarily comprised of mobile operators. These mobile operators include T-Mobile, Verizon Wireless, and AT&amp;T in the United States, Rogers and Telus in Canada, and various companies in other vertical markets</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i/>
          <w:color w:val="000000"/>
          <w:sz w:val="20"/>
        </w:rPr>
        <w:t>Fixed Wireless Access Solutions</w:t>
      </w:r>
      <w:r>
        <w:rPr>
          <w:rFonts w:ascii="Times New Roman;serif" w:hAnsi="Times New Roman;serif"/>
          <w:b w:val="false"/>
          <w:color w:val="000000"/>
          <w:sz w:val="20"/>
        </w:rPr>
        <w:t xml:space="preserve">: Our fixed wireless access solutions are deployed by enterprise and SMB customers for their distributed sites and employees as a secure and corporate managed wireless WWAN solution. The portfolio consists of indoor, outdoor and industrial routers and gateways supported by our cloud offering – Inseego Connect – for device management. Revenues related to our cloud offerings of Inseego Connect are included within </w:t>
      </w:r>
      <w:r>
        <w:rPr>
          <w:rFonts w:ascii="Times New Roman;serif" w:hAnsi="Times New Roman;serif"/>
          <w:b w:val="false"/>
          <w:i/>
          <w:color w:val="000000"/>
          <w:sz w:val="20"/>
        </w:rPr>
        <w:t>Software Services and Other</w:t>
      </w:r>
      <w:r>
        <w:rPr>
          <w:color w:val="000000"/>
        </w:rPr>
        <w:t xml:space="preserve"> </w:t>
      </w:r>
      <w:r>
        <w:rPr>
          <w:rFonts w:ascii="Times New Roman;serif" w:hAnsi="Times New Roman;serif"/>
          <w:b w:val="false"/>
          <w:color w:val="000000"/>
          <w:sz w:val="20"/>
        </w:rPr>
        <w:t>below. These devices, sold under the Wavemaker and Skyus brands, are sold by mobile operators such as T-Mobile, Verizon Wireless, and AT&amp;T along with distribution and channel partners.</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i/>
          <w:color w:val="000000"/>
          <w:sz w:val="20"/>
        </w:rPr>
        <w:t>Software Services and Other</w:t>
      </w:r>
      <w:r>
        <w:rPr>
          <w:rFonts w:ascii="Times New Roman;serif" w:hAnsi="Times New Roman;serif"/>
          <w:b w:val="false"/>
          <w:color w:val="000000"/>
          <w:sz w:val="20"/>
        </w:rPr>
        <w:t>: A substantial majority of our software services and other revenue comes from providing a SaaS CSP wireless subscriber lifecycle management solution (“Inseego Subscribe”) for carrier’s management of their government and complex enterprise customer subscriptions. Software services and other revenue also includes the Company’s above mentioned Inseego Connect offering. We also categorize non-recurring engineering services we provide to our customers as software services and other revenue.</w:t>
      </w:r>
    </w:p>
    <w:p>
      <w:pPr>
        <w:pStyle w:val="TextBody"/>
        <w:bidi w:val="0"/>
        <w:spacing w:lineRule="auto" w:line="276" w:before="180" w:after="18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Business Segment Reporting</w:t>
      </w:r>
    </w:p>
    <w:p>
      <w:pPr>
        <w:pStyle w:val="TextBody"/>
        <w:bidi w:val="0"/>
        <w:spacing w:lineRule="auto" w:line="276" w:before="180" w:after="180"/>
        <w:ind w:left="0" w:right="0" w:firstLine="450"/>
        <w:jc w:val="left"/>
        <w:rPr/>
      </w:pPr>
      <w:r>
        <w:rPr>
          <w:rFonts w:ascii="Times New Roman;serif" w:hAnsi="Times New Roman;serif"/>
          <w:b w:val="false"/>
          <w:color w:val="000000"/>
          <w:sz w:val="20"/>
          <w:shd w:fill="FFFFFF" w:val="clear"/>
        </w:rPr>
        <w:t xml:space="preserve">The Company has one reportable segment. The Company’s Chief Executive Officer (“CEO”), who is also the Chief Operating Decision Maker, does not manage any part of the Company separately, and the allocation of resources and assessment of performance are based solely on the Company’s consolidated operations and financial results. </w:t>
      </w:r>
      <w:r>
        <w:rPr>
          <w:rFonts w:ascii="Times New Roman;serif" w:hAnsi="Times New Roman;serif"/>
          <w:b w:val="false"/>
          <w:color w:val="000000"/>
          <w:sz w:val="20"/>
        </w:rPr>
        <w:t>As such, our operations constitute a single operating segment and one reportable segment.</w:t>
      </w:r>
    </w:p>
    <w:p>
      <w:pPr>
        <w:pStyle w:val="TextBody"/>
        <w:bidi w:val="0"/>
        <w:spacing w:lineRule="auto" w:line="276" w:before="180" w:after="180"/>
        <w:jc w:val="left"/>
        <w:rPr>
          <w:rFonts w:ascii="Times New Roman;serif" w:hAnsi="Times New Roman;serif"/>
          <w:b/>
          <w:color w:val="000000"/>
          <w:sz w:val="20"/>
        </w:rPr>
      </w:pPr>
      <w:r>
        <w:rPr>
          <w:rFonts w:ascii="Times New Roman;serif" w:hAnsi="Times New Roman;serif"/>
          <w:b/>
          <w:color w:val="000000"/>
          <w:sz w:val="20"/>
        </w:rPr>
        <w:t xml:space="preserve">Critical Accounting Estimates </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prepare our condensed consolidated financial statements in accordance with GAAP. The preparation of these condensed consolidated financial statements in conformity with GAAP requires us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We base our estimates on historical experience and other assumptions that we believe are reasonable under the circumstances. Our actual results could differ significantly from these estimates under different assumptions and conditions.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ind w:left="0" w:right="0" w:firstLine="450"/>
        <w:jc w:val="left"/>
        <w:rPr/>
      </w:pPr>
      <w:r>
        <w:rPr/>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our critical accounting estimates as compared to the critical accounting estimates discussed in the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Three Months Ended June 30, 2026 Compared to Three Months Ended June 30, 2025 </w:t>
      </w:r>
    </w:p>
    <w:p>
      <w:pPr>
        <w:pStyle w:val="TextBody"/>
        <w:bidi w:val="0"/>
        <w:spacing w:lineRule="auto" w:line="276" w:before="180" w:after="180"/>
        <w:ind w:left="0" w:right="0" w:firstLine="450"/>
        <w:jc w:val="left"/>
        <w:rPr/>
      </w:pPr>
      <w:r>
        <w:rPr>
          <w:rFonts w:ascii="Times New Roman;serif" w:hAnsi="Times New Roman;serif"/>
          <w:b/>
          <w:i/>
          <w:color w:val="000000"/>
          <w:sz w:val="20"/>
        </w:rPr>
        <w:t>Revenues</w:t>
      </w:r>
      <w:r>
        <w:rPr>
          <w:rFonts w:ascii="Times New Roman;serif" w:hAnsi="Times New Roman;serif"/>
          <w:b w:val="false"/>
          <w:color w:val="000000"/>
          <w:sz w:val="20"/>
        </w:rPr>
        <w:t xml:space="preserve">. Revenues for the three months ended June 30, 2026 were $44.0 million, compared to $40.2 million for the same period in 2025. </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revenues by category (in thousands):</w:t>
      </w:r>
    </w:p>
    <w:tbl>
      <w:tblPr>
        <w:tblW w:w="6851" w:type="dxa"/>
        <w:jc w:val="left"/>
        <w:tblInd w:w="0" w:type="dxa"/>
        <w:tblLayout w:type="fixed"/>
        <w:tblCellMar>
          <w:top w:w="28" w:type="dxa"/>
          <w:left w:w="28" w:type="dxa"/>
          <w:bottom w:w="28" w:type="dxa"/>
          <w:right w:w="28" w:type="dxa"/>
        </w:tblCellMar>
      </w:tblPr>
      <w:tblGrid>
        <w:gridCol w:w="847"/>
        <w:gridCol w:w="746"/>
        <w:gridCol w:w="747"/>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233"/>
        <w:gridCol w:w="233"/>
        <w:gridCol w:w="301"/>
      </w:tblGrid>
      <w:tr>
        <w:trPr/>
        <w:tc>
          <w:tcPr>
            <w:tcW w:w="847"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Product Category</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Mobile solutions</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17,291 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13,672 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26.5 </w:t>
            </w:r>
          </w:p>
        </w:tc>
        <w:tc>
          <w:tcPr>
            <w:tcW w:w="3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Fixed wireless access solutions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Software services and 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180"/>
        <w:ind w:left="0" w:right="0" w:firstLine="450"/>
        <w:jc w:val="left"/>
        <w:rPr/>
      </w:pPr>
      <w:r>
        <w:rPr>
          <w:rFonts w:ascii="Times New Roman;serif" w:hAnsi="Times New Roman;serif"/>
          <w:b w:val="false"/>
          <w:i/>
          <w:color w:val="000000"/>
          <w:sz w:val="20"/>
        </w:rPr>
        <w:t>Mobile solutions.</w:t>
      </w:r>
      <w:r>
        <w:rPr>
          <w:color w:val="000000"/>
        </w:rPr>
        <w:t xml:space="preserve"> </w:t>
      </w:r>
      <w:r>
        <w:rPr>
          <w:rFonts w:ascii="Times New Roman;serif" w:hAnsi="Times New Roman;serif"/>
          <w:b w:val="false"/>
          <w:color w:val="000000"/>
          <w:sz w:val="20"/>
        </w:rPr>
        <w:t>The $3.6 million increase in mobile solutions revenues is primarily due to sales to a new carrier partner during the three months ended June 30, 2026, who was not a customer during the comparable prior period. This increase was partially offset by the impact of the late-quarter launch of our current generation of mobile solutions products, which limited revenue contribution from the new product line during the three months ended June 30, 2026.</w:t>
      </w:r>
    </w:p>
    <w:p>
      <w:pPr>
        <w:pStyle w:val="TextBody"/>
        <w:bidi w:val="0"/>
        <w:spacing w:lineRule="auto" w:line="276" w:before="180" w:after="180"/>
        <w:ind w:left="0" w:right="0" w:firstLine="450"/>
        <w:jc w:val="left"/>
        <w:rPr/>
      </w:pPr>
      <w:r>
        <w:rPr>
          <w:rFonts w:ascii="Times New Roman;serif" w:hAnsi="Times New Roman;serif"/>
          <w:b w:val="false"/>
          <w:i/>
          <w:color w:val="000000"/>
          <w:sz w:val="20"/>
        </w:rPr>
        <w:t>Fixed wireless access solutions.</w:t>
      </w:r>
      <w:r>
        <w:rPr>
          <w:color w:val="000000"/>
        </w:rPr>
        <w:t xml:space="preserve"> </w:t>
      </w:r>
      <w:r>
        <w:rPr>
          <w:rFonts w:ascii="Times New Roman;serif" w:hAnsi="Times New Roman;serif"/>
          <w:b w:val="false"/>
          <w:color w:val="000000"/>
          <w:sz w:val="20"/>
        </w:rPr>
        <w:t>The $0.1 million decrease in fixed wireless access solutions revenues reflects overall consistent demand for our fixed wireless access products period over period. The modest decrease was primarily driven by a shift in the customer mix, as revenues concentrated with a key carrier partner in the prior period were largely replaced by revenues from a new carrier partner during the three months ended June 30, 2026, resulting in only a negligible net change in total fixed wireless access revenues.</w:t>
      </w:r>
    </w:p>
    <w:p>
      <w:pPr>
        <w:pStyle w:val="TextBody"/>
        <w:bidi w:val="0"/>
        <w:spacing w:lineRule="auto" w:line="276" w:before="180" w:after="180"/>
        <w:ind w:left="0" w:right="0" w:firstLine="450"/>
        <w:jc w:val="left"/>
        <w:rPr/>
      </w:pPr>
      <w:r>
        <w:rPr>
          <w:rFonts w:ascii="Times New Roman;serif" w:hAnsi="Times New Roman;serif"/>
          <w:b w:val="false"/>
          <w:i/>
          <w:color w:val="000000"/>
          <w:sz w:val="20"/>
        </w:rPr>
        <w:t xml:space="preserve">Software services and other. </w:t>
      </w:r>
      <w:r>
        <w:rPr>
          <w:rFonts w:ascii="Times New Roman;serif" w:hAnsi="Times New Roman;serif"/>
          <w:b w:val="false"/>
          <w:color w:val="000000"/>
          <w:sz w:val="20"/>
        </w:rPr>
        <w:t>The $0.3 million increase in software services and other revenues is primarily due to increased revenue from Inseego Connect, primarily on our fixed wireless access devices.</w:t>
      </w:r>
    </w:p>
    <w:p>
      <w:pPr>
        <w:pStyle w:val="TextBody"/>
        <w:bidi w:val="0"/>
        <w:spacing w:lineRule="auto" w:line="276" w:before="180" w:after="180"/>
        <w:ind w:left="0" w:right="0" w:firstLine="450"/>
        <w:jc w:val="left"/>
        <w:rPr/>
      </w:pPr>
      <w:r>
        <w:rPr>
          <w:rFonts w:ascii="Times New Roman;serif" w:hAnsi="Times New Roman;serif"/>
          <w:b/>
          <w:i/>
          <w:color w:val="000000"/>
          <w:sz w:val="20"/>
        </w:rPr>
        <w:t xml:space="preserve">Cost of revenues. </w:t>
      </w:r>
      <w:r>
        <w:rPr>
          <w:rFonts w:ascii="Times New Roman;serif" w:hAnsi="Times New Roman;serif"/>
          <w:b w:val="false"/>
          <w:color w:val="000000"/>
          <w:sz w:val="20"/>
        </w:rPr>
        <w:t xml:space="preserve">Cost of revenues for the three months ended June 30, 2026 was $29.1 million, or 66.2% of revenues, compared to $23.7 million, or 58.9% of revenues, for the same period in 2025. </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cost of revenues by category (in thousands):</w:t>
      </w:r>
    </w:p>
    <w:tbl>
      <w:tblPr>
        <w:tblW w:w="6595" w:type="dxa"/>
        <w:jc w:val="left"/>
        <w:tblInd w:w="0" w:type="dxa"/>
        <w:tblLayout w:type="fixed"/>
        <w:tblCellMar>
          <w:top w:w="28" w:type="dxa"/>
          <w:left w:w="28" w:type="dxa"/>
          <w:bottom w:w="28" w:type="dxa"/>
          <w:right w:w="28" w:type="dxa"/>
        </w:tblCellMar>
      </w:tblPr>
      <w:tblGrid>
        <w:gridCol w:w="754"/>
        <w:gridCol w:w="664"/>
        <w:gridCol w:w="666"/>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233"/>
        <w:gridCol w:w="233"/>
        <w:gridCol w:w="301"/>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Product Category</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27,756 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22,365 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24.1 </w:t>
            </w:r>
          </w:p>
        </w:tc>
        <w:tc>
          <w:tcPr>
            <w:tcW w:w="3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Software services and 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 of revenues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180"/>
        <w:ind w:left="0" w:right="0" w:firstLine="450"/>
        <w:jc w:val="left"/>
        <w:rPr/>
      </w:pPr>
      <w:r>
        <w:rPr>
          <w:rFonts w:ascii="Times New Roman;serif" w:hAnsi="Times New Roman;serif"/>
          <w:b w:val="false"/>
          <w:i/>
          <w:color w:val="000000"/>
          <w:sz w:val="20"/>
        </w:rPr>
        <w:t>Product.</w:t>
      </w:r>
      <w:r>
        <w:rPr>
          <w:color w:val="000000"/>
        </w:rPr>
        <w:t xml:space="preserve"> </w:t>
      </w:r>
      <w:r>
        <w:rPr>
          <w:rFonts w:ascii="Times New Roman;serif" w:hAnsi="Times New Roman;serif"/>
          <w:b w:val="false"/>
          <w:color w:val="000000"/>
          <w:sz w:val="20"/>
        </w:rPr>
        <w:t xml:space="preserve">The $5.4 million increase in product cost of revenues is primarily due to increased product revenues, increased component costs, specifically memory costs, and lower margin on the current year’s generation of products in comparison to the prior year period. </w:t>
      </w:r>
    </w:p>
    <w:p>
      <w:pPr>
        <w:pStyle w:val="TextBody"/>
        <w:bidi w:val="0"/>
        <w:spacing w:lineRule="auto" w:line="276" w:before="180" w:after="180"/>
        <w:ind w:left="0" w:right="0" w:firstLine="450"/>
        <w:jc w:val="left"/>
        <w:rPr/>
      </w:pPr>
      <w:r>
        <w:rPr>
          <w:rFonts w:ascii="Times New Roman;serif" w:hAnsi="Times New Roman;serif"/>
          <w:b w:val="false"/>
          <w:i/>
          <w:color w:val="000000"/>
          <w:sz w:val="20"/>
        </w:rPr>
        <w:t>Software services and other.</w:t>
      </w:r>
      <w:r>
        <w:rPr>
          <w:color w:val="000000"/>
        </w:rPr>
        <w:t xml:space="preserve"> </w:t>
      </w:r>
      <w:r>
        <w:rPr>
          <w:rFonts w:ascii="Times New Roman;serif" w:hAnsi="Times New Roman;serif"/>
          <w:b w:val="false"/>
          <w:color w:val="000000"/>
          <w:sz w:val="20"/>
        </w:rPr>
        <w:t>The increase in software services and other cost of revenues is consistent with the increase in software services and other revenues over the same period, as the underlying cost drivers — primarily personnel costs related to Inseego Subscribe and Inseego Connect — remained relatively stable period over period. The largely fixed cost structure of the Company's software and services operations meant that the change in revenue activity did not require a meaningful change in the resources required to deliver those services.</w:t>
      </w:r>
    </w:p>
    <w:p>
      <w:pPr>
        <w:pStyle w:val="TextBody"/>
        <w:bidi w:val="0"/>
        <w:spacing w:lineRule="auto" w:line="276" w:before="180" w:after="180"/>
        <w:ind w:left="0" w:right="0" w:firstLine="450"/>
        <w:jc w:val="left"/>
        <w:rPr/>
      </w:pPr>
      <w:r>
        <w:rPr>
          <w:rFonts w:ascii="Times New Roman;serif" w:hAnsi="Times New Roman;serif"/>
          <w:b/>
          <w:i/>
          <w:color w:val="000000"/>
          <w:sz w:val="20"/>
        </w:rPr>
        <w:t>Gross profit.</w:t>
      </w:r>
      <w:r>
        <w:rPr>
          <w:color w:val="000000"/>
        </w:rPr>
        <w:t xml:space="preserve"> </w:t>
      </w:r>
      <w:r>
        <w:rPr>
          <w:rFonts w:ascii="Times New Roman;serif" w:hAnsi="Times New Roman;serif"/>
          <w:b w:val="false"/>
          <w:color w:val="000000"/>
          <w:sz w:val="20"/>
        </w:rPr>
        <w:t>Gross profit for the three months ended June 30, 2026 was $14.8 million, or a gross margin of 33.8%, compared to $16.5 million, or a gross margin of 41.1%, for the same period in 2025. The decrease in both gross profit and gross margin is primarily due to increased product component costs, specifically memory costs, and lower margin on the current year’s generation of mobile and fixed wireless access products in comparison to the prior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ind w:left="0" w:right="0" w:firstLine="450"/>
        <w:jc w:val="left"/>
        <w:rPr/>
      </w:pPr>
      <w:r>
        <w:rPr/>
      </w:r>
    </w:p>
    <w:p>
      <w:pPr>
        <w:pStyle w:val="TextBody"/>
        <w:bidi w:val="0"/>
        <w:spacing w:lineRule="auto" w:line="276" w:before="180" w:after="180"/>
        <w:ind w:left="0" w:right="0" w:firstLine="450"/>
        <w:jc w:val="left"/>
        <w:rPr/>
      </w:pPr>
      <w:r>
        <w:rPr>
          <w:rFonts w:ascii="Times New Roman;serif" w:hAnsi="Times New Roman;serif"/>
          <w:b/>
          <w:i/>
          <w:color w:val="000000"/>
          <w:sz w:val="20"/>
        </w:rPr>
        <w:t xml:space="preserve">Operating costs and expenses. </w:t>
      </w:r>
      <w:r>
        <w:rPr>
          <w:rFonts w:ascii="Times New Roman;serif" w:hAnsi="Times New Roman;serif"/>
          <w:b w:val="false"/>
          <w:color w:val="000000"/>
          <w:sz w:val="20"/>
        </w:rPr>
        <w:t>The following table summarizes operating costs and expenses (in thousands):</w:t>
      </w:r>
    </w:p>
    <w:tbl>
      <w:tblPr>
        <w:tblW w:w="7075" w:type="dxa"/>
        <w:jc w:val="left"/>
        <w:tblInd w:w="0" w:type="dxa"/>
        <w:tblLayout w:type="fixed"/>
        <w:tblCellMar>
          <w:top w:w="28" w:type="dxa"/>
          <w:left w:w="28" w:type="dxa"/>
          <w:bottom w:w="28" w:type="dxa"/>
          <w:right w:w="28" w:type="dxa"/>
        </w:tblCellMar>
      </w:tblPr>
      <w:tblGrid>
        <w:gridCol w:w="928"/>
        <w:gridCol w:w="817"/>
        <w:gridCol w:w="819"/>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233"/>
        <w:gridCol w:w="233"/>
        <w:gridCol w:w="301"/>
      </w:tblGrid>
      <w:tr>
        <w:trPr/>
        <w:tc>
          <w:tcPr>
            <w:tcW w:w="928"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costs and expenses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5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3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63.0 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capitalized software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180"/>
        <w:ind w:left="0" w:right="0" w:firstLine="450"/>
        <w:jc w:val="left"/>
        <w:rPr/>
      </w:pPr>
      <w:r>
        <w:rPr>
          <w:rFonts w:ascii="Times New Roman;serif" w:hAnsi="Times New Roman;serif"/>
          <w:b/>
          <w:i/>
          <w:color w:val="000000"/>
          <w:sz w:val="20"/>
        </w:rPr>
        <w:t>Research and development expenses.</w:t>
      </w:r>
      <w:r>
        <w:rPr>
          <w:color w:val="000000"/>
        </w:rPr>
        <w:t xml:space="preserve"> </w:t>
      </w:r>
      <w:r>
        <w:rPr>
          <w:rFonts w:ascii="Times New Roman;serif" w:hAnsi="Times New Roman;serif"/>
          <w:b w:val="false"/>
          <w:color w:val="000000"/>
          <w:sz w:val="20"/>
        </w:rPr>
        <w:t xml:space="preserve">Research and development expenses for the three months ended June 30, 2026 were $5.3 million, or 12.1% of revenues, compared to $4.8 million, or 12.0% of revenues, for the same period in 2025. The increase in research and development expenses was primarily due to increased compensation costs due to increased headcount related to the Company’s development efforts for its next line of products, partially offset by decreased annual incentive bonus accruals. </w:t>
      </w:r>
    </w:p>
    <w:p>
      <w:pPr>
        <w:pStyle w:val="TextBody"/>
        <w:bidi w:val="0"/>
        <w:spacing w:lineRule="auto" w:line="276" w:before="180" w:after="180"/>
        <w:ind w:left="0" w:right="0" w:firstLine="450"/>
        <w:jc w:val="left"/>
        <w:rPr/>
      </w:pPr>
      <w:r>
        <w:rPr>
          <w:rFonts w:ascii="Times New Roman;serif" w:hAnsi="Times New Roman;serif"/>
          <w:b/>
          <w:i/>
          <w:color w:val="000000"/>
          <w:sz w:val="20"/>
        </w:rPr>
        <w:t>Sales and marketing expenses.</w:t>
      </w:r>
      <w:r>
        <w:rPr>
          <w:color w:val="000000"/>
        </w:rPr>
        <w:t xml:space="preserve"> </w:t>
      </w:r>
      <w:r>
        <w:rPr>
          <w:rFonts w:ascii="Times New Roman;serif" w:hAnsi="Times New Roman;serif"/>
          <w:b w:val="false"/>
          <w:color w:val="000000"/>
          <w:sz w:val="20"/>
        </w:rPr>
        <w:t>Sales and marketing expenses for the three months ended June 30, 2026 were $6.4 million, or 14.6% of revenues, compared to $4.0 million, or 9.8% of revenues, for the same period in 2025. The increase in sales and marketing expenses was primarily due to increased marketing spend on demo units, increased compensation costs due to increased headcount, increased share-based compensation expense related to equity awards granted in late 2025, and increased commissions expense related to higher sales during the period, partially offset by decreased annual incentive bonus accruals.</w:t>
      </w:r>
    </w:p>
    <w:p>
      <w:pPr>
        <w:pStyle w:val="TextBody"/>
        <w:bidi w:val="0"/>
        <w:spacing w:lineRule="auto" w:line="276" w:before="180" w:after="180"/>
        <w:ind w:left="0" w:right="0" w:firstLine="450"/>
        <w:jc w:val="left"/>
        <w:rPr/>
      </w:pPr>
      <w:r>
        <w:rPr>
          <w:rFonts w:ascii="Times New Roman;serif" w:hAnsi="Times New Roman;serif"/>
          <w:b/>
          <w:i/>
          <w:color w:val="000000"/>
          <w:sz w:val="20"/>
        </w:rPr>
        <w:t>General and administrative expenses.</w:t>
      </w:r>
      <w:r>
        <w:rPr>
          <w:color w:val="000000"/>
        </w:rPr>
        <w:t xml:space="preserve"> </w:t>
      </w:r>
      <w:r>
        <w:rPr>
          <w:rFonts w:ascii="Times New Roman;serif" w:hAnsi="Times New Roman;serif"/>
          <w:b w:val="false"/>
          <w:color w:val="000000"/>
          <w:sz w:val="20"/>
        </w:rPr>
        <w:t>General and administrative expenses for the three months ended June 30, 2026 were $7.8 million, or 17.6% of revenues, compared to $4.7 million, or 11.7% of revenues, for the same period in 2025. The increase in general and administrative expense was primarily due to non-recurring transaction costs related to the Purchase Agreement for Nokia’s FWA business and increased share-based compensation expense related to equity awards granted in late 2025, partially offset by decreased annual incentive bonus accruals.</w:t>
      </w:r>
    </w:p>
    <w:p>
      <w:pPr>
        <w:pStyle w:val="TextBody"/>
        <w:bidi w:val="0"/>
        <w:spacing w:lineRule="auto" w:line="276" w:before="180" w:after="180"/>
        <w:ind w:left="0" w:right="0" w:firstLine="450"/>
        <w:jc w:val="left"/>
        <w:rPr/>
      </w:pPr>
      <w:r>
        <w:rPr>
          <w:rFonts w:ascii="Times New Roman;serif" w:hAnsi="Times New Roman;serif"/>
          <w:b/>
          <w:i/>
          <w:color w:val="000000"/>
          <w:sz w:val="20"/>
        </w:rPr>
        <w:t>Depreciation and amortization expenses</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Depreciation and amortization expenses for the three months ended June 30, 2026 were $2.2 million, or 5.1% of revenues, compared to $1.8 million, or 4.4% of revenues, for the same period in 2025. The increase in depreciation and amortization expenses was primarily due higher capitalized software balances being amortized in the current period related to significant development efforts relating to our current generation of mobile and fixed wireless products, as well as efforts related to further development of our software services.</w:t>
      </w:r>
    </w:p>
    <w:p>
      <w:pPr>
        <w:pStyle w:val="TextBody"/>
        <w:bidi w:val="0"/>
        <w:spacing w:lineRule="auto" w:line="276" w:before="180" w:after="180"/>
        <w:ind w:left="0" w:right="0" w:firstLine="450"/>
        <w:jc w:val="left"/>
        <w:rPr/>
      </w:pPr>
      <w:r>
        <w:rPr>
          <w:rFonts w:ascii="Times New Roman;serif" w:hAnsi="Times New Roman;serif"/>
          <w:b/>
          <w:i/>
          <w:color w:val="000000"/>
          <w:sz w:val="20"/>
        </w:rPr>
        <w:t xml:space="preserve">Impairment of capitalized software. </w:t>
      </w:r>
      <w:r>
        <w:rPr>
          <w:rFonts w:ascii="Times New Roman;serif" w:hAnsi="Times New Roman;serif"/>
          <w:b w:val="false"/>
          <w:color w:val="000000"/>
          <w:sz w:val="20"/>
        </w:rPr>
        <w:t>For the three months ended June 30, 2026 and 2025, we recorded impairments of $0.3 million and $0.0 million, respectively.</w:t>
      </w:r>
    </w:p>
    <w:p>
      <w:pPr>
        <w:pStyle w:val="TextBody"/>
        <w:bidi w:val="0"/>
        <w:spacing w:lineRule="auto" w:line="276" w:before="180" w:after="180"/>
        <w:ind w:left="0" w:right="0" w:firstLine="450"/>
        <w:jc w:val="left"/>
        <w:rPr/>
      </w:pPr>
      <w:r>
        <w:rPr>
          <w:rFonts w:ascii="Times New Roman;serif" w:hAnsi="Times New Roman;serif"/>
          <w:b/>
          <w:i/>
          <w:color w:val="000000"/>
          <w:sz w:val="20"/>
        </w:rPr>
        <w:t xml:space="preserve">Other (expense) income. </w:t>
      </w:r>
      <w:r>
        <w:rPr>
          <w:rFonts w:ascii="Times New Roman;serif" w:hAnsi="Times New Roman;serif"/>
          <w:b w:val="false"/>
          <w:color w:val="000000"/>
          <w:sz w:val="20"/>
        </w:rPr>
        <w:t>The following table summarizes other (expense) income (in thousands):</w:t>
      </w:r>
    </w:p>
    <w:tbl>
      <w:tblPr>
        <w:tblW w:w="6474" w:type="dxa"/>
        <w:jc w:val="left"/>
        <w:tblInd w:w="0" w:type="dxa"/>
        <w:tblLayout w:type="fixed"/>
        <w:tblCellMar>
          <w:top w:w="28" w:type="dxa"/>
          <w:left w:w="28" w:type="dxa"/>
          <w:bottom w:w="28" w:type="dxa"/>
          <w:right w:w="28" w:type="dxa"/>
        </w:tblCellMar>
      </w:tblPr>
      <w:tblGrid>
        <w:gridCol w:w="764"/>
        <w:gridCol w:w="674"/>
        <w:gridCol w:w="676"/>
        <w:gridCol w:w="196"/>
        <w:gridCol w:w="631"/>
        <w:gridCol w:w="109"/>
        <w:gridCol w:w="109"/>
        <w:gridCol w:w="109"/>
        <w:gridCol w:w="109"/>
        <w:gridCol w:w="196"/>
        <w:gridCol w:w="496"/>
        <w:gridCol w:w="109"/>
        <w:gridCol w:w="109"/>
        <w:gridCol w:w="109"/>
        <w:gridCol w:w="109"/>
        <w:gridCol w:w="196"/>
        <w:gridCol w:w="496"/>
        <w:gridCol w:w="109"/>
        <w:gridCol w:w="109"/>
        <w:gridCol w:w="109"/>
        <w:gridCol w:w="109"/>
        <w:gridCol w:w="269"/>
        <w:gridCol w:w="271"/>
        <w:gridCol w:w="301"/>
      </w:tblGrid>
      <w:tr>
        <w:trPr/>
        <w:tc>
          <w:tcPr>
            <w:tcW w:w="76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(expense) income</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1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11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211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(76.4)</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80" w:after="180"/>
        <w:jc w:val="left"/>
        <w:rPr>
          <w:rFonts w:ascii="Times New Roman;serif" w:hAnsi="Times New Roman;serif"/>
          <w:b w:val="false"/>
          <w:i/>
          <w:color w:val="000000"/>
          <w:sz w:val="16"/>
        </w:rPr>
      </w:pPr>
      <w:r>
        <w:rPr>
          <w:rFonts w:ascii="Times New Roman;serif" w:hAnsi="Times New Roman;serif"/>
          <w:b w:val="false"/>
          <w:i/>
          <w:color w:val="000000"/>
          <w:sz w:val="16"/>
        </w:rPr>
        <w:t>* Percentage not meaningful</w:t>
      </w:r>
    </w:p>
    <w:p>
      <w:pPr>
        <w:pStyle w:val="TextBody"/>
        <w:bidi w:val="0"/>
        <w:spacing w:lineRule="auto" w:line="276" w:before="180" w:after="180"/>
        <w:ind w:left="0" w:right="0" w:firstLine="450"/>
        <w:jc w:val="left"/>
        <w:rPr/>
      </w:pPr>
      <w:r>
        <w:rPr>
          <w:rFonts w:ascii="Times New Roman;serif" w:hAnsi="Times New Roman;serif"/>
          <w:b/>
          <w:i/>
          <w:color w:val="000000"/>
          <w:sz w:val="20"/>
        </w:rPr>
        <w:t>Interest expense.</w:t>
      </w:r>
      <w:r>
        <w:rPr>
          <w:color w:val="000000"/>
        </w:rPr>
        <w:t xml:space="preserve"> </w:t>
      </w:r>
      <w:r>
        <w:rPr>
          <w:rFonts w:ascii="Times New Roman;serif" w:hAnsi="Times New Roman;serif"/>
          <w:b w:val="false"/>
          <w:color w:val="000000"/>
          <w:sz w:val="20"/>
        </w:rPr>
        <w:t>The increase in interest expense is primarily due to the $8.0 million increase in 2029 Senior Secured Notes principal in January 2026 as part of the Preferred Stock Exchange Agreement and drawn balances on the Working Capital Facility that was executed in August 2025, partially offset by the repayment of the 2025 Convertible Notes in May 2025.</w:t>
      </w:r>
    </w:p>
    <w:p>
      <w:pPr>
        <w:pStyle w:val="TextBody"/>
        <w:bidi w:val="0"/>
        <w:spacing w:lineRule="auto" w:line="276" w:before="180" w:after="180"/>
        <w:ind w:left="0" w:right="0" w:firstLine="450"/>
        <w:jc w:val="left"/>
        <w:rPr/>
      </w:pPr>
      <w:r>
        <w:rPr>
          <w:rFonts w:ascii="Times New Roman;serif" w:hAnsi="Times New Roman;serif"/>
          <w:b/>
          <w:i/>
          <w:color w:val="000000"/>
          <w:sz w:val="20"/>
        </w:rPr>
        <w:t>Other income (expense), net.</w:t>
      </w:r>
      <w:r>
        <w:rPr>
          <w:color w:val="000000"/>
        </w:rPr>
        <w:t xml:space="preserve"> </w:t>
      </w:r>
      <w:r>
        <w:rPr>
          <w:rFonts w:ascii="Times New Roman;serif" w:hAnsi="Times New Roman;serif"/>
          <w:b w:val="false"/>
          <w:color w:val="000000"/>
          <w:sz w:val="20"/>
        </w:rPr>
        <w:t>Other income (expense), net for the three months ended June 30, 2026 and 2025 was less than $0.1 million and $0.2 million, respectively. The decrease in other income, net was primarily due to lower interest bearing cash balances in the current quarter.</w:t>
      </w:r>
    </w:p>
    <w:p>
      <w:pPr>
        <w:pStyle w:val="TextBody"/>
        <w:bidi w:val="0"/>
        <w:spacing w:lineRule="auto" w:line="276" w:before="180" w:after="180"/>
        <w:ind w:left="0" w:right="0" w:firstLine="450"/>
        <w:jc w:val="left"/>
        <w:rPr/>
      </w:pPr>
      <w:r>
        <w:rPr>
          <w:rFonts w:ascii="Times New Roman;serif" w:hAnsi="Times New Roman;serif"/>
          <w:b/>
          <w:i/>
          <w:color w:val="000000"/>
          <w:sz w:val="20"/>
        </w:rPr>
        <w:t xml:space="preserve">Income tax provision (benefit). </w:t>
      </w:r>
      <w:r>
        <w:rPr>
          <w:rFonts w:ascii="Times New Roman;serif" w:hAnsi="Times New Roman;serif"/>
          <w:b w:val="false"/>
          <w:color w:val="000000"/>
          <w:sz w:val="20"/>
        </w:rPr>
        <w:t>Income tax provision (benefit) was less than $0.1 million for both the three months ended June 30, 2026 and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pPr>
      <w:r>
        <w:rPr>
          <w:rFonts w:ascii="Times New Roman;serif" w:hAnsi="Times New Roman;serif"/>
          <w:b/>
          <w:i/>
          <w:color w:val="000000"/>
          <w:sz w:val="20"/>
        </w:rPr>
        <w:t xml:space="preserve">Preferred stock dividends. </w:t>
      </w:r>
      <w:r>
        <w:rPr>
          <w:rFonts w:ascii="Times New Roman;serif" w:hAnsi="Times New Roman;serif"/>
          <w:b w:val="false"/>
          <w:color w:val="000000"/>
          <w:sz w:val="20"/>
        </w:rPr>
        <w:t>During the three months ended June 30, 2025, we recorded dividends of $0.9 million. There were no preferred stock dividends during the three months ended June 30, 2026 as all outstanding preferred stock was surrendered and forfeited by the Preferred Stock Holder as part of the Preferred Stock Exchange Agreement on January 14,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ind w:left="0" w:right="0" w:firstLine="450"/>
        <w:jc w:val="left"/>
        <w:rPr/>
      </w:pPr>
      <w:r>
        <w:rPr/>
      </w:r>
    </w:p>
    <w:p>
      <w:pPr>
        <w:pStyle w:val="TextBody"/>
        <w:bidi w:val="0"/>
        <w:spacing w:lineRule="auto" w:line="268" w:before="180" w:after="180"/>
        <w:jc w:val="left"/>
        <w:rPr>
          <w:rFonts w:ascii="Times New Roman;serif" w:hAnsi="Times New Roman;serif"/>
          <w:b/>
          <w:color w:val="000000"/>
          <w:sz w:val="20"/>
        </w:rPr>
      </w:pPr>
      <w:r>
        <w:rPr>
          <w:rFonts w:ascii="Times New Roman;serif" w:hAnsi="Times New Roman;serif"/>
          <w:b/>
          <w:color w:val="000000"/>
          <w:sz w:val="20"/>
        </w:rPr>
        <w:t>Six Months Ended June 30, 2026 Compared to Six Months Ended June 30, 2025</w:t>
      </w:r>
    </w:p>
    <w:p>
      <w:pPr>
        <w:pStyle w:val="TextBody"/>
        <w:bidi w:val="0"/>
        <w:spacing w:lineRule="auto" w:line="276" w:before="180" w:after="180"/>
        <w:ind w:left="0" w:right="0" w:firstLine="450"/>
        <w:jc w:val="left"/>
        <w:rPr/>
      </w:pPr>
      <w:r>
        <w:rPr>
          <w:rFonts w:ascii="Times New Roman;serif" w:hAnsi="Times New Roman;serif"/>
          <w:b/>
          <w:i/>
          <w:color w:val="000000"/>
          <w:sz w:val="20"/>
        </w:rPr>
        <w:t>Revenues</w:t>
      </w:r>
      <w:r>
        <w:rPr>
          <w:rFonts w:ascii="Times New Roman;serif" w:hAnsi="Times New Roman;serif"/>
          <w:b w:val="false"/>
          <w:color w:val="000000"/>
          <w:sz w:val="20"/>
        </w:rPr>
        <w:t xml:space="preserve">. Revenues for the six months ended June 30, 2026 were $78.3 million, compared to $71.9 million for the same period in 2025. </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revenues by our two product categories (in thousands):</w:t>
      </w:r>
    </w:p>
    <w:tbl>
      <w:tblPr>
        <w:tblW w:w="6851" w:type="dxa"/>
        <w:jc w:val="left"/>
        <w:tblInd w:w="0" w:type="dxa"/>
        <w:tblLayout w:type="fixed"/>
        <w:tblCellMar>
          <w:top w:w="28" w:type="dxa"/>
          <w:left w:w="28" w:type="dxa"/>
          <w:bottom w:w="28" w:type="dxa"/>
          <w:right w:w="28" w:type="dxa"/>
        </w:tblCellMar>
      </w:tblPr>
      <w:tblGrid>
        <w:gridCol w:w="847"/>
        <w:gridCol w:w="746"/>
        <w:gridCol w:w="747"/>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233"/>
        <w:gridCol w:w="233"/>
        <w:gridCol w:w="301"/>
      </w:tblGrid>
      <w:tr>
        <w:trPr/>
        <w:tc>
          <w:tcPr>
            <w:tcW w:w="847"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Product Category</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Mobile solutions</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33,979 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31,462 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3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Fixed wireless access solutions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Software services and 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78,322 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71,896 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80" w:after="180"/>
        <w:ind w:left="0" w:right="0" w:firstLine="450"/>
        <w:jc w:val="left"/>
        <w:rPr/>
      </w:pPr>
      <w:r>
        <w:rPr>
          <w:rFonts w:ascii="Times New Roman;serif" w:hAnsi="Times New Roman;serif"/>
          <w:b w:val="false"/>
          <w:i/>
          <w:color w:val="000000"/>
          <w:sz w:val="20"/>
        </w:rPr>
        <w:t>Mobile solutions.</w:t>
      </w:r>
      <w:r>
        <w:rPr>
          <w:color w:val="000000"/>
        </w:rPr>
        <w:t xml:space="preserve"> </w:t>
      </w:r>
      <w:r>
        <w:rPr>
          <w:rFonts w:ascii="Times New Roman;serif" w:hAnsi="Times New Roman;serif"/>
          <w:b w:val="false"/>
          <w:color w:val="000000"/>
          <w:sz w:val="20"/>
        </w:rPr>
        <w:t xml:space="preserve">The $2.5 million increase in mobile solutions revenues is primarily due to sales to a new carrier partner during the six months ended June 30, 2026, who was not a customer during the comparable prior period. This increase was partially offset by the impact of the launch of our current generation of mobile solutions products late in the current period, which limited revenue contribution from the new product line during the six months ended June 30, 2026. </w:t>
      </w:r>
    </w:p>
    <w:p>
      <w:pPr>
        <w:pStyle w:val="TextBody"/>
        <w:bidi w:val="0"/>
        <w:spacing w:lineRule="auto" w:line="268" w:before="180" w:after="180"/>
        <w:ind w:left="0" w:right="0" w:firstLine="450"/>
        <w:jc w:val="left"/>
        <w:rPr/>
      </w:pPr>
      <w:r>
        <w:rPr>
          <w:rFonts w:ascii="Times New Roman;serif" w:hAnsi="Times New Roman;serif"/>
          <w:b w:val="false"/>
          <w:i/>
          <w:color w:val="000000"/>
          <w:sz w:val="20"/>
        </w:rPr>
        <w:t>Fixed wireless access solutions.</w:t>
      </w:r>
      <w:r>
        <w:rPr>
          <w:color w:val="000000"/>
        </w:rPr>
        <w:t xml:space="preserve"> </w:t>
      </w:r>
      <w:r>
        <w:rPr>
          <w:rFonts w:ascii="Times New Roman;serif" w:hAnsi="Times New Roman;serif"/>
          <w:b w:val="false"/>
          <w:color w:val="000000"/>
          <w:sz w:val="20"/>
        </w:rPr>
        <w:t>The $3.3 million increase in fixed wireless access solutions revenues is primarily due to decreased sales with one of our carrier partners during the first three months of 2025 as we transitioned to our next generation of fixed wireless access products that launched during the second quarter of 2025.</w:t>
      </w:r>
    </w:p>
    <w:p>
      <w:pPr>
        <w:pStyle w:val="TextBody"/>
        <w:bidi w:val="0"/>
        <w:spacing w:lineRule="auto" w:line="268" w:before="180" w:after="180"/>
        <w:ind w:left="0" w:right="0" w:firstLine="450"/>
        <w:jc w:val="left"/>
        <w:rPr/>
      </w:pPr>
      <w:r>
        <w:rPr>
          <w:rFonts w:ascii="Times New Roman;serif" w:hAnsi="Times New Roman;serif"/>
          <w:b w:val="false"/>
          <w:i/>
          <w:color w:val="000000"/>
          <w:sz w:val="20"/>
        </w:rPr>
        <w:t xml:space="preserve">Software services and other </w:t>
      </w:r>
      <w:r>
        <w:rPr>
          <w:rFonts w:ascii="Times New Roman;serif" w:hAnsi="Times New Roman;serif"/>
          <w:b w:val="false"/>
          <w:color w:val="000000"/>
          <w:sz w:val="20"/>
        </w:rPr>
        <w:t>The $0.6 million increase in software services and other revenues is primarily due to increased revenue from Inseego Connect, primarily on our fixed wireless access devices.</w:t>
      </w:r>
    </w:p>
    <w:p>
      <w:pPr>
        <w:pStyle w:val="TextBody"/>
        <w:bidi w:val="0"/>
        <w:spacing w:lineRule="auto" w:line="268" w:before="180" w:after="180"/>
        <w:ind w:left="0" w:right="0" w:firstLine="450"/>
        <w:jc w:val="left"/>
        <w:rPr/>
      </w:pPr>
      <w:r>
        <w:rPr>
          <w:rFonts w:ascii="Times New Roman;serif" w:hAnsi="Times New Roman;serif"/>
          <w:b/>
          <w:i/>
          <w:color w:val="000000"/>
          <w:sz w:val="20"/>
        </w:rPr>
        <w:t xml:space="preserve">Cost of revenues. </w:t>
      </w:r>
      <w:r>
        <w:rPr>
          <w:rFonts w:ascii="Times New Roman;serif" w:hAnsi="Times New Roman;serif"/>
          <w:b w:val="false"/>
          <w:color w:val="000000"/>
          <w:sz w:val="20"/>
        </w:rPr>
        <w:t xml:space="preserve">Cost of revenues for the six months ended June 30, 2026 was $46.9 million, or 59.9% of revenues, compared to $40.4 million, or 56.2% of revenues, for the same period in 2025. </w:t>
      </w:r>
    </w:p>
    <w:p>
      <w:pPr>
        <w:pStyle w:val="TextBody"/>
        <w:bidi w:val="0"/>
        <w:spacing w:lineRule="auto" w:line="268"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cost of revenues by category (in thousands):</w:t>
      </w:r>
    </w:p>
    <w:tbl>
      <w:tblPr>
        <w:tblW w:w="6595" w:type="dxa"/>
        <w:jc w:val="left"/>
        <w:tblInd w:w="0" w:type="dxa"/>
        <w:tblLayout w:type="fixed"/>
        <w:tblCellMar>
          <w:top w:w="28" w:type="dxa"/>
          <w:left w:w="28" w:type="dxa"/>
          <w:bottom w:w="28" w:type="dxa"/>
          <w:right w:w="28" w:type="dxa"/>
        </w:tblCellMar>
      </w:tblPr>
      <w:tblGrid>
        <w:gridCol w:w="754"/>
        <w:gridCol w:w="664"/>
        <w:gridCol w:w="666"/>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233"/>
        <w:gridCol w:w="233"/>
        <w:gridCol w:w="301"/>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Product Category</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44,138 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37,761 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6,377 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16.9 </w:t>
            </w:r>
          </w:p>
        </w:tc>
        <w:tc>
          <w:tcPr>
            <w:tcW w:w="3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Software services and 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 of revenues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80" w:after="180"/>
        <w:ind w:left="0" w:right="0" w:firstLine="450"/>
        <w:jc w:val="left"/>
        <w:rPr/>
      </w:pPr>
      <w:r>
        <w:rPr>
          <w:rFonts w:ascii="Times New Roman;serif" w:hAnsi="Times New Roman;serif"/>
          <w:b w:val="false"/>
          <w:i/>
          <w:color w:val="000000"/>
          <w:sz w:val="20"/>
        </w:rPr>
        <w:t>Product.</w:t>
      </w:r>
      <w:r>
        <w:rPr>
          <w:color w:val="000000"/>
        </w:rPr>
        <w:t xml:space="preserve"> </w:t>
      </w:r>
      <w:r>
        <w:rPr>
          <w:rFonts w:ascii="Times New Roman;serif" w:hAnsi="Times New Roman;serif"/>
          <w:b w:val="false"/>
          <w:color w:val="000000"/>
          <w:sz w:val="20"/>
        </w:rPr>
        <w:t xml:space="preserve">The $6.4 million increase in product cost of revenues is primarily due to increased product revenues, increased component costs, specifically memory costs, and lower margin on the current year’s generation of products in comparison to the prior year period. </w:t>
      </w:r>
    </w:p>
    <w:p>
      <w:pPr>
        <w:pStyle w:val="TextBody"/>
        <w:bidi w:val="0"/>
        <w:spacing w:lineRule="auto" w:line="268" w:before="180" w:after="180"/>
        <w:ind w:left="0" w:right="0" w:firstLine="450"/>
        <w:jc w:val="left"/>
        <w:rPr/>
      </w:pPr>
      <w:r>
        <w:rPr>
          <w:rFonts w:ascii="Times New Roman;serif" w:hAnsi="Times New Roman;serif"/>
          <w:b w:val="false"/>
          <w:i/>
          <w:color w:val="000000"/>
          <w:sz w:val="20"/>
        </w:rPr>
        <w:t>Software services and other.</w:t>
      </w:r>
      <w:r>
        <w:rPr>
          <w:color w:val="000000"/>
        </w:rPr>
        <w:t xml:space="preserve"> </w:t>
      </w:r>
      <w:r>
        <w:rPr>
          <w:rFonts w:ascii="Times New Roman;serif" w:hAnsi="Times New Roman;serif"/>
          <w:b w:val="false"/>
          <w:color w:val="000000"/>
          <w:sz w:val="20"/>
        </w:rPr>
        <w:t>The increase in software services and other cost of revenues is consistent with the increase in software services and other revenues over the same period, as the underlying cost drivers — primarily personnel costs related to Inseego Subscribe and Inseego Connect — remained relatively stable period over period. The largely fixed cost structure of the Company's software and services operations meant that the change in revenue activity did not require a meaningful change in the resources required to deliver those services.</w:t>
      </w:r>
    </w:p>
    <w:p>
      <w:pPr>
        <w:pStyle w:val="TextBody"/>
        <w:bidi w:val="0"/>
        <w:spacing w:lineRule="auto" w:line="268" w:before="180" w:after="180"/>
        <w:ind w:left="0" w:right="0" w:firstLine="450"/>
        <w:jc w:val="left"/>
        <w:rPr/>
      </w:pPr>
      <w:r>
        <w:rPr>
          <w:rFonts w:ascii="Times New Roman;serif" w:hAnsi="Times New Roman;serif"/>
          <w:b/>
          <w:i/>
          <w:color w:val="000000"/>
          <w:sz w:val="20"/>
        </w:rPr>
        <w:t>Gross profit.</w:t>
      </w:r>
      <w:r>
        <w:rPr>
          <w:color w:val="000000"/>
        </w:rPr>
        <w:t xml:space="preserve"> </w:t>
      </w:r>
      <w:r>
        <w:rPr>
          <w:rFonts w:ascii="Times New Roman;serif" w:hAnsi="Times New Roman;serif"/>
          <w:b w:val="false"/>
          <w:color w:val="000000"/>
          <w:sz w:val="20"/>
        </w:rPr>
        <w:t>Gross profit for the six months ended June 30, 2026 was $31.4 million, or a gross margin of 40.1%, compared to $31.5 million, or a gross margin of 43.8%, for the same period in 2025. The decrease in both gross profit and gross margin is primarily due to increased product component costs, specifically memory costs, and lower margin on the current year’s generation of mobile and fixed wireless access products in comparison to the prior year period.</w:t>
      </w:r>
    </w:p>
    <w:p>
      <w:pPr>
        <w:pStyle w:val="TextBody"/>
        <w:bidi w:val="0"/>
        <w:spacing w:lineRule="auto" w:line="276" w:before="180" w:after="180"/>
        <w:ind w:left="0" w:right="0" w:firstLine="450"/>
        <w:jc w:val="left"/>
        <w:rPr/>
      </w:pPr>
      <w:r>
        <w:rPr>
          <w:rFonts w:ascii="Times New Roman;serif" w:hAnsi="Times New Roman;serif"/>
          <w:b/>
          <w:i/>
          <w:color w:val="000000"/>
          <w:sz w:val="20"/>
        </w:rPr>
        <w:t xml:space="preserve">Operating costs and expenses. </w:t>
      </w:r>
      <w:r>
        <w:rPr>
          <w:rFonts w:ascii="Times New Roman;serif" w:hAnsi="Times New Roman;serif"/>
          <w:b w:val="false"/>
          <w:color w:val="000000"/>
          <w:sz w:val="20"/>
        </w:rPr>
        <w:t>The following table summarizes operating costs and expenses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ind w:left="0" w:right="0" w:firstLine="450"/>
        <w:jc w:val="left"/>
        <w:rPr/>
      </w:pPr>
      <w:r>
        <w:rPr/>
      </w:r>
    </w:p>
    <w:tbl>
      <w:tblPr>
        <w:tblW w:w="7239" w:type="dxa"/>
        <w:jc w:val="left"/>
        <w:tblInd w:w="0" w:type="dxa"/>
        <w:tblLayout w:type="fixed"/>
        <w:tblCellMar>
          <w:top w:w="28" w:type="dxa"/>
          <w:left w:w="28" w:type="dxa"/>
          <w:bottom w:w="28" w:type="dxa"/>
          <w:right w:w="28" w:type="dxa"/>
        </w:tblCellMar>
      </w:tblPr>
      <w:tblGrid>
        <w:gridCol w:w="928"/>
        <w:gridCol w:w="817"/>
        <w:gridCol w:w="81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269"/>
        <w:gridCol w:w="271"/>
        <w:gridCol w:w="301"/>
      </w:tblGrid>
      <w:tr>
        <w:trPr/>
        <w:tc>
          <w:tcPr>
            <w:tcW w:w="928"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costs and expenses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5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11,111 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9,355 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18.8 </w:t>
            </w:r>
          </w:p>
        </w:tc>
        <w:tc>
          <w:tcPr>
            <w:tcW w:w="3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capitalized software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80" w:after="180"/>
        <w:ind w:left="0" w:right="0" w:firstLine="450"/>
        <w:jc w:val="left"/>
        <w:rPr/>
      </w:pPr>
      <w:r>
        <w:rPr>
          <w:rFonts w:ascii="Times New Roman;serif" w:hAnsi="Times New Roman;serif"/>
          <w:b/>
          <w:i/>
          <w:color w:val="000000"/>
          <w:sz w:val="20"/>
        </w:rPr>
        <w:t>Research and development expenses.</w:t>
      </w:r>
      <w:r>
        <w:rPr>
          <w:color w:val="000000"/>
        </w:rPr>
        <w:t xml:space="preserve"> </w:t>
      </w:r>
      <w:r>
        <w:rPr>
          <w:rFonts w:ascii="Times New Roman;serif" w:hAnsi="Times New Roman;serif"/>
          <w:b w:val="false"/>
          <w:color w:val="000000"/>
          <w:sz w:val="20"/>
        </w:rPr>
        <w:t xml:space="preserve">Research and development expenses for the six months ended June 30, 2026 were $11.1 million, or 14.2% of revenues, compared to $9.4 million, or 13.0% of revenues, for the same period in 2025. The increase in research and development expenses was primarily due to increased compensation costs due to increased headcount and increased prototype costs related to the Company’s development efforts for its next line of products, partially offset by decreased annual incentive bonus accruals. </w:t>
      </w:r>
    </w:p>
    <w:p>
      <w:pPr>
        <w:pStyle w:val="TextBody"/>
        <w:bidi w:val="0"/>
        <w:spacing w:lineRule="auto" w:line="268" w:before="180" w:after="180"/>
        <w:ind w:left="0" w:right="0" w:firstLine="450"/>
        <w:jc w:val="left"/>
        <w:rPr/>
      </w:pPr>
      <w:r>
        <w:rPr>
          <w:rFonts w:ascii="Times New Roman;serif" w:hAnsi="Times New Roman;serif"/>
          <w:b/>
          <w:i/>
          <w:color w:val="000000"/>
          <w:sz w:val="20"/>
        </w:rPr>
        <w:t>Sales and marketing expenses.</w:t>
      </w:r>
      <w:r>
        <w:rPr>
          <w:color w:val="000000"/>
        </w:rPr>
        <w:t xml:space="preserve"> </w:t>
      </w:r>
      <w:r>
        <w:rPr>
          <w:rFonts w:ascii="Times New Roman;serif" w:hAnsi="Times New Roman;serif"/>
          <w:b w:val="false"/>
          <w:color w:val="000000"/>
          <w:sz w:val="20"/>
        </w:rPr>
        <w:t>Sales and marketing expenses for the six months ended June 30, 2026 were $12.1 million, or 15.4% of revenues, compared to $7.9 million, or 11.0% of revenues, for the same period in 2025. The increase in sales and marketing expenses was primarily due to increased compensation costs due to an increase in overall headcount, increased share-based compensation expense related to equity awards granted in late 2025, increased marketing spend on demo units, and increased commissions expense related to higher sales during the period, partially offset by decreased annual incentive bonus accruals.</w:t>
      </w:r>
    </w:p>
    <w:p>
      <w:pPr>
        <w:pStyle w:val="TextBody"/>
        <w:bidi w:val="0"/>
        <w:spacing w:lineRule="auto" w:line="268" w:before="180" w:after="180"/>
        <w:ind w:left="0" w:right="0" w:firstLine="450"/>
        <w:jc w:val="left"/>
        <w:rPr/>
      </w:pPr>
      <w:r>
        <w:rPr>
          <w:rFonts w:ascii="Times New Roman;serif" w:hAnsi="Times New Roman;serif"/>
          <w:b/>
          <w:i/>
          <w:color w:val="000000"/>
          <w:sz w:val="20"/>
        </w:rPr>
        <w:t>General and administrative expenses.</w:t>
      </w:r>
      <w:r>
        <w:rPr>
          <w:color w:val="000000"/>
        </w:rPr>
        <w:t xml:space="preserve"> </w:t>
      </w:r>
      <w:r>
        <w:rPr>
          <w:rFonts w:ascii="Times New Roman;serif" w:hAnsi="Times New Roman;serif"/>
          <w:b w:val="false"/>
          <w:color w:val="000000"/>
          <w:sz w:val="20"/>
        </w:rPr>
        <w:t>General and administrative expenses for the six months ended June 30, 2026 were $14.7 million, or 18.8% of revenues, compared to $9.2 million, or 12.8% of revenues, for the same period in 2025. The increase in general and administrative expense was primarily due to non-recurring transaction costs related to the Preferred Stock Exchange Agreement and Purchase Agreement for Nokia’s FWA business and increased share-based compensation expense related to equity awards granted in late 2025, partially offset by decreased annual incentive bonus accruals.</w:t>
      </w:r>
    </w:p>
    <w:p>
      <w:pPr>
        <w:pStyle w:val="TextBody"/>
        <w:bidi w:val="0"/>
        <w:spacing w:lineRule="auto" w:line="276" w:before="180" w:after="180"/>
        <w:ind w:left="0" w:right="0" w:firstLine="450"/>
        <w:jc w:val="left"/>
        <w:rPr/>
      </w:pPr>
      <w:r>
        <w:rPr>
          <w:rFonts w:ascii="Times New Roman;serif" w:hAnsi="Times New Roman;serif"/>
          <w:b/>
          <w:i/>
          <w:color w:val="000000"/>
          <w:sz w:val="20"/>
        </w:rPr>
        <w:t>Depreciation and amortization expenses</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Depreciation and amortization expenses for the six months ended June 30, 2026 were $4.0 million, or 5.2% of revenues, compared to $3.8 million, or 5.3% of revenues, for the same period in 2025. The increase in depreciation and amortization expenses was primarily due higher capitalized software balances being amortized in the current period related to significant development efforts relating to our current generation of mobile and fixed wireless products, as well as efforts related to further development of our software services.</w:t>
      </w:r>
    </w:p>
    <w:p>
      <w:pPr>
        <w:pStyle w:val="TextBody"/>
        <w:bidi w:val="0"/>
        <w:spacing w:lineRule="auto" w:line="276" w:before="180" w:after="180"/>
        <w:ind w:left="0" w:right="0" w:firstLine="450"/>
        <w:jc w:val="left"/>
        <w:rPr/>
      </w:pPr>
      <w:r>
        <w:rPr>
          <w:rFonts w:ascii="Times New Roman;serif" w:hAnsi="Times New Roman;serif"/>
          <w:b/>
          <w:i/>
          <w:color w:val="000000"/>
          <w:sz w:val="20"/>
        </w:rPr>
        <w:t xml:space="preserve">Impairment of capitalized software. </w:t>
      </w:r>
      <w:r>
        <w:rPr>
          <w:rFonts w:ascii="Times New Roman;serif" w:hAnsi="Times New Roman;serif"/>
          <w:b w:val="false"/>
          <w:color w:val="000000"/>
          <w:sz w:val="20"/>
        </w:rPr>
        <w:t>For the six months ended June 30, 2026 and 2025, we recorded impairments of $0.3 million and $0.4 million, respectively.</w:t>
      </w:r>
    </w:p>
    <w:p>
      <w:pPr>
        <w:pStyle w:val="TextBody"/>
        <w:bidi w:val="0"/>
        <w:spacing w:lineRule="auto" w:line="276" w:before="180" w:after="180"/>
        <w:ind w:left="0" w:right="0" w:firstLine="450"/>
        <w:jc w:val="left"/>
        <w:rPr/>
      </w:pPr>
      <w:r>
        <w:rPr>
          <w:rFonts w:ascii="Times New Roman;serif" w:hAnsi="Times New Roman;serif"/>
          <w:b/>
          <w:i/>
          <w:color w:val="000000"/>
          <w:sz w:val="20"/>
        </w:rPr>
        <w:t xml:space="preserve">Other (expense) income. </w:t>
      </w:r>
      <w:r>
        <w:rPr>
          <w:rFonts w:ascii="Times New Roman;serif" w:hAnsi="Times New Roman;serif"/>
          <w:b w:val="false"/>
          <w:color w:val="000000"/>
          <w:sz w:val="20"/>
        </w:rPr>
        <w:t>The following table summarizes other (expense) income (in thousands):</w:t>
      </w:r>
    </w:p>
    <w:tbl>
      <w:tblPr>
        <w:tblW w:w="6462" w:type="dxa"/>
        <w:jc w:val="left"/>
        <w:tblInd w:w="0" w:type="dxa"/>
        <w:tblLayout w:type="fixed"/>
        <w:tblCellMar>
          <w:top w:w="28" w:type="dxa"/>
          <w:left w:w="28" w:type="dxa"/>
          <w:bottom w:w="28" w:type="dxa"/>
          <w:right w:w="28" w:type="dxa"/>
        </w:tblCellMar>
      </w:tblPr>
      <w:tblGrid>
        <w:gridCol w:w="764"/>
        <w:gridCol w:w="674"/>
        <w:gridCol w:w="676"/>
        <w:gridCol w:w="196"/>
        <w:gridCol w:w="631"/>
        <w:gridCol w:w="109"/>
        <w:gridCol w:w="109"/>
        <w:gridCol w:w="109"/>
        <w:gridCol w:w="109"/>
        <w:gridCol w:w="196"/>
        <w:gridCol w:w="631"/>
        <w:gridCol w:w="109"/>
        <w:gridCol w:w="109"/>
        <w:gridCol w:w="109"/>
        <w:gridCol w:w="109"/>
        <w:gridCol w:w="196"/>
        <w:gridCol w:w="496"/>
        <w:gridCol w:w="109"/>
        <w:gridCol w:w="109"/>
        <w:gridCol w:w="109"/>
        <w:gridCol w:w="109"/>
        <w:gridCol w:w="269"/>
        <w:gridCol w:w="271"/>
        <w:gridCol w:w="154"/>
      </w:tblGrid>
      <w:tr>
        <w:trPr/>
        <w:tc>
          <w:tcPr>
            <w:tcW w:w="76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(expense) income</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1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4" w:type="dxa"/>
            <w:gridSpan w:val="3"/>
            <w:tcBorders/>
            <w:vAlign w:val="center"/>
          </w:tcPr>
          <w:p>
            <w:pPr>
              <w:pStyle w:val="TableContents"/>
              <w:bidi w:val="0"/>
              <w:spacing w:before="0" w:after="283"/>
              <w:jc w:val="left"/>
              <w:rPr>
                <w:sz w:val="4"/>
                <w:szCs w:val="4"/>
              </w:rPr>
            </w:pPr>
            <w:r>
              <w:rPr>
                <w:sz w:val="4"/>
                <w:szCs w:val="4"/>
              </w:rPr>
            </w:r>
          </w:p>
        </w:tc>
      </w:tr>
      <w:tr>
        <w:trPr/>
        <w:tc>
          <w:tcPr>
            <w:tcW w:w="211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4" w:type="dxa"/>
            <w:gridSpan w:val="3"/>
            <w:tcBorders/>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left"/>
        <w:rPr>
          <w:rFonts w:ascii="Times New Roman;serif" w:hAnsi="Times New Roman;serif"/>
          <w:b w:val="false"/>
          <w:i/>
          <w:color w:val="000000"/>
          <w:sz w:val="16"/>
        </w:rPr>
      </w:pPr>
      <w:r>
        <w:rPr>
          <w:rFonts w:ascii="Times New Roman;serif" w:hAnsi="Times New Roman;serif"/>
          <w:b w:val="false"/>
          <w:i/>
          <w:color w:val="000000"/>
          <w:sz w:val="16"/>
        </w:rPr>
        <w:t>* Percentage not meaningful</w:t>
      </w:r>
    </w:p>
    <w:p>
      <w:pPr>
        <w:pStyle w:val="TextBody"/>
        <w:bidi w:val="0"/>
        <w:spacing w:lineRule="auto" w:line="276" w:before="180" w:after="180"/>
        <w:ind w:left="0" w:right="0" w:firstLine="450"/>
        <w:jc w:val="left"/>
        <w:rPr/>
      </w:pPr>
      <w:r>
        <w:rPr>
          <w:rFonts w:ascii="Times New Roman;serif" w:hAnsi="Times New Roman;serif"/>
          <w:b/>
          <w:i/>
          <w:color w:val="000000"/>
          <w:sz w:val="20"/>
        </w:rPr>
        <w:t>Interest expense.</w:t>
      </w:r>
      <w:r>
        <w:rPr>
          <w:color w:val="000000"/>
        </w:rPr>
        <w:t xml:space="preserve"> </w:t>
      </w:r>
      <w:r>
        <w:rPr>
          <w:rFonts w:ascii="Times New Roman;serif" w:hAnsi="Times New Roman;serif"/>
          <w:b w:val="false"/>
          <w:color w:val="000000"/>
          <w:sz w:val="20"/>
        </w:rPr>
        <w:t>The $0.3 million increase in interest expense for the six months ended June 30, 2026 over the same period in 2025 was primarily due to the repayment of the 2025 Convertible Notes in May 2025, partially offset by the impact of the $8.0 million increase in 2029 Senior Secured Notes principal in January 2026 as part of the Preferred Stock Exchange Agreement.</w:t>
      </w:r>
    </w:p>
    <w:p>
      <w:pPr>
        <w:pStyle w:val="TextBody"/>
        <w:bidi w:val="0"/>
        <w:spacing w:lineRule="auto" w:line="276" w:before="180" w:after="180"/>
        <w:ind w:left="0" w:right="0" w:firstLine="450"/>
        <w:jc w:val="left"/>
        <w:rPr/>
      </w:pPr>
      <w:r>
        <w:rPr>
          <w:rFonts w:ascii="Times New Roman;serif" w:hAnsi="Times New Roman;serif"/>
          <w:b/>
          <w:i/>
          <w:color w:val="000000"/>
          <w:sz w:val="20"/>
        </w:rPr>
        <w:t>Other income (expense), net.</w:t>
      </w:r>
      <w:r>
        <w:rPr>
          <w:color w:val="000000"/>
        </w:rPr>
        <w:t xml:space="preserve"> </w:t>
      </w:r>
      <w:r>
        <w:rPr>
          <w:rFonts w:ascii="Times New Roman;serif" w:hAnsi="Times New Roman;serif"/>
          <w:b w:val="false"/>
          <w:color w:val="000000"/>
          <w:sz w:val="20"/>
        </w:rPr>
        <w:t>Other income (expense), net for the six months ended June 30, 2026 and 2025 was $0.2 million and $0.5 million, respectively. The decrease in other income, net was primarily due to lower interest bearing cash balances in the current period.</w:t>
      </w:r>
    </w:p>
    <w:p>
      <w:pPr>
        <w:pStyle w:val="TextBody"/>
        <w:bidi w:val="0"/>
        <w:spacing w:lineRule="auto" w:line="276" w:before="180" w:after="180"/>
        <w:ind w:left="0" w:right="0" w:firstLine="450"/>
        <w:jc w:val="left"/>
        <w:rPr/>
      </w:pPr>
      <w:r>
        <w:rPr>
          <w:rFonts w:ascii="Times New Roman;serif" w:hAnsi="Times New Roman;serif"/>
          <w:b/>
          <w:i/>
          <w:color w:val="000000"/>
          <w:sz w:val="20"/>
        </w:rPr>
        <w:t xml:space="preserve">Income tax provision (benefit). </w:t>
      </w:r>
      <w:r>
        <w:rPr>
          <w:rFonts w:ascii="Times New Roman;serif" w:hAnsi="Times New Roman;serif"/>
          <w:b w:val="false"/>
          <w:color w:val="000000"/>
          <w:sz w:val="20"/>
        </w:rPr>
        <w:t>Income tax provision (benefit) for the six months ended June 30, 2026 and 2025 was a provision of $0.1 million and $0.0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ind w:left="0" w:right="0" w:firstLine="450"/>
        <w:jc w:val="left"/>
        <w:rPr/>
      </w:pPr>
      <w:r>
        <w:rPr/>
      </w:r>
    </w:p>
    <w:p>
      <w:pPr>
        <w:pStyle w:val="TextBody"/>
        <w:bidi w:val="0"/>
        <w:spacing w:lineRule="auto" w:line="276" w:before="180" w:after="180"/>
        <w:ind w:left="0" w:right="0" w:firstLine="450"/>
        <w:jc w:val="left"/>
        <w:rPr/>
      </w:pPr>
      <w:r>
        <w:rPr>
          <w:rFonts w:ascii="Times New Roman;serif" w:hAnsi="Times New Roman;serif"/>
          <w:b/>
          <w:i/>
          <w:color w:val="000000"/>
          <w:sz w:val="20"/>
        </w:rPr>
        <w:t xml:space="preserve">Income (loss) from discontinued operations, net of tax. </w:t>
      </w:r>
      <w:r>
        <w:rPr>
          <w:rFonts w:ascii="Times New Roman;serif" w:hAnsi="Times New Roman;serif"/>
          <w:b w:val="false"/>
          <w:color w:val="000000"/>
          <w:sz w:val="20"/>
        </w:rPr>
        <w:t>Income (loss) from discontinued operations, net of tax for the six months ended June 30, 2025 was $(0.4) million. There was no income (loss) from discontinued operations during the six months ended June 30, 2026 as the Telematics Business was sold in November 2024.</w:t>
      </w:r>
    </w:p>
    <w:p>
      <w:pPr>
        <w:pStyle w:val="TextBody"/>
        <w:bidi w:val="0"/>
        <w:spacing w:lineRule="auto" w:line="276" w:before="180" w:after="180"/>
        <w:ind w:left="0" w:right="0" w:firstLine="450"/>
        <w:jc w:val="left"/>
        <w:rPr/>
      </w:pPr>
      <w:r>
        <w:rPr>
          <w:rFonts w:ascii="Times New Roman;serif" w:hAnsi="Times New Roman;serif"/>
          <w:b/>
          <w:i/>
          <w:color w:val="000000"/>
          <w:sz w:val="20"/>
        </w:rPr>
        <w:t xml:space="preserve">Preferred stock dividends. </w:t>
      </w:r>
      <w:r>
        <w:rPr>
          <w:rFonts w:ascii="Times New Roman;serif" w:hAnsi="Times New Roman;serif"/>
          <w:b w:val="false"/>
          <w:color w:val="000000"/>
          <w:sz w:val="20"/>
        </w:rPr>
        <w:t>During the six months ended June 30, 2025, we recorded dividends of $1.7 million. There were no preferred stock dividends during the six months ended June 30, 2026 as all outstanding preferred stock was surrendered and forfeited by the Preferred Stock Holder as part of the Preferred Stock Exchange Agreement on January 14,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ind w:left="0" w:right="0" w:firstLine="450"/>
        <w:jc w:val="left"/>
        <w:rPr/>
      </w:pPr>
      <w:r>
        <w:rPr/>
      </w:r>
    </w:p>
    <w:p>
      <w:pPr>
        <w:pStyle w:val="TextBody"/>
        <w:bidi w:val="0"/>
        <w:spacing w:lineRule="auto" w:line="276" w:before="180" w:after="18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 had available cash and cash equivalents totaling $1.9 million and maintained positive working capital of $3.8 million. The Company had negative cash flows from operations of $22.1 million for the six months ended June 30, 2026.</w:t>
      </w:r>
    </w:p>
    <w:p>
      <w:pPr>
        <w:pStyle w:val="TextBody"/>
        <w:bidi w:val="0"/>
        <w:spacing w:lineRule="auto" w:line="276"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August 5, 2025, the Company entered into a Credit and Security Agreement (the “Working Capital Facility Agreement”) with BMO Bank N.A. (“BMO”) that provides up to a maximum $15.0 million secured asset-backed revolving credit facility (the “Working Capital Facility”). On May 22, 2026, the Company amended the Working Capital Facility Agreement to increase the maximum borrowing capacity to $20.0 million. The facility matures on August 5, 2028 and contains certain financial and non-financial covenants. The Company was in compliance with all covenants under the Working Capital Facility Agreement as of June 30, 2026.</w:t>
      </w:r>
    </w:p>
    <w:p>
      <w:pPr>
        <w:pStyle w:val="TextBody"/>
        <w:bidi w:val="0"/>
        <w:spacing w:lineRule="auto" w:line="26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Obligations under the Working Capital Facility are secured by a continuing security interest in substantially all property of Inseego Corp. and certain of its subsidiaries, subject to customary exclusions. Availability under the Working Capital Facility is determined monthly as the excess of a borrowing base (“Borrowing Base”), comprised of a percentage of eligible accounts receivable and eligible inventory, over the total loans and issued letters of credit outstanding under the Working Capital Facility. If the aggregate outstanding amount of the Working Capital Facility, including outstanding letters of credit, exceeds the Borrowing Base at any time, the excess amount shall be payable on demand by BMO.</w:t>
      </w:r>
    </w:p>
    <w:p>
      <w:pPr>
        <w:pStyle w:val="TextBody"/>
        <w:bidi w:val="0"/>
        <w:spacing w:lineRule="auto" w:line="276"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Loans made under the Working Capital Facility bear interest at a Term Secured Overnight Financing Rate (“SOFR”), as defined in the Working Capital Facility Agreement, plus an applicable margin ranging from 1.00-2.50%, subject to certain exceptions. Interest on loans made under the Working Capital Facility are paid in cash, in arrears, on a semi-annual basis. </w:t>
      </w:r>
    </w:p>
    <w:p>
      <w:pPr>
        <w:pStyle w:val="TextBody"/>
        <w:bidi w:val="0"/>
        <w:spacing w:lineRule="auto" w:line="26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Company had $3.0 million of outstanding letters of credit issued under the Working Capital Facility to support inventory purchases. No amounts had been drawn under the letters of credit as of June 30, 2026, and no funded obligations were payable to BMO. </w:t>
      </w:r>
    </w:p>
    <w:p>
      <w:pPr>
        <w:pStyle w:val="TextBody"/>
        <w:bidi w:val="0"/>
        <w:spacing w:lineRule="auto" w:line="26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June 30, 2026, there were $10.0 million in outstanding borrowings and availability to borrow under the Working Capital Facility was $6.5 million.</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Company’s 3.25% convertible notes due in 2025 (the “2025 Convertible Notes”) matured on May 1, 2025, at which time all outstanding principal and related accrued interest was paid-off in full. The Company’s 9.0% senior secured notes due in 2029 (the “2029 Senior Secured Notes”) had a principal balance of $48.9 million as of June 30, 2026 and mature on May 1, 2029.</w:t>
      </w:r>
    </w:p>
    <w:p>
      <w:pPr>
        <w:pStyle w:val="TextBody"/>
        <w:bidi w:val="0"/>
        <w:spacing w:lineRule="auto" w:line="268"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While the Company’s liquidity and financial results had several positive developments in 2025, the Company has a history of operating and net losses and overall usage of cash from operating and investing activities. The Company’s ability to maintain profitable operations and continue to generate positive cash flows is dependent upon achieving a level and mix of revenues adequate to support its evolving cost structure. If events or circumstances occur such that the Company does not meet its operating plan as expected, or if the Company becomes obligated to pay unforeseen expenditures, the Company may be required to raise capital, reduce planned research and development activities, incur additional restructuring charges or reduce other operating expenses and capital expenditures, which could have an adverse impact on the Company’s ability to achieve its intended business objectives.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liquidity could be compromised if there is any interruption in our business operations, a material failure to satisfy our contractual commitments, a failure to retain our key existing customers or a failure to generate revenue from new or existing products. If additional funds are raised by the issuance of equity securities, or in connection with any additional debt restructurings or refinancing, Company’s stockholders could experience significant dilution of their ownership interests and securities issued may have rights senior to those of the holders of the Company’s common stock.</w:t>
      </w:r>
    </w:p>
    <w:p>
      <w:pPr>
        <w:pStyle w:val="TextBody"/>
        <w:bidi w:val="0"/>
        <w:spacing w:lineRule="auto" w:line="276" w:before="180" w:after="180"/>
        <w:jc w:val="left"/>
        <w:rPr>
          <w:rFonts w:ascii="Times New Roman;serif" w:hAnsi="Times New Roman;serif"/>
          <w:b w:val="false"/>
          <w:i/>
          <w:color w:val="000000"/>
          <w:sz w:val="20"/>
        </w:rPr>
      </w:pPr>
      <w:r>
        <w:rPr>
          <w:rFonts w:ascii="Times New Roman;serif" w:hAnsi="Times New Roman;serif"/>
          <w:b w:val="false"/>
          <w:i/>
          <w:color w:val="000000"/>
          <w:sz w:val="20"/>
        </w:rPr>
        <w:t>Contractual Obligations and Commitments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our material contractual obligations consisted of the following: </w:t>
      </w:r>
    </w:p>
    <w:p>
      <w:pPr>
        <w:pStyle w:val="TextBody"/>
        <w:bidi w:val="0"/>
        <w:spacing w:lineRule="auto" w:line="276" w:before="180" w:after="180"/>
        <w:ind w:left="0" w:right="0" w:hanging="360"/>
        <w:jc w:val="left"/>
        <w:rPr/>
      </w:pPr>
      <w:r>
        <w:rPr>
          <w:color w:val="000000"/>
        </w:rPr>
        <w:t>•</w:t>
      </w:r>
      <w:r>
        <w:rPr>
          <w:rFonts w:ascii="Times New Roman;serif" w:hAnsi="Times New Roman;serif"/>
          <w:b w:val="false"/>
          <w:color w:val="000000"/>
          <w:sz w:val="20"/>
        </w:rPr>
        <w:t>To mitigate the risk of material shortages and price increases, we enter into non-cancellable purchase obligations with certain key contract manufacturers and other vendors for the purchase of goods and services to be received up to three to four quarters following the balance sheet date. Our purchase obligations consist of agreements to purchase goods and services entered into in the ordinary course of business. As of June 30, 2026, our future payments under these noncancellable purchase obligations were approximately $119.9 million.</w:t>
      </w:r>
    </w:p>
    <w:p>
      <w:pPr>
        <w:pStyle w:val="TextBody"/>
        <w:bidi w:val="0"/>
        <w:spacing w:lineRule="auto" w:line="276" w:before="180" w:after="180"/>
        <w:ind w:left="0" w:right="0" w:hanging="360"/>
        <w:jc w:val="left"/>
        <w:rPr/>
      </w:pPr>
      <w:r>
        <w:rPr>
          <w:color w:val="000000"/>
        </w:rPr>
        <w:t>•</w:t>
      </w:r>
      <w:r>
        <w:rPr>
          <w:rFonts w:ascii="Times New Roman;serif" w:hAnsi="Times New Roman;serif"/>
          <w:b w:val="false"/>
          <w:color w:val="000000"/>
          <w:sz w:val="20"/>
        </w:rPr>
        <w:t xml:space="preserve">$48.9 million in long-term debt outstanding under the 2029 Senior Secured Notes; see Part I Item 1, </w:t>
      </w:r>
      <w:r>
        <w:rPr>
          <w:rFonts w:ascii="Times New Roman;serif" w:hAnsi="Times New Roman;serif"/>
          <w:b w:val="false"/>
          <w:i/>
          <w:color w:val="000000"/>
          <w:sz w:val="20"/>
        </w:rPr>
        <w:t>Note 4 – Debt</w:t>
      </w:r>
      <w:r>
        <w:rPr>
          <w:rFonts w:ascii="Times New Roman;serif" w:hAnsi="Times New Roman;serif"/>
          <w:b w:val="false"/>
          <w:color w:val="000000"/>
          <w:sz w:val="20"/>
        </w:rPr>
        <w:t>;</w:t>
      </w:r>
    </w:p>
    <w:p>
      <w:pPr>
        <w:pStyle w:val="TextBody"/>
        <w:bidi w:val="0"/>
        <w:spacing w:lineRule="auto" w:line="276" w:before="180" w:after="180"/>
        <w:ind w:left="0" w:right="0" w:hanging="360"/>
        <w:jc w:val="left"/>
        <w:rPr/>
      </w:pPr>
      <w:r>
        <w:rPr>
          <w:color w:val="000000"/>
        </w:rPr>
        <w:t>•</w:t>
      </w:r>
      <w:r>
        <w:rPr>
          <w:rFonts w:ascii="Times New Roman;serif" w:hAnsi="Times New Roman;serif"/>
          <w:b w:val="false"/>
          <w:color w:val="000000"/>
          <w:sz w:val="20"/>
        </w:rPr>
        <w:t xml:space="preserve">$10.0 million in outstanding borrowings under the Working Capital Facility; see Part I Item 1 </w:t>
      </w:r>
      <w:r>
        <w:rPr>
          <w:rFonts w:ascii="Times New Roman;serif" w:hAnsi="Times New Roman;serif"/>
          <w:b w:val="false"/>
          <w:i/>
          <w:color w:val="000000"/>
          <w:sz w:val="20"/>
        </w:rPr>
        <w:t>Note 4 – Debt</w:t>
      </w:r>
      <w:r>
        <w:rPr>
          <w:rFonts w:ascii="Times New Roman;serif" w:hAnsi="Times New Roman;serif"/>
          <w:b w:val="false"/>
          <w:color w:val="000000"/>
          <w:sz w:val="20"/>
        </w:rPr>
        <w:t>;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ind w:left="0" w:right="0" w:firstLine="450"/>
        <w:jc w:val="left"/>
        <w:rPr/>
      </w:pPr>
      <w:r>
        <w:rPr/>
      </w:r>
    </w:p>
    <w:p>
      <w:pPr>
        <w:pStyle w:val="TextBody"/>
        <w:bidi w:val="0"/>
        <w:spacing w:lineRule="auto" w:line="276" w:before="180" w:after="180"/>
        <w:ind w:left="0" w:right="0" w:hanging="360"/>
        <w:jc w:val="left"/>
        <w:rPr/>
      </w:pPr>
      <w:r>
        <w:rPr>
          <w:color w:val="000000"/>
        </w:rPr>
        <w:t>•</w:t>
      </w:r>
      <w:r>
        <w:rPr>
          <w:rFonts w:ascii="Times New Roman;serif" w:hAnsi="Times New Roman;serif"/>
          <w:b w:val="false"/>
          <w:color w:val="000000"/>
          <w:sz w:val="20"/>
        </w:rPr>
        <w:t>Operating lease liabilities that are included on our consolidated balance sheet.</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There were no material changes in our other contractual obligations, other than the full repayment upon maturity of the 2025 Convertible Notes on May 1, 2025.</w:t>
      </w:r>
    </w:p>
    <w:p>
      <w:pPr>
        <w:pStyle w:val="TextBody"/>
        <w:bidi w:val="0"/>
        <w:spacing w:lineRule="auto" w:line="276" w:before="180" w:after="180"/>
        <w:jc w:val="left"/>
        <w:rPr>
          <w:rFonts w:ascii="Times New Roman;serif" w:hAnsi="Times New Roman;serif"/>
          <w:b w:val="false"/>
          <w:i/>
          <w:color w:val="000000"/>
          <w:sz w:val="20"/>
        </w:rPr>
      </w:pPr>
      <w:r>
        <w:rPr>
          <w:rFonts w:ascii="Times New Roman;serif" w:hAnsi="Times New Roman;serif"/>
          <w:b w:val="false"/>
          <w:i/>
          <w:color w:val="000000"/>
          <w:sz w:val="20"/>
        </w:rPr>
        <w:t>Historical Cash Flows</w:t>
      </w:r>
    </w:p>
    <w:p>
      <w:pPr>
        <w:pStyle w:val="TextBody"/>
        <w:bidi w:val="0"/>
        <w:spacing w:lineRule="auto" w:line="276" w:before="180" w:after="180"/>
        <w:ind w:left="0" w:right="0" w:firstLine="495"/>
        <w:jc w:val="left"/>
        <w:rPr/>
      </w:pPr>
      <w:r>
        <w:rPr>
          <w:rFonts w:ascii="Times New Roman;serif" w:hAnsi="Times New Roman;serif"/>
          <w:b w:val="false"/>
          <w:color w:val="000000"/>
          <w:sz w:val="20"/>
        </w:rPr>
        <w:t>The following table summarizes our unaudited condensed consolidated statements of cash flows for the periods indicated (in thousands):</w:t>
      </w:r>
      <w:r>
        <w:rPr>
          <w:color w:val="000000"/>
        </w:rPr>
        <w:t> </w:t>
      </w:r>
    </w:p>
    <w:tbl>
      <w:tblPr>
        <w:tblW w:w="6293" w:type="dxa"/>
        <w:jc w:val="left"/>
        <w:tblInd w:w="0" w:type="dxa"/>
        <w:tblLayout w:type="fixed"/>
        <w:tblCellMar>
          <w:top w:w="28" w:type="dxa"/>
          <w:left w:w="28" w:type="dxa"/>
          <w:bottom w:w="28" w:type="dxa"/>
          <w:right w:w="28" w:type="dxa"/>
        </w:tblCellMar>
      </w:tblPr>
      <w:tblGrid>
        <w:gridCol w:w="1426"/>
        <w:gridCol w:w="1255"/>
        <w:gridCol w:w="1263"/>
        <w:gridCol w:w="196"/>
        <w:gridCol w:w="721"/>
        <w:gridCol w:w="109"/>
        <w:gridCol w:w="109"/>
        <w:gridCol w:w="109"/>
        <w:gridCol w:w="109"/>
        <w:gridCol w:w="196"/>
        <w:gridCol w:w="646"/>
        <w:gridCol w:w="154"/>
      </w:tblGrid>
      <w:tr>
        <w:trPr/>
        <w:tc>
          <w:tcPr>
            <w:tcW w:w="1426"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cash flows from continuing operations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(7,055)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cash flows from discontinued operations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in operating activities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(7,936)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Investing cash flows from continuing operations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Investing cash flows from discontinued operations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in investing activities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cash flows from continuing operations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cash flows from discontinued operations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provided by (used in) financing activities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(14,677)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rates on cash</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decrease in cash and cash equivalents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(26,375)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beginning of period</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end of period</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13,221 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180"/>
        <w:ind w:left="0" w:right="0" w:firstLine="450"/>
        <w:jc w:val="left"/>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 for the six months ended June 30, 2026 is primarily comprised of net cash used for working capital of $19.9 million, which was largely due to timing of large cash receipts on accounts receivable balances and the payout of the Company’s annual bonuses that were accrued for at December 31, 2025, and a $13.0 million net loss, partially offset by non-cash charges during the period, including share-based compensation expense of $5.4 million and depreciation and amortization of $4.1 million.</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 for six months ended June 30, 2025 is primarily comprised of a $0.7 million net loss from continuing operations during the period and net cash used for working capital of $15.0 million, which was largely due to the payout of the annual bonus that was accrued for at December 31, 2024, partially offset by non-cash charges, including depreciation and amortization of $3.9 million, share-based compensation expense of $3.3 million, and provision for excess and obsolete inventory of $1.2 million.</w:t>
      </w:r>
    </w:p>
    <w:p>
      <w:pPr>
        <w:pStyle w:val="TextBody"/>
        <w:bidi w:val="0"/>
        <w:spacing w:lineRule="auto" w:line="276" w:before="180" w:after="180"/>
        <w:ind w:left="0" w:right="0" w:firstLine="450"/>
        <w:jc w:val="left"/>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during the six months ended June 30, 2026 is primarily comprised of $7.8 million of cash outflows related to the development of software in support of our products and services.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for the six months ended June 30, 2025 is comprised of $4.4 million of cash outflows related to the development of software in support of our products and services, partially offset by $0.7 million received during the period related to a working capital adjustment payment from the purchaser of the Company’s Telematics Business that was sold in 2024.</w:t>
      </w:r>
    </w:p>
    <w:p>
      <w:pPr>
        <w:pStyle w:val="TextBody"/>
        <w:bidi w:val="0"/>
        <w:spacing w:lineRule="auto" w:line="276" w:before="180" w:after="180"/>
        <w:ind w:left="0" w:right="0" w:firstLine="450"/>
        <w:jc w:val="left"/>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financing activities during the six months ended June 30, 2026 is primarily comprised of $10.0 million drawn on the Working Capital Facility and $0.7 million of cash received from exercises of stock options and purchases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ind w:left="0" w:right="0" w:firstLine="450"/>
        <w:jc w:val="left"/>
        <w:rPr/>
      </w:pPr>
      <w:r>
        <w:rPr/>
      </w:r>
    </w:p>
    <w:p>
      <w:pPr>
        <w:pStyle w:val="TextBody"/>
        <w:bidi w:val="0"/>
        <w:spacing w:lineRule="auto" w:line="276" w:before="180" w:after="180"/>
        <w:jc w:val="left"/>
        <w:rPr>
          <w:rFonts w:ascii="Times New Roman;serif" w:hAnsi="Times New Roman;serif"/>
          <w:b w:val="false"/>
          <w:color w:val="000000"/>
          <w:sz w:val="20"/>
        </w:rPr>
      </w:pPr>
      <w:r>
        <w:rPr>
          <w:rFonts w:ascii="Times New Roman;serif" w:hAnsi="Times New Roman;serif"/>
          <w:b w:val="false"/>
          <w:color w:val="000000"/>
          <w:sz w:val="20"/>
        </w:rPr>
        <w:t>through the Company’s employee stock purchase plan, partially offset by the $3.3 million payment made as part of the Preferred Stock Exchange Agreement.</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 for the six months ended June 30, 2025 is is primarily comprised of the repayment of the remaining $14.9 million 2025 Convertible Notes principal balance, partially offset by $0.3 million of cash received from exercises of stock options.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ind w:left="0" w:right="0" w:hanging="1080"/>
        <w:jc w:val="left"/>
        <w:rPr/>
      </w:pPr>
      <w:r>
        <w:rPr>
          <w:rFonts w:ascii="Times New Roman;serif" w:hAnsi="Times New Roman;serif"/>
          <w:b/>
          <w:color w:val="000000"/>
          <w:sz w:val="20"/>
        </w:rPr>
        <w:t>Item 3.     </w:t>
      </w:r>
      <w:r>
        <w:rPr>
          <w:rFonts w:ascii="Times New Roman;serif" w:hAnsi="Times New Roman;serif"/>
          <w:b/>
          <w:i/>
          <w:color w:val="000000"/>
          <w:sz w:val="20"/>
        </w:rPr>
        <w:t>Quantitative and Qualitative Disclosures About Market Risk.</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are exposed to market risk in the ordinary course of our business. Our revenue, earnings, cash flows, receivables, and payables are subject to fluctuations due to changes in foreign currency exchange rates.</w:t>
      </w:r>
    </w:p>
    <w:p>
      <w:pPr>
        <w:pStyle w:val="TextBody"/>
        <w:bidi w:val="0"/>
        <w:spacing w:lineRule="auto" w:line="276" w:before="180" w:after="180"/>
        <w:jc w:val="left"/>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lineRule="auto" w:line="276" w:before="180" w:after="180"/>
        <w:jc w:val="left"/>
        <w:rPr>
          <w:rFonts w:ascii="Times New Roman;serif" w:hAnsi="Times New Roman;serif"/>
          <w:b/>
          <w:i/>
          <w:color w:val="000000"/>
          <w:sz w:val="20"/>
        </w:rPr>
      </w:pPr>
      <w:r>
        <w:rPr>
          <w:rFonts w:ascii="Times New Roman;serif" w:hAnsi="Times New Roman;serif"/>
          <w:b/>
          <w:i/>
          <w:color w:val="000000"/>
          <w:sz w:val="20"/>
        </w:rPr>
        <w:t>2029 Senior Secured Notes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Company’s only fixed-rate borrowings, made under the 2029 Senior Secured Notes, had an outstanding principal balance of $48.9 million as of June 30, 2026. We record all fixed-rate borrowings at amortized cost and therefore, any changes in interest rates do not impact the values that we report for these senior notes on our consolidated financial statements. As of June 30, 2026 and December 31, 2025, we had no variable-rate borrowings.</w:t>
      </w:r>
    </w:p>
    <w:p>
      <w:pPr>
        <w:pStyle w:val="TextBody"/>
        <w:bidi w:val="0"/>
        <w:spacing w:lineRule="auto" w:line="276" w:before="180" w:after="180"/>
        <w:jc w:val="left"/>
        <w:rPr>
          <w:rFonts w:ascii="Times New Roman;serif" w:hAnsi="Times New Roman;serif"/>
          <w:b/>
          <w:i/>
          <w:color w:val="000000"/>
          <w:sz w:val="20"/>
        </w:rPr>
      </w:pPr>
      <w:r>
        <w:rPr>
          <w:rFonts w:ascii="Times New Roman;serif" w:hAnsi="Times New Roman;serif"/>
          <w:b/>
          <w:i/>
          <w:color w:val="000000"/>
          <w:sz w:val="20"/>
        </w:rPr>
        <w:t>Working Capital Facility</w:t>
      </w:r>
    </w:p>
    <w:p>
      <w:pPr>
        <w:pStyle w:val="TextBody"/>
        <w:bidi w:val="0"/>
        <w:spacing w:lineRule="auto" w:line="276" w:before="180" w:after="180"/>
        <w:ind w:left="0" w:right="0" w:firstLine="450"/>
        <w:jc w:val="left"/>
        <w:rPr/>
      </w:pPr>
      <w:r>
        <w:rPr>
          <w:rFonts w:ascii="Times New Roman;serif" w:hAnsi="Times New Roman;serif"/>
          <w:b w:val="false"/>
          <w:color w:val="000000"/>
          <w:sz w:val="20"/>
        </w:rPr>
        <w:t xml:space="preserve">We are exposed to interest rate risk associated with fluctuations in interest rates on our Working Capital Facility. As of June 30, 2026, assuming our Working Capital Facility was fully drawn up to the $20.0 million maximum, a 1% change in interest rates would result in a </w:t>
      </w:r>
      <w:r>
        <w:rPr>
          <w:rFonts w:ascii="Times New Roman;serif" w:hAnsi="Times New Roman;serif"/>
          <w:b w:val="false"/>
          <w:color w:val="000000"/>
          <w:sz w:val="20"/>
          <w:shd w:fill="FFFFFF" w:val="clear"/>
        </w:rPr>
        <w:t>$0.2 million</w:t>
      </w:r>
      <w:r>
        <w:rPr>
          <w:color w:val="000000"/>
        </w:rPr>
        <w:t xml:space="preserve"> </w:t>
      </w:r>
      <w:r>
        <w:rPr>
          <w:rFonts w:ascii="Times New Roman;serif" w:hAnsi="Times New Roman;serif"/>
          <w:b w:val="false"/>
          <w:color w:val="000000"/>
          <w:sz w:val="20"/>
        </w:rPr>
        <w:t>change in annualized interest expense.</w:t>
      </w:r>
    </w:p>
    <w:p>
      <w:pPr>
        <w:pStyle w:val="TextBody"/>
        <w:bidi w:val="0"/>
        <w:spacing w:lineRule="auto" w:line="276" w:before="180" w:after="180"/>
        <w:jc w:val="left"/>
        <w:rPr>
          <w:rFonts w:ascii="Times New Roman;serif" w:hAnsi="Times New Roman;serif"/>
          <w:b/>
          <w:color w:val="000000"/>
          <w:sz w:val="20"/>
        </w:rPr>
      </w:pPr>
      <w:r>
        <w:rPr>
          <w:rFonts w:ascii="Times New Roman;serif" w:hAnsi="Times New Roman;serif"/>
          <w:b/>
          <w:color w:val="000000"/>
          <w:sz w:val="20"/>
        </w:rPr>
        <w:t>Inflation Risk</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Inflationary factors, such as increases in the cost of our materials, supplies, and overhead costs may adversely affect our operating results. Although we do not believe that inflation has had a material impact on our financial position or results of operations to date, we may experience an effect if inflation rates continue to rise. Significant adverse changes in inflation and prices in the future could result in material losses.</w:t>
      </w:r>
    </w:p>
    <w:p>
      <w:pPr>
        <w:pStyle w:val="TextBody"/>
        <w:bidi w:val="0"/>
        <w:spacing w:lineRule="auto" w:line="276" w:before="180" w:after="180"/>
        <w:jc w:val="left"/>
        <w:rPr>
          <w:rFonts w:ascii="Times New Roman;serif" w:hAnsi="Times New Roman;serif"/>
          <w:b/>
          <w:color w:val="000000"/>
          <w:sz w:val="20"/>
        </w:rPr>
      </w:pPr>
      <w:r>
        <w:rPr>
          <w:rFonts w:ascii="Times New Roman;serif" w:hAnsi="Times New Roman;serif"/>
          <w:b/>
          <w:color w:val="000000"/>
          <w:sz w:val="20"/>
        </w:rPr>
        <w:t>Currency Risk</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Foreign Currency Exchange Risk</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results of operations and cash flows are subject to fluctuations due to changes in foreign currency exchange rates. A majority of our revenue is denominated in U.S. Dollars. However, as we have operations in foreign countries, a stronger U.S. Dollar could make our products and services more expensive in foreign countries and therefore reduce demand. A weaker U.S. Dollar could have the opposite effect. Such economic exposure to currency fluctuations is difficult to measure or predict because our sales are also influenced by many other factors.</w:t>
      </w:r>
    </w:p>
    <w:p>
      <w:pPr>
        <w:pStyle w:val="TextBody"/>
        <w:bidi w:val="0"/>
        <w:spacing w:lineRule="auto" w:line="276" w:before="180" w:after="180"/>
        <w:ind w:left="0" w:right="0" w:firstLine="450"/>
        <w:jc w:val="left"/>
        <w:rPr/>
      </w:pPr>
      <w:r>
        <w:rPr>
          <w:rFonts w:ascii="Times New Roman;serif" w:hAnsi="Times New Roman;serif"/>
          <w:b w:val="false"/>
          <w:color w:val="000000"/>
          <w:sz w:val="20"/>
          <w:shd w:fill="FFFFFF" w:val="clear"/>
        </w:rPr>
        <w:t>F</w:t>
      </w:r>
      <w:r>
        <w:rPr>
          <w:rFonts w:ascii="Times New Roman;serif" w:hAnsi="Times New Roman;serif"/>
          <w:b w:val="false"/>
          <w:color w:val="000000"/>
          <w:sz w:val="20"/>
        </w:rPr>
        <w:t xml:space="preserve">or the six months ended June 30, 2026, sales denominated in foreign currencies were approximately 1.0% of total revenue. Our results of operations and cash flows are, therefore, subject to fluctuations due to changes in foreign currency exchange rates and may be adversely affected in the future due to changes in foreign exchange rates. These foreign currencies primarily consist of the South African Rand, British Pound, Euro, Canadian Dollar, and Australian Dollar. For the six months ended June 30, 2026, a hypothetical 10% change in these foreign currencies would have increased or decreased our revenue by less than </w:t>
      </w:r>
      <w:r>
        <w:rPr>
          <w:rFonts w:ascii="Times New Roman;serif" w:hAnsi="Times New Roman;serif"/>
          <w:b w:val="false"/>
          <w:color w:val="000000"/>
          <w:sz w:val="20"/>
          <w:shd w:fill="FFFFFF" w:val="clear"/>
        </w:rPr>
        <w:t>$0.1 million</w:t>
      </w:r>
      <w:r>
        <w:rPr>
          <w:rFonts w:ascii="Times New Roman;serif" w:hAnsi="Times New Roman;serif"/>
          <w:b w:val="false"/>
          <w:color w:val="000000"/>
          <w:sz w:val="20"/>
        </w:rPr>
        <w:t>. Actual gains and losses in the future may differ materially from the hypothetical gains and losses discussed above based on changes in the timing and amount of foreign currency exchange rate movements.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hanging="1080"/>
        <w:jc w:val="left"/>
        <w:rPr/>
      </w:pPr>
      <w:r>
        <w:rPr>
          <w:rFonts w:ascii="Times New Roman;serif" w:hAnsi="Times New Roman;serif"/>
          <w:b/>
          <w:color w:val="000000"/>
          <w:sz w:val="20"/>
        </w:rPr>
        <w:t>Item 4.     </w:t>
      </w:r>
      <w:r>
        <w:rPr>
          <w:rFonts w:ascii="Times New Roman;serif" w:hAnsi="Times New Roman;serif"/>
          <w:b/>
          <w:i/>
          <w:color w:val="000000"/>
          <w:sz w:val="20"/>
        </w:rPr>
        <w:t>Controls and Procedures.</w:t>
      </w:r>
    </w:p>
    <w:p>
      <w:pPr>
        <w:pStyle w:val="TextBody"/>
        <w:bidi w:val="0"/>
        <w:spacing w:lineRule="auto" w:line="276" w:before="180" w:after="180"/>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maintain disclosure controls and procedures, as defined in Rule 13a-15(e) and 15d-15(e) promulgated under the Exchange Act, that are designed to ensure that information required to be disclosed in our reports to the SEC are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As required by Rule 13a-15(b) promulgated under the Exchange Act, we carried out an evaluation, under the supervision and with the participation of our management, including our principal executive officer and principal financial officer, of the effectiveness of the design and operation of our disclosure controls and procedures as of June 30, 2026, the end of the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180" w:after="180"/>
        <w:jc w:val="left"/>
        <w:rPr>
          <w:rFonts w:ascii="Times New Roman;serif" w:hAnsi="Times New Roman;serif"/>
          <w:b w:val="false"/>
          <w:color w:val="000000"/>
          <w:sz w:val="20"/>
        </w:rPr>
      </w:pPr>
      <w:r>
        <w:rPr>
          <w:rFonts w:ascii="Times New Roman;serif" w:hAnsi="Times New Roman;serif"/>
          <w:b w:val="false"/>
          <w:color w:val="000000"/>
          <w:sz w:val="20"/>
        </w:rPr>
        <w:t>covered by this report. Based on the foregoing, our principal executive officer and principal financial officer concluded that our disclosure controls and procedures were effective as of June 30, 2026.</w:t>
      </w:r>
    </w:p>
    <w:p>
      <w:pPr>
        <w:pStyle w:val="TextBody"/>
        <w:bidi w:val="0"/>
        <w:spacing w:lineRule="auto" w:line="276" w:before="180" w:after="180"/>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as defined in Rule 13a-15(f) and 15d-15(f) promulgated under the Exchange Act, during the quarter ended June 30, 2026, that have materially affected, or are reasonably likely to materially affect, our internal control over financial reporting.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80" w:after="283"/>
        <w:ind w:left="0" w:right="0" w:hanging="1080"/>
        <w:jc w:val="left"/>
        <w:rPr/>
      </w:pPr>
      <w:r>
        <w:rPr>
          <w:rFonts w:ascii="Times New Roman;serif" w:hAnsi="Times New Roman;serif"/>
          <w:b/>
          <w:color w:val="000000"/>
          <w:sz w:val="20"/>
        </w:rPr>
        <w:t>Item  1.</w:t>
      </w:r>
      <w:r>
        <w:rPr>
          <w:color w:val="000000"/>
        </w:rPr>
        <w:t>    </w:t>
      </w:r>
      <w:r>
        <w:rPr>
          <w:rFonts w:ascii="Times New Roman;serif" w:hAnsi="Times New Roman;serif"/>
          <w:b/>
          <w:i/>
          <w:color w:val="000000"/>
          <w:sz w:val="20"/>
        </w:rPr>
        <w:t xml:space="preserve">Legal Proceedings. </w:t>
      </w:r>
    </w:p>
    <w:p>
      <w:pPr>
        <w:pStyle w:val="TextBody"/>
        <w:bidi w:val="0"/>
        <w:spacing w:lineRule="auto" w:line="276"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are, from time to time, party to various legal proceedings arising in the ordinary course of business. We are currently not party to any litigation, the outcome of which, if determined adversely to us, would individually or in the aggregate be reasonably expected to have a material and adverse effect on our business, financial position or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20" w:after="120"/>
        <w:ind w:left="0" w:right="0" w:hanging="1080"/>
        <w:jc w:val="left"/>
        <w:rPr/>
      </w:pPr>
      <w:r>
        <w:rPr>
          <w:rFonts w:ascii="Times New Roman;serif" w:hAnsi="Times New Roman;serif"/>
          <w:b/>
          <w:color w:val="000000"/>
          <w:sz w:val="20"/>
        </w:rPr>
        <w:t>Item  1A.</w:t>
      </w:r>
      <w:r>
        <w:rPr>
          <w:color w:val="000000"/>
        </w:rPr>
        <w:t>    </w:t>
      </w:r>
      <w:r>
        <w:rPr>
          <w:rFonts w:ascii="Times New Roman;serif" w:hAnsi="Times New Roman;serif"/>
          <w:b/>
          <w:i/>
          <w:color w:val="000000"/>
          <w:sz w:val="20"/>
        </w:rPr>
        <w:t xml:space="preserve">Risk Factors. </w:t>
      </w:r>
    </w:p>
    <w:p>
      <w:pPr>
        <w:pStyle w:val="TextBody"/>
        <w:bidi w:val="0"/>
        <w:spacing w:lineRule="auto" w:line="276"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Other than the additional risk factors set forth below, there were no material changes to the risk factors disclosed in Part I, Item 1A, Risk Factors of the Form 10-K, which was filed with the Securities and Exchange Commission on February 20, 2026. Any of the risks discussed in such report, as well as additional risks and uncertainties not currently known to us or that we currently deem immaterial, could materially and adversely affect our results of operations, financial condition or prospects.</w:t>
      </w:r>
    </w:p>
    <w:p>
      <w:pPr>
        <w:pStyle w:val="TextBody"/>
        <w:bidi w:val="0"/>
        <w:spacing w:lineRule="auto" w:line="276" w:before="120" w:after="120"/>
        <w:jc w:val="left"/>
        <w:rPr>
          <w:rFonts w:ascii="Times New Roman;serif" w:hAnsi="Times New Roman;serif"/>
          <w:b/>
          <w:color w:val="000000"/>
          <w:sz w:val="20"/>
        </w:rPr>
      </w:pPr>
      <w:r>
        <w:rPr>
          <w:rFonts w:ascii="Times New Roman;serif" w:hAnsi="Times New Roman;serif"/>
          <w:b/>
          <w:color w:val="000000"/>
          <w:sz w:val="20"/>
        </w:rPr>
        <w:t>Our pending acquisition of Nokia’s fixed wireless access business (the “Nokia FWA Business”) involves a number of risks, the occurrence of which could materially adversely affect our business, financial condition and operating results.</w:t>
      </w:r>
    </w:p>
    <w:p>
      <w:pPr>
        <w:pStyle w:val="TextBody"/>
        <w:bidi w:val="0"/>
        <w:spacing w:lineRule="auto" w:line="276" w:before="12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April 30, 2026, we entered into an asset purchase agreement with Nokia to acquire the Nokia FWA Business. The acquisitions involves a number of risks, including the following:</w:t>
      </w:r>
    </w:p>
    <w:p>
      <w:pPr>
        <w:pStyle w:val="TextBody"/>
        <w:bidi w:val="0"/>
        <w:spacing w:lineRule="auto" w:line="276" w:before="140" w:after="140"/>
        <w:ind w:left="0" w:right="0" w:hanging="360"/>
        <w:jc w:val="left"/>
        <w:rPr/>
      </w:pPr>
      <w:r>
        <w:rPr>
          <w:color w:val="000000"/>
        </w:rPr>
        <w:t>•</w:t>
      </w:r>
      <w:r>
        <w:rPr>
          <w:rFonts w:ascii="Times New Roman;serif" w:hAnsi="Times New Roman;serif"/>
          <w:b w:val="false"/>
          <w:color w:val="000000"/>
          <w:sz w:val="20"/>
        </w:rPr>
        <w:t>delays in completing the acquisition within the expected time period and the risk that the acquisition may not be completed at all;</w:t>
      </w:r>
    </w:p>
    <w:p>
      <w:pPr>
        <w:pStyle w:val="TextBody"/>
        <w:bidi w:val="0"/>
        <w:spacing w:lineRule="auto" w:line="276" w:before="140" w:after="140"/>
        <w:ind w:left="0" w:right="0" w:hanging="360"/>
        <w:jc w:val="left"/>
        <w:rPr/>
      </w:pPr>
      <w:r>
        <w:rPr>
          <w:color w:val="000000"/>
        </w:rPr>
        <w:t>•</w:t>
      </w:r>
      <w:r>
        <w:rPr>
          <w:rFonts w:ascii="Times New Roman;serif" w:hAnsi="Times New Roman;serif"/>
          <w:b w:val="false"/>
          <w:color w:val="000000"/>
          <w:sz w:val="20"/>
        </w:rPr>
        <w:t>the occurrence of any fact, event, change, development or circumstance that could give rise to the termination of the purchase agreement;</w:t>
      </w:r>
    </w:p>
    <w:p>
      <w:pPr>
        <w:pStyle w:val="TextBody"/>
        <w:bidi w:val="0"/>
        <w:spacing w:lineRule="auto" w:line="276" w:before="140" w:after="140"/>
        <w:ind w:left="0" w:right="0" w:hanging="360"/>
        <w:jc w:val="left"/>
        <w:rPr/>
      </w:pPr>
      <w:r>
        <w:rPr>
          <w:color w:val="000000"/>
        </w:rPr>
        <w:t>•</w:t>
      </w:r>
      <w:r>
        <w:rPr>
          <w:rFonts w:ascii="Times New Roman;serif" w:hAnsi="Times New Roman;serif"/>
          <w:b w:val="false"/>
          <w:color w:val="000000"/>
          <w:sz w:val="20"/>
        </w:rPr>
        <w:t>the failure to satisfy any of the conditions to the consummation of the acquisition of the Nokia FWA Business;</w:t>
      </w:r>
    </w:p>
    <w:p>
      <w:pPr>
        <w:pStyle w:val="TextBody"/>
        <w:bidi w:val="0"/>
        <w:spacing w:lineRule="auto" w:line="276" w:before="140" w:after="140"/>
        <w:ind w:left="0" w:right="0" w:hanging="360"/>
        <w:jc w:val="left"/>
        <w:rPr/>
      </w:pPr>
      <w:r>
        <w:rPr>
          <w:color w:val="000000"/>
        </w:rPr>
        <w:t>•</w:t>
      </w:r>
      <w:r>
        <w:rPr>
          <w:rFonts w:ascii="Times New Roman;serif" w:hAnsi="Times New Roman;serif"/>
          <w:b w:val="false"/>
          <w:color w:val="000000"/>
          <w:sz w:val="20"/>
        </w:rPr>
        <w:t>diversion of management's attention to complete the acquisition and integrate the Nokia FWA Business thereafter;</w:t>
      </w:r>
    </w:p>
    <w:p>
      <w:pPr>
        <w:pStyle w:val="TextBody"/>
        <w:bidi w:val="0"/>
        <w:spacing w:lineRule="auto" w:line="276" w:before="140" w:after="140"/>
        <w:ind w:left="0" w:right="0" w:hanging="360"/>
        <w:jc w:val="left"/>
        <w:rPr/>
      </w:pPr>
      <w:r>
        <w:rPr>
          <w:color w:val="000000"/>
        </w:rPr>
        <w:t>•</w:t>
      </w:r>
      <w:r>
        <w:rPr>
          <w:rFonts w:ascii="Times New Roman;serif" w:hAnsi="Times New Roman;serif"/>
          <w:b w:val="false"/>
          <w:color w:val="000000"/>
          <w:sz w:val="20"/>
        </w:rPr>
        <w:t>the announcement and/or consummation of the acquisition disrupting Inseego’s current plans or operations;</w:t>
      </w:r>
    </w:p>
    <w:p>
      <w:pPr>
        <w:pStyle w:val="TextBody"/>
        <w:bidi w:val="0"/>
        <w:spacing w:lineRule="auto" w:line="276" w:before="140" w:after="140"/>
        <w:ind w:left="0" w:right="0" w:hanging="360"/>
        <w:jc w:val="left"/>
        <w:rPr/>
      </w:pPr>
      <w:r>
        <w:rPr>
          <w:color w:val="000000"/>
        </w:rPr>
        <w:t>•</w:t>
      </w:r>
      <w:r>
        <w:rPr>
          <w:rFonts w:ascii="Times New Roman;serif" w:hAnsi="Times New Roman;serif"/>
          <w:b w:val="false"/>
          <w:color w:val="000000"/>
          <w:sz w:val="20"/>
        </w:rPr>
        <w:t>potential litigation relating to the acquisition, including any resulting costs, delays or diversion of management’s attention;</w:t>
      </w:r>
    </w:p>
    <w:p>
      <w:pPr>
        <w:pStyle w:val="TextBody"/>
        <w:bidi w:val="0"/>
        <w:spacing w:lineRule="auto" w:line="276" w:before="140" w:after="140"/>
        <w:ind w:left="0" w:right="0" w:hanging="360"/>
        <w:jc w:val="left"/>
        <w:rPr/>
      </w:pPr>
      <w:r>
        <w:rPr>
          <w:color w:val="000000"/>
        </w:rPr>
        <w:t>•</w:t>
      </w:r>
      <w:r>
        <w:rPr>
          <w:rFonts w:ascii="Times New Roman;serif" w:hAnsi="Times New Roman;serif"/>
          <w:b w:val="false"/>
          <w:color w:val="000000"/>
          <w:sz w:val="20"/>
        </w:rPr>
        <w:t>significant transactions costs and expenses associated with the acquisition, whether or not it is completed;</w:t>
      </w:r>
    </w:p>
    <w:p>
      <w:pPr>
        <w:pStyle w:val="TextBody"/>
        <w:bidi w:val="0"/>
        <w:spacing w:lineRule="auto" w:line="276" w:before="140" w:after="140"/>
        <w:ind w:left="0" w:right="0" w:hanging="360"/>
        <w:jc w:val="left"/>
        <w:rPr/>
      </w:pPr>
      <w:r>
        <w:rPr>
          <w:color w:val="000000"/>
        </w:rPr>
        <w:t>•</w:t>
      </w:r>
      <w:r>
        <w:rPr>
          <w:rFonts w:ascii="Times New Roman;serif" w:hAnsi="Times New Roman;serif"/>
          <w:b w:val="false"/>
          <w:color w:val="000000"/>
          <w:sz w:val="20"/>
        </w:rPr>
        <w:t>the failure to recognize the anticipated benefits of the acquisition, which may be affected by, among other things, the potential loss of customers and/or employees of the Nokia FWA Business, competition, and/or the ability of Inseego to grow and manage growth profitably; and</w:t>
      </w:r>
    </w:p>
    <w:p>
      <w:pPr>
        <w:pStyle w:val="TextBody"/>
        <w:bidi w:val="0"/>
        <w:spacing w:lineRule="auto" w:line="276" w:before="140" w:after="140"/>
        <w:ind w:left="0" w:right="0" w:hanging="360"/>
        <w:jc w:val="left"/>
        <w:rPr/>
      </w:pPr>
      <w:r>
        <w:rPr>
          <w:color w:val="000000"/>
        </w:rPr>
        <w:t>•</w:t>
      </w:r>
      <w:r>
        <w:rPr>
          <w:rFonts w:ascii="Times New Roman;serif" w:hAnsi="Times New Roman;serif"/>
          <w:b w:val="false"/>
          <w:color w:val="000000"/>
          <w:sz w:val="20"/>
        </w:rPr>
        <w:t>the risk that costs savings and other anticipated synergies from the acquisition may not be realized when expected, or at all.</w:t>
      </w:r>
    </w:p>
    <w:p>
      <w:pPr>
        <w:pStyle w:val="TextBody"/>
        <w:bidi w:val="0"/>
        <w:spacing w:lineRule="auto" w:line="276" w:before="12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occurrence of any of the above risks could materially adversely affect our business, financial condition and operating results.</w:t>
      </w:r>
    </w:p>
    <w:p>
      <w:pPr>
        <w:pStyle w:val="TextBody"/>
        <w:bidi w:val="0"/>
        <w:spacing w:lineRule="auto" w:line="276" w:before="120" w:after="120"/>
        <w:jc w:val="left"/>
        <w:rPr>
          <w:rFonts w:ascii="Times New Roman;serif" w:hAnsi="Times New Roman;serif"/>
          <w:b/>
          <w:color w:val="000000"/>
          <w:sz w:val="20"/>
        </w:rPr>
      </w:pPr>
      <w:r>
        <w:rPr>
          <w:rFonts w:ascii="Times New Roman;serif" w:hAnsi="Times New Roman;serif"/>
          <w:b/>
          <w:color w:val="000000"/>
          <w:sz w:val="20"/>
        </w:rPr>
        <w:t xml:space="preserve">Certain of our products and services are subject to laws and regulations in the U.S. and other regions in which we operate. </w:t>
      </w:r>
    </w:p>
    <w:p>
      <w:pPr>
        <w:pStyle w:val="TextBody"/>
        <w:bidi w:val="0"/>
        <w:spacing w:lineRule="auto" w:line="276"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Certain of our products and services are subject to laws and regulations in the U.S. and other regions in which we operate. From time to time in the ordinary course we may be required to obtain regulatory approvals or licenses in order to sell certain products and services, which could result in increased costs and inability to sell our products and services. For example, in the U.S., the Federal Communications Commission (“FCC”) regulates many aspects of communications devices and services. Further, regulatory requirements may change, or we may not be able to receive approvals, registrations or licenses from jurisdictions in which we may desire to sell products and services in the future. In addition, many laws and regulations are still evolving and being tested in courts and by regulatory authorities and could be interpreted in ways that could harm our business. For example, on March 23, 2026, the FCC updated the “Covered List” of communications equipment deemed to pose an unacceptable risk to U.S. national security to include all consumer-grade routers produced in foreign countries, effectively prohibiting the importation, marketing, or sale in the United States of such routers. Although previously authorized routers may continue to be imported and sold in the United States, modifications to such routers, including firmware and software updates, often require additional FCC authorization. While we believe that the routers we currently offer are enterprise-grade, not consumer-grade, and thus not subject to the recent FCC update, the FCC may disagree with our determination, and our ability to deliver future products may be impacted. These restrictions may inhibit our ability to introduce new or upgraded products on our desired timeline and we may be required to: (i) delay, redesign, or discontinue certain offerings; (ii) shift manufacturing, assembly, or development activities to the United States or other approved pathways at higher cost; (iii) maintain older product models longer than planned, potentially reducing competitiveness; (iv) carry higher inventory levels or incur write-downs if demand shifts or products become non-viable; and/or (v) devote significant management attention and resources to engineering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changes, testing, certification, and vendor transitions. Any of these outcomes could adversely affect our revenue, gross margins, and cash flows. Further, any changes that broaden the definition of covered devices, limit waivers or transition periods, or otherwise extend restrictions to additional categories of equipment could further increase our compliance costs and operational risks.</w:t>
      </w:r>
    </w:p>
    <w:p>
      <w:pPr>
        <w:pStyle w:val="TextBody"/>
        <w:bidi w:val="0"/>
        <w:spacing w:lineRule="auto" w:line="276"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application and interpretation of these laws and regulations often are uncertain, particularly in the new and rapidly evolving industry in which we operate. Because laws and regulations have continued to develop and evolve rapidly, it is possible that we or our products or services may not be, or may not have been, compliant with each applicable law or regulation. Compliance with applicable laws and regulations may impose substantial costs on our business, and if we fail to comply we may be subject to regulatory and civil liability, additional costs (including fines), reputational harm, and in severe cases, may be prevented from selling our products and services in certain jurisdictions, all of which could materially and adversely affect our business, financial position, results of operation, and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ind w:left="0" w:right="0" w:hanging="1080"/>
        <w:jc w:val="left"/>
        <w:rPr/>
      </w:pPr>
      <w:r>
        <w:rPr>
          <w:rFonts w:ascii="Times New Roman;serif" w:hAnsi="Times New Roman;serif"/>
          <w:b/>
          <w:color w:val="000000"/>
          <w:sz w:val="20"/>
        </w:rPr>
        <w:t>Item  2.</w:t>
      </w:r>
      <w:r>
        <w:rPr>
          <w:color w:val="000000"/>
        </w:rPr>
        <w:t>    </w:t>
      </w:r>
      <w:r>
        <w:rPr>
          <w:rFonts w:ascii="Times New Roman;serif" w:hAnsi="Times New Roman;serif"/>
          <w:b/>
          <w:i/>
          <w:color w:val="000000"/>
          <w:sz w:val="20"/>
        </w:rPr>
        <w:t>Unregistered Sales of Equity Securities and Use of Proceeds.</w:t>
      </w:r>
    </w:p>
    <w:p>
      <w:pPr>
        <w:pStyle w:val="TextBody"/>
        <w:bidi w:val="0"/>
        <w:spacing w:lineRule="auto" w:line="276"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pPr>
      <w:r>
        <w:rPr>
          <w:rFonts w:ascii="Times New Roman;serif" w:hAnsi="Times New Roman;serif"/>
          <w:b/>
          <w:color w:val="000000"/>
          <w:sz w:val="20"/>
        </w:rPr>
        <w:t>Item  3.</w:t>
      </w:r>
      <w:r>
        <w:rPr>
          <w:color w:val="000000"/>
        </w:rPr>
        <w:t>    </w:t>
      </w:r>
      <w:r>
        <w:rPr>
          <w:rFonts w:ascii="Times New Roman;serif" w:hAnsi="Times New Roman;serif"/>
          <w:b/>
          <w:i/>
          <w:color w:val="000000"/>
          <w:sz w:val="20"/>
        </w:rPr>
        <w:t xml:space="preserve">Defaults Upon Senior Securities.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None. </w:t>
      </w:r>
    </w:p>
    <w:p>
      <w:pPr>
        <w:pStyle w:val="TextBody"/>
        <w:bidi w:val="0"/>
        <w:spacing w:before="120" w:after="12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ind w:left="0" w:right="0" w:hanging="1080"/>
        <w:jc w:val="left"/>
        <w:rPr/>
      </w:pPr>
      <w:r>
        <w:rPr>
          <w:rFonts w:ascii="Times New Roman;serif" w:hAnsi="Times New Roman;serif"/>
          <w:b/>
          <w:color w:val="000000"/>
          <w:sz w:val="20"/>
        </w:rPr>
        <w:t>Item 4.</w:t>
      </w:r>
      <w:r>
        <w:rPr>
          <w:color w:val="000000"/>
        </w:rPr>
        <w:t>    </w:t>
      </w:r>
      <w:r>
        <w:rPr>
          <w:rFonts w:ascii="Times New Roman;serif" w:hAnsi="Times New Roman;serif"/>
          <w:b/>
          <w:i/>
          <w:color w:val="000000"/>
          <w:sz w:val="20"/>
        </w:rPr>
        <w:t xml:space="preserve">Mine Safety Disclosures.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Not applicable. </w:t>
      </w:r>
    </w:p>
    <w:p>
      <w:pPr>
        <w:pStyle w:val="TextBody"/>
        <w:bidi w:val="0"/>
        <w:spacing w:before="120" w:after="12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ind w:left="0" w:right="0" w:hanging="1080"/>
        <w:jc w:val="left"/>
        <w:rPr/>
      </w:pPr>
      <w:r>
        <w:rPr>
          <w:rFonts w:ascii="Times New Roman;serif" w:hAnsi="Times New Roman;serif"/>
          <w:b/>
          <w:color w:val="000000"/>
          <w:sz w:val="20"/>
        </w:rPr>
        <w:t>Item 5.     </w:t>
      </w:r>
      <w:r>
        <w:rPr>
          <w:rFonts w:ascii="Times New Roman;serif" w:hAnsi="Times New Roman;serif"/>
          <w:b/>
          <w:i/>
          <w:color w:val="000000"/>
          <w:sz w:val="20"/>
        </w:rPr>
        <w:t xml:space="preserve">Other Information. </w:t>
      </w:r>
    </w:p>
    <w:p>
      <w:pPr>
        <w:pStyle w:val="TextBody"/>
        <w:bidi w:val="0"/>
        <w:spacing w:lineRule="auto" w:line="268" w:before="0" w:after="0"/>
        <w:ind w:left="0" w:right="0" w:firstLine="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Item 6.     </w:t>
      </w:r>
      <w:r>
        <w:rPr>
          <w:rFonts w:ascii="Times New Roman;serif" w:hAnsi="Times New Roman;serif"/>
          <w:b/>
          <w:i/>
          <w:color w:val="000000"/>
          <w:sz w:val="20"/>
        </w:rPr>
        <w:t xml:space="preserve">Exhibits. </w:t>
      </w:r>
    </w:p>
    <w:tbl>
      <w:tblPr>
        <w:tblW w:w="10205" w:type="dxa"/>
        <w:jc w:val="left"/>
        <w:tblInd w:w="0" w:type="dxa"/>
        <w:tblLayout w:type="fixed"/>
        <w:tblCellMar>
          <w:top w:w="28" w:type="dxa"/>
          <w:left w:w="28" w:type="dxa"/>
          <w:bottom w:w="28" w:type="dxa"/>
          <w:right w:w="28" w:type="dxa"/>
        </w:tblCellMar>
      </w:tblPr>
      <w:tblGrid>
        <w:gridCol w:w="281"/>
        <w:gridCol w:w="246"/>
        <w:gridCol w:w="249"/>
        <w:gridCol w:w="109"/>
        <w:gridCol w:w="109"/>
        <w:gridCol w:w="109"/>
        <w:gridCol w:w="2465"/>
        <w:gridCol w:w="2272"/>
        <w:gridCol w:w="2298"/>
        <w:gridCol w:w="250"/>
        <w:gridCol w:w="190"/>
        <w:gridCol w:w="176"/>
        <w:gridCol w:w="250"/>
        <w:gridCol w:w="250"/>
        <w:gridCol w:w="183"/>
        <w:gridCol w:w="269"/>
        <w:gridCol w:w="215"/>
        <w:gridCol w:w="284"/>
      </w:tblGrid>
      <w:tr>
        <w:trPr/>
        <w:tc>
          <w:tcPr>
            <w:tcW w:w="28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5" w:type="dxa"/>
            <w:tcBorders/>
            <w:vAlign w:val="center"/>
          </w:tcPr>
          <w:p>
            <w:pPr>
              <w:pStyle w:val="TableContents"/>
              <w:bidi w:val="0"/>
              <w:spacing w:before="0" w:after="283"/>
              <w:jc w:val="left"/>
              <w:rPr>
                <w:sz w:val="4"/>
                <w:szCs w:val="4"/>
              </w:rPr>
            </w:pPr>
            <w:r>
              <w:rPr>
                <w:sz w:val="4"/>
                <w:szCs w:val="4"/>
              </w:rPr>
            </w:r>
          </w:p>
        </w:tc>
        <w:tc>
          <w:tcPr>
            <w:tcW w:w="2272" w:type="dxa"/>
            <w:tcBorders/>
            <w:vAlign w:val="center"/>
          </w:tcPr>
          <w:p>
            <w:pPr>
              <w:pStyle w:val="TableContents"/>
              <w:bidi w:val="0"/>
              <w:spacing w:before="0" w:after="283"/>
              <w:jc w:val="left"/>
              <w:rPr>
                <w:sz w:val="4"/>
                <w:szCs w:val="4"/>
              </w:rPr>
            </w:pPr>
            <w:r>
              <w:rPr>
                <w:sz w:val="4"/>
                <w:szCs w:val="4"/>
              </w:rPr>
            </w:r>
          </w:p>
        </w:tc>
        <w:tc>
          <w:tcPr>
            <w:tcW w:w="229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r>
      <w:tr>
        <w:trPr/>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Incorporated by Reference to:</w:t>
            </w:r>
          </w:p>
        </w:tc>
      </w:tr>
      <w:tr>
        <w:trPr/>
        <w:tc>
          <w:tcPr>
            <w:tcW w:w="7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c>
          <w:tcPr>
            <w:tcW w:w="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6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7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Filing Date</w:t>
            </w:r>
          </w:p>
        </w:tc>
      </w:tr>
      <w:tr>
        <w:trPr/>
        <w:tc>
          <w:tcPr>
            <w:tcW w:w="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5" w:type="dxa"/>
            <w:gridSpan w:val="3"/>
            <w:tcBorders/>
            <w:tcMar>
              <w:top w:w="0" w:type="dxa"/>
              <w:left w:w="0" w:type="dxa"/>
              <w:bottom w:w="0" w:type="dxa"/>
              <w:right w:w="0" w:type="dxa"/>
            </w:tcMar>
            <w:vAlign w:val="center"/>
          </w:tcPr>
          <w:p>
            <w:pPr>
              <w:pStyle w:val="TableContents"/>
              <w:bidi w:val="0"/>
              <w:spacing w:lineRule="auto" w:line="264" w:before="0" w:after="0"/>
              <w:jc w:val="left"/>
              <w:rPr/>
            </w:pPr>
            <w:hyperlink r:id="rId2">
              <w:r>
                <w:rPr>
                  <w:rStyle w:val="InternetLink"/>
                  <w:rFonts w:ascii="Times New Roman;serif" w:hAnsi="Times New Roman;serif"/>
                  <w:b w:val="false"/>
                  <w:color w:val="0000FF"/>
                  <w:sz w:val="20"/>
                  <w:u w:val="single"/>
                </w:rPr>
                <w:t>Asset Purchase Agreement, dated April 30, 2026, between Nokia Solutions and Networks Oy and Inseego Corp.</w:t>
              </w:r>
            </w:hyperlink>
          </w:p>
        </w:tc>
        <w:tc>
          <w:tcPr>
            <w:tcW w:w="616"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683"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768"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Times New Roman;serif" w:hAnsi="Times New Roman;serif"/>
                <w:b w:val="false"/>
                <w:color w:val="000000"/>
                <w:sz w:val="20"/>
              </w:rPr>
            </w:pPr>
            <w:r>
              <w:rPr>
                <w:rFonts w:ascii="Times New Roman;serif" w:hAnsi="Times New Roman;serif"/>
                <w:b w:val="false"/>
                <w:color w:val="000000"/>
                <w:sz w:val="20"/>
              </w:rPr>
              <w:t>4/30/2026</w:t>
            </w:r>
          </w:p>
        </w:tc>
      </w:tr>
      <w:tr>
        <w:trPr/>
        <w:tc>
          <w:tcPr>
            <w:tcW w:w="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5" w:type="dxa"/>
            <w:gridSpan w:val="3"/>
            <w:tcBorders/>
            <w:tcMar>
              <w:top w:w="0" w:type="dxa"/>
              <w:left w:w="0" w:type="dxa"/>
              <w:bottom w:w="0" w:type="dxa"/>
              <w:right w:w="0" w:type="dxa"/>
            </w:tcMar>
            <w:vAlign w:val="center"/>
          </w:tcPr>
          <w:p>
            <w:pPr>
              <w:pStyle w:val="TableContents"/>
              <w:bidi w:val="0"/>
              <w:spacing w:lineRule="auto" w:line="264" w:before="60" w:after="60"/>
              <w:jc w:val="left"/>
              <w:rPr/>
            </w:pPr>
            <w:hyperlink r:id="rId3">
              <w:r>
                <w:rPr>
                  <w:rStyle w:val="InternetLink"/>
                  <w:rFonts w:ascii="Times New Roman;serif" w:hAnsi="Times New Roman;serif"/>
                  <w:b w:val="false"/>
                  <w:color w:val="0000FF"/>
                  <w:sz w:val="20"/>
                  <w:u w:val="single"/>
                </w:rPr>
                <w:t>Amended and Restated Certificate of Incorporation.</w:t>
              </w:r>
            </w:hyperlink>
          </w:p>
        </w:tc>
        <w:tc>
          <w:tcPr>
            <w:tcW w:w="616"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683"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768"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Times New Roman;serif" w:hAnsi="Times New Roman;serif"/>
                <w:b w:val="false"/>
                <w:color w:val="000000"/>
                <w:sz w:val="20"/>
              </w:rPr>
            </w:pPr>
            <w:r>
              <w:rPr>
                <w:rFonts w:ascii="Times New Roman;serif" w:hAnsi="Times New Roman;serif"/>
                <w:b w:val="false"/>
                <w:color w:val="000000"/>
                <w:sz w:val="20"/>
              </w:rPr>
              <w:t>11/9/2016</w:t>
            </w:r>
          </w:p>
        </w:tc>
      </w:tr>
      <w:tr>
        <w:trPr/>
        <w:tc>
          <w:tcPr>
            <w:tcW w:w="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5" w:type="dxa"/>
            <w:gridSpan w:val="3"/>
            <w:tcBorders/>
            <w:tcMar>
              <w:top w:w="0" w:type="dxa"/>
              <w:left w:w="0" w:type="dxa"/>
              <w:bottom w:w="0" w:type="dxa"/>
              <w:right w:w="0" w:type="dxa"/>
            </w:tcMar>
            <w:vAlign w:val="center"/>
          </w:tcPr>
          <w:p>
            <w:pPr>
              <w:pStyle w:val="TableContents"/>
              <w:bidi w:val="0"/>
              <w:spacing w:lineRule="auto" w:line="264" w:before="60" w:after="60"/>
              <w:jc w:val="left"/>
              <w:rPr/>
            </w:pPr>
            <w:hyperlink r:id="rId4">
              <w:r>
                <w:rPr>
                  <w:rStyle w:val="InternetLink"/>
                  <w:rFonts w:ascii="Times New Roman;serif" w:hAnsi="Times New Roman;serif"/>
                  <w:b w:val="false"/>
                  <w:color w:val="0000FF"/>
                  <w:sz w:val="20"/>
                  <w:u w:val="single"/>
                </w:rPr>
                <w:t>Amended and Restated Bylaws.</w:t>
              </w:r>
            </w:hyperlink>
          </w:p>
        </w:tc>
        <w:tc>
          <w:tcPr>
            <w:tcW w:w="616"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683"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768"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Times New Roman;serif" w:hAnsi="Times New Roman;serif"/>
                <w:b w:val="false"/>
                <w:color w:val="000000"/>
                <w:sz w:val="20"/>
              </w:rPr>
            </w:pPr>
            <w:r>
              <w:rPr>
                <w:rFonts w:ascii="Times New Roman;serif" w:hAnsi="Times New Roman;serif"/>
                <w:b w:val="false"/>
                <w:color w:val="000000"/>
                <w:sz w:val="20"/>
              </w:rPr>
              <w:t>5/9/2025</w:t>
            </w:r>
          </w:p>
        </w:tc>
      </w:tr>
      <w:tr>
        <w:trPr/>
        <w:tc>
          <w:tcPr>
            <w:tcW w:w="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Certificate of Designation of Series E Fixed-Rate Cumulative Perpetual Preferred Stock.</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6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7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8/13/2019</w:t>
            </w:r>
          </w:p>
        </w:tc>
      </w:tr>
      <w:tr>
        <w:trPr/>
        <w:tc>
          <w:tcPr>
            <w:tcW w:w="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Certificate of Amendment to Certificate of Designation of Series E Fixed-Rate Cumulative Perpetual Preferred Stock.</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6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7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3/10/2020</w:t>
            </w:r>
          </w:p>
        </w:tc>
      </w:tr>
      <w:tr>
        <w:trPr/>
        <w:tc>
          <w:tcPr>
            <w:tcW w:w="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Certificate of Amendment of Certificate of Incorporation of Inseego Corp., dated January 23, 2024.</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6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7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1/23/2024</w:t>
            </w:r>
          </w:p>
        </w:tc>
      </w:tr>
      <w:tr>
        <w:trPr/>
        <w:tc>
          <w:tcPr>
            <w:tcW w:w="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5"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8">
              <w:r>
                <w:rPr>
                  <w:rStyle w:val="InternetLink"/>
                  <w:rFonts w:ascii="Times New Roman;serif" w:hAnsi="Times New Roman;serif"/>
                  <w:b w:val="false"/>
                  <w:color w:val="0000FF"/>
                  <w:sz w:val="20"/>
                  <w:u w:val="single"/>
                </w:rPr>
                <w:t>Subscription Agreement, dated April 30, 2026, between Inseego Corp. and Nokia Solutions and Networks Oy.</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6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7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4/30/2026</w:t>
            </w:r>
          </w:p>
        </w:tc>
      </w:tr>
      <w:tr>
        <w:trPr/>
        <w:tc>
          <w:tcPr>
            <w:tcW w:w="776" w:type="dxa"/>
            <w:gridSpan w:val="3"/>
            <w:tcBorders/>
            <w:tcMar>
              <w:top w:w="0" w:type="dxa"/>
              <w:left w:w="0" w:type="dxa"/>
              <w:bottom w:w="0" w:type="dxa"/>
              <w:right w:w="0" w:type="dxa"/>
            </w:tcMar>
            <w:vAlign w:val="center"/>
          </w:tcPr>
          <w:p>
            <w:pPr>
              <w:pStyle w:val="TableContents"/>
              <w:bidi w:val="0"/>
              <w:spacing w:lineRule="auto" w:line="264" w:before="60" w:after="60"/>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5" w:type="dxa"/>
            <w:gridSpan w:val="3"/>
            <w:tcBorders/>
            <w:tcMar>
              <w:top w:w="0" w:type="dxa"/>
              <w:left w:w="0" w:type="dxa"/>
              <w:bottom w:w="0" w:type="dxa"/>
              <w:right w:w="0" w:type="dxa"/>
            </w:tcMar>
            <w:vAlign w:val="center"/>
          </w:tcPr>
          <w:p>
            <w:pPr>
              <w:pStyle w:val="TableContents"/>
              <w:bidi w:val="0"/>
              <w:spacing w:lineRule="auto" w:line="268" w:before="60" w:after="60"/>
              <w:jc w:val="left"/>
              <w:rPr/>
            </w:pPr>
            <w:hyperlink w:anchor="insg20260630ex311.htm">
              <w:r>
                <w:rPr>
                  <w:rStyle w:val="InternetLink"/>
                  <w:rFonts w:ascii="Times New Roman;serif" w:hAnsi="Times New Roman;serif"/>
                  <w:b w:val="false"/>
                  <w:color w:val="0000FF"/>
                  <w:sz w:val="20"/>
                  <w:u w:val="single"/>
                </w:rPr>
                <w:t>Certification of our Principal Executive Officer adopted pursuant to Section 302 of the Sarbanes-Oxley Act of 2002.</w:t>
              </w:r>
            </w:hyperlink>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3"/>
            <w:tcBorders/>
            <w:tcMar>
              <w:top w:w="0" w:type="dxa"/>
              <w:left w:w="0" w:type="dxa"/>
              <w:bottom w:w="0" w:type="dxa"/>
              <w:right w:w="0" w:type="dxa"/>
            </w:tcMar>
            <w:vAlign w:val="center"/>
          </w:tcPr>
          <w:p>
            <w:pPr>
              <w:pStyle w:val="TableContents"/>
              <w:bidi w:val="0"/>
              <w:spacing w:lineRule="auto" w:line="264" w:before="60" w:after="60"/>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5" w:type="dxa"/>
            <w:gridSpan w:val="3"/>
            <w:tcBorders/>
            <w:tcMar>
              <w:top w:w="0" w:type="dxa"/>
              <w:left w:w="0" w:type="dxa"/>
              <w:bottom w:w="0" w:type="dxa"/>
              <w:right w:w="0" w:type="dxa"/>
            </w:tcMar>
            <w:vAlign w:val="center"/>
          </w:tcPr>
          <w:p>
            <w:pPr>
              <w:pStyle w:val="TableContents"/>
              <w:bidi w:val="0"/>
              <w:spacing w:lineRule="auto" w:line="268" w:before="60" w:after="60"/>
              <w:jc w:val="left"/>
              <w:rPr/>
            </w:pPr>
            <w:hyperlink w:anchor="insg20260630ex312.htm">
              <w:r>
                <w:rPr>
                  <w:rStyle w:val="InternetLink"/>
                  <w:rFonts w:ascii="Times New Roman;serif" w:hAnsi="Times New Roman;serif"/>
                  <w:b w:val="false"/>
                  <w:color w:val="0000FF"/>
                  <w:sz w:val="20"/>
                  <w:u w:val="single"/>
                </w:rPr>
                <w:t>Certification of our Principal Financial Officer adopted pursuant to Section 302 of the Sarbanes-Oxley Act of 2002.</w:t>
              </w:r>
            </w:hyperlink>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3"/>
            <w:tcBorders/>
            <w:tcMar>
              <w:top w:w="0" w:type="dxa"/>
              <w:left w:w="0" w:type="dxa"/>
              <w:bottom w:w="0" w:type="dxa"/>
              <w:right w:w="0" w:type="dxa"/>
            </w:tcMar>
            <w:vAlign w:val="center"/>
          </w:tcPr>
          <w:p>
            <w:pPr>
              <w:pStyle w:val="TableContents"/>
              <w:bidi w:val="0"/>
              <w:spacing w:lineRule="auto" w:line="264" w:before="60" w:after="60"/>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5" w:type="dxa"/>
            <w:gridSpan w:val="3"/>
            <w:tcBorders/>
            <w:tcMar>
              <w:top w:w="0" w:type="dxa"/>
              <w:left w:w="0" w:type="dxa"/>
              <w:bottom w:w="0" w:type="dxa"/>
              <w:right w:w="0" w:type="dxa"/>
            </w:tcMar>
            <w:vAlign w:val="center"/>
          </w:tcPr>
          <w:p>
            <w:pPr>
              <w:pStyle w:val="TableContents"/>
              <w:bidi w:val="0"/>
              <w:spacing w:lineRule="auto" w:line="268" w:before="60" w:after="60"/>
              <w:jc w:val="left"/>
              <w:rPr/>
            </w:pPr>
            <w:hyperlink w:anchor="insg20260630ex321.htm">
              <w:r>
                <w:rPr>
                  <w:rStyle w:val="InternetLink"/>
                  <w:rFonts w:ascii="Times New Roman;serif" w:hAnsi="Times New Roman;serif"/>
                  <w:b w:val="false"/>
                  <w:color w:val="0000FF"/>
                  <w:sz w:val="20"/>
                  <w:u w:val="single"/>
                </w:rPr>
                <w:t>Certification of Principal Executive Officer pursuant to 18 U.S.C. Section 1350, as adopted pursuant to Section 906 of the Sarbanes-Oxley Act of 2002.</w:t>
              </w:r>
            </w:hyperlink>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3"/>
            <w:tcBorders/>
            <w:tcMar>
              <w:top w:w="0" w:type="dxa"/>
              <w:left w:w="0" w:type="dxa"/>
              <w:bottom w:w="0" w:type="dxa"/>
              <w:right w:w="0" w:type="dxa"/>
            </w:tcMar>
            <w:vAlign w:val="center"/>
          </w:tcPr>
          <w:p>
            <w:pPr>
              <w:pStyle w:val="TableContents"/>
              <w:bidi w:val="0"/>
              <w:spacing w:lineRule="auto" w:line="264" w:before="60" w:after="60"/>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5" w:type="dxa"/>
            <w:gridSpan w:val="3"/>
            <w:tcBorders/>
            <w:tcMar>
              <w:top w:w="0" w:type="dxa"/>
              <w:left w:w="0" w:type="dxa"/>
              <w:bottom w:w="0" w:type="dxa"/>
              <w:right w:w="0" w:type="dxa"/>
            </w:tcMar>
            <w:vAlign w:val="center"/>
          </w:tcPr>
          <w:p>
            <w:pPr>
              <w:pStyle w:val="TableContents"/>
              <w:bidi w:val="0"/>
              <w:spacing w:lineRule="auto" w:line="268" w:before="60" w:after="60"/>
              <w:jc w:val="left"/>
              <w:rPr/>
            </w:pPr>
            <w:hyperlink w:anchor="insg20260630ex322.htm">
              <w:r>
                <w:rPr>
                  <w:rStyle w:val="InternetLink"/>
                  <w:rFonts w:ascii="Times New Roman;serif" w:hAnsi="Times New Roman;serif"/>
                  <w:b w:val="false"/>
                  <w:color w:val="0000FF"/>
                  <w:sz w:val="20"/>
                  <w:u w:val="single"/>
                </w:rPr>
                <w:t>Certification of Principal Financial Officer pursuant to 18 U.S.C. Section 1350, as adopted pursuant to Section 906 of the Sarbanes-Oxley Act of 2002.</w:t>
              </w:r>
            </w:hyperlink>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3"/>
            <w:tcBorders/>
            <w:tcMar>
              <w:top w:w="0" w:type="dxa"/>
              <w:left w:w="0" w:type="dxa"/>
              <w:bottom w:w="0" w:type="dxa"/>
              <w:right w:w="0" w:type="dxa"/>
            </w:tcMar>
            <w:vAlign w:val="center"/>
          </w:tcPr>
          <w:p>
            <w:pPr>
              <w:pStyle w:val="TableContents"/>
              <w:bidi w:val="0"/>
              <w:spacing w:lineRule="auto" w:line="264" w:before="60" w:after="60"/>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5" w:type="dxa"/>
            <w:gridSpan w:val="3"/>
            <w:tcBorders/>
            <w:tcMar>
              <w:top w:w="0" w:type="dxa"/>
              <w:left w:w="0" w:type="dxa"/>
              <w:bottom w:w="0" w:type="dxa"/>
              <w:right w:w="0" w:type="dxa"/>
            </w:tcMar>
            <w:vAlign w:val="center"/>
          </w:tcPr>
          <w:p>
            <w:pPr>
              <w:pStyle w:val="TableContents"/>
              <w:bidi w:val="0"/>
              <w:spacing w:lineRule="auto" w:line="264" w:before="60" w:after="60"/>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3"/>
            <w:tcBorders/>
            <w:tcMar>
              <w:top w:w="0" w:type="dxa"/>
              <w:left w:w="0" w:type="dxa"/>
              <w:bottom w:w="0" w:type="dxa"/>
              <w:right w:w="0" w:type="dxa"/>
            </w:tcMar>
            <w:vAlign w:val="center"/>
          </w:tcPr>
          <w:p>
            <w:pPr>
              <w:pStyle w:val="TableContents"/>
              <w:bidi w:val="0"/>
              <w:spacing w:lineRule="auto" w:line="264" w:before="60" w:after="60"/>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5" w:type="dxa"/>
            <w:gridSpan w:val="3"/>
            <w:tcBorders/>
            <w:tcMar>
              <w:top w:w="0" w:type="dxa"/>
              <w:left w:w="0" w:type="dxa"/>
              <w:bottom w:w="0" w:type="dxa"/>
              <w:right w:w="0" w:type="dxa"/>
            </w:tcMar>
            <w:vAlign w:val="center"/>
          </w:tcPr>
          <w:p>
            <w:pPr>
              <w:pStyle w:val="TableContents"/>
              <w:bidi w:val="0"/>
              <w:spacing w:lineRule="auto" w:line="264" w:before="60" w:after="6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3"/>
            <w:tcBorders/>
            <w:tcMar>
              <w:top w:w="0" w:type="dxa"/>
              <w:left w:w="0" w:type="dxa"/>
              <w:bottom w:w="0" w:type="dxa"/>
              <w:right w:w="0" w:type="dxa"/>
            </w:tcMar>
            <w:vAlign w:val="center"/>
          </w:tcPr>
          <w:p>
            <w:pPr>
              <w:pStyle w:val="TableContents"/>
              <w:bidi w:val="0"/>
              <w:spacing w:lineRule="auto" w:line="264" w:before="60" w:after="60"/>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5" w:type="dxa"/>
            <w:gridSpan w:val="3"/>
            <w:tcBorders/>
            <w:tcMar>
              <w:top w:w="0" w:type="dxa"/>
              <w:left w:w="0" w:type="dxa"/>
              <w:bottom w:w="0" w:type="dxa"/>
              <w:right w:w="0" w:type="dxa"/>
            </w:tcMar>
            <w:vAlign w:val="center"/>
          </w:tcPr>
          <w:p>
            <w:pPr>
              <w:pStyle w:val="TableContents"/>
              <w:bidi w:val="0"/>
              <w:spacing w:lineRule="auto" w:line="264" w:before="60" w:after="6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3"/>
            <w:tcBorders/>
            <w:tcMar>
              <w:top w:w="0" w:type="dxa"/>
              <w:left w:w="0" w:type="dxa"/>
              <w:bottom w:w="0" w:type="dxa"/>
              <w:right w:w="0" w:type="dxa"/>
            </w:tcMar>
            <w:vAlign w:val="center"/>
          </w:tcPr>
          <w:p>
            <w:pPr>
              <w:pStyle w:val="TableContents"/>
              <w:bidi w:val="0"/>
              <w:spacing w:lineRule="auto" w:line="264" w:before="60" w:after="60"/>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5" w:type="dxa"/>
            <w:gridSpan w:val="3"/>
            <w:tcBorders/>
            <w:tcMar>
              <w:top w:w="0" w:type="dxa"/>
              <w:left w:w="0" w:type="dxa"/>
              <w:bottom w:w="0" w:type="dxa"/>
              <w:right w:w="0" w:type="dxa"/>
            </w:tcMar>
            <w:vAlign w:val="center"/>
          </w:tcPr>
          <w:p>
            <w:pPr>
              <w:pStyle w:val="TableContents"/>
              <w:bidi w:val="0"/>
              <w:spacing w:lineRule="auto" w:line="264" w:before="60" w:after="6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3"/>
            <w:tcBorders/>
            <w:tcMar>
              <w:top w:w="0" w:type="dxa"/>
              <w:left w:w="0" w:type="dxa"/>
              <w:bottom w:w="0" w:type="dxa"/>
              <w:right w:w="0" w:type="dxa"/>
            </w:tcMar>
            <w:vAlign w:val="center"/>
          </w:tcPr>
          <w:p>
            <w:pPr>
              <w:pStyle w:val="TableContents"/>
              <w:bidi w:val="0"/>
              <w:spacing w:lineRule="auto" w:line="264" w:before="60" w:after="60"/>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5" w:type="dxa"/>
            <w:gridSpan w:val="3"/>
            <w:tcBorders/>
            <w:tcMar>
              <w:top w:w="0" w:type="dxa"/>
              <w:left w:w="0" w:type="dxa"/>
              <w:bottom w:w="0" w:type="dxa"/>
              <w:right w:w="0" w:type="dxa"/>
            </w:tcMar>
            <w:vAlign w:val="center"/>
          </w:tcPr>
          <w:p>
            <w:pPr>
              <w:pStyle w:val="TableContents"/>
              <w:bidi w:val="0"/>
              <w:spacing w:lineRule="auto" w:line="264" w:before="60" w:after="6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3"/>
            <w:tcBorders/>
            <w:tcMar>
              <w:top w:w="0" w:type="dxa"/>
              <w:left w:w="0" w:type="dxa"/>
              <w:bottom w:w="0" w:type="dxa"/>
              <w:right w:w="0" w:type="dxa"/>
            </w:tcMar>
            <w:vAlign w:val="center"/>
          </w:tcPr>
          <w:p>
            <w:pPr>
              <w:pStyle w:val="TableContents"/>
              <w:bidi w:val="0"/>
              <w:spacing w:lineRule="auto" w:line="264" w:before="60" w:after="60"/>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5" w:type="dxa"/>
            <w:gridSpan w:val="3"/>
            <w:tcBorders/>
            <w:tcMar>
              <w:top w:w="0" w:type="dxa"/>
              <w:left w:w="0" w:type="dxa"/>
              <w:bottom w:w="0" w:type="dxa"/>
              <w:right w:w="0" w:type="dxa"/>
            </w:tcMar>
            <w:vAlign w:val="center"/>
          </w:tcPr>
          <w:p>
            <w:pPr>
              <w:pStyle w:val="TableContents"/>
              <w:bidi w:val="0"/>
              <w:spacing w:lineRule="auto" w:line="264" w:before="60" w:after="6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35"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683"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r>
      <w:tr>
        <w:trPr/>
        <w:tc>
          <w:tcPr>
            <w:tcW w:w="776" w:type="dxa"/>
            <w:gridSpan w:val="3"/>
            <w:tcBorders/>
            <w:tcMar>
              <w:top w:w="0" w:type="dxa"/>
              <w:left w:w="0" w:type="dxa"/>
              <w:bottom w:w="0" w:type="dxa"/>
              <w:right w:w="0" w:type="dxa"/>
            </w:tcMar>
            <w:vAlign w:val="center"/>
          </w:tcPr>
          <w:p>
            <w:pPr>
              <w:pStyle w:val="TableContents"/>
              <w:bidi w:val="0"/>
              <w:spacing w:lineRule="auto" w:line="264" w:before="60" w:after="6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5" w:type="dxa"/>
            <w:gridSpan w:val="3"/>
            <w:tcBorders/>
            <w:tcMar>
              <w:top w:w="0" w:type="dxa"/>
              <w:left w:w="0" w:type="dxa"/>
              <w:bottom w:w="0" w:type="dxa"/>
              <w:right w:w="0" w:type="dxa"/>
            </w:tcMar>
            <w:vAlign w:val="center"/>
          </w:tcPr>
          <w:p>
            <w:pPr>
              <w:pStyle w:val="TableContents"/>
              <w:bidi w:val="0"/>
              <w:spacing w:lineRule="auto" w:line="264" w:before="60" w:after="60"/>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0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4931"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135"/>
        <w:gridCol w:w="135"/>
        <w:gridCol w:w="135"/>
        <w:gridCol w:w="135"/>
        <w:gridCol w:w="135"/>
        <w:gridCol w:w="135"/>
        <w:gridCol w:w="570"/>
        <w:gridCol w:w="570"/>
        <w:gridCol w:w="810"/>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Inseego Corp.</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    JUHO SARVIKAS</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Juho Sarvikas</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Chief Executive Officer</w:t>
            </w:r>
          </w:p>
        </w:tc>
      </w:tr>
    </w:tbl>
    <w:p>
      <w:pPr>
        <w:pStyle w:val="TextBody"/>
        <w:bidi w:val="0"/>
        <w:spacing w:lineRule="auto" w:line="288" w:before="0" w:after="0"/>
        <w:jc w:val="left"/>
        <w:rPr>
          <w:color w:val="000000"/>
        </w:rPr>
      </w:pPr>
      <w:r>
        <w:rPr>
          <w:color w:val="000000"/>
        </w:rPr>
        <w:t> </w:t>
      </w:r>
    </w:p>
    <w:tbl>
      <w:tblPr>
        <w:tblW w:w="33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34"/>
        <w:gridCol w:w="134"/>
        <w:gridCol w:w="136"/>
        <w:gridCol w:w="109"/>
        <w:gridCol w:w="109"/>
        <w:gridCol w:w="109"/>
        <w:gridCol w:w="570"/>
        <w:gridCol w:w="570"/>
        <w:gridCol w:w="8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    STEVEN GATOFF</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Steven Gatoff</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Chief Financial Officer</w:t>
              <w:b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60" w:after="60"/>
        <w:jc w:val="center"/>
        <w:rPr>
          <w:rFonts w:ascii="Times New Roman;serif" w:hAnsi="Times New Roman;serif"/>
          <w:b/>
          <w:color w:val="000000"/>
          <w:sz w:val="20"/>
        </w:rPr>
      </w:pPr>
      <w:r>
        <w:rPr>
          <w:rFonts w:ascii="Times New Roman;serif" w:hAnsi="Times New Roman;serif"/>
          <w:b/>
          <w:color w:val="000000"/>
          <w:sz w:val="20"/>
        </w:rPr>
        <w:t>CERTIFICATION OF PRINCIPAL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Rule 13a-14(a) adopted pursuant to Section 302 of the Sarbanes-Oxley Act of 2002</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Juho Sarvikas, certify that:</w:t>
      </w:r>
    </w:p>
    <w:p>
      <w:pPr>
        <w:pStyle w:val="TextBody"/>
        <w:bidi w:val="0"/>
        <w:spacing w:lineRule="auto" w:line="288"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Inseego Corp.;</w:t>
      </w:r>
    </w:p>
    <w:p>
      <w:pPr>
        <w:pStyle w:val="TextBody"/>
        <w:bidi w:val="0"/>
        <w:spacing w:lineRule="auto" w:line="288"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2"/>
        <w:gridCol w:w="2882"/>
        <w:gridCol w:w="40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40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(c)</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lineRule="auto" w:line="288" w:before="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94"/>
        <w:gridCol w:w="2886"/>
        <w:gridCol w:w="40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4"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August 5, 2026 </w:t>
      </w:r>
    </w:p>
    <w:tbl>
      <w:tblPr>
        <w:tblW w:w="2444" w:type="dxa"/>
        <w:jc w:val="center"/>
        <w:tblInd w:w="0" w:type="dxa"/>
        <w:tblLayout w:type="fixed"/>
        <w:tblCellMar>
          <w:top w:w="28" w:type="dxa"/>
          <w:left w:w="28" w:type="dxa"/>
          <w:bottom w:w="28" w:type="dxa"/>
          <w:right w:w="28" w:type="dxa"/>
        </w:tblCellMar>
      </w:tblPr>
      <w:tblGrid>
        <w:gridCol w:w="783"/>
        <w:gridCol w:w="687"/>
        <w:gridCol w:w="974"/>
      </w:tblGrid>
      <w:tr>
        <w:trPr/>
        <w:tc>
          <w:tcPr>
            <w:tcW w:w="783"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/s/    Juho Sarvikas</w:t>
            </w:r>
          </w:p>
        </w:tc>
      </w:tr>
      <w:tr>
        <w:trPr/>
        <w:tc>
          <w:tcPr>
            <w:tcW w:w="2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60"/>
              <w:jc w:val="left"/>
              <w:rPr>
                <w:rFonts w:ascii="Times New Roman;serif" w:hAnsi="Times New Roman;serif"/>
                <w:b/>
                <w:color w:val="000000"/>
                <w:sz w:val="20"/>
              </w:rPr>
            </w:pPr>
            <w:r>
              <w:rPr>
                <w:rFonts w:ascii="Times New Roman;serif" w:hAnsi="Times New Roman;serif"/>
                <w:b/>
                <w:color w:val="000000"/>
                <w:sz w:val="20"/>
              </w:rPr>
              <w:t>Juho Sarvikas</w:t>
            </w:r>
          </w:p>
        </w:tc>
      </w:tr>
      <w:tr>
        <w:trPr/>
        <w:tc>
          <w:tcPr>
            <w:tcW w:w="2444" w:type="dxa"/>
            <w:gridSpan w:val="3"/>
            <w:tcBorders/>
            <w:tcMar>
              <w:top w:w="0" w:type="dxa"/>
              <w:left w:w="0" w:type="dxa"/>
              <w:bottom w:w="0" w:type="dxa"/>
              <w:right w:w="0" w:type="dxa"/>
            </w:tcMar>
            <w:vAlign w:val="center"/>
          </w:tcPr>
          <w:p>
            <w:pPr>
              <w:pStyle w:val="TableContents"/>
              <w:bidi w:val="0"/>
              <w:spacing w:lineRule="auto" w:line="288" w:before="20" w:after="20"/>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r>
          </w:p>
          <w:p>
            <w:pPr>
              <w:pStyle w:val="TableContents"/>
              <w:bidi w:val="0"/>
              <w:spacing w:lineRule="auto" w:line="288" w:before="20" w:after="20"/>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60" w:after="60"/>
        <w:jc w:val="center"/>
        <w:rPr>
          <w:rFonts w:ascii="Times New Roman;serif" w:hAnsi="Times New Roman;serif"/>
          <w:b/>
          <w:color w:val="000000"/>
          <w:sz w:val="20"/>
        </w:rPr>
      </w:pPr>
      <w:r>
        <w:rPr>
          <w:rFonts w:ascii="Times New Roman;serif" w:hAnsi="Times New Roman;serif"/>
          <w:b/>
          <w:color w:val="000000"/>
          <w:sz w:val="20"/>
        </w:rPr>
        <w:t>CERTIFICATION OF PRINCIPAL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Rule 13a-14(a) adopted pursuant to Section 302 of the Sarbanes-Oxley Act of 2002</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Steven Gatoff, certify that:</w:t>
      </w:r>
    </w:p>
    <w:p>
      <w:pPr>
        <w:pStyle w:val="TextBody"/>
        <w:bidi w:val="0"/>
        <w:spacing w:lineRule="auto" w:line="288" w:before="180" w:after="1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Inseego Corp.;</w:t>
      </w:r>
    </w:p>
    <w:p>
      <w:pPr>
        <w:pStyle w:val="TextBody"/>
        <w:bidi w:val="0"/>
        <w:spacing w:lineRule="auto" w:line="288" w:before="180" w:after="1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1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1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2"/>
        <w:gridCol w:w="2882"/>
        <w:gridCol w:w="40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40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(c)</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lineRule="auto" w:line="288" w:before="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94"/>
        <w:gridCol w:w="2886"/>
        <w:gridCol w:w="40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4"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August 5, 2026 </w:t>
      </w:r>
    </w:p>
    <w:tbl>
      <w:tblPr>
        <w:tblW w:w="2430" w:type="dxa"/>
        <w:jc w:val="center"/>
        <w:tblInd w:w="0" w:type="dxa"/>
        <w:tblLayout w:type="fixed"/>
        <w:tblCellMar>
          <w:top w:w="28" w:type="dxa"/>
          <w:left w:w="28" w:type="dxa"/>
          <w:bottom w:w="28" w:type="dxa"/>
          <w:right w:w="28" w:type="dxa"/>
        </w:tblCellMar>
      </w:tblPr>
      <w:tblGrid>
        <w:gridCol w:w="778"/>
        <w:gridCol w:w="682"/>
        <w:gridCol w:w="970"/>
      </w:tblGrid>
      <w:tr>
        <w:trPr/>
        <w:tc>
          <w:tcPr>
            <w:tcW w:w="778"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/s/    Steven Gatoff</w:t>
            </w:r>
          </w:p>
        </w:tc>
      </w:tr>
      <w:tr>
        <w:trPr/>
        <w:tc>
          <w:tcPr>
            <w:tcW w:w="2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80" w:after="60"/>
              <w:jc w:val="left"/>
              <w:rPr>
                <w:rFonts w:ascii="Times New Roman;serif" w:hAnsi="Times New Roman;serif"/>
                <w:b/>
                <w:color w:val="000000"/>
                <w:sz w:val="20"/>
              </w:rPr>
            </w:pPr>
            <w:r>
              <w:rPr>
                <w:rFonts w:ascii="Times New Roman;serif" w:hAnsi="Times New Roman;serif"/>
                <w:b/>
                <w:color w:val="000000"/>
                <w:sz w:val="20"/>
              </w:rPr>
              <w:t>Steven Gatoff</w:t>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20" w:after="20"/>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p>
            <w:pPr>
              <w:pStyle w:val="TableContents"/>
              <w:bidi w:val="0"/>
              <w:spacing w:lineRule="auto" w:line="288" w:before="20" w:after="20"/>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6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80" w:after="6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80" w:after="6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80" w:after="60"/>
        <w:jc w:val="center"/>
        <w:rPr>
          <w:rFonts w:ascii="Times New Roman;serif" w:hAnsi="Times New Roman;serif"/>
          <w:b/>
          <w:color w:val="000000"/>
          <w:sz w:val="20"/>
        </w:rPr>
      </w:pPr>
      <w:r>
        <w:rPr>
          <w:rFonts w:ascii="Times New Roman;serif" w:hAnsi="Times New Roman;serif"/>
          <w:b/>
          <w:color w:val="000000"/>
          <w:sz w:val="20"/>
        </w:rPr>
        <w:t>AS ADOPTED PURSUANT TO SECTION 906</w:t>
      </w:r>
    </w:p>
    <w:p>
      <w:pPr>
        <w:pStyle w:val="TextBody"/>
        <w:bidi w:val="0"/>
        <w:spacing w:lineRule="auto" w:line="288" w:before="80" w:after="20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lineRule="auto" w:line="288" w:before="180" w:after="140"/>
        <w:jc w:val="left"/>
        <w:rPr>
          <w:rFonts w:ascii="Times New Roman;serif" w:hAnsi="Times New Roman;serif"/>
          <w:b w:val="false"/>
          <w:color w:val="000000"/>
          <w:sz w:val="20"/>
        </w:rPr>
      </w:pPr>
      <w:r>
        <w:rPr>
          <w:rFonts w:ascii="Times New Roman;serif" w:hAnsi="Times New Roman;serif"/>
          <w:b w:val="false"/>
          <w:color w:val="000000"/>
          <w:sz w:val="20"/>
        </w:rPr>
        <w:t>I, Juho Sarvikas, Chief Executive Officer of Inseego Corp. (the “Company”), do hereby certify, pursuant to 18 U.S.C. Section 1350, as adopted pursuant to Section 906 of the Sarbanes-Oxley Act of 2002, that to the best of my knowledge:</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1"/>
        <w:gridCol w:w="2691"/>
        <w:gridCol w:w="38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3827"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Quarterly Report on Form 10-Q of the Company for the quarter ended June 30, 2026 (the “Report”) fully complies with the requirements of Section 13(a) or 15(d) of the Securities Exchange Act of 1934, as amended; and</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3"/>
        <w:gridCol w:w="2693"/>
        <w:gridCol w:w="38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3823"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the Report fairly presents, in all material respects, the financial condition and results of operations of the Company.</w:t>
            </w:r>
          </w:p>
        </w:tc>
      </w:tr>
    </w:tbl>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August 5, 2026 </w:t>
      </w:r>
    </w:p>
    <w:tbl>
      <w:tblPr>
        <w:tblW w:w="2444" w:type="dxa"/>
        <w:jc w:val="center"/>
        <w:tblInd w:w="0" w:type="dxa"/>
        <w:tblLayout w:type="fixed"/>
        <w:tblCellMar>
          <w:top w:w="28" w:type="dxa"/>
          <w:left w:w="28" w:type="dxa"/>
          <w:bottom w:w="28" w:type="dxa"/>
          <w:right w:w="28" w:type="dxa"/>
        </w:tblCellMar>
      </w:tblPr>
      <w:tblGrid>
        <w:gridCol w:w="783"/>
        <w:gridCol w:w="687"/>
        <w:gridCol w:w="974"/>
      </w:tblGrid>
      <w:tr>
        <w:trPr/>
        <w:tc>
          <w:tcPr>
            <w:tcW w:w="783"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/s/    Juho Sarvikas</w:t>
            </w:r>
          </w:p>
        </w:tc>
      </w:tr>
      <w:tr>
        <w:trPr/>
        <w:tc>
          <w:tcPr>
            <w:tcW w:w="2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color w:val="000000"/>
                <w:sz w:val="20"/>
              </w:rPr>
            </w:pPr>
            <w:r>
              <w:rPr>
                <w:rFonts w:ascii="Times New Roman;serif" w:hAnsi="Times New Roman;serif"/>
                <w:b/>
                <w:color w:val="000000"/>
                <w:sz w:val="20"/>
              </w:rPr>
              <w:t>Juho Sarvikas</w:t>
            </w:r>
          </w:p>
        </w:tc>
      </w:tr>
      <w:tr>
        <w:trPr/>
        <w:tc>
          <w:tcPr>
            <w:tcW w:w="2444" w:type="dxa"/>
            <w:gridSpan w:val="3"/>
            <w:tcBorders/>
            <w:tcMar>
              <w:top w:w="0" w:type="dxa"/>
              <w:left w:w="0" w:type="dxa"/>
              <w:bottom w:w="0" w:type="dxa"/>
              <w:right w:w="0" w:type="dxa"/>
            </w:tcMar>
            <w:vAlign w:val="center"/>
          </w:tcPr>
          <w:p>
            <w:pPr>
              <w:pStyle w:val="TableContents"/>
              <w:bidi w:val="0"/>
              <w:spacing w:lineRule="auto" w:line="288" w:before="20" w:after="283"/>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r>
          </w:p>
          <w:p>
            <w:pPr>
              <w:pStyle w:val="TableContents"/>
              <w:bidi w:val="0"/>
              <w:spacing w:lineRule="auto" w:line="288" w:before="0" w:after="20"/>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6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AS ADOPTED PURSUANT TO SECTION 906</w: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lineRule="auto" w:line="288" w:before="260" w:after="140"/>
        <w:jc w:val="left"/>
        <w:rPr>
          <w:rFonts w:ascii="Times New Roman;serif" w:hAnsi="Times New Roman;serif"/>
          <w:b w:val="false"/>
          <w:color w:val="000000"/>
          <w:sz w:val="20"/>
        </w:rPr>
      </w:pPr>
      <w:r>
        <w:rPr>
          <w:rFonts w:ascii="Times New Roman;serif" w:hAnsi="Times New Roman;serif"/>
          <w:b w:val="false"/>
          <w:color w:val="000000"/>
          <w:sz w:val="20"/>
        </w:rPr>
        <w:t>I, Steven Gatoff, Chief Financial Officer of Inseego Corp. (the “Company”), do hereby certify, pursuant to 18 U.S.C. Section 1350, as adopted pursuant to Section 906 of the Sarbanes-Oxley Act of 2002, that to the best of my knowledge:</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1"/>
        <w:gridCol w:w="2691"/>
        <w:gridCol w:w="38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3827"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Quarterly Report on Form 10-Q of the Company for the quarter ended June 30, 2026 (the “Report”) fully complies with the requirements of Section 13(a) or 15(d) of the Securities Exchange Act of 1934, as amended; and</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3"/>
        <w:gridCol w:w="2693"/>
        <w:gridCol w:w="38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3823"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the Report fairly presents, in all material respects, the financial condition and results of operations of the Company.</w:t>
            </w:r>
          </w:p>
        </w:tc>
      </w:tr>
    </w:tbl>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August 5, 2026 </w:t>
      </w:r>
    </w:p>
    <w:tbl>
      <w:tblPr>
        <w:tblW w:w="2430" w:type="dxa"/>
        <w:jc w:val="center"/>
        <w:tblInd w:w="0" w:type="dxa"/>
        <w:tblLayout w:type="fixed"/>
        <w:tblCellMar>
          <w:top w:w="28" w:type="dxa"/>
          <w:left w:w="28" w:type="dxa"/>
          <w:bottom w:w="28" w:type="dxa"/>
          <w:right w:w="28" w:type="dxa"/>
        </w:tblCellMar>
      </w:tblPr>
      <w:tblGrid>
        <w:gridCol w:w="778"/>
        <w:gridCol w:w="682"/>
        <w:gridCol w:w="970"/>
      </w:tblGrid>
      <w:tr>
        <w:trPr/>
        <w:tc>
          <w:tcPr>
            <w:tcW w:w="778"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/s/    Steven Gatoff</w:t>
            </w:r>
          </w:p>
        </w:tc>
      </w:tr>
      <w:tr>
        <w:trPr/>
        <w:tc>
          <w:tcPr>
            <w:tcW w:w="2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80" w:after="20"/>
              <w:jc w:val="left"/>
              <w:rPr>
                <w:rFonts w:ascii="Times New Roman;serif" w:hAnsi="Times New Roman;serif"/>
                <w:b/>
                <w:color w:val="000000"/>
                <w:sz w:val="20"/>
              </w:rPr>
            </w:pPr>
            <w:r>
              <w:rPr>
                <w:rFonts w:ascii="Times New Roman;serif" w:hAnsi="Times New Roman;serif"/>
                <w:b/>
                <w:color w:val="000000"/>
                <w:sz w:val="20"/>
              </w:rPr>
              <w:t>Steven Gatoff</w:t>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2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Chief Financial Officer </w:t>
            </w:r>
          </w:p>
          <w:p>
            <w:pPr>
              <w:pStyle w:val="TableContents"/>
              <w:bidi w:val="0"/>
              <w:spacing w:lineRule="auto" w:line="288" w:before="0" w:after="20"/>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22652/000168316826003379/inseego_ex0201.htm" TargetMode="External"/><Relationship Id="rId3" Type="http://schemas.openxmlformats.org/officeDocument/2006/relationships/hyperlink" Target="https://www.sec.gov/Archives/edgar/data/1022652/000119312516763609/d261554dex31.htm" TargetMode="External"/><Relationship Id="rId4" Type="http://schemas.openxmlformats.org/officeDocument/2006/relationships/hyperlink" Target="https://www.sec.gov/Archives/edgar/data/1022652/000102265225000012/insg20250331ex32-amendedan.htm" TargetMode="External"/><Relationship Id="rId5" Type="http://schemas.openxmlformats.org/officeDocument/2006/relationships/hyperlink" Target="https://www.sec.gov/Archives/edgar/data/1022652/000119312519219943/d792529dex31.htm" TargetMode="External"/><Relationship Id="rId6" Type="http://schemas.openxmlformats.org/officeDocument/2006/relationships/hyperlink" Target="https://www.sec.gov/Archives/edgar/data/1022652/000119312520067668/d824727dex31.htm" TargetMode="External"/><Relationship Id="rId7" Type="http://schemas.openxmlformats.org/officeDocument/2006/relationships/hyperlink" Target="https://www.sec.gov/Archives/edgar/data/1022652/000168316824000396/inseego_ex0301.htm" TargetMode="External"/><Relationship Id="rId8" Type="http://schemas.openxmlformats.org/officeDocument/2006/relationships/hyperlink" Target="https://www.sec.gov/Archives/edgar/data/1022652/000168316826003379/inseego_ex1001.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18429</Words>
  <Characters>102830</Characters>
  <CharactersWithSpaces>120057</CharactersWithSpaces>
  <Paragraphs>2475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