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8" w:lineRule="exact"/>
        <w:rPr>
          <w:sz w:val="24"/>
          <w:szCs w:val="24"/>
          <w:color w:val="auto"/>
        </w:rPr>
      </w:pPr>
    </w:p>
    <w:p>
      <w:pPr>
        <w:ind w:right="4540" w:firstLine="8"/>
        <w:spacing w:after="0" w:line="250" w:lineRule="auto"/>
        <w:tabs>
          <w:tab w:leader="none" w:pos="459"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460" w:hanging="452"/>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Wingdings" w:cs="Wingdings" w:eastAsia="Wingdings" w:hAnsi="Wingdings"/>
          <w:sz w:val="18"/>
          <w:szCs w:val="18"/>
          <w:b w:val="1"/>
          <w:bCs w:val="1"/>
          <w:color w:val="auto"/>
        </w:rPr>
      </w:pPr>
    </w:p>
    <w:p>
      <w:pPr>
        <w:ind w:left="460" w:hanging="452"/>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 240.14a-12</w:t>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INSEEGO CORP.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460" w:hanging="452"/>
        <w:spacing w:after="0"/>
        <w:tabs>
          <w:tab w:leader="none" w:pos="4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Wingdings" w:cs="Wingdings" w:eastAsia="Wingdings" w:hAnsi="Wingdings"/>
          <w:sz w:val="18"/>
          <w:szCs w:val="18"/>
          <w:b w:val="1"/>
          <w:bCs w:val="1"/>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920" w:hanging="453"/>
        <w:spacing w:after="0" w:line="258" w:lineRule="auto"/>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9" w:lineRule="exact"/>
        <w:rPr>
          <w:rFonts w:ascii="Wingdings" w:cs="Wingdings" w:eastAsia="Wingdings" w:hAnsi="Wingdings"/>
          <w:sz w:val="18"/>
          <w:szCs w:val="18"/>
          <w:b w:val="1"/>
          <w:bCs w:val="1"/>
          <w:color w:val="auto"/>
        </w:rPr>
      </w:pPr>
    </w:p>
    <w:p>
      <w:pPr>
        <w:ind w:left="460" w:right="180" w:hanging="452"/>
        <w:spacing w:after="0" w:line="250" w:lineRule="auto"/>
        <w:tabs>
          <w:tab w:leader="none" w:pos="4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-130810</wp:posOffset>
            </wp:positionV>
            <wp:extent cx="6557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-276225</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-422275</wp:posOffset>
            </wp:positionV>
            <wp:extent cx="6557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-970915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-1262380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-1544955</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-1691005</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862965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673"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05740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070AD"/>
        </w:rPr>
        <w:t xml:space="preserve">2026 </w:t>
      </w:r>
      <w:r>
        <w:rPr>
          <w:rFonts w:ascii="Times New Roman" w:cs="Times New Roman" w:eastAsia="Times New Roman" w:hAnsi="Times New Roman"/>
          <w:sz w:val="65"/>
          <w:szCs w:val="65"/>
          <w:color w:val="000000"/>
        </w:rPr>
        <w:t>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575A5A"/>
        </w:rPr>
        <w:t>AND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9161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Inseego Corp., a Delaware corporation (the “Company”). The Annual Meeting will be held on June 16, 2026, at 10:00 a.m. Pacific Time, at the Company’s corporate offices located at 9710 Scranton Road, Suite 200, San Diego, California 92121.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business to be conducted at the Annual Meeting are included in the attached Notice of Annual Meeting of Stockholders and Proxy Statement.</w:t>
      </w:r>
    </w:p>
    <w:p>
      <w:pPr>
        <w:spacing w:after="0" w:line="2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please vote online, by telephone or, if you requested printed copies of these materials, by signing and returning your proxy card. If you hold your shares through an account with a broker, dealer, bank or other nominee, please follow the instructions you receive from them to vote your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hope that you will be able to attend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50317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31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Juho Sarvikas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1171575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4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9710 Scranton Road, Suite 200</w:t>
            </w:r>
          </w:p>
        </w:tc>
      </w:tr>
      <w:tr>
        <w:trPr>
          <w:trHeight w:val="234"/>
        </w:trPr>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San Diego, CA 92121</w:t>
            </w:r>
          </w:p>
        </w:tc>
      </w:tr>
      <w:tr>
        <w:trPr>
          <w:trHeight w:val="486"/>
        </w:trPr>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9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16, 2026</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10:00 a.m. Pacific Time</w:t>
            </w:r>
          </w:p>
        </w:tc>
      </w:tr>
      <w:tr>
        <w:trPr>
          <w:trHeight w:val="41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Inseego Corp.</w:t>
            </w:r>
          </w:p>
        </w:tc>
      </w:tr>
      <w:tr>
        <w:trPr>
          <w:trHeight w:val="216"/>
        </w:trPr>
        <w:tc>
          <w:tcPr>
            <w:tcW w:w="1500" w:type="dxa"/>
            <w:vAlign w:val="bottom"/>
          </w:tcPr>
          <w:p>
            <w:pPr>
              <w:spacing w:after="0"/>
              <w:rPr>
                <w:sz w:val="18"/>
                <w:szCs w:val="18"/>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9710 Scranton Road, Suite 200</w:t>
            </w:r>
          </w:p>
        </w:tc>
      </w:tr>
      <w:tr>
        <w:trPr>
          <w:trHeight w:val="234"/>
        </w:trPr>
        <w:tc>
          <w:tcPr>
            <w:tcW w:w="1500" w:type="dxa"/>
            <w:vAlign w:val="bottom"/>
          </w:tcPr>
          <w:p>
            <w:pPr>
              <w:spacing w:after="0"/>
              <w:rPr>
                <w:sz w:val="20"/>
                <w:szCs w:val="20"/>
                <w:color w:val="auto"/>
              </w:rPr>
            </w:pP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San Diego, California 92121</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 two directors to serve until the 2029 annual meeting of stockholders;</w:t>
            </w:r>
          </w:p>
        </w:tc>
      </w:tr>
      <w:tr>
        <w:trPr>
          <w:trHeight w:val="414"/>
        </w:trPr>
        <w:tc>
          <w:tcPr>
            <w:tcW w:w="1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Ratify the appointment of CBIZ CPAs P.C. as the Company’s independent registered public accounting firm for the fiscal</w:t>
            </w:r>
          </w:p>
        </w:tc>
      </w:tr>
      <w:tr>
        <w:trPr>
          <w:trHeight w:val="234"/>
        </w:trPr>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year ending December 31, 2026;</w:t>
            </w:r>
          </w:p>
        </w:tc>
      </w:tr>
      <w:tr>
        <w:trPr>
          <w:trHeight w:val="414"/>
        </w:trPr>
        <w:tc>
          <w:tcPr>
            <w:tcW w:w="1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 an advisory vote to approve the compensation of our named executive officers, as presented in the proxy statement</w:t>
            </w:r>
          </w:p>
        </w:tc>
      </w:tr>
      <w:tr>
        <w:trPr>
          <w:trHeight w:val="234"/>
        </w:trPr>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accompanying this notice;</w:t>
            </w:r>
          </w:p>
        </w:tc>
      </w:tr>
      <w:tr>
        <w:trPr>
          <w:trHeight w:val="432"/>
        </w:trPr>
        <w:tc>
          <w:tcPr>
            <w:tcW w:w="1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 any other business properly brought before the Annual Meeting or any adjournment or postponement thereof.</w:t>
            </w: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Close of business on April 21,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-3325495</wp:posOffset>
            </wp:positionV>
            <wp:extent cx="117411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115" cy="308610"/>
                    </a:xfrm>
                    <a:prstGeom prst="rect">
                      <a:avLst/>
                    </a:prstGeom>
                    <a:noFill/>
                  </pic:spPr>
                </pic:pic>
              </a:graphicData>
            </a:graphic>
          </wp:anchor>
        </w:drawing>
      </w:r>
    </w:p>
    <w:p>
      <w:pPr>
        <w:spacing w:after="0" w:line="1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 STOCKHOLDER MEETING TO BE HELD ON JUNE 16, 2026</w:t>
      </w:r>
      <w:r>
        <w:rPr>
          <w:rFonts w:ascii="Times New Roman" w:cs="Times New Roman" w:eastAsia="Times New Roman" w:hAnsi="Times New Roman"/>
          <w:sz w:val="18"/>
          <w:szCs w:val="18"/>
          <w:color w:val="auto"/>
        </w:rPr>
        <w:t>: The Notice of Annual Meeting of Stockholders, Proxy Statement and the Company’s 2025 Annual Report are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https://investor.inseego.com/financial-information/annual-reports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4577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7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 Wong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1583055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the Proxy Statement. This summary does not contain all of the information that you should consider, and you should read the entire Proxy Statement carefully before voting.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Time and Date</w:t>
      </w:r>
      <w:r>
        <w:rPr>
          <w:sz w:val="20"/>
          <w:szCs w:val="20"/>
          <w:color w:val="auto"/>
        </w:rPr>
        <w:tab/>
      </w:r>
      <w:r>
        <w:rPr>
          <w:rFonts w:ascii="Times New Roman" w:cs="Times New Roman" w:eastAsia="Times New Roman" w:hAnsi="Times New Roman"/>
          <w:sz w:val="17"/>
          <w:szCs w:val="17"/>
          <w:color w:val="auto"/>
        </w:rPr>
        <w:t>10:00 a.m., Pacific Time on June 16, 2026</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Inseego Corp., 9710 Scranton Road, Suite 200, San Diego, California 92121</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Record Date</w:t>
      </w:r>
      <w:r>
        <w:rPr>
          <w:sz w:val="20"/>
          <w:szCs w:val="20"/>
          <w:color w:val="auto"/>
        </w:rPr>
        <w:tab/>
      </w:r>
      <w:r>
        <w:rPr>
          <w:rFonts w:ascii="Times New Roman" w:cs="Times New Roman" w:eastAsia="Times New Roman" w:hAnsi="Times New Roman"/>
          <w:sz w:val="17"/>
          <w:szCs w:val="17"/>
          <w:color w:val="auto"/>
        </w:rPr>
        <w:t>Close of business on April 21, 2026</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Voting</w:t>
      </w:r>
      <w:r>
        <w:rPr>
          <w:sz w:val="20"/>
          <w:szCs w:val="20"/>
          <w:color w:val="auto"/>
        </w:rPr>
        <w:tab/>
      </w:r>
      <w:r>
        <w:rPr>
          <w:rFonts w:ascii="Times New Roman" w:cs="Times New Roman" w:eastAsia="Times New Roman" w:hAnsi="Times New Roman"/>
          <w:sz w:val="18"/>
          <w:szCs w:val="18"/>
          <w:color w:val="auto"/>
        </w:rPr>
        <w:t>Stockholders of record as of the Record Date are entitled to one vote per share on each matter to be voted upon at the Annual</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Entry</w:t>
      </w:r>
      <w:r>
        <w:rPr>
          <w:sz w:val="20"/>
          <w:szCs w:val="20"/>
          <w:color w:val="auto"/>
        </w:rPr>
        <w:tab/>
      </w:r>
      <w:r>
        <w:rPr>
          <w:rFonts w:ascii="Times New Roman" w:cs="Times New Roman" w:eastAsia="Times New Roman" w:hAnsi="Times New Roman"/>
          <w:sz w:val="18"/>
          <w:szCs w:val="18"/>
          <w:color w:val="auto"/>
        </w:rPr>
        <w:t>Everyone attending the Annual Meeting will be required to present both proof of ownership of the Company’s common stock and</w:t>
      </w:r>
    </w:p>
    <w:p>
      <w:pPr>
        <w:spacing w:after="0" w:line="31" w:lineRule="exact"/>
        <w:rPr>
          <w:sz w:val="20"/>
          <w:szCs w:val="20"/>
          <w:color w:val="auto"/>
        </w:rPr>
      </w:pPr>
    </w:p>
    <w:p>
      <w:pPr>
        <w:ind w:left="1700" w:right="20"/>
        <w:spacing w:after="0" w:line="252" w:lineRule="auto"/>
        <w:rPr>
          <w:sz w:val="20"/>
          <w:szCs w:val="20"/>
          <w:color w:val="auto"/>
        </w:rPr>
      </w:pPr>
      <w:r>
        <w:rPr>
          <w:rFonts w:ascii="Times New Roman" w:cs="Times New Roman" w:eastAsia="Times New Roman" w:hAnsi="Times New Roman"/>
          <w:sz w:val="18"/>
          <w:szCs w:val="18"/>
          <w:color w:val="auto"/>
        </w:rPr>
        <w:t>valid picture identification, such as a driver’s license or passport. If your shares are held through an account with a broker, dealer, bank or other nominee, you will need a recent brokerage account statement or letter from your broker, dealer, bank or other nominee reflecting stock ownership as of the Record Date. If you do not have both proof of ownership of the Company’s common stock and valid picture identification, you may not be admitted to the Annual Meeting. If you need directions to the Annual Meeting so that you may attend or vote in person, please contact Inseego Corp., 9710 Scranton Road, Suite 200, San Diego, California 92121, Attention: Secretary, or contact the Company’s Secretary by telephone at (858) 812-3400.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is not aware of any matter that will be presented for a vote at the Annual Meeting other than those shown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0" w:type="dxa"/>
            <w:vAlign w:val="bottom"/>
            <w:tcBorders>
              <w:top w:val="single" w:sz="8" w:color="auto"/>
              <w:left w:val="single" w:sz="8" w:color="auto"/>
              <w:bottom w:val="single" w:sz="8" w:color="auto"/>
              <w:right w:val="single" w:sz="8" w:color="auto"/>
            </w:tcBorders>
            <w:shd w:val="clear" w:color="auto" w:fill="BFBFBF"/>
          </w:tcPr>
          <w:p>
            <w:pPr>
              <w:spacing w:after="0"/>
              <w:rPr>
                <w:sz w:val="19"/>
                <w:szCs w:val="19"/>
                <w:color w:val="auto"/>
              </w:rPr>
            </w:pPr>
          </w:p>
        </w:tc>
        <w:tc>
          <w:tcPr>
            <w:tcW w:w="852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210"/>
        </w:trPr>
        <w:tc>
          <w:tcPr>
            <w:tcW w:w="480" w:type="dxa"/>
            <w:vAlign w:val="bottom"/>
            <w:tcBorders>
              <w:left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8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all nominees</w:t>
            </w:r>
          </w:p>
        </w:tc>
      </w:tr>
      <w:tr>
        <w:trPr>
          <w:trHeight w:val="191"/>
        </w:trPr>
        <w:tc>
          <w:tcPr>
            <w:tcW w:w="480" w:type="dxa"/>
            <w:vAlign w:val="bottom"/>
            <w:tcBorders>
              <w:left w:val="single" w:sz="8" w:color="auto"/>
              <w:right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85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Ratification of the Appointment of CBIZ CPAs P.C. as the Company’s Independent Registered Public Accounting</w:t>
            </w:r>
          </w:p>
        </w:tc>
        <w:tc>
          <w:tcPr>
            <w:tcW w:w="2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FOR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8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Firm for the Fiscal Year Ending December 31, 2026</w:t>
            </w:r>
          </w:p>
        </w:tc>
        <w:tc>
          <w:tcPr>
            <w:tcW w:w="2240" w:type="dxa"/>
            <w:vAlign w:val="bottom"/>
            <w:tcBorders>
              <w:bottom w:val="single" w:sz="8" w:color="auto"/>
              <w:right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8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 Vote to Approve the Compensation of our Named Executive Officers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If you are a holder of record on the Record Date, you can vote your shares:</w:t>
      </w:r>
    </w:p>
    <w:p>
      <w:pPr>
        <w:spacing w:after="0" w:line="223" w:lineRule="exact"/>
        <w:rPr>
          <w:sz w:val="20"/>
          <w:szCs w:val="20"/>
          <w:color w:val="auto"/>
        </w:rPr>
      </w:pPr>
    </w:p>
    <w:p>
      <w:pPr>
        <w:ind w:left="580" w:right="200" w:hanging="373"/>
        <w:spacing w:after="0" w:line="267" w:lineRule="auto"/>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By logging onto the secure website included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or voting instruction form and following the instructions provided.</w:t>
      </w:r>
    </w:p>
    <w:p>
      <w:pPr>
        <w:spacing w:after="0" w:line="173" w:lineRule="exact"/>
        <w:rPr>
          <w:sz w:val="20"/>
          <w:szCs w:val="20"/>
          <w:color w:val="auto"/>
        </w:rPr>
      </w:pPr>
    </w:p>
    <w:p>
      <w:pPr>
        <w:ind w:left="580" w:right="60" w:hanging="390"/>
        <w:spacing w:after="0" w:line="261" w:lineRule="auto"/>
        <w:tabs>
          <w:tab w:leader="none" w:pos="58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these materials,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completing, signing, dating and promptly returning the proxy card in the postage-paid return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371" w:right="60" w:hanging="371"/>
        <w:spacing w:after="0" w:line="267" w:lineRule="auto"/>
        <w:tabs>
          <w:tab w:leader="none" w:pos="371" w:val="left"/>
        </w:tabs>
        <w:numPr>
          <w:ilvl w:val="0"/>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By calling the telephone number listed on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voting instruction form and following the instructions provided by the recorded message.</w:t>
      </w:r>
    </w:p>
    <w:p>
      <w:pPr>
        <w:spacing w:after="0" w:line="173" w:lineRule="exact"/>
        <w:rPr>
          <w:sz w:val="20"/>
          <w:szCs w:val="20"/>
          <w:color w:val="auto"/>
        </w:rPr>
      </w:pPr>
    </w:p>
    <w:p>
      <w:pPr>
        <w:ind w:left="371" w:right="80" w:hanging="354"/>
        <w:spacing w:after="0" w:line="258" w:lineRule="auto"/>
        <w:tabs>
          <w:tab w:leader="none" w:pos="371"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i w:val="1"/>
          <w:iCs w:val="1"/>
          <w:color w:val="auto"/>
        </w:rPr>
        <w:t>At the Meeting</w:t>
      </w:r>
      <w:r>
        <w:rPr>
          <w:rFonts w:ascii="Times New Roman" w:cs="Times New Roman" w:eastAsia="Times New Roman" w:hAnsi="Times New Roman"/>
          <w:sz w:val="18"/>
          <w:szCs w:val="18"/>
          <w:color w:val="auto"/>
        </w:rPr>
        <w:t>. By voting in person at the Annual Meeting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1021080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400" w:space="309"/>
            <w:col w:w="5531"/>
          </w:cols>
          <w:pgMar w:left="320" w:top="792" w:right="339" w:bottom="1440" w:gutter="0" w:footer="0" w:header="0"/>
          <w:type w:val="continuous"/>
        </w:sectPr>
      </w:pPr>
    </w:p>
    <w:bookmarkStart w:id="5" w:name="page6"/>
    <w:bookmarkEnd w:id="5"/>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79692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6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r>
      <w:tr>
        <w:trPr>
          <w:trHeight w:val="392"/>
        </w:trPr>
        <w:tc>
          <w:tcPr>
            <w:tcW w:w="52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THIS PROXY STATEMENT</w:t>
            </w:r>
          </w:p>
        </w:tc>
        <w:tc>
          <w:tcPr>
            <w:tcW w:w="4980" w:type="dxa"/>
            <w:vAlign w:val="bottom"/>
            <w:gridSpan w:val="5"/>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3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6780" w:type="dxa"/>
            <w:vAlign w:val="bottom"/>
            <w:gridSpan w:val="10"/>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2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CORPORATE GOVERNANCE</w:t>
            </w:r>
          </w:p>
        </w:tc>
        <w:tc>
          <w:tcPr>
            <w:tcW w:w="7820" w:type="dxa"/>
            <w:vAlign w:val="bottom"/>
            <w:gridSpan w:val="15"/>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INFORMATION REGARDING THE BOARD AND ITS COMMITTEES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2"/>
        </w:trPr>
        <w:tc>
          <w:tcPr>
            <w:tcW w:w="47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INFORMATION REGARDING OUR EXECUTIVE OFFICERS</w:t>
            </w:r>
          </w:p>
        </w:tc>
        <w:tc>
          <w:tcPr>
            <w:tcW w:w="660" w:type="dxa"/>
            <w:vAlign w:val="bottom"/>
            <w:tcBorders>
              <w:top w:val="single" w:sz="8" w:color="0000EE"/>
            </w:tcBorders>
            <w:gridSpan w:val="2"/>
          </w:tcPr>
          <w:p>
            <w:pPr>
              <w:spacing w:after="0"/>
              <w:rPr>
                <w:sz w:val="24"/>
                <w:szCs w:val="24"/>
                <w:color w:val="auto"/>
              </w:rPr>
            </w:pPr>
          </w:p>
        </w:tc>
        <w:tc>
          <w:tcPr>
            <w:tcW w:w="4800" w:type="dxa"/>
            <w:vAlign w:val="bottom"/>
            <w:gridSpan w:val="4"/>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4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COMPENSATION OF NAMED EXECUTIVE OFFICERS</w:t>
            </w:r>
          </w:p>
        </w:tc>
        <w:tc>
          <w:tcPr>
            <w:tcW w:w="586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2"/>
        </w:trPr>
        <w:tc>
          <w:tcPr>
            <w:tcW w:w="35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TRANSACTIONS WITH RELATED PERSONS</w:t>
            </w:r>
          </w:p>
        </w:tc>
        <w:tc>
          <w:tcPr>
            <w:tcW w:w="6600" w:type="dxa"/>
            <w:vAlign w:val="bottom"/>
            <w:gridSpan w:val="8"/>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67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SECURITY OWNERSHIP OF MANAGEMENT AND CERTAIN BENEFICIAL OWNERS</w:t>
            </w:r>
          </w:p>
        </w:tc>
        <w:tc>
          <w:tcPr>
            <w:tcW w:w="344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2: RATIFICATION OF THE APPOINTMENT OF THE COMPANY’S INDEPENDENT REGISTERED PUBLIC</w:t>
            </w:r>
          </w:p>
        </w:tc>
        <w:tc>
          <w:tcPr>
            <w:tcW w:w="1060" w:type="dxa"/>
            <w:vAlign w:val="bottom"/>
          </w:tcPr>
          <w:p>
            <w:pPr>
              <w:spacing w:after="0"/>
              <w:rPr>
                <w:sz w:val="24"/>
                <w:szCs w:val="24"/>
                <w:color w:val="auto"/>
              </w:rPr>
            </w:pPr>
          </w:p>
        </w:tc>
      </w:tr>
      <w:tr>
        <w:trPr>
          <w:trHeight w:val="196"/>
        </w:trPr>
        <w:tc>
          <w:tcPr>
            <w:tcW w:w="66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ACCOUNTING FIRM</w:t>
            </w:r>
          </w:p>
        </w:tc>
        <w:tc>
          <w:tcPr>
            <w:tcW w:w="6940" w:type="dxa"/>
            <w:vAlign w:val="bottom"/>
            <w:tcBorders>
              <w:top w:val="single" w:sz="8" w:color="0000EE"/>
            </w:tcBorders>
            <w:gridSpan w:val="15"/>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3: ADVISORY VOTE TO APPROVE THE COMPENSATION OF OUR NAMED EXECUTIVE OFFICERS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30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REPORT OF THE AUDIT COMMITTEE</w:t>
            </w:r>
          </w:p>
        </w:tc>
        <w:tc>
          <w:tcPr>
            <w:tcW w:w="5880" w:type="dxa"/>
            <w:vAlign w:val="bottom"/>
            <w:tcBorders>
              <w:top w:val="single" w:sz="8" w:color="0000EE"/>
            </w:tcBorders>
            <w:gridSpan w:val="10"/>
          </w:tcPr>
          <w:p>
            <w:pPr>
              <w:spacing w:after="0"/>
              <w:rPr>
                <w:sz w:val="24"/>
                <w:szCs w:val="24"/>
                <w:color w:val="auto"/>
              </w:rPr>
            </w:pPr>
          </w:p>
        </w:tc>
        <w:tc>
          <w:tcPr>
            <w:tcW w:w="122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2"/>
        </w:trPr>
        <w:tc>
          <w:tcPr>
            <w:tcW w:w="32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ANNUAL REPORT ON FORM 10-K</w:t>
            </w:r>
          </w:p>
        </w:tc>
        <w:tc>
          <w:tcPr>
            <w:tcW w:w="69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3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MISCELLANEOUS AND OTHER MATTERS</w:t>
            </w:r>
          </w:p>
        </w:tc>
        <w:tc>
          <w:tcPr>
            <w:tcW w:w="6720" w:type="dxa"/>
            <w:vAlign w:val="bottom"/>
            <w:gridSpan w:val="9"/>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2"/>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 A</w:t>
            </w:r>
          </w:p>
        </w:tc>
        <w:tc>
          <w:tcPr>
            <w:tcW w:w="1060" w:type="dxa"/>
            <w:vAlign w:val="bottom"/>
          </w:tcPr>
          <w:p>
            <w:pPr>
              <w:spacing w:after="0"/>
              <w:rPr>
                <w:sz w:val="24"/>
                <w:szCs w:val="24"/>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796925"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INSEEGO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QUESTIONS AND ANSWERS ABOUT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this proxy statement?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proxy statement (the “Proxy Statement”) is being furnished to you on behalf of the Board to solicit your proxy to vote at the Company’s Annual Meeting of Stockholders to be held on June 16, 2026, at 10:00 a.m., Pacific Time, at the Company’s corporate offices located at 9710 Scranton Road, Suite 200, San Diego, California 92121. As permitted by the SEC, we are making this Proxy Statement and our 2025 Annual Report available to our stockholders electronically via the Internet. On or about May 1, 2026, we are mailing to most of our stockholders the Notice in lieu of a printed copy of the proxy materials. All stockholders who have previously requested a printed copy of the Company’s proxy materials will continue to receive a printed copy of the proxy materials. All other stockholders will not receive a printed copy of the proxy materials unless one is requested.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Holders of record of our common stock as of the close of business on April 21, 2026 (the “Record Date”), are entitled to notice of, and to vote at, the Annual Meeting. If your shares of common stock were registered directly in your name with our transfer agent, Computershare Trust Company, at the close of business on the Record Date, then you are a holder of record and are entitled to notice of, and to vote at, the Annual Meeting. If your shares were not directly held in your name, but were held through an account with a broker, dealer, bank or other nominee at the close of business on the Record Date, then your shares are held in “street name” and the organization holding your account is considered the holder of record for purposes of voting at the Annual Meeting. As a beneficial owner, you have the right to instruct your broker, dealer, bank or other nominee on how to vote your shares and are invited to attend the Annual Meeting. However, since you are not the holder of record, you may not vote your shares at the Annual Meeting unless you request and obtain a valid proxy from your broker, dealer, bank or other nominee.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record as of the Record Date is entitled to one vote for each share of common stock held by such holder on the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constitute a quorum at the Annual Meeting?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Holders of a majority of the shares of our outstanding common stock entitled to vote at the Annual Meeting must be present at the Annual Meeting, in person or by proxy, to constitute a quorum, which is necessary to conduct the Annual Meeting. Your shares will be counted toward the quorum if you submit a properly executed proxy or are present and vote at the Annual Meeting. In addition, votes withheld from the director nominees, abstentions and broker non-votes will be treated as present for the purpose of determining the presence of a quorum for the transaction of business at the Annual Meeting. A broker non-vote occurs when a broker, dealer, bank or other nominee holding shares for a beneficial owner submits a proxy for a meeting but does not vote on a particular proposal because that holder does not have discretionary voting power with respect to that proposal and has not received instructions from the beneficial owner. If there is no quorum, then either the chairman of the meeting or the holders of a majority in voting power of the shares of common stock that are entitled to vote at the meeting, present in person or by proxy, may adjourn the meeting until a quorum is present or represented.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7" w:name="page8"/>
    <w:bookmarkEnd w:id="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3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What matters will be considered at the Annual Meeting and what are the Board’s recommendations on how I should vote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matters to be voted upon and the Board’s recommendations: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0" w:type="dxa"/>
            <w:vAlign w:val="bottom"/>
            <w:tcBorders>
              <w:top w:val="single" w:sz="8" w:color="auto"/>
              <w:left w:val="single" w:sz="8" w:color="auto"/>
              <w:bottom w:val="single" w:sz="8" w:color="auto"/>
              <w:right w:val="single" w:sz="8" w:color="auto"/>
            </w:tcBorders>
            <w:shd w:val="clear" w:color="auto" w:fill="BFBFBF"/>
          </w:tcPr>
          <w:p>
            <w:pPr>
              <w:spacing w:after="0"/>
              <w:rPr>
                <w:sz w:val="19"/>
                <w:szCs w:val="19"/>
                <w:color w:val="auto"/>
              </w:rPr>
            </w:pPr>
          </w:p>
        </w:tc>
        <w:tc>
          <w:tcPr>
            <w:tcW w:w="8880" w:type="dxa"/>
            <w:vAlign w:val="bottom"/>
            <w:tcBorders>
              <w:top w:val="single" w:sz="8" w:color="auto"/>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0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Recommendation</w:t>
            </w:r>
          </w:p>
        </w:tc>
      </w:tr>
      <w:tr>
        <w:trPr>
          <w:trHeight w:val="209"/>
        </w:trPr>
        <w:tc>
          <w:tcPr>
            <w:tcW w:w="36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Election of Two Directors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all nominees</w:t>
            </w:r>
          </w:p>
        </w:tc>
      </w:tr>
      <w:tr>
        <w:trPr>
          <w:trHeight w:val="191"/>
        </w:trPr>
        <w:tc>
          <w:tcPr>
            <w:tcW w:w="360" w:type="dxa"/>
            <w:vAlign w:val="bottom"/>
            <w:tcBorders>
              <w:left w:val="single" w:sz="8" w:color="auto"/>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8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Ratification of the Appointment of CBIZ CPAs P.C. as the Company’s Independent Registered Public Accounting Firm for</w:t>
            </w:r>
          </w:p>
        </w:tc>
        <w:tc>
          <w:tcPr>
            <w:tcW w:w="2000" w:type="dxa"/>
            <w:vAlign w:val="bottom"/>
            <w:tcBorders>
              <w:right w:val="single" w:sz="8" w:color="auto"/>
            </w:tcBorders>
          </w:tcPr>
          <w:p>
            <w:pPr>
              <w:spacing w:after="0"/>
              <w:rPr>
                <w:sz w:val="16"/>
                <w:szCs w:val="16"/>
                <w:color w:val="auto"/>
              </w:rPr>
            </w:pPr>
          </w:p>
        </w:tc>
      </w:tr>
      <w:tr>
        <w:trPr>
          <w:trHeight w:val="234"/>
        </w:trPr>
        <w:tc>
          <w:tcPr>
            <w:tcW w:w="360" w:type="dxa"/>
            <w:vAlign w:val="bottom"/>
            <w:tcBorders>
              <w:left w:val="single" w:sz="8" w:color="auto"/>
              <w:bottom w:val="single" w:sz="8" w:color="auto"/>
              <w:right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Fiscal Year Ending December 31, 2026</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r>
        <w:trPr>
          <w:trHeight w:val="209"/>
        </w:trPr>
        <w:tc>
          <w:tcPr>
            <w:tcW w:w="360" w:type="dxa"/>
            <w:vAlign w:val="bottom"/>
            <w:tcBorders>
              <w:left w:val="single" w:sz="8" w:color="auto"/>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8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Advisory Vote to Approve the Compensation of our Named Executive Officers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cast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holder of record on the Record Date, you can vote your shares:</w:t>
      </w:r>
    </w:p>
    <w:p>
      <w:pPr>
        <w:spacing w:after="0" w:line="223" w:lineRule="exact"/>
        <w:rPr>
          <w:sz w:val="20"/>
          <w:szCs w:val="20"/>
          <w:color w:val="auto"/>
        </w:rPr>
      </w:pPr>
    </w:p>
    <w:p>
      <w:pPr>
        <w:ind w:left="660" w:right="120" w:hanging="652"/>
        <w:spacing w:after="0" w:line="266"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At the Meeting</w:t>
      </w:r>
      <w:r>
        <w:rPr>
          <w:rFonts w:ascii="Times New Roman" w:cs="Times New Roman" w:eastAsia="Times New Roman" w:hAnsi="Times New Roman"/>
          <w:sz w:val="18"/>
          <w:szCs w:val="18"/>
          <w:color w:val="auto"/>
        </w:rPr>
        <w:t>. By voting in person at the Annual Meeting (if you satisfy the admission requirements, as described above). Even if you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the Annual Meeting, we encourage you to vote in advance by Internet, telephone or mail so that your vote will be counted in the event you later decide not to attend the Annual Meeting.</w:t>
      </w:r>
    </w:p>
    <w:p>
      <w:pPr>
        <w:spacing w:after="0" w:line="174" w:lineRule="exact"/>
        <w:rPr>
          <w:rFonts w:ascii="Arial" w:cs="Arial" w:eastAsia="Arial" w:hAnsi="Arial"/>
          <w:sz w:val="18"/>
          <w:szCs w:val="18"/>
          <w:b w:val="1"/>
          <w:bCs w:val="1"/>
          <w:color w:val="auto"/>
        </w:rPr>
      </w:pPr>
    </w:p>
    <w:p>
      <w:pPr>
        <w:ind w:left="660" w:right="160" w:hanging="652"/>
        <w:spacing w:after="0" w:line="283"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By calling the telephone number listed on the proxy card or voting instruction form and following the instructions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message.</w:t>
      </w:r>
    </w:p>
    <w:p>
      <w:pPr>
        <w:spacing w:after="0" w:line="158" w:lineRule="exact"/>
        <w:rPr>
          <w:rFonts w:ascii="Arial" w:cs="Arial" w:eastAsia="Arial" w:hAnsi="Arial"/>
          <w:sz w:val="18"/>
          <w:szCs w:val="18"/>
          <w:b w:val="1"/>
          <w:bCs w:val="1"/>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By logging onto the secure website listed on the proxy card or voting instruction form and following the instructions provided.</w:t>
      </w:r>
    </w:p>
    <w:p>
      <w:pPr>
        <w:spacing w:after="0" w:line="224" w:lineRule="exact"/>
        <w:rPr>
          <w:rFonts w:ascii="Arial" w:cs="Arial" w:eastAsia="Arial" w:hAnsi="Arial"/>
          <w:sz w:val="18"/>
          <w:szCs w:val="18"/>
          <w:b w:val="1"/>
          <w:bCs w:val="1"/>
          <w:color w:val="auto"/>
        </w:rPr>
      </w:pPr>
    </w:p>
    <w:p>
      <w:pPr>
        <w:ind w:left="660" w:right="200" w:hanging="652"/>
        <w:spacing w:after="0" w:line="283"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these materials, by completing, signing, dating and promptly returning the proxy card in the postage-paid return envelope provided with the proxy materials for receipt prior to the Annual Meeting.</w:t>
      </w:r>
    </w:p>
    <w:p>
      <w:pPr>
        <w:spacing w:after="0" w:line="1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you submit a valid proxy to us before the Annual Meeting, we will vote your shares as you direct (unless your proxy is subsequently revoked in the manner described below).</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If your shares are held in “street name,” your broker, dealer, bank or other nominee will provide you with instructions on how to vote your shares. To be sure your shares are voted in the manner you desire, you should instruct your broker, dealer, bank or other nominee on how to vote your shares.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Instructing your broker, dealer, bank or other nominee how to vote your shares is important due to the stock exchange rule that prohibits your broker, dealer, bank or other nominee from voting your shares with respect to certain proposals without your express voting instructions.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and wish to attend the Annual Meeting and vote your shares in person, you must obtain a valid proxy from your broker, dealer, bank or other nominee.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3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Can I revoke my proxy?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Yes. However, your presence at the Annual Meeting will not automatically revoke your proxy. If you are a registered holder, you may change or revoke your proxy at any time before a vote is taken at the Annual Meeting by giving notice to the Company’s Secretary in writing during the Annual Meeting or in advance of the Annual Meeting by executing and forwarding to the Company’s Secretary a later-dated proxy or by voting a later proxy over the telephone or the Internet. If your shares are held in “street name,” you should check with the broker, dealer, bank or other nominee that holds your shares to determine how to change or revoke your vote.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signed proxy card but do not provide voting instructions?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properly submitted proxies, unless revoked in the manner described above, will be voted at the Annual Meeting in accordance with your instructions on the proxy. If a properly executed proxy gives no specific voting instructions, the shares of common stock represented by such proxy will be voted in accordance with the recommendation of the Board, as described above. If any other matter is properly presented at the Annual Meeting, the shares of common stock represented by any properly executed proxy with no specific voting instructions will be voted at the discretion of the proxy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Assuming that a quorum is present, the directors will be elected by a plurality of the votes cast by holders of shares of our outstanding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present, in person or by proxy, and entitled to vote at the Annual Meeting. This means that the nominees with the most “FOR” votes will be elected. Shares subject to a “WITHHOLD” vote will have no effect on the election’s outcome, because the candidates who receives the highest number of “FOR” votes are elected, and when candidates run unopposed, they only need a single “FOR” vote to be elected. However, under our Corporate Governance Guidelines, in an uncontested election, the Board will nominate for election or re-election as a director only candidates who agree to tender, prior to being nominated, irrevocable resignations that will be effective if such director nominee receives more “WITHHOLD” votes than “FOR” votes at the Annual Meeting. If a director nominee receives more “WITHHOLD” votes than “FOR” votes at the Annual Meeting, the remaining Board members will determine whether to accept the resignation. </w:t>
      </w:r>
      <w:r>
        <w:rPr>
          <w:rFonts w:ascii="Times New Roman" w:cs="Times New Roman" w:eastAsia="Times New Roman" w:hAnsi="Times New Roman"/>
          <w:sz w:val="18"/>
          <w:szCs w:val="18"/>
          <w:i w:val="1"/>
          <w:iCs w:val="1"/>
          <w:color w:val="auto"/>
        </w:rPr>
        <w:t>See “Corporate Governance–Plurality Plus Voting for Directors; Director Resignation Policy”</w:t>
      </w:r>
      <w:r>
        <w:rPr>
          <w:rFonts w:ascii="Times New Roman" w:cs="Times New Roman" w:eastAsia="Times New Roman" w:hAnsi="Times New Roman"/>
          <w:sz w:val="18"/>
          <w:szCs w:val="18"/>
          <w:color w:val="auto"/>
        </w:rPr>
        <w:t xml:space="preserve"> below. Broker non-votes will have no effect on Proposal 1.</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Assuming that a quorum is present, the ratification of the appointment of CBIZ CPAs P.C. as the Company’s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for the fiscal year ending December 31, 2026 will require the affirmative vote of the holders of a majority of the shares of our outstanding common stock present, in person or by proxy, and entitled to vote on the subject matter. Abstentions will have the same effect as votes against Proposal 2. Proposal 2 is considered a routine matter under applicable rules. A broker, dealer, bank or other nominee may generally vote on routine matters, and therefore no broker non-votes are expected in connection with Proposal 2.</w:t>
      </w:r>
    </w:p>
    <w:p>
      <w:pPr>
        <w:spacing w:after="0" w:line="18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Proposal 3</w:t>
      </w:r>
      <w:r>
        <w:rPr>
          <w:rFonts w:ascii="Times New Roman" w:cs="Times New Roman" w:eastAsia="Times New Roman" w:hAnsi="Times New Roman"/>
          <w:sz w:val="17"/>
          <w:szCs w:val="17"/>
          <w:color w:val="auto"/>
        </w:rPr>
        <w:t>. Assuming that a quorum is present, the advisory vote to approve the compensation of our named executive officers, as presented in this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will require the affirmative vote of the holders of a majority of the shares of our outstanding common stock present, in person or by proxy, and entitled to vote on the subject matter. Abstentions will have the same effect as votes against Proposal 3. Broker non-votes will have no effect on Proposal 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3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What happens when multiple stockholders share an address?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our proxy materials. A single copy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proxy materials, please notify your broker and direct a written request to Inseego Corp., 9710 Scranton Road, Suite 200, San Diego, California 92121, Attention: Secretary, or contact the Company’s Secretary by telephone at (858) 812-3400. Stockholders who currently receive multiple copies of the proxy materials at their address and would like to request “householding” of future communications should contact their broker. In addition, upon written or oral request to the address or telephone number set forth above, we will promptly deliver a separate copy of the proxy materials to any stockholder at a shared address to which a single copy of the documents was delivered.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received more than one proxy card?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you requested printed copies of these materials and you received more than one proxy card, your shares are likely registered in more than one name or are held in more than one account. Please complete, sign, date and promptly return each proxy card to ensure that all of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bear the costs of soliciting votes for the Annual Meeting?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is soliciting the accompanying proxy, and the Company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virtually or by other means of communication. Such directors, officers and employees will not be additionally compensated but may be reimbursed for reasonable out-of-pocket expenses in connection with such solicitation.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The final voting results will be reported in a current report on Form 8-K, which will be filed with the SEC within four business days after the Annual Meeting. If our final voting results are not available within four business days after the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 STOCKHOLDER MEETING TO BE HELD ON 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this Proxy Statement and the 2025 Annual Report are available at </w:t>
      </w:r>
      <w:r>
        <w:rPr>
          <w:rFonts w:ascii="Times New Roman" w:cs="Times New Roman" w:eastAsia="Times New Roman" w:hAnsi="Times New Roman"/>
          <w:sz w:val="18"/>
          <w:szCs w:val="18"/>
          <w:i w:val="1"/>
          <w:iCs w:val="1"/>
          <w:color w:val="auto"/>
        </w:rPr>
        <w:t>https://investor.inseego.com/financial-information/annual-reports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is divided into three classes. Each class consists, as nearly as possible, of one-third of the total number of directors constituting the entire Board, and each class has a three-year term. At each annual meeting of stockholders, the successors to directors whose terms then expire will be elected to serve from the time of their election and qualification until the third annual meeting of stockholders following such election. There are currently eight directors serving on the Board and two directors whose terms of office are scheduled to expire at the upcoming Annual Meeting.</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(the “Nominating and Corporate Governance Committee”) has recommended that James Avery and Jeffrey Tuder each be elected to serve a three-year term expiring at the 2029 annual meeting of stockholders. Messrs. Avery and Tuder are both incumbent directors. No arrangement or understanding exists between Messrs. Avery or Tuder and any other person, pursuant to which they were selected as director nominees.</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Assuming that a quorum is present, directors are elected by a plurality of the votes cast by holders of shares of our outstanding common stock present, in person or by proxy, and entitled to vote at the Annual Meeting. In accordance with our Corporate Governance Guidelines, director nominees agree to tender an irrevocable resignation that will be effective only if such director nominee receives more “WITHHOLD” votes than “FOR” votes at the Annual Meeting. If a director nominee receives more “WITHHOLD” votes than “FOR” votes at the Annual Meeting, the remaining Board members will determine whether to accept the resignation. Broker non-votes will have no effect on this proposal. Proxies cannot be voted for a greater number of persons than one, the number of nominees named above.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contains information about the director nominees and the directors whose terms of office continue after the Annual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be Elected for a Term Expiring at the 2029 Annual Meeting of Stockholders</w:t>
      </w:r>
    </w:p>
    <w:p>
      <w:pPr>
        <w:spacing w:after="0" w:line="22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8"/>
          <w:szCs w:val="18"/>
          <w:b w:val="1"/>
          <w:bCs w:val="1"/>
          <w:i w:val="1"/>
          <w:iCs w:val="1"/>
          <w:color w:val="auto"/>
        </w:rPr>
        <w:t>James B. Avery</w:t>
      </w:r>
      <w:r>
        <w:rPr>
          <w:sz w:val="20"/>
          <w:szCs w:val="20"/>
          <w:color w:val="auto"/>
        </w:rPr>
        <w:tab/>
      </w:r>
      <w:r>
        <w:rPr>
          <w:rFonts w:ascii="Times New Roman" w:cs="Times New Roman" w:eastAsia="Times New Roman" w:hAnsi="Times New Roman"/>
          <w:sz w:val="17"/>
          <w:szCs w:val="17"/>
          <w:b w:val="1"/>
          <w:bCs w:val="1"/>
          <w:i w:val="1"/>
          <w:iCs w:val="1"/>
          <w:color w:val="auto"/>
        </w:rPr>
        <w:t>Director since August 2018</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Avery, age 62, was appointed to the Board in August 2018 pursuant to the terms of that certain Securities Purchase Agreement, dated August 6, 2018, by and among the Company, North Sound Trading, L.P. and Golden Harbor Ltd. Mr. Avery joined Tavistock 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publicly traded on the Tokyo Stock Exchange. Prior to GCA Savvian, Mr. Avery spent 10 years at Morgan Stanley, working in the New York and Silicon Valley offices where he advised clients across a number of industries on strategy, merger &amp; acquisitions and capital market transactions. Mr. Avery has also held roles at Edward M. Greenberg Associates, Burson-Marsteller, Westdeutsche Landesbank, and Republic National Bank of New York. Mr. Avery received his Bachelor of Science in Finance from Miami University. Mr. Avery’s management background and expertise in strategic corporate matters and capital markets provide a valuable background for him to serve as a member of our Board.</w:t>
      </w:r>
    </w:p>
    <w:p>
      <w:pPr>
        <w:spacing w:after="0" w:line="184"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b w:val="1"/>
          <w:bCs w:val="1"/>
          <w:i w:val="1"/>
          <w:iCs w:val="1"/>
          <w:color w:val="auto"/>
        </w:rPr>
        <w:t>Jeffrey Tuder</w:t>
      </w:r>
      <w:r>
        <w:rPr>
          <w:sz w:val="20"/>
          <w:szCs w:val="20"/>
          <w:color w:val="auto"/>
        </w:rPr>
        <w:tab/>
      </w:r>
      <w:r>
        <w:rPr>
          <w:rFonts w:ascii="Times New Roman" w:cs="Times New Roman" w:eastAsia="Times New Roman" w:hAnsi="Times New Roman"/>
          <w:sz w:val="17"/>
          <w:szCs w:val="17"/>
          <w:b w:val="1"/>
          <w:bCs w:val="1"/>
          <w:i w:val="1"/>
          <w:iCs w:val="1"/>
          <w:color w:val="auto"/>
        </w:rPr>
        <w:t>Director since June 2017</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Tuder, age 52, was appointed to the Board in June 2017. Mr. Tuder is the Founder and Managing Member of Tremson Capital Management, LLC (“Tremson”) since April 2015. Mr. Tuder is also Chief Executive Officer of Concord Acquisition Corp II and Chief Financial Officer of each of Real Asset Acquisition Corp, Digital Asset Acquisition Corp and Space Asset Acquisition Corp (NASDAQ: RAAQ, DAAQ and SAAQ, respectively). Prior to founding Tremson, he held investment roles at KSA Capital Management, LLC and at JHL Capital Group, LLC. Previously, Mr. Tuder was a Managing Director of CapitalSource Finance, LLC, and was a member of the private equity investment team at Fortress Investment Group, LLC. Mr. Tuder began his career in various investment capacities at Nassau Capital and ABS Capital Partners. Mr. Tuder currently serves on the board of directors of GCT Semiconductor Holding, Inc. (NASDAQ: GCTS), Hyperliquid Securities Inc (NASDAQ: PURR), as well as Real Asset Acquisition Corp and Digital Asset Acquisition Corp. Mr. Tuder previously served on the board of directors of MRV Communications, Inc., Seachange International, Unico American, NamTai Property Concord Acquisition Corp and Concord Acquisition Corp III. Mr. Tuder also has served as a director of a number of privately held companies. Mr. Tuder received a Bachelor of Arts degree from Yale College. Mr. Tuder’s private equity and hedge fund investment experience, his expertise in evaluating both public and private investment opportunities across numerous industries, and his ability to think creatively in considering ways to maximize long-term shareholder value provide a valuable background for him to serve as a member of our Board.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Directors with Terms Expiring at the 2027 Annual Meeting of Stockholders</w:t>
      </w:r>
    </w:p>
    <w:p>
      <w:pPr>
        <w:spacing w:after="0" w:line="225"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18"/>
          <w:szCs w:val="18"/>
          <w:b w:val="1"/>
          <w:bCs w:val="1"/>
          <w:i w:val="1"/>
          <w:iCs w:val="1"/>
          <w:color w:val="auto"/>
        </w:rPr>
        <w:t>Stephen J. Bye</w:t>
      </w:r>
      <w:r>
        <w:rPr>
          <w:sz w:val="20"/>
          <w:szCs w:val="20"/>
          <w:color w:val="auto"/>
        </w:rPr>
        <w:tab/>
      </w:r>
      <w:r>
        <w:rPr>
          <w:rFonts w:ascii="Times New Roman" w:cs="Times New Roman" w:eastAsia="Times New Roman" w:hAnsi="Times New Roman"/>
          <w:sz w:val="18"/>
          <w:szCs w:val="18"/>
          <w:b w:val="1"/>
          <w:bCs w:val="1"/>
          <w:i w:val="1"/>
          <w:iCs w:val="1"/>
          <w:color w:val="auto"/>
        </w:rPr>
        <w:t>Director Since October 2025</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Bye, age 58, was appointed to the Board in October 2025. Since January 2023, Mr. Bye has served as President, Connectivity at Ziff Davis, a digital media and internet company. From November 2019 to January 2023, Mr. Bye served as Executive Vice President and Chief Commercial Officer of DISH Network Corporation’s facilities-based wireless network business. Prior to joining DISH, Mr. Bye was CEO of Connectivity Wireless, a provider of carrier-grade, in-building neutral host wireless solutions. Before that, he served as the President of C Spire, where he was responsible for the day-to-day operations of the company. Additionally, he has held a range of executive positions at Cox Communications, AT&amp;T, BellSouth International, Optus Communications, and Telstra. Mr. Bye received a Bachelor of Engineering degree from the University of Tasmania in Australia and a Bachelor of Science Degree from the University of London. Mr. Bye’s extensive management experience, particularly in the telecom industry, provide a valuable background for him to serve as a member of our Board.</w:t>
      </w:r>
    </w:p>
    <w:p>
      <w:pPr>
        <w:spacing w:after="0" w:line="188"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b w:val="1"/>
          <w:bCs w:val="1"/>
          <w:i w:val="1"/>
          <w:iCs w:val="1"/>
          <w:color w:val="auto"/>
        </w:rPr>
        <w:t>Christopher Harland</w:t>
      </w:r>
      <w:r>
        <w:rPr>
          <w:sz w:val="20"/>
          <w:szCs w:val="20"/>
          <w:color w:val="auto"/>
        </w:rPr>
        <w:tab/>
      </w:r>
      <w:r>
        <w:rPr>
          <w:rFonts w:ascii="Times New Roman" w:cs="Times New Roman" w:eastAsia="Times New Roman" w:hAnsi="Times New Roman"/>
          <w:sz w:val="17"/>
          <w:szCs w:val="17"/>
          <w:b w:val="1"/>
          <w:bCs w:val="1"/>
          <w:i w:val="1"/>
          <w:iCs w:val="1"/>
          <w:color w:val="auto"/>
        </w:rPr>
        <w:t>Director since October 2019</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Harland, age 68, was appointed to the Board in October 2019. Mr. Harland is a Partner in the Strategic Advisory Group at PJT Partners, based in New York. Prior to joining PJT Partners, Mr. Harland spent 32 years at Morgan Stanley. From 2008 to March 2015, Mr. Harland served as Chairman and Regional Head of Morgan Stanley Latin America and was also a member of the Management Committee and International Operating Committee. Under his leadership, Morgan Stanley significantly expanded the scope of its operations in Brazil and Mexico and opened new offices in Peru, Colombia and Chile. Before assuming responsibility for Latin America, Mr. Harland was Global Head of the Media and Communications Investment Banking Group from 1996 to 2007. In this capacity he advised many leading media and communications companies on a variety of acquisitions, divestitures and corporate financings. He is a trustee of the New York Studio School, a director of Round Hill Developments and a member of the Council on Foreign Relations. Mr. Harland graduated magna cum laude from Harvard College, attended Oxford University and received a Master of Business Administration from Harvard Business School where he was a George F. Baker Scholar. Mr. Harland’s expertise in capital markets provides a valuable background for him to serve as a member of our Board.</w:t>
      </w:r>
    </w:p>
    <w:p>
      <w:pPr>
        <w:spacing w:after="0" w:line="190"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18"/>
          <w:szCs w:val="18"/>
          <w:b w:val="1"/>
          <w:bCs w:val="1"/>
          <w:i w:val="1"/>
          <w:iCs w:val="1"/>
          <w:color w:val="auto"/>
        </w:rPr>
        <w:t>Juho Sarvikas</w:t>
      </w:r>
      <w:r>
        <w:rPr>
          <w:sz w:val="20"/>
          <w:szCs w:val="20"/>
          <w:color w:val="auto"/>
        </w:rPr>
        <w:tab/>
      </w:r>
      <w:r>
        <w:rPr>
          <w:rFonts w:ascii="Times New Roman" w:cs="Times New Roman" w:eastAsia="Times New Roman" w:hAnsi="Times New Roman"/>
          <w:sz w:val="18"/>
          <w:szCs w:val="18"/>
          <w:b w:val="1"/>
          <w:bCs w:val="1"/>
          <w:i w:val="1"/>
          <w:iCs w:val="1"/>
          <w:color w:val="auto"/>
        </w:rPr>
        <w:t>Director since January 2025</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Sarvikas, age 44, has served as the Company’s Chief Executive Officer and as a member of the Board since January 2025. Prior to joining the Company, served as president of North America for Qualcomm Incorporated, a leading global provider of connected computing technologies, from April 2021 to December 2024. Prior to Qualcomm, Mr. Sarvikas served as Chief Product Officer of HMD Global from December 2016 to April 2021, and as President North America from May 2020 to April 2021. Before joining HMD Global, he led Nokia’s feature phone business under Microsoft and held various leadership roles at Nokia for eight years prior to Microsoft’s acquisition of its smartphone business. Mr. Sarvikas holds a Master of Science degree in Industrial Engineering from Lappeenranta University of Technology in Finland. Mr. Sarvikas’s substantial experience in the wireless communications industry, gained from senior executive positions at leading global corporations, and his unique understanding of our operations, opportunities and challenges, provide a particularly relevant and informed background for him to serve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Directors with Terms Expiring at the 2028 Annual Meeting of Stockholders</w:t>
      </w:r>
    </w:p>
    <w:p>
      <w:pPr>
        <w:spacing w:after="0" w:line="225"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b w:val="1"/>
          <w:bCs w:val="1"/>
          <w:i w:val="1"/>
          <w:iCs w:val="1"/>
          <w:color w:val="auto"/>
        </w:rPr>
        <w:t>Syed Nabeel Anwar Bukhari</w:t>
      </w:r>
      <w:r>
        <w:rPr>
          <w:sz w:val="20"/>
          <w:szCs w:val="20"/>
          <w:color w:val="auto"/>
        </w:rPr>
        <w:tab/>
      </w:r>
      <w:r>
        <w:rPr>
          <w:rFonts w:ascii="Times New Roman" w:cs="Times New Roman" w:eastAsia="Times New Roman" w:hAnsi="Times New Roman"/>
          <w:sz w:val="17"/>
          <w:szCs w:val="17"/>
          <w:b w:val="1"/>
          <w:bCs w:val="1"/>
          <w:i w:val="1"/>
          <w:iCs w:val="1"/>
          <w:color w:val="auto"/>
        </w:rPr>
        <w:t>Director since October 2025</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Mr. Bukhari, age 49, was appointed to the Board in October 2025. Since 2019, Mr. Bukhari has held various leadership roles with Extreme Networks, Inc. (Nasdaq: EXTR), a leader in AI-powered automation for networking, most recently as President of AI Platforms, Executive Vice President and Chief Technology Officer since 2025, Chief Product Officer, Chief Technology Officer and General Manager of SAAS from 2020 to 2025, and as Chief Product Officer from 2019 to 2020. Mr. Bukhari has served on the board of Products That Count, a non-profit organization. Mr. Bukhari holds a Bachelor of Science degree from the University of Engineering and Technology, Lahore, and a Masters degree in Business Administration from the London School of Economics. Mr. Bukhari’s deep background in engineering, as well as his operational and management experience, provide a valuable background for him to serve on our Board.</w:t>
      </w:r>
    </w:p>
    <w:p>
      <w:pPr>
        <w:spacing w:after="0" w:line="185"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18"/>
          <w:szCs w:val="18"/>
          <w:b w:val="1"/>
          <w:bCs w:val="1"/>
          <w:i w:val="1"/>
          <w:iCs w:val="1"/>
          <w:color w:val="auto"/>
        </w:rPr>
        <w:t>Brian Miller</w:t>
      </w:r>
      <w:r>
        <w:rPr>
          <w:sz w:val="20"/>
          <w:szCs w:val="20"/>
          <w:color w:val="auto"/>
        </w:rPr>
        <w:tab/>
      </w:r>
      <w:r>
        <w:rPr>
          <w:rFonts w:ascii="Times New Roman" w:cs="Times New Roman" w:eastAsia="Times New Roman" w:hAnsi="Times New Roman"/>
          <w:sz w:val="18"/>
          <w:szCs w:val="18"/>
          <w:b w:val="1"/>
          <w:bCs w:val="1"/>
          <w:i w:val="1"/>
          <w:iCs w:val="1"/>
          <w:color w:val="auto"/>
        </w:rPr>
        <w:t>Director since January 2025</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Miller, age 59, was appointed to the Board in January 2025. He previously served on the Board from August 2018 to 2021. Mr. Miller has served as Chief Investment Officer of North Sound Partners, a family office based in Greenwich, Connecticut, since August 2012. Through North Sound Associates, the partnership invests in alternative investment strategies which can include hedge funds, private equity, and venture capital funds. Mr. Miller has also served as General Partner of North Sound Ventures, which invests directly in early stage growth companies, since August 2012. From 1991 to July 2012, Mr. Miller held various positions with Elliott Associates (“Elliott”), a hedge fund based in New York. When Mr. Miller retired from Elliott in July 2012, he was one of four equity partners and held the title of Chief Trading Officer. He was a member of Elliott’s Management Committee and also served on the Valuation and Risk Committees. Mr. Miller’s responsibilities encompassed all of global trading, including structured products, commodities, fixed-income arbitrage and portfolio protection strategies. Prior to starting with Elliott in August 1991, Mr. Miller was a Vice President at Yamaichi International where he specialized in arbitrage strategies. Mr. Miller received a Bachelor of Science degree in Economics from the University at Albany in 1988. Mr. Miller is a Chartered Financial Analyst and received his C.F.A. designation in 1992. Mr. Miller previously served on the Board of the Manhattan Institute for Policy Research in NYC and also served on the board of Avatex Corporation, a publicly listed company. Mr. Miller has a strong financial background, including private equity and hedge fund investment experience. His expertise in evaluating business and investment opportunities across numerous industries, and his ability to think creatively in considering ways to maximize long-term shareholder value provide a valuable background for him to serve as a member of our Board.</w:t>
      </w:r>
    </w:p>
    <w:p>
      <w:pPr>
        <w:spacing w:after="0" w:line="193"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b w:val="1"/>
          <w:bCs w:val="1"/>
          <w:i w:val="1"/>
          <w:iCs w:val="1"/>
          <w:color w:val="auto"/>
        </w:rPr>
        <w:t>George Mulhern</w:t>
      </w:r>
      <w:r>
        <w:rPr>
          <w:sz w:val="20"/>
          <w:szCs w:val="20"/>
          <w:color w:val="auto"/>
        </w:rPr>
        <w:tab/>
      </w:r>
      <w:r>
        <w:rPr>
          <w:rFonts w:ascii="Times New Roman" w:cs="Times New Roman" w:eastAsia="Times New Roman" w:hAnsi="Times New Roman"/>
          <w:sz w:val="17"/>
          <w:szCs w:val="17"/>
          <w:b w:val="1"/>
          <w:bCs w:val="1"/>
          <w:i w:val="1"/>
          <w:iCs w:val="1"/>
          <w:color w:val="auto"/>
        </w:rPr>
        <w:t>Director since May 2025</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Mr. Mulhern, age 69, was appointed to the Board in May 2025. Mr. Mulhern served as the Senior Vice President and Global Business Unit Manager of Ericsson Enterprise Wireless Solutions from 2020 until his retirement in 2023. From 2011 to 2020, Mr. Mulhern served as Chairman and CEO of Cradlepoint, Inc., a provider of cloud orchestrated wireless wide-area networking solutions. Before joining Cradlepoint, Mr. Mulhern served in various leadership roles at Hewlett Packard for over 20 years, including serving as Senior Vice President and Global Business Unit Manager for several different business units. Mr. Mulhern serves on the board of directors for the Idaho Technology Council and as an Independent Director of Cambia Health Solutions and Regence Blue Shield of Idaho. He also serves on the Board of Directors of Tracer, an AI-powered online brand protection company. Mr. Mulhern received both a Bachelors and a Masters degree in Business Administration from San Jose State University. Mr. Mulhern’s extensive background building and managing leading wireless technology companies provide a valuable background for him to serve as a member of our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vote on the election of each director nominee, stockholders may:</w:t>
      </w:r>
    </w:p>
    <w:p>
      <w:pPr>
        <w:spacing w:after="0" w:line="2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nominee; or</w:t>
      </w:r>
    </w:p>
    <w:p>
      <w:pPr>
        <w:spacing w:after="0" w:line="13"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WITHHOLD </w:t>
      </w:r>
      <w:r>
        <w:rPr>
          <w:rFonts w:ascii="Times New Roman" w:cs="Times New Roman" w:eastAsia="Times New Roman" w:hAnsi="Times New Roman"/>
          <w:sz w:val="18"/>
          <w:szCs w:val="18"/>
          <w:color w:val="auto"/>
        </w:rPr>
        <w:t>authority to vote for the nominee.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THE ABOVE-NAMED DIRECTOR NOMINEES.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NASDAQ listing requirements, a majority of the members of our Board must be independent. The Board has determined that Messrs. Avery, Bye, Bukhari, Harland, Miller, Mulhern and Tuder are each “independent” of the Company and management within the meaning of the NASDAQ listing requirements. Mr. Sarvikas is not “independent” under the NASDAQ listing requirements because he is currently serving as the Company’s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Nominating and Corporate Governance Committee considers several factors in its evaluation of director candidates,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Board eligible for re-election. These factors include relevant business experience, expertise, character, judgment, length of potential service, diversity, independence, other commitments and the current needs of the Board and its committees. In the case of incumbent directors, the Nominating and Corporate Governance Committee also considers a director’s overall service to the Company during his or her term, including the number of meetings attended, level of participation and quality of performance.</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the Nominating and Corporate Governance Committee has not established specific criteria related to a director candidate’s education, experience level or skills, it expects qualified candidates will have appropriate experience and a proven record of business success and leadership.</w:t>
      </w:r>
    </w:p>
    <w:p>
      <w:pPr>
        <w:spacing w:after="0" w:line="16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Retirement Policy</w:t>
      </w:r>
      <w:r>
        <w:rPr>
          <w:rFonts w:ascii="Times New Roman" w:cs="Times New Roman" w:eastAsia="Times New Roman" w:hAnsi="Times New Roman"/>
          <w:sz w:val="18"/>
          <w:szCs w:val="18"/>
          <w:color w:val="auto"/>
        </w:rPr>
        <w:t>. The Nominating and Corporate Governance Committee has adopted a retirement policy that provides that a non-management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nominated for a term that would begin after such director’s 72nd birthday. The policy enables the Board to approve the nomination of a non-management director after the age of 72 if, due to special or unique circumstances, it is in the best interest of the Company and its stockholders that such director continue to be nominated for re-election to the Board.</w:t>
      </w:r>
    </w:p>
    <w:p>
      <w:pPr>
        <w:spacing w:after="0" w:line="18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Stockholder Recommendations and Nominations</w:t>
      </w:r>
      <w:r>
        <w:rPr>
          <w:rFonts w:ascii="Times New Roman" w:cs="Times New Roman" w:eastAsia="Times New Roman" w:hAnsi="Times New Roman"/>
          <w:sz w:val="18"/>
          <w:szCs w:val="18"/>
          <w:color w:val="auto"/>
        </w:rPr>
        <w:t>. The Nominating and Corporate Governance Committee considers recommendations of potential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from stockholders based on the same criteria as a candidate identified by an individual director or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 w:name="page15"/>
    <w:bookmarkEnd w:id="14"/>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60"/>
        <w:spacing w:after="0" w:line="255" w:lineRule="auto"/>
        <w:rPr>
          <w:sz w:val="20"/>
          <w:szCs w:val="20"/>
          <w:color w:val="auto"/>
        </w:rPr>
      </w:pPr>
      <w:r>
        <w:rPr>
          <w:rFonts w:ascii="Times New Roman" w:cs="Times New Roman" w:eastAsia="Times New Roman" w:hAnsi="Times New Roman"/>
          <w:sz w:val="18"/>
          <w:szCs w:val="18"/>
          <w:color w:val="auto"/>
        </w:rPr>
        <w:t>In order to nominate a person for election at our next annual meeting of stockholders, a stockholder must provide timely notice in proper form and delivered to, or mailed and received at, the principal executive offices of the Company not earlier than the 120th day nor later than the close of business on the 90th day prior to the one-year anniversary of the preceding year’s annual meeting; provided, however, that if the date of the annual meeting of stockholders is more than 30 days before or more than 60 days after such anniversary date, the recommendation must be delivered, or mailed and received, not earlier than the close of business on the 120th day prior to such annual meeting of stockholders and not later than the close of business on the 90th day prior to such annual meeting of stockholders or, if later, the 10th day following the day on which public disclosure of the date of such annual meeting of stockholders was first made. A stockholder’s notice recommending a candidate must include the following:</w:t>
      </w:r>
    </w:p>
    <w:p>
      <w:pPr>
        <w:spacing w:after="0" w:line="189"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to each Nominating Person (as defined below):</w:t>
      </w:r>
    </w:p>
    <w:p>
      <w:pPr>
        <w:spacing w:after="0" w:line="224" w:lineRule="exact"/>
        <w:rPr>
          <w:rFonts w:ascii="Arial" w:cs="Arial" w:eastAsia="Arial" w:hAnsi="Arial"/>
          <w:sz w:val="18"/>
          <w:szCs w:val="18"/>
          <w:b w:val="1"/>
          <w:bCs w:val="1"/>
          <w:color w:val="auto"/>
        </w:rPr>
      </w:pPr>
    </w:p>
    <w:p>
      <w:pPr>
        <w:ind w:left="660" w:right="640" w:hanging="328"/>
        <w:spacing w:after="0" w:line="261"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Nominating Person (including, if applicable, the name and address that appear on the Company’s books and records); and</w:t>
      </w:r>
    </w:p>
    <w:p>
      <w:pPr>
        <w:ind w:left="660" w:right="260" w:hanging="328"/>
        <w:spacing w:after="0" w:line="255"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Company’s common stock that are, directly or indirectly, owned of record or beneficially owned (within the meaning of Rule 13d-3 under the Securities Exchange Act of 1934, as amended, and the rules and regulations thereunder (as so amended and inclusive of such rules and regulations, the “Exchange Act”)) by such Nominating Person;</w:t>
      </w:r>
    </w:p>
    <w:p>
      <w:pPr>
        <w:spacing w:after="0" w:line="212" w:lineRule="exact"/>
        <w:rPr>
          <w:rFonts w:ascii="Times New Roman" w:cs="Times New Roman" w:eastAsia="Times New Roman" w:hAnsi="Times New Roman"/>
          <w:sz w:val="18"/>
          <w:szCs w:val="18"/>
          <w:color w:val="auto"/>
        </w:rPr>
      </w:pPr>
    </w:p>
    <w:p>
      <w:pPr>
        <w:ind w:left="340" w:right="340" w:hanging="170"/>
        <w:spacing w:after="0" w:line="281" w:lineRule="auto"/>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to each Nominating Person, any Disclosable Interests (as defined in Section 5(c)(ii) of the Amended and Restated Bylaws of the Company (the “Bylaws”));</w:t>
      </w:r>
    </w:p>
    <w:p>
      <w:pPr>
        <w:spacing w:after="0" w:line="162" w:lineRule="exact"/>
        <w:rPr>
          <w:rFonts w:ascii="Arial" w:cs="Arial" w:eastAsia="Arial" w:hAnsi="Arial"/>
          <w:sz w:val="18"/>
          <w:szCs w:val="18"/>
          <w:b w:val="1"/>
          <w:bCs w:val="1"/>
          <w:color w:val="auto"/>
        </w:rPr>
      </w:pPr>
    </w:p>
    <w:p>
      <w:pPr>
        <w:ind w:left="340" w:hanging="170"/>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to each Nominating Person:</w:t>
      </w:r>
    </w:p>
    <w:p>
      <w:pPr>
        <w:spacing w:after="0" w:line="251" w:lineRule="exact"/>
        <w:rPr>
          <w:rFonts w:ascii="Arial" w:cs="Arial" w:eastAsia="Arial" w:hAnsi="Arial"/>
          <w:sz w:val="18"/>
          <w:szCs w:val="18"/>
          <w:b w:val="1"/>
          <w:bCs w:val="1"/>
          <w:color w:val="auto"/>
        </w:rPr>
      </w:pPr>
    </w:p>
    <w:p>
      <w:pPr>
        <w:ind w:left="660" w:right="20" w:hanging="328"/>
        <w:spacing w:after="0" w:line="261"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Nominating Person is a holder of record of stock of the Company entitled to vote at such meeting and intends to appear in person or by proxy at the meeting to propose the recommendation;</w:t>
      </w:r>
    </w:p>
    <w:p>
      <w:pPr>
        <w:ind w:left="660" w:right="20" w:hanging="328"/>
        <w:spacing w:after="0" w:line="25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Nominating Person intends or is part of a group which intends (1) to deliver a proxy statement and/or form of proxy to holders of at least the percentage of the Company’s outstanding capital stock required to approve or adopt the recommendation and/or (2) otherwise to solicit proxies or votes from stockholders in support of the recommendation;</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Nominating Person, in proposing business in accordance with the Bylaws, shall comply with the Exchange Act, including the Universal Proxy Rules adopted thereunder; and</w:t>
      </w:r>
    </w:p>
    <w:p>
      <w:pPr>
        <w:spacing w:after="0" w:line="208"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to each person whom a Nominating Person proposes to nominate for election as a director:</w:t>
      </w:r>
    </w:p>
    <w:p>
      <w:pPr>
        <w:spacing w:after="0" w:line="224" w:lineRule="exact"/>
        <w:rPr>
          <w:rFonts w:ascii="Arial" w:cs="Arial" w:eastAsia="Arial" w:hAnsi="Arial"/>
          <w:sz w:val="18"/>
          <w:szCs w:val="18"/>
          <w:b w:val="1"/>
          <w:bCs w:val="1"/>
          <w:color w:val="auto"/>
        </w:rPr>
      </w:pPr>
    </w:p>
    <w:p>
      <w:pPr>
        <w:ind w:left="660" w:right="220" w:hanging="328"/>
        <w:spacing w:after="0" w:line="272" w:lineRule="auto"/>
        <w:tabs>
          <w:tab w:leader="none" w:pos="6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w:t>
      </w:r>
    </w:p>
    <w:p>
      <w:pPr>
        <w:spacing w:after="0" w:line="1"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agreements, arrangements, and understandings during the past three years, and any other material relationships, between or among any Nominating Person, on the one hand, and each proposed nominee, his or her respective associates or any other participants in such solicitation, and any other persons with whom such proposed nominee (or any of his or her respective associates or other participants in such solicitation) is Acting in Concert (as defined in Section 5(c) of the Bylaws), on the other hand;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as provided in Section 6(h) of the Bylaws.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Proxy Statement, the term “Nominating Person” shall mean:</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providing the notice of the nomination proposed to be made at the meeting;</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 or beneficial owners, if different, on whose behalf the notice of the nomination proposed to be made at the meeting is made;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with such stockholder or beneficial owner in such solicitation or associate of such stockholder or beneficial owner; and</w:t>
      </w:r>
    </w:p>
    <w:p>
      <w:pPr>
        <w:spacing w:after="0" w:line="9" w:lineRule="exact"/>
        <w:rPr>
          <w:rFonts w:ascii="Times New Roman" w:cs="Times New Roman" w:eastAsia="Times New Roman" w:hAnsi="Times New Roman"/>
          <w:sz w:val="18"/>
          <w:szCs w:val="18"/>
          <w:color w:val="auto"/>
        </w:rPr>
      </w:pPr>
    </w:p>
    <w:p>
      <w:pPr>
        <w:ind w:left="660" w:right="700" w:hanging="652"/>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whom such stockholder or such beneficial owner (or any of their respective associates or other participants in such solicitation) is Acting in Concert (as defined in Section 5(c) of the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Nominating Person’s notice must be signed and delivered to Inseego Corp. c/o Secretary, 9710 Scranton Road, Suite 200, San Diego, California 92121.</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Plurality Plus Voting for Directors; Director Resignation Policy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contain a “plurality plus” voting standard for the election of directors. Pursuant to our Bylaws, directors are elected by a plurality of the votes cast at a meeting of stockholders. However, the “plurality plus” voting standard provides that, in an uncontested election (that is, an election where the number of persons properly nominated to serve as directors does not exceed the number of directors to be elected), the Board will nominate for election or re-election as a director only candidates who agree to tender, prior to being nominated, irrevocable resignations that will be effective if (i) the candidate receives more “WITHHOLD” votes than “FOR” votes at an annual meeting at which they are elected, and (ii) the Board accepts the resignation.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a director receives more “WITHHOLD” votes than “FOR” votes at an annual meeting at which he or she is elected, the Nominating and Corporate Governance Committee will act on an expedited basis to consider whether the Board should accept or reject such director’s resignation and will submit a recommendation to the Board for prompt consideration by the Board. The Nominating and Corporate Governance Committee will consider all factors deemed relevant by the members of such committee when considering whether the Board should accept or reject such director’s resignation. The Board then is required to act on the committee’s recommendation no later than 90 days after certification of stockholder vote for the election, provided that the period may be extended by an additional 90 days if the Board determines that such an extension is in the best interest of the Company and its stockholders. A director whose resignation is under consideration is expected to abstain from any decisions by either the Nominating and Corporate Governance Committee or the Board regarding such director’s resignation.</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the Board’s decision, we will promptly disclose the Board’s decision to accept or reject the resignation by filing a Current Report on Form 8-K, including a full explanation of the process by which the decision was reached and, if applicable, the reasons for rejecting the tendered resignation.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Board has adopted a Code of Conduct and Ethics that is applicable to all of our directors, officers and employees. The purpose of the Code of Conduct and Ethics is to, among other things, focus our directors, officers and employees on areas of ethical risk, provide guidance to help them recognize and deal with ethical issues, provide mechanisms to report concerns regarding possible unethical or unlawful conduct and to help enhance and formalize our culture of integrity, respect and accountability. We distribute copies of the Code of Conduct and Ethics to, and conduct periodic training sessions regarding its content for, our newly elected directors and newly hired officers and employees. We will post information regarding any amendment to, or waiver from, our Code of Conduct and Ethics on our website as required by applicable law. A copy of our Code of Conduct and Ethics is available on our website at </w:t>
      </w:r>
      <w:r>
        <w:rPr>
          <w:rFonts w:ascii="Times New Roman" w:cs="Times New Roman" w:eastAsia="Times New Roman" w:hAnsi="Times New Roman"/>
          <w:sz w:val="18"/>
          <w:szCs w:val="18"/>
          <w:i w:val="1"/>
          <w:iCs w:val="1"/>
          <w:color w:val="auto"/>
        </w:rPr>
        <w:t xml:space="preserve">investor.inseego.com </w:t>
      </w:r>
      <w:r>
        <w:rPr>
          <w:rFonts w:ascii="Times New Roman" w:cs="Times New Roman" w:eastAsia="Times New Roman" w:hAnsi="Times New Roman"/>
          <w:sz w:val="18"/>
          <w:szCs w:val="18"/>
          <w:color w:val="auto"/>
        </w:rPr>
        <w:t>under “Corporate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dispositions of its securities by directors, officers and employees, and has implemented processes with respect to the Company, that are reasonably designed to promote compliance with insider trading laws, rules and regulations, and Nasdaq listing standards. The full text of the Company’s Insider Trading Policy was filed as Exhibit 19 to the Company’s Annual Report on Form 10-K for the year ended December 31, 2025.</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Insider Trading Policy prohibits any pledging or hedging activities in the Company’s stock by the Company’s executive officers, members of the Board and certain other Company employees. The prohibited activities include any pledge of Company stock as well as transactions such as short sales, puts or calls.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the non-management directors or specific directors by mail addressed to Inseego Corp. c/o Secretary, 9710 Scranton Road, Suite 200, San Diego, California 92121.</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communication should clearly indicate whether it is intended for the Board, the non-management directors or a specific director. Our Secretary will review all communications and will, on a periodic basis, forward all communications to the appropriate director or directors, other than those communications that are merely solicitations for products or services or that relate to matters that are clearly improper or irrelevant to the functioning of the Board.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ITS COMMITTEES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Board currently consists of eight members. The Board is divided into three classes with each class serving a three-year term. The term of one class expires at each annual meeting of stockholders of the Company.</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and/or executive officers. There are currently no legal proceedings, and during the past ten years there have been no legal proceedings, that are material to the evaluation of the ability or integrity of any of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Director Attendance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director is expected to devote sufficient time, energy and attention to ensure diligent performance of his duties and to attend all meetings of the Board and the committees on which he serves. In 2025, the Board met 7 times and each incumbent Board member attended at least 75% of the meetings of the Board and the committees on which he served during the period for which he was a director or committee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encourage our directors to attend our annual meetings of stockholders, we do not have a formal policy regarding their attendance.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Board currently has three standing committees: an Audit Committee; a Compensation Committee; and a Nominating and Corporate Governance Committee. The Board also appoints various ad hoc committees from time to time, as necessary. Each standing committee operates under a written charter adopted by the Board, which are publicly available on our website at </w:t>
      </w:r>
      <w:r>
        <w:rPr>
          <w:rFonts w:ascii="Times New Roman" w:cs="Times New Roman" w:eastAsia="Times New Roman" w:hAnsi="Times New Roman"/>
          <w:sz w:val="18"/>
          <w:szCs w:val="18"/>
          <w:i w:val="1"/>
          <w:iCs w:val="1"/>
          <w:color w:val="auto"/>
        </w:rPr>
        <w:t>investor.inseego.com</w:t>
      </w:r>
      <w:r>
        <w:rPr>
          <w:rFonts w:ascii="Times New Roman" w:cs="Times New Roman" w:eastAsia="Times New Roman" w:hAnsi="Times New Roman"/>
          <w:sz w:val="18"/>
          <w:szCs w:val="18"/>
          <w:color w:val="auto"/>
        </w:rPr>
        <w:t xml:space="preserve"> under “Corporate Governance.” You may also obtain a copy of these charters by sending a written request to our Secretary at our principal executive offices.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Upon the recommendation of the Nominating and Corporate Governance Committee, the Board appoints committee members annually. The table below sets forth the current composition of our standing Board committees: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800" w:type="dxa"/>
            <w:vAlign w:val="bottom"/>
            <w:tcBorders>
              <w:top w:val="single" w:sz="8" w:color="auto"/>
              <w:right w:val="single" w:sz="8" w:color="auto"/>
            </w:tcBorders>
            <w:shd w:val="clear" w:color="auto" w:fill="BFBFBF"/>
          </w:tcPr>
          <w:p>
            <w:pPr>
              <w:spacing w:after="0"/>
              <w:rPr>
                <w:sz w:val="18"/>
                <w:szCs w:val="18"/>
                <w:color w:val="auto"/>
              </w:rPr>
            </w:pPr>
          </w:p>
        </w:tc>
        <w:tc>
          <w:tcPr>
            <w:tcW w:w="2820" w:type="dxa"/>
            <w:vAlign w:val="bottom"/>
            <w:tcBorders>
              <w:top w:val="single" w:sz="8" w:color="auto"/>
              <w:right w:val="single" w:sz="8" w:color="auto"/>
            </w:tcBorders>
            <w:shd w:val="clear" w:color="auto" w:fill="BFBFBF"/>
          </w:tcPr>
          <w:p>
            <w:pPr>
              <w:spacing w:after="0"/>
              <w:rPr>
                <w:sz w:val="18"/>
                <w:szCs w:val="18"/>
                <w:color w:val="auto"/>
              </w:rPr>
            </w:pPr>
          </w:p>
        </w:tc>
        <w:tc>
          <w:tcPr>
            <w:tcW w:w="27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38"/>
        </w:trPr>
        <w:tc>
          <w:tcPr>
            <w:tcW w:w="2840" w:type="dxa"/>
            <w:vAlign w:val="bottom"/>
            <w:tcBorders>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8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7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B. Avery</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Stephen J. Bye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Syed Nabeel Anwar Bukhari</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09"/>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Christopher Harland</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Brian Miller</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George Mulhern</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0"/>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Tuder</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and internal control over financial reporting.</w:t>
      </w:r>
    </w:p>
    <w:p>
      <w:pPr>
        <w:spacing w:after="0"/>
        <w:rPr>
          <w:sz w:val="20"/>
          <w:szCs w:val="20"/>
          <w:color w:val="auto"/>
        </w:rPr>
      </w:pPr>
      <w:r>
        <w:rPr>
          <w:rFonts w:ascii="Times New Roman" w:cs="Times New Roman" w:eastAsia="Times New Roman" w:hAnsi="Times New Roman"/>
          <w:sz w:val="18"/>
          <w:szCs w:val="18"/>
          <w:color w:val="auto"/>
        </w:rPr>
        <w:t>The functions and responsibilities of the Audit Committee include:</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engaging our independent registered public accounting firm and conducting an annual review of the independence of that firm;</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with management and the independent registered public accounting firm the scope and the planning of the annual audit;</w:t>
      </w:r>
    </w:p>
    <w:p>
      <w:pPr>
        <w:spacing w:after="0" w:line="224" w:lineRule="exact"/>
        <w:rPr>
          <w:rFonts w:ascii="Arial" w:cs="Arial" w:eastAsia="Arial" w:hAnsi="Arial"/>
          <w:sz w:val="18"/>
          <w:szCs w:val="18"/>
          <w:b w:val="1"/>
          <w:bCs w:val="1"/>
          <w:color w:val="auto"/>
        </w:rPr>
      </w:pPr>
    </w:p>
    <w:p>
      <w:pPr>
        <w:ind w:left="660" w:right="100" w:hanging="652"/>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annual audited financial statements and quarterly unaudited financial statements with management and the independent registered public accounting firm;</w:t>
      </w:r>
    </w:p>
    <w:p>
      <w:pPr>
        <w:spacing w:after="0" w:line="162" w:lineRule="exact"/>
        <w:rPr>
          <w:rFonts w:ascii="Arial" w:cs="Arial" w:eastAsia="Arial" w:hAnsi="Arial"/>
          <w:sz w:val="18"/>
          <w:szCs w:val="18"/>
          <w:b w:val="1"/>
          <w:bCs w:val="1"/>
          <w:color w:val="auto"/>
        </w:rPr>
      </w:pPr>
    </w:p>
    <w:p>
      <w:pPr>
        <w:ind w:left="660" w:right="880" w:hanging="652"/>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findings and recommendations of the independent registered public accounting firm and management’s response to the recommendations of that firm;</w:t>
      </w:r>
    </w:p>
    <w:p>
      <w:pPr>
        <w:spacing w:after="0" w:line="162" w:lineRule="exact"/>
        <w:rPr>
          <w:rFonts w:ascii="Arial" w:cs="Arial" w:eastAsia="Arial" w:hAnsi="Arial"/>
          <w:sz w:val="18"/>
          <w:szCs w:val="18"/>
          <w:b w:val="1"/>
          <w:bCs w:val="1"/>
          <w:color w:val="auto"/>
        </w:rPr>
      </w:pPr>
    </w:p>
    <w:p>
      <w:pPr>
        <w:ind w:left="660" w:right="460" w:hanging="652"/>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with management and the independent registered public accounting firm, as appropriate, the Company’s policies with respect to financial risk assessment and financial risk management;</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overseeing compliance with applicable legal and regulatory requirements, including ethical business standards;</w:t>
      </w:r>
    </w:p>
    <w:p>
      <w:pPr>
        <w:spacing w:after="0" w:line="224" w:lineRule="exact"/>
        <w:rPr>
          <w:rFonts w:ascii="Arial" w:cs="Arial" w:eastAsia="Arial" w:hAnsi="Arial"/>
          <w:sz w:val="18"/>
          <w:szCs w:val="18"/>
          <w:b w:val="1"/>
          <w:bCs w:val="1"/>
          <w:color w:val="auto"/>
        </w:rPr>
      </w:pPr>
    </w:p>
    <w:p>
      <w:pPr>
        <w:ind w:left="660" w:hanging="652"/>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w:t>
      </w:r>
    </w:p>
    <w:p>
      <w:pPr>
        <w:spacing w:after="0" w:line="162" w:lineRule="exact"/>
        <w:rPr>
          <w:rFonts w:ascii="Arial" w:cs="Arial" w:eastAsia="Arial" w:hAnsi="Arial"/>
          <w:sz w:val="18"/>
          <w:szCs w:val="18"/>
          <w:b w:val="1"/>
          <w:bCs w:val="1"/>
          <w:color w:val="auto"/>
        </w:rPr>
      </w:pPr>
    </w:p>
    <w:p>
      <w:pPr>
        <w:ind w:left="660" w:right="300" w:hanging="652"/>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procedures for the confidential, anonymous submission by employees of concerns regarding questionable accounting or auditing matters;</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preparing the Audit Committee Report to be included in our annual proxy statement;</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monitoring ethical compliance, including review of related party transactions; and</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periodically reviewing the adequacy of the Audit Committee charter.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Audit Committee met 4 times.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reports directly to the Audit Committee. Each member of the Audit Committee must have the ability to read and understand fundamental financial statements and at least one member must have past employment experience in finance or accounting, and the requisite professional certification in accounting or another comparable experience or background. The Board has determined that each member of the Audit Committee is “independent” as defined by the NASDAQ listing requirements and SEC rules. The Board has also determined that Mr. Tuder, the Chair of the Audit Committee, meets the requirements of an “audit committee financial expert” as defined by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8" w:name="page19"/>
    <w:bookmarkEnd w:id="1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Compensation Committee establishes, administers and oversees compliance with our policies, programs and procedures for compensating our executive officers and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and responsibilities of the Compensation Committee include:</w:t>
      </w:r>
    </w:p>
    <w:p>
      <w:pPr>
        <w:spacing w:after="0" w:line="225" w:lineRule="exact"/>
        <w:rPr>
          <w:sz w:val="20"/>
          <w:szCs w:val="20"/>
          <w:color w:val="auto"/>
        </w:rPr>
      </w:pPr>
    </w:p>
    <w:p>
      <w:pPr>
        <w:ind w:left="660" w:right="600" w:hanging="652"/>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and reviewing our general compensation policies and levels of compensation applicable to our executive officers and our non-management directors;</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evaluating the performance of, and determining the compensation for, our executive officers, including our Chief Executive Officer;</w:t>
      </w:r>
    </w:p>
    <w:p>
      <w:pPr>
        <w:spacing w:after="0" w:line="224" w:lineRule="exact"/>
        <w:rPr>
          <w:rFonts w:ascii="Arial" w:cs="Arial" w:eastAsia="Arial" w:hAnsi="Arial"/>
          <w:sz w:val="18"/>
          <w:szCs w:val="18"/>
          <w:b w:val="1"/>
          <w:bCs w:val="1"/>
          <w:color w:val="auto"/>
        </w:rPr>
      </w:pPr>
    </w:p>
    <w:p>
      <w:pPr>
        <w:ind w:left="660" w:right="120" w:hanging="652"/>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regional and industry-wide compensation practices in order to assess the adequacy and competitiveness of our executive compensation programs;</w:t>
      </w:r>
    </w:p>
    <w:p>
      <w:pPr>
        <w:spacing w:after="0" w:line="162" w:lineRule="exact"/>
        <w:rPr>
          <w:rFonts w:ascii="Arial" w:cs="Arial" w:eastAsia="Arial" w:hAnsi="Arial"/>
          <w:sz w:val="18"/>
          <w:szCs w:val="18"/>
          <w:b w:val="1"/>
          <w:bCs w:val="1"/>
          <w:color w:val="auto"/>
        </w:rPr>
      </w:pPr>
    </w:p>
    <w:p>
      <w:pPr>
        <w:ind w:left="660" w:right="180" w:hanging="652"/>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administering our employee benefits plans, including approving awards of stock, restricted stock units (“RSUs”) and stock options to employees and other parties under our equity incentive compensation plans; and</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periodically reviewing the adequacy of the Compensation Committee charter.</w:t>
      </w:r>
    </w:p>
    <w:p>
      <w:pPr>
        <w:spacing w:after="0" w:line="22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2025, the Compensation Committee met 4 times. The Board has determined that each member of the Compensation Committee is “independent” as defined by the NASDAQ listing requirements and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evaluates and nominates director candidates, including the members of the Board eligible or re-election and the recommendations of potential director candidates from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and responsibilities of the Nominating and Corporate Governance Committee include:</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developing and recommending a set of corporate governance guidelines applicable to the Company;</w:t>
      </w:r>
    </w:p>
    <w:p>
      <w:pPr>
        <w:spacing w:after="0" w:line="224" w:lineRule="exact"/>
        <w:rPr>
          <w:rFonts w:ascii="Arial" w:cs="Arial" w:eastAsia="Arial" w:hAnsi="Arial"/>
          <w:sz w:val="18"/>
          <w:szCs w:val="18"/>
          <w:b w:val="1"/>
          <w:bCs w:val="1"/>
          <w:color w:val="auto"/>
        </w:rPr>
      </w:pPr>
    </w:p>
    <w:p>
      <w:pPr>
        <w:ind w:left="660" w:right="480" w:hanging="652"/>
        <w:spacing w:after="0" w:line="281"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identifying and evaluating candidates to serve on the Board, including determining whether incumbent directors should be nominated for re-election to the Board, and reviewing and evaluating director nominees submitted by stockholders;</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possible conflicts of interest of prospective Board members;</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recommending director nominees;</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procedures and guidelines for individuals to be considered to become directors;</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recommending the appropriate size and composition of the Board and each of its committees;</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overseeing periodic evaluations of the performance of the Board, the Board committees and the directors;</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monitoring the continued legal compliance of our established principles and policies; and</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periodically reviewing the adequacy of the Nominating and Corporate Governance Committee charter.</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the Nominating and Corporate Governance Committee met 4 times. The Board has determined that each member of the Nominating and Corporate Governance Committee is “independent” as defined by the NASDAQ listing requirements.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policy as to whether the roles of Chair of the Board and Chief Executive Officer should be combined is based on the Company’s needs at any particular time, and the Board periodically evaluates whether the roles of Chair of the Board and Chief Executive Officer should be combined based on the Company’s needs. From February 2024 to February 2025, Philip Brace acted as our principal executive officer in the role as Executive Chairman on an interim basis. In February 2025, the Board appointed Jeffrey Tuder as Chair of the Board as an independent director. Mr. Tuder previously served as an independent Chair of the Board from August 2022 to February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established an overall risk management program overseen and managed by the Board and senior management. The Board plays an active role in the program by overseeing the processes established to report and monitor systems that mitigate material risks applicable to the Company. The Board delegates certain risk management responsibilities to the committees of the Board.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reviews and discusses with management the Company’s policies regarding risk assessment and risk management and the Company’s significant financial risk exposures and the actions that management has taken to limit, monitor or control those exposures. It also is responsible for monitoring and overseeing our cybersecurity and information technology risks, controls, strategies and procedures. The Audit Committee periodically evaluates our information security strategies to seek to ensure effectiveness.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the compensation of the Company’s executive officers at least annually and considers the design of compensation programs and arrangements and potential risks presented thereby.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potential risks presented by corporate governance issues affecting the Company and makes recommendations to the Board as appropriate. Each of these committees regularly reports to the Board on matters that involve the specific areas of risk that each committee oversees.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Messrs. Avery, Bye, Mulhern and Tuder served on our Compensation Committee during 2025, and none of them has ever been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We use a combination of cash and equity-based incentive compensation to attract and retain qualified candidates to serve on the Board. Upon the recommendation of the Compensation Committee, the Board makes all compensation decisions for our non-management directors. In recommending director compensation, the Compensation Committee considers, among other things, the amount of time required of directors to fulfill their duties. A director who is also an employee of the Company does not receive additional compensation for serving as a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The Board has approved the following components of the annual cash retainer fee to our non-management directors for Board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committee service in 2025 (which amounts are prorated for directors who only served for a portion of the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Chair</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0" w:type="dxa"/>
            <w:vAlign w:val="bottom"/>
          </w:tcPr>
          <w:p>
            <w:pPr>
              <w:spacing w:after="0"/>
              <w:rPr>
                <w:sz w:val="1"/>
                <w:szCs w:val="1"/>
                <w:color w:val="auto"/>
              </w:rPr>
            </w:pPr>
          </w:p>
        </w:tc>
      </w:tr>
      <w:tr>
        <w:trPr>
          <w:trHeight w:val="142"/>
        </w:trPr>
        <w:tc>
          <w:tcPr>
            <w:tcW w:w="566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6"/>
                <w:szCs w:val="16"/>
                <w:color w:val="auto"/>
              </w:rPr>
              <w:t>Board of Directors</w:t>
            </w:r>
          </w:p>
        </w:tc>
        <w:tc>
          <w:tcPr>
            <w:tcW w:w="1940" w:type="dxa"/>
            <w:vAlign w:val="bottom"/>
            <w:tcBorders>
              <w:top w:val="single" w:sz="8" w:color="EEEEEE"/>
            </w:tcBorders>
            <w:shd w:val="clear" w:color="auto" w:fill="EEEEEE"/>
          </w:tcPr>
          <w:p>
            <w:pPr>
              <w:spacing w:after="0"/>
              <w:rPr>
                <w:sz w:val="12"/>
                <w:szCs w:val="12"/>
                <w:color w:val="auto"/>
              </w:rPr>
            </w:pPr>
          </w:p>
        </w:tc>
        <w:tc>
          <w:tcPr>
            <w:tcW w:w="340" w:type="dxa"/>
            <w:vAlign w:val="bottom"/>
            <w:tcBorders>
              <w:top w:val="single" w:sz="8" w:color="auto"/>
            </w:tcBorders>
            <w:shd w:val="clear" w:color="auto" w:fill="EEEEEE"/>
          </w:tcPr>
          <w:p>
            <w:pPr>
              <w:jc w:val="right"/>
              <w:ind w:right="161"/>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6"/>
                <w:szCs w:val="16"/>
                <w:color w:val="auto"/>
              </w:rPr>
              <w:t>80,000</w:t>
            </w:r>
          </w:p>
        </w:tc>
        <w:tc>
          <w:tcPr>
            <w:tcW w:w="380" w:type="dxa"/>
            <w:vAlign w:val="bottom"/>
            <w:tcBorders>
              <w:top w:val="single" w:sz="8" w:color="EEEEEE"/>
            </w:tcBorders>
            <w:vMerge w:val="restart"/>
            <w:shd w:val="clear" w:color="auto" w:fill="EEEEEE"/>
          </w:tcPr>
          <w:p>
            <w:pPr>
              <w:jc w:val="right"/>
              <w:ind w:right="145"/>
              <w:spacing w:after="0"/>
              <w:rPr>
                <w:sz w:val="20"/>
                <w:szCs w:val="20"/>
                <w:color w:val="auto"/>
              </w:rPr>
            </w:pPr>
            <w:r>
              <w:rPr>
                <w:rFonts w:ascii="Times New Roman" w:cs="Times New Roman" w:eastAsia="Times New Roman" w:hAnsi="Times New Roman"/>
                <w:sz w:val="15"/>
                <w:szCs w:val="15"/>
                <w:color w:val="auto"/>
                <w:w w:val="79"/>
              </w:rPr>
              <w:t>(1)</w:t>
            </w:r>
          </w:p>
        </w:tc>
        <w:tc>
          <w:tcPr>
            <w:tcW w:w="280" w:type="dxa"/>
            <w:vAlign w:val="bottom"/>
            <w:tcBorders>
              <w:top w:val="single" w:sz="8" w:color="auto"/>
            </w:tcBorders>
            <w:shd w:val="clear" w:color="auto" w:fill="EEEEEE"/>
          </w:tcPr>
          <w:p>
            <w:pPr>
              <w:jc w:val="right"/>
              <w:ind w:right="93"/>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5660" w:type="dxa"/>
            <w:vAlign w:val="bottom"/>
            <w:tcBorders>
              <w:bottom w:val="single" w:sz="8" w:color="EEEEEE"/>
            </w:tcBorders>
            <w:shd w:val="clear" w:color="auto" w:fill="EEEEEE"/>
          </w:tcPr>
          <w:p>
            <w:pPr>
              <w:spacing w:after="0"/>
              <w:rPr>
                <w:sz w:val="4"/>
                <w:szCs w:val="4"/>
                <w:color w:val="auto"/>
              </w:rPr>
            </w:pPr>
          </w:p>
        </w:tc>
        <w:tc>
          <w:tcPr>
            <w:tcW w:w="1940" w:type="dxa"/>
            <w:vAlign w:val="bottom"/>
            <w:tcBorders>
              <w:bottom w:val="single" w:sz="8" w:color="EEEEEE"/>
            </w:tcBorders>
            <w:shd w:val="clear" w:color="auto" w:fill="EEEEEE"/>
          </w:tcPr>
          <w:p>
            <w:pPr>
              <w:spacing w:after="0"/>
              <w:rPr>
                <w:sz w:val="4"/>
                <w:szCs w:val="4"/>
                <w:color w:val="auto"/>
              </w:rPr>
            </w:pPr>
          </w:p>
        </w:tc>
        <w:tc>
          <w:tcPr>
            <w:tcW w:w="340" w:type="dxa"/>
            <w:vAlign w:val="bottom"/>
            <w:tcBorders>
              <w:bottom w:val="single" w:sz="8" w:color="EEEEEE"/>
            </w:tcBorders>
            <w:shd w:val="clear" w:color="auto" w:fill="EEEEEE"/>
          </w:tcPr>
          <w:p>
            <w:pPr>
              <w:spacing w:after="0"/>
              <w:rPr>
                <w:sz w:val="4"/>
                <w:szCs w:val="4"/>
                <w:color w:val="auto"/>
              </w:rPr>
            </w:pPr>
          </w:p>
        </w:tc>
        <w:tc>
          <w:tcPr>
            <w:tcW w:w="1240" w:type="dxa"/>
            <w:vAlign w:val="bottom"/>
            <w:tcBorders>
              <w:bottom w:val="single" w:sz="8" w:color="EEEEEE"/>
            </w:tcBorders>
            <w:shd w:val="clear" w:color="auto" w:fill="EEEEEE"/>
          </w:tcPr>
          <w:p>
            <w:pPr>
              <w:spacing w:after="0"/>
              <w:rPr>
                <w:sz w:val="4"/>
                <w:szCs w:val="4"/>
                <w:color w:val="auto"/>
              </w:rPr>
            </w:pPr>
          </w:p>
        </w:tc>
        <w:tc>
          <w:tcPr>
            <w:tcW w:w="380" w:type="dxa"/>
            <w:vAlign w:val="bottom"/>
            <w:tcBorders>
              <w:bottom w:val="single" w:sz="8" w:color="EEEEEE"/>
            </w:tcBorders>
            <w:vMerge w:val="continue"/>
            <w:shd w:val="clear" w:color="auto" w:fill="EEEEEE"/>
          </w:tcPr>
          <w:p>
            <w:pPr>
              <w:spacing w:after="0"/>
              <w:rPr>
                <w:sz w:val="4"/>
                <w:szCs w:val="4"/>
                <w:color w:val="auto"/>
              </w:rPr>
            </w:pPr>
          </w:p>
        </w:tc>
        <w:tc>
          <w:tcPr>
            <w:tcW w:w="280" w:type="dxa"/>
            <w:vAlign w:val="bottom"/>
            <w:tcBorders>
              <w:bottom w:val="single" w:sz="8" w:color="EEEEEE"/>
            </w:tcBorders>
            <w:shd w:val="clear" w:color="auto" w:fill="EEEEEE"/>
          </w:tcPr>
          <w:p>
            <w:pPr>
              <w:spacing w:after="0"/>
              <w:rPr>
                <w:sz w:val="4"/>
                <w:szCs w:val="4"/>
                <w:color w:val="auto"/>
              </w:rPr>
            </w:pPr>
          </w:p>
        </w:tc>
        <w:tc>
          <w:tcPr>
            <w:tcW w:w="1300" w:type="dxa"/>
            <w:vAlign w:val="bottom"/>
            <w:tcBorders>
              <w:bottom w:val="single" w:sz="8" w:color="EEEEEE"/>
            </w:tcBorders>
            <w:shd w:val="clear" w:color="auto" w:fill="EEEEEE"/>
          </w:tcPr>
          <w:p>
            <w:pPr>
              <w:spacing w:after="0"/>
              <w:rPr>
                <w:sz w:val="4"/>
                <w:szCs w:val="4"/>
                <w:color w:val="auto"/>
              </w:rPr>
            </w:pPr>
          </w:p>
        </w:tc>
        <w:tc>
          <w:tcPr>
            <w:tcW w:w="100" w:type="dxa"/>
            <w:vAlign w:val="bottom"/>
            <w:tcBorders>
              <w:bottom w:val="single" w:sz="8" w:color="EEEEEE"/>
            </w:tcBorders>
            <w:shd w:val="clear" w:color="auto" w:fill="EEEEE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280" w:type="dxa"/>
            <w:vAlign w:val="bottom"/>
            <w:gridSpan w:val="2"/>
            <w:shd w:val="clear" w:color="auto" w:fill="EEEEEE"/>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4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independent directors only. If the Chair is also an employee or officer of the Company they will not receive payment for service as Board Chair beyond their salary (other than the arrangement regarding Mr. Brace’s service as Executive Chairman on an interim basis, described below). In February 2024, in connection with Mr. Brace’s appointment as Executive Chairman on an interim basis, the Board approved a temporary increase in Mr. Brace’s director compensation to $20,000 per month for so long as he served in such capacity (which ended in January 2025).</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Board may approve additional compensation for service on ad hoc committees that may be formed from time-to-time. In 2025, the Chair and other members of the Finance Committee, an ad hoc committee of the Board, earned $20,000 and $10,000, respectively.</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The Board approved the following components for equity compensation to be awarded to each non-management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for fiscal 2025.</w:t>
      </w:r>
    </w:p>
    <w:p>
      <w:pPr>
        <w:spacing w:after="0" w:line="160" w:lineRule="exact"/>
        <w:rPr>
          <w:sz w:val="20"/>
          <w:szCs w:val="20"/>
          <w:color w:val="auto"/>
        </w:rPr>
      </w:pPr>
    </w:p>
    <w:p>
      <w:pPr>
        <w:ind w:left="660" w:right="320" w:hanging="652"/>
        <w:spacing w:after="0" w:line="260"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initial equity award upon joining the Board in the form of RSUs with an economic value of $145,000. The RSUs vest in three equal annual installments beginning with the first anniversary of the grant date.</w:t>
      </w:r>
    </w:p>
    <w:p>
      <w:pPr>
        <w:spacing w:after="0" w:line="1" w:lineRule="exact"/>
        <w:rPr>
          <w:rFonts w:ascii="Arial" w:cs="Arial" w:eastAsia="Arial" w:hAnsi="Arial"/>
          <w:sz w:val="18"/>
          <w:szCs w:val="18"/>
          <w:b w:val="1"/>
          <w:bCs w:val="1"/>
          <w:color w:val="auto"/>
        </w:rPr>
      </w:pPr>
    </w:p>
    <w:p>
      <w:pPr>
        <w:ind w:left="660" w:right="120" w:hanging="652"/>
        <w:spacing w:after="0" w:line="259"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Thereafter, an annual equity award in the form of RSUs with an economic value of $125,000 that vests in full on the first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500"/>
        <w:spacing w:after="0" w:line="266" w:lineRule="auto"/>
        <w:rPr>
          <w:sz w:val="20"/>
          <w:szCs w:val="20"/>
          <w:color w:val="auto"/>
        </w:rPr>
      </w:pPr>
      <w:r>
        <w:rPr>
          <w:rFonts w:ascii="Times New Roman" w:cs="Times New Roman" w:eastAsia="Times New Roman" w:hAnsi="Times New Roman"/>
          <w:sz w:val="18"/>
          <w:szCs w:val="18"/>
          <w:color w:val="auto"/>
        </w:rPr>
        <w:t>In addition, on July 30, 2024 the Board awarded Mr. Brace 32,397 fully vested RSUs as compensation for his service as Executive Chairman of the Company through such date, and 100,000 RSUs, which vested 50% in six months and 50% in 12 months, subject to Mr. Brace’s continued service as Executive Chairman.</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Director Compensation Table</w:t>
      </w:r>
      <w:r>
        <w:rPr>
          <w:rFonts w:ascii="Times New Roman" w:cs="Times New Roman" w:eastAsia="Times New Roman" w:hAnsi="Times New Roman"/>
          <w:sz w:val="18"/>
          <w:szCs w:val="18"/>
          <w:color w:val="auto"/>
        </w:rPr>
        <w:t>. The table below summarizes the compensation paid to our non-management directors for service on the Board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2025 (excluding Mr. Brace, whose compensation is described in the discussion of executive compensation below). In addition to the payments below, the Company reimburses directors for reasonable out-of-pocket expenses incurred in connection with attending Board and Board committee meetings.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Fees Earned in</w:t>
            </w: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EEEEEE"/>
            </w:tcBorders>
          </w:tcPr>
          <w:p>
            <w:pPr>
              <w:spacing w:after="0"/>
              <w:rPr>
                <w:sz w:val="23"/>
                <w:szCs w:val="23"/>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220" w:type="dxa"/>
            <w:vAlign w:val="bottom"/>
            <w:tcBorders>
              <w:bottom w:val="single" w:sz="8" w:color="EEEEEE"/>
            </w:tcBorders>
          </w:tcPr>
          <w:p>
            <w:pPr>
              <w:spacing w:after="0"/>
              <w:rPr>
                <w:sz w:val="23"/>
                <w:szCs w:val="23"/>
                <w:color w:val="auto"/>
              </w:rPr>
            </w:pPr>
          </w:p>
        </w:tc>
        <w:tc>
          <w:tcPr>
            <w:tcW w:w="15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Awards ($)</w:t>
            </w:r>
            <w:r>
              <w:rPr>
                <w:rFonts w:ascii="Times New Roman" w:cs="Times New Roman" w:eastAsia="Times New Roman" w:hAnsi="Times New Roman"/>
                <w:sz w:val="29"/>
                <w:szCs w:val="29"/>
                <w:b w:val="1"/>
                <w:bCs w:val="1"/>
                <w:color w:val="auto"/>
                <w:w w:val="91"/>
                <w:vertAlign w:val="superscript"/>
              </w:rPr>
              <w:t>(1)(2)</w:t>
            </w:r>
          </w:p>
        </w:tc>
        <w:tc>
          <w:tcPr>
            <w:tcW w:w="220" w:type="dxa"/>
            <w:vAlign w:val="bottom"/>
            <w:tcBorders>
              <w:bottom w:val="single" w:sz="8" w:color="EEEEEE"/>
            </w:tcBorders>
          </w:tcPr>
          <w:p>
            <w:pPr>
              <w:spacing w:after="0"/>
              <w:rPr>
                <w:sz w:val="23"/>
                <w:szCs w:val="23"/>
                <w:color w:val="auto"/>
              </w:rPr>
            </w:pP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220" w:type="dxa"/>
            <w:vAlign w:val="bottom"/>
            <w:tcBorders>
              <w:bottom w:val="single" w:sz="8" w:color="EEEEEE"/>
            </w:tcBorders>
          </w:tcPr>
          <w:p>
            <w:pPr>
              <w:spacing w:after="0"/>
              <w:rPr>
                <w:sz w:val="23"/>
                <w:szCs w:val="23"/>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Borders>
              <w:bottom w:val="single" w:sz="8" w:color="EEEEEE"/>
            </w:tcBorders>
          </w:tcPr>
          <w:p>
            <w:pPr>
              <w:spacing w:after="0"/>
              <w:rPr>
                <w:sz w:val="23"/>
                <w:szCs w:val="23"/>
                <w:color w:val="auto"/>
              </w:rPr>
            </w:pPr>
          </w:p>
        </w:tc>
      </w:tr>
      <w:tr>
        <w:trPr>
          <w:trHeight w:val="250"/>
        </w:trPr>
        <w:tc>
          <w:tcPr>
            <w:tcW w:w="4060" w:type="dxa"/>
            <w:vAlign w:val="bottom"/>
            <w:shd w:val="clear" w:color="auto" w:fill="EEEEEE"/>
          </w:tcPr>
          <w:p>
            <w:pPr>
              <w:spacing w:after="0" w:line="250" w:lineRule="exact"/>
              <w:rPr>
                <w:sz w:val="20"/>
                <w:szCs w:val="20"/>
                <w:color w:val="auto"/>
              </w:rPr>
            </w:pPr>
            <w:r>
              <w:rPr>
                <w:rFonts w:ascii="Times New Roman" w:cs="Times New Roman" w:eastAsia="Times New Roman" w:hAnsi="Times New Roman"/>
                <w:sz w:val="17"/>
                <w:szCs w:val="17"/>
                <w:color w:val="auto"/>
              </w:rPr>
              <w:t>James B. Avery</w:t>
            </w:r>
            <w:r>
              <w:rPr>
                <w:rFonts w:ascii="Times New Roman" w:cs="Times New Roman" w:eastAsia="Times New Roman" w:hAnsi="Times New Roman"/>
                <w:sz w:val="28"/>
                <w:szCs w:val="28"/>
                <w:color w:val="auto"/>
                <w:vertAlign w:val="superscript"/>
              </w:rPr>
              <w:t>(3)</w:t>
            </w:r>
          </w:p>
        </w:tc>
        <w:tc>
          <w:tcPr>
            <w:tcW w:w="120" w:type="dxa"/>
            <w:vAlign w:val="bottom"/>
            <w:shd w:val="clear" w:color="auto" w:fill="EEEEEE"/>
          </w:tcPr>
          <w:p>
            <w:pPr>
              <w:spacing w:after="0"/>
              <w:rPr>
                <w:sz w:val="21"/>
                <w:szCs w:val="21"/>
                <w:color w:val="auto"/>
              </w:rPr>
            </w:pP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7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191,000</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Stephen J. Bye</w:t>
            </w:r>
            <w:r>
              <w:rPr>
                <w:rFonts w:ascii="Times New Roman" w:cs="Times New Roman" w:eastAsia="Times New Roman" w:hAnsi="Times New Roman"/>
                <w:sz w:val="29"/>
                <w:szCs w:val="29"/>
                <w:color w:val="auto"/>
                <w:vertAlign w:val="superscript"/>
              </w:rPr>
              <w:t>(4)</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2,967</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145,000</w:t>
            </w: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147,967</w:t>
            </w:r>
          </w:p>
        </w:tc>
      </w:tr>
      <w:tr>
        <w:trPr>
          <w:trHeight w:val="256"/>
        </w:trPr>
        <w:tc>
          <w:tcPr>
            <w:tcW w:w="418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Syed Nabeel Anwar Bukhari</w:t>
            </w:r>
            <w:r>
              <w:rPr>
                <w:rFonts w:ascii="Times New Roman" w:cs="Times New Roman" w:eastAsia="Times New Roman" w:hAnsi="Times New Roman"/>
                <w:sz w:val="29"/>
                <w:szCs w:val="29"/>
                <w:color w:val="auto"/>
                <w:vertAlign w:val="superscript"/>
              </w:rPr>
              <w:t>(4)</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2,967</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145,000</w:t>
            </w:r>
          </w:p>
        </w:tc>
        <w:tc>
          <w:tcPr>
            <w:tcW w:w="17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147,967</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Harland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185,000</w:t>
            </w:r>
          </w:p>
        </w:tc>
      </w:tr>
      <w:tr>
        <w:trPr>
          <w:trHeight w:val="257"/>
        </w:trPr>
        <w:tc>
          <w:tcPr>
            <w:tcW w:w="418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Brian Miller</w:t>
            </w:r>
            <w:r>
              <w:rPr>
                <w:rFonts w:ascii="Times New Roman" w:cs="Times New Roman" w:eastAsia="Times New Roman" w:hAnsi="Times New Roman"/>
                <w:sz w:val="29"/>
                <w:szCs w:val="29"/>
                <w:color w:val="auto"/>
                <w:vertAlign w:val="superscript"/>
              </w:rPr>
              <w:t>(5)</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43,278</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7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168,278</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George Mulhern</w:t>
            </w:r>
            <w:r>
              <w:rPr>
                <w:rFonts w:ascii="Times New Roman" w:cs="Times New Roman" w:eastAsia="Times New Roman" w:hAnsi="Times New Roman"/>
                <w:sz w:val="29"/>
                <w:szCs w:val="29"/>
                <w:color w:val="auto"/>
                <w:vertAlign w:val="superscript"/>
              </w:rPr>
              <w:t>(6)</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36,711</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270,000</w:t>
            </w:r>
          </w:p>
        </w:tc>
        <w:tc>
          <w:tcPr>
            <w:tcW w:w="1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306,711</w:t>
            </w:r>
          </w:p>
        </w:tc>
      </w:tr>
      <w:tr>
        <w:trPr>
          <w:trHeight w:val="216"/>
        </w:trPr>
        <w:tc>
          <w:tcPr>
            <w:tcW w:w="4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Jeffrey Tuder</w:t>
            </w:r>
          </w:p>
        </w:tc>
        <w:tc>
          <w:tcPr>
            <w:tcW w:w="18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139,000</w:t>
            </w:r>
          </w:p>
        </w:tc>
        <w:tc>
          <w:tcPr>
            <w:tcW w:w="1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7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264,000</w:t>
            </w:r>
          </w:p>
        </w:tc>
      </w:tr>
    </w:tbl>
    <w:p>
      <w:pPr>
        <w:spacing w:after="0" w:line="198" w:lineRule="exact"/>
        <w:rPr>
          <w:sz w:val="20"/>
          <w:szCs w:val="20"/>
          <w:color w:val="auto"/>
        </w:rPr>
      </w:pPr>
    </w:p>
    <w:p>
      <w:pPr>
        <w:ind w:left="340" w:hanging="332"/>
        <w:spacing w:after="0" w:line="25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aggregate grant date fair value of the equity awards granted in 2025 as computed in accordance with Accounting Standards Codification (“ASC”) Topic 718, excluding the effect of estimated forfeitures. Assumptions used in the calculation of these amounts are included in Note 9,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the 2025 Annual Report.</w:t>
      </w:r>
    </w:p>
    <w:p>
      <w:pPr>
        <w:spacing w:after="0" w:line="1" w:lineRule="exact"/>
        <w:rPr>
          <w:rFonts w:ascii="Times New Roman" w:cs="Times New Roman" w:eastAsia="Times New Roman" w:hAnsi="Times New Roman"/>
          <w:sz w:val="18"/>
          <w:szCs w:val="18"/>
          <w:color w:val="auto"/>
        </w:rPr>
      </w:pPr>
    </w:p>
    <w:p>
      <w:pPr>
        <w:ind w:left="340" w:right="38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for each of our non-management directors, the aggregate number of shares subject to stock options and unvested stock awards outstanding as of December 31, 2025.</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 Awards (#)</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 (#)</w:t>
            </w:r>
          </w:p>
        </w:tc>
      </w:tr>
      <w:tr>
        <w:trPr>
          <w:trHeight w:val="209"/>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B. Avery (issued to Tavistock Holdings, Inc.)</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J. Bye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8,879</w:t>
            </w:r>
          </w:p>
        </w:tc>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Syed Nabeel Anwar Bukhari</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8,879</w:t>
            </w:r>
          </w:p>
        </w:tc>
        <w:tc>
          <w:tcPr>
            <w:tcW w:w="16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Harland</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9,427</w:t>
            </w:r>
          </w:p>
        </w:tc>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Miller</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9,427</w:t>
            </w:r>
          </w:p>
        </w:tc>
        <w:tc>
          <w:tcPr>
            <w:tcW w:w="16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Mulhern</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27,240</w:t>
            </w:r>
          </w:p>
        </w:tc>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Jeffrey Tuder</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9,427</w:t>
            </w:r>
          </w:p>
        </w:tc>
        <w:tc>
          <w:tcPr>
            <w:tcW w:w="1680" w:type="dxa"/>
            <w:vAlign w:val="bottom"/>
            <w:gridSpan w:val="2"/>
            <w:shd w:val="clear" w:color="auto" w:fill="EEEEEE"/>
          </w:tcPr>
          <w:p>
            <w:pPr>
              <w:ind w:left="14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line="25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the terms of his employment with Tavistock Holdings, Inc., all cash director fees earned by Mr. Avery are paid to Tavistock Foundation, Inc., a non-profit incorporated and existing under the laws of the State of Florida, and all equity awards to which he would be entitled for service as a director of the Company are issued to Tavistock Holdings, Inc.</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Bye and Bukhari were each appointed to the Board effective as of October 28,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 was appointed to the Board effective as of January 6,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Mulhern was appointed to the Board effective as of April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INFORMATION REGARDING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14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6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Juho Sarvikas</w:t>
            </w:r>
          </w:p>
        </w:tc>
        <w:tc>
          <w:tcPr>
            <w:tcW w:w="2140" w:type="dxa"/>
            <w:vAlign w:val="bottom"/>
            <w:shd w:val="clear" w:color="auto" w:fill="EEEEEE"/>
          </w:tcPr>
          <w:p>
            <w:pPr>
              <w:jc w:val="center"/>
              <w:ind w:left="1190"/>
              <w:spacing w:after="0"/>
              <w:rPr>
                <w:sz w:val="20"/>
                <w:szCs w:val="20"/>
                <w:color w:val="auto"/>
              </w:rPr>
            </w:pPr>
            <w:r>
              <w:rPr>
                <w:rFonts w:ascii="Times New Roman" w:cs="Times New Roman" w:eastAsia="Times New Roman" w:hAnsi="Times New Roman"/>
                <w:sz w:val="18"/>
                <w:szCs w:val="18"/>
                <w:color w:val="auto"/>
                <w:w w:val="99"/>
              </w:rPr>
              <w:t>44</w:t>
            </w:r>
          </w:p>
        </w:tc>
        <w:tc>
          <w:tcPr>
            <w:tcW w:w="63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Steven Gatoff</w:t>
            </w:r>
          </w:p>
        </w:tc>
        <w:tc>
          <w:tcPr>
            <w:tcW w:w="21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58</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2140" w:type="dxa"/>
            <w:vAlign w:val="bottom"/>
            <w:shd w:val="clear" w:color="auto" w:fill="EEEEEE"/>
          </w:tcPr>
          <w:p>
            <w:pPr>
              <w:jc w:val="center"/>
              <w:ind w:left="1190"/>
              <w:spacing w:after="0"/>
              <w:rPr>
                <w:sz w:val="20"/>
                <w:szCs w:val="20"/>
                <w:color w:val="auto"/>
              </w:rPr>
            </w:pPr>
            <w:r>
              <w:rPr>
                <w:rFonts w:ascii="Times New Roman" w:cs="Times New Roman" w:eastAsia="Times New Roman" w:hAnsi="Times New Roman"/>
                <w:sz w:val="18"/>
                <w:szCs w:val="18"/>
                <w:color w:val="auto"/>
                <w:w w:val="99"/>
              </w:rPr>
              <w:t>48</w:t>
            </w:r>
          </w:p>
        </w:tc>
        <w:tc>
          <w:tcPr>
            <w:tcW w:w="63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with respect to Mr. Sarvikas included above is incorporated herein by reference.</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Steven Gatoff has served as the Company’s Chief Financial Officer since September 2023. Before joining Inseego, Mr. Gatoff served as chief financial officer (“CFO”) of Edge Case Research, Inc. from early 2023 to September 2023. Before that, he worked as CFO of each of the following corporations: HALO Dx, Inc. in 2022; Absolute Software Corporation from 2020 to 2022; 8x8, Inc. from 2018 to 2020; PagerDuty, Inc. from 2016 to 2018; Rapid7, Inc. from 2013 to 2016; and iPass, Inc. from 2009 to 2013. Prior to these positions, Mr. Gatoff held senior finance roles at United Online, Inc., Sterling Commerce, Inc. and VeriSign Inc. Earlier in his career, Mr. Gatoff worked as an investment banker at several Wall Street firms including Bear Stearns &amp; Co., Credit Suisse First Boston and Morgan Stanley. He began his career as an auditor with Deloitte &amp; Touche. Mr. Gatoff earned a Master of Business Administration (MBA) degree from Columbia University and a Bachelor of Science (BS) degree from the University of Vermont. He is a certified public accountant (CPA).</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Paul McClaskey has served as the Company’s Chief Accounting Officer since December 2023, and as Senior Vice President, Finance and Chief Accounting Officer since January 2025. Mr. McClaskey was designated as the Company’s principal accounting officer in September 2024. Prior to joining the Company, Mr. McClaskey served at Berkeley Lights, Inc., as Chief Accounting Officer from 2022 to 2023 and as Vice President, Accounting, from 2021 to 2022. From 2014 to 2021, Mr. McClaskey held roles of increasing responsibility at DISH Network Corporation, serving as Vice President of Accounting from 2019 to 2021 and as Director of Financial Reporting from 2014 to 2019. Mr. McClaskey also held roles of increasing responsibility at URS Corporation, from 2012 to 2014, including Director of Technical and International Accounting. In addition, Mr. McClaskey held roles in both the audit and advisory practices of KPMG, LLP from 2003 to 2012. Mr. McClaskey earned a Bachelor of Arts in Economics from the University of Puget Sound and a Master of Accounting degree from the University of Arizona. Mr. McClaskey is a licensed CPA and is a CFA charterholder.</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executive officers and/or directors. There are currently no legal proceedings, and during the past ten years there have been no legal proceedings, that are material to the evaluation of the ability or integrity of any of our current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material elements of compensation for the Company’s named executive officers for the year ended December 31, 2025, which consist of: (1) Juho Sarvikas, our Chief Executive Officer, (2) Steven Gatoff, our Chief Financial Officer, (3) Paul McClaskey, our Chief Accounting Officer, and (4) Phil Brace, our former Executive Chairman.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named executive officers for the years ended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20" w:type="dxa"/>
            <w:vAlign w:val="bottom"/>
            <w:gridSpan w:val="2"/>
            <w:vMerge w:val="continue"/>
          </w:tcPr>
          <w:p>
            <w:pPr>
              <w:spacing w:after="0"/>
              <w:rPr>
                <w:sz w:val="12"/>
                <w:szCs w:val="12"/>
                <w:color w:val="auto"/>
              </w:rPr>
            </w:pP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EEEEE"/>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EEEEEE"/>
            </w:tcBorders>
            <w:vMerge w:val="continue"/>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EEEEEE"/>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EEEEEE"/>
            </w:tcBorders>
          </w:tcPr>
          <w:p>
            <w:pPr>
              <w:spacing w:after="0"/>
              <w:rPr>
                <w:sz w:val="15"/>
                <w:szCs w:val="15"/>
                <w:color w:val="auto"/>
              </w:rPr>
            </w:pPr>
          </w:p>
        </w:tc>
        <w:tc>
          <w:tcPr>
            <w:tcW w:w="1000" w:type="dxa"/>
            <w:vAlign w:val="bottom"/>
            <w:tcBorders>
              <w:bottom w:val="single" w:sz="8" w:color="auto"/>
            </w:tcBorders>
          </w:tcPr>
          <w:p>
            <w:pPr>
              <w:jc w:val="right"/>
              <w:ind w:right="289"/>
              <w:spacing w:after="0" w:line="17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EEEEEE"/>
            </w:tcBorders>
          </w:tcPr>
          <w:p>
            <w:pPr>
              <w:spacing w:after="0"/>
              <w:rPr>
                <w:sz w:val="15"/>
                <w:szCs w:val="15"/>
                <w:color w:val="auto"/>
              </w:rPr>
            </w:pPr>
          </w:p>
        </w:tc>
        <w:tc>
          <w:tcPr>
            <w:tcW w:w="1000" w:type="dxa"/>
            <w:vAlign w:val="bottom"/>
            <w:tcBorders>
              <w:bottom w:val="single" w:sz="8" w:color="auto"/>
            </w:tcBorders>
          </w:tcPr>
          <w:p>
            <w:pPr>
              <w:jc w:val="right"/>
              <w:ind w:right="289"/>
              <w:spacing w:after="0" w:line="17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EEEEEE"/>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Borders>
              <w:bottom w:val="single" w:sz="8" w:color="EEEEEE"/>
            </w:tcBorders>
          </w:tcPr>
          <w:p>
            <w:pPr>
              <w:spacing w:after="0"/>
              <w:rPr>
                <w:sz w:val="15"/>
                <w:szCs w:val="15"/>
                <w:color w:val="auto"/>
              </w:rPr>
            </w:pPr>
          </w:p>
        </w:tc>
        <w:tc>
          <w:tcPr>
            <w:tcW w:w="9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20"/>
                <w:szCs w:val="20"/>
                <w:b w:val="1"/>
                <w:bCs w:val="1"/>
                <w:color w:val="auto"/>
                <w:w w:val="97"/>
                <w:vertAlign w:val="superscript"/>
              </w:rPr>
              <w:t>(2)</w:t>
            </w:r>
          </w:p>
        </w:tc>
        <w:tc>
          <w:tcPr>
            <w:tcW w:w="220" w:type="dxa"/>
            <w:vAlign w:val="bottom"/>
            <w:tcBorders>
              <w:bottom w:val="single" w:sz="8" w:color="EEEEEE"/>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EEEEE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EEEEE"/>
          </w:tcPr>
          <w:p>
            <w:pPr>
              <w:spacing w:after="0" w:line="183" w:lineRule="exact"/>
              <w:rPr>
                <w:sz w:val="20"/>
                <w:szCs w:val="20"/>
                <w:color w:val="auto"/>
              </w:rPr>
            </w:pPr>
            <w:r>
              <w:rPr>
                <w:rFonts w:ascii="Times New Roman" w:cs="Times New Roman" w:eastAsia="Times New Roman" w:hAnsi="Times New Roman"/>
                <w:sz w:val="13"/>
                <w:szCs w:val="13"/>
                <w:color w:val="auto"/>
              </w:rPr>
              <w:t>Juho Sarvikas</w:t>
            </w:r>
            <w:r>
              <w:rPr>
                <w:rFonts w:ascii="Times New Roman" w:cs="Times New Roman" w:eastAsia="Times New Roman" w:hAnsi="Times New Roman"/>
                <w:sz w:val="21"/>
                <w:szCs w:val="21"/>
                <w:color w:val="auto"/>
                <w:vertAlign w:val="superscript"/>
              </w:rPr>
              <w:t>(3)</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EEEEEE"/>
          </w:tcPr>
          <w:p>
            <w:pPr>
              <w:spacing w:after="0"/>
              <w:rPr>
                <w:sz w:val="15"/>
                <w:szCs w:val="15"/>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480,769</w:t>
            </w:r>
          </w:p>
        </w:tc>
        <w:tc>
          <w:tcPr>
            <w:tcW w:w="1260" w:type="dxa"/>
            <w:vAlign w:val="bottom"/>
            <w:gridSpan w:val="2"/>
            <w:shd w:val="clear" w:color="auto" w:fill="EEEEEE"/>
          </w:tcPr>
          <w:p>
            <w:pPr>
              <w:jc w:val="right"/>
              <w:ind w:right="120"/>
              <w:spacing w:after="0" w:line="183" w:lineRule="exact"/>
              <w:rPr>
                <w:sz w:val="20"/>
                <w:szCs w:val="20"/>
                <w:color w:val="auto"/>
              </w:rPr>
            </w:pPr>
            <w:r>
              <w:rPr>
                <w:rFonts w:ascii="Times New Roman" w:cs="Times New Roman" w:eastAsia="Times New Roman" w:hAnsi="Times New Roman"/>
                <w:sz w:val="13"/>
                <w:szCs w:val="13"/>
                <w:color w:val="auto"/>
              </w:rPr>
              <w:t>236,712</w:t>
            </w:r>
            <w:r>
              <w:rPr>
                <w:rFonts w:ascii="Times New Roman" w:cs="Times New Roman" w:eastAsia="Times New Roman" w:hAnsi="Times New Roman"/>
                <w:sz w:val="21"/>
                <w:szCs w:val="21"/>
                <w:color w:val="auto"/>
                <w:vertAlign w:val="superscript"/>
              </w:rPr>
              <w:t>(4)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4,578,311</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6,685,850</w:t>
            </w: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7,134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11,988,776</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20" w:type="dxa"/>
            <w:vAlign w:val="bottom"/>
            <w:shd w:val="clear" w:color="auto" w:fill="EEEEEE"/>
          </w:tcPr>
          <w:p>
            <w:pPr>
              <w:spacing w:after="0"/>
              <w:rPr>
                <w:sz w:val="14"/>
                <w:szCs w:val="14"/>
                <w:color w:val="auto"/>
              </w:rPr>
            </w:pPr>
          </w:p>
        </w:tc>
        <w:tc>
          <w:tcPr>
            <w:tcW w:w="7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8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Steven Gatoff</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372,731</w:t>
            </w:r>
          </w:p>
        </w:tc>
        <w:tc>
          <w:tcPr>
            <w:tcW w:w="1260" w:type="dxa"/>
            <w:vAlign w:val="bottom"/>
            <w:gridSpan w:val="2"/>
            <w:shd w:val="clear" w:color="auto" w:fill="EEEEEE"/>
          </w:tcPr>
          <w:p>
            <w:pPr>
              <w:jc w:val="right"/>
              <w:ind w:right="120"/>
              <w:spacing w:after="0" w:line="162" w:lineRule="exact"/>
              <w:rPr>
                <w:sz w:val="20"/>
                <w:szCs w:val="20"/>
                <w:color w:val="auto"/>
              </w:rPr>
            </w:pPr>
            <w:r>
              <w:rPr>
                <w:rFonts w:ascii="Times New Roman" w:cs="Times New Roman" w:eastAsia="Times New Roman" w:hAnsi="Times New Roman"/>
                <w:sz w:val="12"/>
                <w:szCs w:val="12"/>
                <w:color w:val="auto"/>
              </w:rPr>
              <w:t>177,600</w:t>
            </w:r>
            <w:r>
              <w:rPr>
                <w:rFonts w:ascii="Times New Roman" w:cs="Times New Roman" w:eastAsia="Times New Roman" w:hAnsi="Times New Roman"/>
                <w:sz w:val="18"/>
                <w:szCs w:val="18"/>
                <w:color w:val="auto"/>
                <w:vertAlign w:val="superscript"/>
              </w:rPr>
              <w:t>(4)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796,352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1,346,683</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1260" w:type="dxa"/>
            <w:vAlign w:val="bottom"/>
            <w:gridSpan w:val="2"/>
            <w:shd w:val="clear" w:color="auto" w:fill="EEEEEE"/>
          </w:tcPr>
          <w:p>
            <w:pPr>
              <w:jc w:val="right"/>
              <w:ind w:right="120"/>
              <w:spacing w:after="0" w:line="162" w:lineRule="exact"/>
              <w:rPr>
                <w:sz w:val="20"/>
                <w:szCs w:val="20"/>
                <w:color w:val="auto"/>
              </w:rPr>
            </w:pPr>
            <w:r>
              <w:rPr>
                <w:rFonts w:ascii="Times New Roman" w:cs="Times New Roman" w:eastAsia="Times New Roman" w:hAnsi="Times New Roman"/>
                <w:sz w:val="12"/>
                <w:szCs w:val="12"/>
                <w:color w:val="auto"/>
              </w:rPr>
              <w:t>245,000</w:t>
            </w:r>
            <w:r>
              <w:rPr>
                <w:rFonts w:ascii="Times New Roman" w:cs="Times New Roman" w:eastAsia="Times New Roman" w:hAnsi="Times New Roman"/>
                <w:sz w:val="18"/>
                <w:szCs w:val="18"/>
                <w:color w:val="auto"/>
                <w:vertAlign w:val="superscript"/>
              </w:rPr>
              <w:t>(5)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1,836,000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120"/>
              <w:spacing w:after="0" w:line="162" w:lineRule="exact"/>
              <w:rPr>
                <w:sz w:val="20"/>
                <w:szCs w:val="20"/>
                <w:color w:val="auto"/>
              </w:rPr>
            </w:pPr>
            <w:r>
              <w:rPr>
                <w:rFonts w:ascii="Times New Roman" w:cs="Times New Roman" w:eastAsia="Times New Roman" w:hAnsi="Times New Roman"/>
                <w:sz w:val="12"/>
                <w:szCs w:val="12"/>
                <w:color w:val="auto"/>
              </w:rPr>
              <w:t>248,063</w:t>
            </w:r>
            <w:r>
              <w:rPr>
                <w:rFonts w:ascii="Times New Roman" w:cs="Times New Roman" w:eastAsia="Times New Roman" w:hAnsi="Times New Roman"/>
                <w:sz w:val="18"/>
                <w:szCs w:val="18"/>
                <w:color w:val="auto"/>
                <w:vertAlign w:val="superscript"/>
              </w:rPr>
              <w:t>(6)</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2,679,063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EEEEEE"/>
          </w:tcPr>
          <w:p>
            <w:pPr>
              <w:spacing w:after="0" w:line="189" w:lineRule="exact"/>
              <w:rPr>
                <w:sz w:val="20"/>
                <w:szCs w:val="20"/>
                <w:color w:val="auto"/>
              </w:rPr>
            </w:pPr>
            <w:r>
              <w:rPr>
                <w:rFonts w:ascii="Times New Roman" w:cs="Times New Roman" w:eastAsia="Times New Roman" w:hAnsi="Times New Roman"/>
                <w:sz w:val="13"/>
                <w:szCs w:val="13"/>
                <w:color w:val="auto"/>
              </w:rPr>
              <w:t>Paul McClaskey</w:t>
            </w:r>
            <w:r>
              <w:rPr>
                <w:rFonts w:ascii="Times New Roman" w:cs="Times New Roman" w:eastAsia="Times New Roman" w:hAnsi="Times New Roman"/>
                <w:sz w:val="21"/>
                <w:szCs w:val="21"/>
                <w:color w:val="auto"/>
                <w:vertAlign w:val="superscript"/>
              </w:rPr>
              <w:t>(7)</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EEEEEE"/>
          </w:tcPr>
          <w:p>
            <w:pPr>
              <w:spacing w:after="0"/>
              <w:rPr>
                <w:sz w:val="16"/>
                <w:szCs w:val="16"/>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289,538</w:t>
            </w:r>
          </w:p>
        </w:tc>
        <w:tc>
          <w:tcPr>
            <w:tcW w:w="1260" w:type="dxa"/>
            <w:vAlign w:val="bottom"/>
            <w:gridSpan w:val="2"/>
            <w:shd w:val="clear" w:color="auto" w:fill="EEEEEE"/>
          </w:tcPr>
          <w:p>
            <w:pPr>
              <w:jc w:val="right"/>
              <w:ind w:right="120"/>
              <w:spacing w:after="0" w:line="189" w:lineRule="exact"/>
              <w:rPr>
                <w:sz w:val="20"/>
                <w:szCs w:val="20"/>
                <w:color w:val="auto"/>
              </w:rPr>
            </w:pPr>
            <w:r>
              <w:rPr>
                <w:rFonts w:ascii="Times New Roman" w:cs="Times New Roman" w:eastAsia="Times New Roman" w:hAnsi="Times New Roman"/>
                <w:sz w:val="13"/>
                <w:szCs w:val="13"/>
                <w:color w:val="auto"/>
              </w:rPr>
              <w:t>47,200</w:t>
            </w:r>
            <w:r>
              <w:rPr>
                <w:rFonts w:ascii="Times New Roman" w:cs="Times New Roman" w:eastAsia="Times New Roman" w:hAnsi="Times New Roman"/>
                <w:sz w:val="21"/>
                <w:szCs w:val="21"/>
                <w:color w:val="auto"/>
                <w:vertAlign w:val="superscript"/>
              </w:rPr>
              <w:t>(4)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167,710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5,128</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509,576</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i w:val="1"/>
                <w:iCs w:val="1"/>
                <w:color w:val="auto"/>
              </w:rPr>
              <w:t>Chief Accounting Officer</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275,000</w:t>
            </w:r>
          </w:p>
        </w:tc>
        <w:tc>
          <w:tcPr>
            <w:tcW w:w="1260" w:type="dxa"/>
            <w:vAlign w:val="bottom"/>
            <w:gridSpan w:val="2"/>
            <w:shd w:val="clear" w:color="auto" w:fill="EEEEEE"/>
          </w:tcPr>
          <w:p>
            <w:pPr>
              <w:jc w:val="right"/>
              <w:ind w:right="120"/>
              <w:spacing w:after="0" w:line="162" w:lineRule="exact"/>
              <w:rPr>
                <w:sz w:val="20"/>
                <w:szCs w:val="20"/>
                <w:color w:val="auto"/>
              </w:rPr>
            </w:pPr>
            <w:r>
              <w:rPr>
                <w:rFonts w:ascii="Times New Roman" w:cs="Times New Roman" w:eastAsia="Times New Roman" w:hAnsi="Times New Roman"/>
                <w:sz w:val="12"/>
                <w:szCs w:val="12"/>
                <w:color w:val="auto"/>
              </w:rPr>
              <w:t>200,000</w:t>
            </w:r>
            <w:r>
              <w:rPr>
                <w:rFonts w:ascii="Times New Roman" w:cs="Times New Roman" w:eastAsia="Times New Roman" w:hAnsi="Times New Roman"/>
                <w:sz w:val="18"/>
                <w:szCs w:val="18"/>
                <w:color w:val="auto"/>
                <w:vertAlign w:val="superscript"/>
              </w:rPr>
              <w:t>(5)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275,400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120"/>
              <w:spacing w:after="0" w:line="162" w:lineRule="exact"/>
              <w:rPr>
                <w:sz w:val="20"/>
                <w:szCs w:val="20"/>
                <w:color w:val="auto"/>
              </w:rPr>
            </w:pPr>
            <w:r>
              <w:rPr>
                <w:rFonts w:ascii="Times New Roman" w:cs="Times New Roman" w:eastAsia="Times New Roman" w:hAnsi="Times New Roman"/>
                <w:sz w:val="12"/>
                <w:szCs w:val="12"/>
                <w:color w:val="auto"/>
              </w:rPr>
              <w:t>105,000</w:t>
            </w:r>
            <w:r>
              <w:rPr>
                <w:rFonts w:ascii="Times New Roman" w:cs="Times New Roman" w:eastAsia="Times New Roman" w:hAnsi="Times New Roman"/>
                <w:sz w:val="18"/>
                <w:szCs w:val="18"/>
                <w:color w:val="auto"/>
                <w:vertAlign w:val="superscript"/>
              </w:rPr>
              <w:t>(6)</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855,400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EEEEEE"/>
          </w:tcPr>
          <w:p>
            <w:pPr>
              <w:spacing w:after="0" w:line="189" w:lineRule="exact"/>
              <w:rPr>
                <w:sz w:val="20"/>
                <w:szCs w:val="20"/>
                <w:color w:val="auto"/>
              </w:rPr>
            </w:pPr>
            <w:r>
              <w:rPr>
                <w:rFonts w:ascii="Times New Roman" w:cs="Times New Roman" w:eastAsia="Times New Roman" w:hAnsi="Times New Roman"/>
                <w:sz w:val="13"/>
                <w:szCs w:val="13"/>
                <w:color w:val="auto"/>
              </w:rPr>
              <w:t>Phil Brace</w:t>
            </w:r>
            <w:r>
              <w:rPr>
                <w:rFonts w:ascii="Times New Roman" w:cs="Times New Roman" w:eastAsia="Times New Roman" w:hAnsi="Times New Roman"/>
                <w:sz w:val="21"/>
                <w:szCs w:val="21"/>
                <w:color w:val="auto"/>
                <w:vertAlign w:val="superscript"/>
              </w:rPr>
              <w:t>(8)</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EEEEEE"/>
          </w:tcPr>
          <w:p>
            <w:pPr>
              <w:spacing w:after="0"/>
              <w:rPr>
                <w:sz w:val="16"/>
                <w:szCs w:val="16"/>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25,846</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12,500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138,346</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i w:val="1"/>
                <w:iCs w:val="1"/>
                <w:color w:val="auto"/>
              </w:rPr>
              <w:t>Former Executive Chairman</w:t>
            </w:r>
          </w:p>
        </w:tc>
        <w:tc>
          <w:tcPr>
            <w:tcW w:w="820" w:type="dxa"/>
            <w:vAlign w:val="bottom"/>
            <w:gridSpan w:val="2"/>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EEEEEE"/>
          </w:tcPr>
          <w:p>
            <w:pPr>
              <w:spacing w:after="0"/>
              <w:rPr>
                <w:sz w:val="14"/>
                <w:szCs w:val="14"/>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203,077</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1,215,404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49,433</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1,467,914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28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the stock and option awards granted in the respective fiscal year as computed in accordance with ASC Topic 718, excluding the effect of estimated forfeitures. Assumptions used in the calculation of these amounts are included in Note 9, Share-based Compensation, in the Company’s Annual Report on Form 10-K for the year ended December 31, 2025.</w:t>
      </w:r>
    </w:p>
    <w:p>
      <w:pPr>
        <w:spacing w:after="0" w:line="17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 below for additional information.</w:t>
      </w:r>
    </w:p>
    <w:p>
      <w:pPr>
        <w:spacing w:after="0" w:line="2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Sarvikas was appointed Chief Executive Officer effective as of January 6, 2025.</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discretionary bonuses for 2025, which were paid in cash in March 2026.</w:t>
      </w:r>
    </w:p>
    <w:p>
      <w:pPr>
        <w:spacing w:after="0" w:line="225"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discretionary bonuses paid in connection with the Company’s successful completion of significant corporate restructuring transactions during 2024.</w:t>
      </w:r>
    </w:p>
    <w:p>
      <w:pPr>
        <w:spacing w:after="0" w:line="16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payments earned with respect to the Company’s financial performance during 2024, which were paid in cash in March 2025.</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McClaskey was designated as the principal accounting officer starting September 30, 2024.</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Brace served as Executive Chairman of the Company from February 19, 2024 to February 5,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Other Compensation</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information concerning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xml:space="preserve"> in the table above:</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401(k) Employer</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Match</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42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Juho Sarvikas</w:t>
            </w:r>
          </w:p>
        </w:tc>
        <w:tc>
          <w:tcPr>
            <w:tcW w:w="1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Steven Gatoff</w:t>
            </w: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5,128</w:t>
            </w:r>
          </w:p>
        </w:tc>
        <w:tc>
          <w:tcPr>
            <w:tcW w:w="2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r>
      <w:tr>
        <w:trPr>
          <w:trHeight w:val="216"/>
        </w:trPr>
        <w:tc>
          <w:tcPr>
            <w:tcW w:w="42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Phil Brace</w:t>
            </w: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12,500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42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49,433(1)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49,433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board fees paid in addition to Mr. Brace’s salary for serving as Executive Chair.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Executive Compensation</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elements of the Company’s compensation program are base salaries, bonus compensation based upon incentive goals and objectives and stock-based equity awards. Our compensation program is designed to balance our need to provide our named executive officers with incentives to achieve our short-and long-term performance goals with the need to pay competitive base salaries. There is no pre-established policy for allocating between cash and non-cash or short-term or long-term compensation. Each named executive officer’s current and prior compensation is considered in setting future compensation.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Base salary is the guaranteed element of employees’ annual cash compensation. Base salaries are generally based on relative responsibility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targeted to provide competitive guaranteed cash compensation. The value of base salary reflects the employee’s long-term performance, skillset and the market value of that skill set. Base salaries for our named executive officers are reviewed on an annual basis and adjustments are made to reflect performance-based factors, as well as competitive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base salaries for each of the named executive officers for 2025 are shown in the following table.</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09"/>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Juho Sarvikas</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57"/>
        </w:trPr>
        <w:tc>
          <w:tcPr>
            <w:tcW w:w="95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Gatoff</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9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295,000</w:t>
            </w:r>
          </w:p>
        </w:tc>
      </w:tr>
      <w:tr>
        <w:trPr>
          <w:trHeight w:val="39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 Brace</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bl>
    <w:p>
      <w:pPr>
        <w:spacing w:after="0" w:line="60"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Gatoff’s base salary was changed from $370,000 to $400,000 in December 2025.</w:t>
      </w:r>
    </w:p>
    <w:p>
      <w:pPr>
        <w:spacing w:after="0" w:line="225"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Brace served as Executive Chairman on an interim basis until February 5, 2025. The base salary herein represents the cash compensation for the full fiscal year.</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Annual Incentive Bonuses</w:t>
      </w:r>
      <w:r>
        <w:rPr>
          <w:rFonts w:ascii="Times New Roman" w:cs="Times New Roman" w:eastAsia="Times New Roman" w:hAnsi="Times New Roman"/>
          <w:sz w:val="18"/>
          <w:szCs w:val="18"/>
          <w:color w:val="auto"/>
        </w:rPr>
        <w:t>. Our executive officers are generally eligible to earn an incentive bonus each fiscal year, with such bonuses awarded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corporate financial goals established by the Compensation Committee. Executive officers have target bonuses expressed as a percentage of the named executive officer’s base salary. We require that participants continue to be employed through the payment date to receive a bonus. Participants hired during the year are eligible to receive a pro rata bonus based on the portion of the year that they were employed by the Company. Satisfactory individual performance is also a condition to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Compensation Committee considered the following when establishing annual incentive awards:</w:t>
      </w:r>
    </w:p>
    <w:p>
      <w:pPr>
        <w:spacing w:after="0" w:line="223" w:lineRule="exact"/>
        <w:rPr>
          <w:sz w:val="20"/>
          <w:szCs w:val="20"/>
          <w:color w:val="auto"/>
        </w:rPr>
      </w:pPr>
    </w:p>
    <w:p>
      <w:pPr>
        <w:ind w:left="660" w:right="20" w:hanging="652"/>
        <w:spacing w:after="0" w:line="258"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Bonus Targets</w:t>
      </w:r>
      <w:r>
        <w:rPr>
          <w:rFonts w:ascii="Times New Roman" w:cs="Times New Roman" w:eastAsia="Times New Roman" w:hAnsi="Times New Roman"/>
          <w:sz w:val="18"/>
          <w:szCs w:val="18"/>
          <w:color w:val="auto"/>
        </w:rPr>
        <w:t>. Target bonuses are expressed as a percentage of the participant’s base salary earned during the plan year. Bonus targets were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job responsibilities and internal relativity. Consistent with the Company’s executive compensation policy, individuals with greater job responsibilities had a greater proportion of their total compensation tied to Company performance. Bonus targets for the named executive officers were unchanged for 2024 compared to prior years. As Executive Chairman, Mr. Brace was not eligible for an incentive bonus. The schedule below shows the target incentives for 2024 for each of the named executive officers as a percentage of 2024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96925"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r>
      <w:tr>
        <w:trPr>
          <w:trHeight w:val="238"/>
        </w:trPr>
        <w:tc>
          <w:tcPr>
            <w:tcW w:w="956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of Salary</w:t>
            </w:r>
          </w:p>
        </w:tc>
      </w:tr>
      <w:tr>
        <w:trPr>
          <w:trHeight w:val="209"/>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Steven Gatoff</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Ashish Sharma</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6" w:lineRule="exact"/>
        <w:rPr>
          <w:sz w:val="20"/>
          <w:szCs w:val="20"/>
          <w:color w:val="auto"/>
        </w:rPr>
      </w:pPr>
    </w:p>
    <w:p>
      <w:pPr>
        <w:ind w:left="660" w:hanging="652"/>
        <w:spacing w:after="0" w:line="257"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Company performance measures</w:t>
      </w:r>
      <w:r>
        <w:rPr>
          <w:rFonts w:ascii="Times New Roman" w:cs="Times New Roman" w:eastAsia="Times New Roman" w:hAnsi="Times New Roman"/>
          <w:sz w:val="18"/>
          <w:szCs w:val="18"/>
          <w:color w:val="auto"/>
        </w:rPr>
        <w:t>. For 2024, bonus payouts for the year were then determined based on the achievement by the Company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goals and/or targets established by the Compensation Committee related to the Company’s revenue performance and Adjusted EBITDA. Payouts could range from zero to 150% of target depending on the Company’s performance. The bonuses earned by the named executive officers for 2024 relating to corporate performance were 142% of target as a result of achieving sales and Adjusted EBITDA in excess of the established targets for 2024. Based upon the Company’s financial performance during 2024, Messrs. Gatoff, McClaskey and Sharma earned annual incentive bonuses of $248,063, $105,000 and $68,157, respectively, which were paid in cash in March 2025.</w:t>
      </w:r>
    </w:p>
    <w:p>
      <w:pPr>
        <w:spacing w:after="0" w:line="181" w:lineRule="exact"/>
        <w:rPr>
          <w:rFonts w:ascii="Arial" w:cs="Arial" w:eastAsia="Arial" w:hAnsi="Arial"/>
          <w:sz w:val="18"/>
          <w:szCs w:val="18"/>
          <w:b w:val="1"/>
          <w:bCs w:val="1"/>
          <w:color w:val="auto"/>
        </w:rPr>
      </w:pPr>
    </w:p>
    <w:p>
      <w:pPr>
        <w:ind w:left="660" w:right="460" w:hanging="652"/>
        <w:spacing w:after="0" w:line="26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Discretionary Bonuses</w:t>
      </w:r>
      <w:r>
        <w:rPr>
          <w:rFonts w:ascii="Times New Roman" w:cs="Times New Roman" w:eastAsia="Times New Roman" w:hAnsi="Times New Roman"/>
          <w:sz w:val="18"/>
          <w:szCs w:val="18"/>
          <w:color w:val="auto"/>
        </w:rPr>
        <w:t>. Based on individual performance, the Compensation Committee may pay discretionary bonuses to reward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named executive officers during the year. In connection with the Company’s successful completion of significant corporate restructuring transactions during 2024, Messrs. Gatoff and McClaskey were paid discretionary cash bonuses of $245,000 and $200,000, respectively,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Compensation Committee considered the following when establishing annual incentive awards:</w:t>
      </w:r>
    </w:p>
    <w:p>
      <w:pPr>
        <w:spacing w:after="0" w:line="223" w:lineRule="exact"/>
        <w:rPr>
          <w:sz w:val="20"/>
          <w:szCs w:val="20"/>
          <w:color w:val="auto"/>
        </w:rPr>
      </w:pPr>
    </w:p>
    <w:p>
      <w:pPr>
        <w:ind w:left="660" w:right="20" w:hanging="652"/>
        <w:spacing w:after="0" w:line="256"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Bonus Targets</w:t>
      </w:r>
      <w:r>
        <w:rPr>
          <w:rFonts w:ascii="Times New Roman" w:cs="Times New Roman" w:eastAsia="Times New Roman" w:hAnsi="Times New Roman"/>
          <w:sz w:val="18"/>
          <w:szCs w:val="18"/>
          <w:color w:val="auto"/>
        </w:rPr>
        <w:t>. Target bonuses are expressed as a percentage of the participant’s base salary earned during the plan year. Bonus targets were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job responsibilities and internal relativity. Consistent with the Company’s executive compensation policy, individuals with greater job responsibilities had a greater proportion of their total compensation tied to Company performance. The schedule below shows the target incentives for 2025 for each of the named executive officers as a percentage of 2025 base salary:</w:t>
      </w:r>
    </w:p>
    <w:tbl>
      <w:tblPr>
        <w:tblLayout w:type="fixed"/>
        <w:tblInd w:w="0" w:type="dxa"/>
        <w:tblCellMar>
          <w:top w:w="0" w:type="dxa"/>
          <w:left w:w="0" w:type="dxa"/>
          <w:bottom w:w="0" w:type="dxa"/>
          <w:right w:w="0" w:type="dxa"/>
        </w:tblCellMar>
      </w:tblPr>
      <w:tr>
        <w:trPr>
          <w:trHeight w:val="194"/>
        </w:trPr>
        <w:tc>
          <w:tcPr>
            <w:tcW w:w="9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Target Bonus</w:t>
            </w:r>
          </w:p>
        </w:tc>
      </w:tr>
      <w:tr>
        <w:trPr>
          <w:trHeight w:val="238"/>
        </w:trPr>
        <w:tc>
          <w:tcPr>
            <w:tcW w:w="956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of Salary</w:t>
            </w:r>
          </w:p>
        </w:tc>
      </w:tr>
      <w:tr>
        <w:trPr>
          <w:trHeight w:val="210"/>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Juho Sarvikas</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Gatoff</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6" w:lineRule="exact"/>
        <w:rPr>
          <w:sz w:val="20"/>
          <w:szCs w:val="20"/>
          <w:color w:val="auto"/>
        </w:rPr>
      </w:pPr>
    </w:p>
    <w:p>
      <w:pPr>
        <w:ind w:left="660" w:right="60" w:hanging="652"/>
        <w:spacing w:after="0" w:line="26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Company performance measures</w:t>
      </w:r>
      <w:r>
        <w:rPr>
          <w:rFonts w:ascii="Times New Roman" w:cs="Times New Roman" w:eastAsia="Times New Roman" w:hAnsi="Times New Roman"/>
          <w:sz w:val="18"/>
          <w:szCs w:val="18"/>
          <w:color w:val="auto"/>
        </w:rPr>
        <w:t>. For 2025, bonus payouts for the year were determined based on the achievement by the Company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goals and/or targets established by the Compensation Committee related to the Company’s revenue performance and Adjusted EBITDA. Payouts could range from zero to 150% of target depending on the Company’s performance. In 2025 the Company failed to meet the performance measures established by the Compensation Committee. Therefore, no performance-based compensation was provided in 2025.</w:t>
      </w:r>
    </w:p>
    <w:p>
      <w:pPr>
        <w:spacing w:after="0" w:line="178" w:lineRule="exact"/>
        <w:rPr>
          <w:rFonts w:ascii="Arial" w:cs="Arial" w:eastAsia="Arial" w:hAnsi="Arial"/>
          <w:sz w:val="18"/>
          <w:szCs w:val="18"/>
          <w:b w:val="1"/>
          <w:bCs w:val="1"/>
          <w:color w:val="auto"/>
        </w:rPr>
      </w:pPr>
    </w:p>
    <w:p>
      <w:pPr>
        <w:ind w:left="660" w:right="180" w:hanging="652"/>
        <w:spacing w:after="0" w:line="26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Discretionary Bonuses</w:t>
      </w:r>
      <w:r>
        <w:rPr>
          <w:rFonts w:ascii="Times New Roman" w:cs="Times New Roman" w:eastAsia="Times New Roman" w:hAnsi="Times New Roman"/>
          <w:sz w:val="18"/>
          <w:szCs w:val="18"/>
          <w:color w:val="auto"/>
        </w:rPr>
        <w:t>. Based on individual performance, the Compensation Committee may pay discretionary bonuses to reward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named executive officers during the year. In 2025, the Compensation Committee approved the payment of discretionary bonuses to eligible employees, including the named executive officers, at a level equal to 64% of target. As a result, Messrs. Sarvikas, Gatoff, and McClaskey received discretionary bonus of $236,712, $177,600, and $47,200, respectively, which were paid in cash in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We offer stock options and restricted stock units to our employees, including our named executive officers, as the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component of our compensation program. Our stock options allow our employees to purchase shares of our common stock at a price equal to the fair market value of our common stock on the date of grant. Generally, our stock options granted to new hires have vested as to 25% of the total number of option shares on the first anniversary of the award and in equal monthly installments over the following 36 months. Restricted stock units generally vest at a rate of 25% of the total number of shares on each anniversary of the grant date.</w:t>
      </w:r>
    </w:p>
    <w:p>
      <w:pPr>
        <w:spacing w:after="0" w:line="18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Perquisites and Other Benefits</w:t>
      </w:r>
      <w:r>
        <w:rPr>
          <w:rFonts w:ascii="Times New Roman" w:cs="Times New Roman" w:eastAsia="Times New Roman" w:hAnsi="Times New Roman"/>
          <w:sz w:val="18"/>
          <w:szCs w:val="18"/>
          <w:color w:val="auto"/>
        </w:rPr>
        <w:t>. The Company does not provide significant perquisites or personal benefits to our named executive officers.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are eligible to participate in our health and welfare plans to the same extent as all full-time employees generally.</w:t>
      </w:r>
    </w:p>
    <w:p>
      <w:pPr>
        <w:spacing w:after="0" w:line="15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We currently maintain a 401(k) retirement savings plan that allows eligible employees to defer a portion of their compensation,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limits prescribed by the Internal Revenue Code, on a pre-tax or after-tax basis through contributions to the plan. Our named executive officers are eligible to participate in the 401(k) plan on the same terms as other full-time employees generally. Currently, we match contributions made by participants in the 401(k) plan at $0.50 for each $1.00 contributed on up to 6% an employee’s eligible compensation. We believe that providing a vehicle for retirement savings through our 401(k) plan adds to the overall desirability of our executive compensation package and further incentivizes our employees, including our named executive officers, in accordance with our compensation policies.</w:t>
      </w:r>
    </w:p>
    <w:p>
      <w:pPr>
        <w:spacing w:after="0" w:line="18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Severance and Change-in-Control Arrangements. </w:t>
      </w:r>
      <w:r>
        <w:rPr>
          <w:rFonts w:ascii="Times New Roman" w:cs="Times New Roman" w:eastAsia="Times New Roman" w:hAnsi="Times New Roman"/>
          <w:sz w:val="18"/>
          <w:szCs w:val="18"/>
          <w:color w:val="auto"/>
        </w:rPr>
        <w:t>We generally enter into offer letters, rather than formal employment agreements, with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The letters set forth the initial salary and bonus targets for each named executive officer. In addition, each of the named executive officers, as well as certain other key employees, is a party to a change in control and severance agreement with the Company. The principal purpose of the agreements is to protect the Company from certain business risks (e.g., threats from loss of confidentiality or trade secrets, disparagement, solicitation of customers and employees) and to define the Company’s right to terminate the employment relationship. In return, the executive officers are provided assurances with regard to salary and other compensation and benefits, as well as certain severance benefits.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 with Juho Sarvikas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entered into a Change in Control and Severance Agreement with Mr. Sarvikas, under which Mr. Sarvikas is eligible to receive severance payments if his employment is terminated by us without Cause or by Mr. Sarvikas for Good Reason, in each case as defined in the agreement. If the termination occurs in connection with a Change in Control (as defined in the agreement), Severance payments for Mr. Sarvikas would consist of 18 months of his then-current annual base salary, plus an amount equal to 12 months of his then-current annual target bonus opportunity. If the termination occurs prior to the payment of an annual cash bonus award with respect to the prior completed fiscal year, Mr. Sarvikas will also receive an amount equal to 100% of his annual target cash bonus opportunity for such prior completed fiscal year. In the event of a change in control, (i) all then-outstanding stock options granted to Mr. Sarvikas shall immediately become fully vested and exercisable with respect to 100% of the shares subject to such options; (ii) 100% of all then-outstanding unvested time-based equity awards granted to Mr. Sarvikas shall immediately become fully vested; and (iii) 100% of all then-outstanding unvested performance-based equity awards granted to Mr. Sarvikas shall immediately become fully vested, subject to achievement of the applicable performance thresholds based on the value received by the Company’s stockholders in connection with the change in control. In addition, Mr. Sarvikas and his covered dependents will be entitled to certain healthcare benefits for a period of up to 18 months.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 termination other than in connection with a Change in Control, Mr. Sarvikas will, subject to certain conditions including the execution of a general release, be entitled to receive severance in an amount equal to the sum of 18 months of his then-current annual base salary, plus a payment equal to the pro-rated portion of the target bonus in the year of termination. In addition, if the termination occurs prior to the payment of an annual cash bonus award with respect to the prior completed fiscal year, Mr. Sarvikas will also receive an amount equal to the bonus payment he would be entitled to for such prior completed fiscal year, based on actual achievement of corporate and personal performance goals and criteria during such prior completed year. In addition, Mr. Sarvikas’s outstanding equity awards will become vested and, if applicable, exercisable with respect to that number of shares of Company common stock that would have vested had Mr. Sarvikas continued employment with the Company for six months following the date of termination (subject to certain additional requirements in the case of awards with performance-based criteria), and Mr. Sarvikas and his covered dependents will be entitled to certain healthcare benefits for a period of up to 9 months.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 with Steven Gatoff</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entered into a Change in Control and Severance Agreement with Mr. Gatoff, under which Mr. Gatoff is eligible to receive severance payments if his employment is terminated by us without Cause or by Mr. Gatoff for Good Reason, in each case as defined in the agreement. If the termination occurs in connection with a Change in Control (as defined in the agreement), Severance payments for Mr. Gatoff would consist of 18 months of his then-current annual base salary, plus an amount equal to 12 months of his then-current annual target bonus opportunity. In the event of a change in control, all then-outstanding equity awards granted to Mr. Gatoff shall immediately become fully vested and exercisable. In addition, Mr. Gatoff and his covered dependents will be entitled to certain healthcare benefits for a period of up to 18 months.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of a termination other than in connection with a Change in Control, Mr. Gatoff will, subject to certain conditions including the execution of a general release, be entitled to receive severance in an amount equal to the sum of 6 months of his then-current annual base salary, plus a payment equal to the pro-rated portion of the target bonus in the year of termination, based on actual achievement of corporate and personal performance goals and criteria during such prior completed year. In addition, Mr. Gatoff’s outstanding equity awards will become vested and, if applicable, exercisable with respect to that number of shares of Company common stock that would have vested had Mr. Gatoff continued employment with the Company for six months following the date of termination (subject to certain additional requirements in the case of awards with performance-based criteria), and Mr. Gatoff and his covered dependents will be entitled to certain healthcare benefits for a period of up to 9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 with Paul McClaskey</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entered into a Change in Control and Severance Agreement with Mr. McClaskey, under which Mr. McClaskey is eligible to receive severance payments if his employment is terminated by us without Cause or by Mr. McClaskey for Good Reason, in each case as defined in the agreement. If the termination occurs in connection with a Change in Control (as defined in the agreement), Severance payments for Mr. McClaskey would consist of 6 months of his then-current annual base salary, plus an amount equal to 6 months of his then-current annual target bonus opportunity. In the event of a change in control, all then-outstanding equity awards granted to Mr. McClaskey shall immediately become fully vested and exercisable. In addition, Mr. McClaskey and his covered dependents will be entitled to certain healthcare benefits for a period of up to 6 months.</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event of a termination other than in connection with a Change in Control, Mr. McClaskey will, subject to certain conditions including the execution of a general release, be entitled to receive severance in an amount equal to the sum of three months of his then-current annual base salary, plus a payment equal to the pro-rated portion of the target bonus in the year of termination, based on actual achievement of corporate and personal performance goals and criteria during such prior completed year. In addition, Mr. McClaskey’s outstanding equity awards will become vested and, if applicable, exercisable with respect to that number of shares of Company common stock that would have vested had Mr. McClaskey continued employment with the Company for three months following the date of termination (subject to certain additional requirements in the case of awards with performance-based criteria), and Mr. McClaskey and his covered dependents will be entitled to certain healthcare benefits for a period of up to three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Say-On-Pay Vote</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our 2025 annual meeting of stockholders, our stockholders approved, on a non-binding, advisory basis, the compensation paid to our named executive officers described in our 2025 proxy statement. Approximately 96.5% of the votes cast on the matter were voted in favor of this “say-on-pay” approval. The Board and the Compensation Committee considers the voting results when establishing our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an Executive Officer Clawback Policy (the “Clawback Policy”), which is administered by the Compensation Committee.</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Clawback Policy provides that in the event that the Company is required to prepare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(collectively, a “Restatement”), the Company shall recover erroneously awarded incentive-based compensation from its Officers. The recovery of such compensation applies regardless of (i) whether an Officer engaged in misconduct or otherwise caused or contributed to the requirement for a Restatement, and (ii) whether or when the Company files restated financial statements.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Tax Considerations</w:t>
      </w:r>
      <w:r>
        <w:rPr>
          <w:rFonts w:ascii="Times New Roman" w:cs="Times New Roman" w:eastAsia="Times New Roman" w:hAnsi="Times New Roman"/>
          <w:sz w:val="18"/>
          <w:szCs w:val="18"/>
          <w:color w:val="auto"/>
        </w:rPr>
        <w:t>. Section 162(m) of the Internal Revenue Code generally prohibits a publicly-held company from deducting compensation paid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or former named executive officer that exceeds $1 million during the tax year. Certain awards granted before November 2, 2017 that were based upon attaining pre-established performance measures that were set by the Compensation Committee under a plan approved by our stockholders, as well as amounts payable to former executives pursuant to a written binding contract that was in effect on November 2, 2017, may qualify for an exception to the $1 million deductibility limit.</w:t>
      </w:r>
    </w:p>
    <w:p>
      <w:pPr>
        <w:spacing w:after="0" w:line="185"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Compensation Committee notes this deductibility limitation as one of the factors in its consideration of compensation matters. However, the Compensation Committee generally has the flexibility to take any compensation-related actions that it determines are in the Company’s and its stockholders’ best interest, including designing and awarding compensation for our executive officers that is not fully deductible for tax purposes.</w:t>
      </w:r>
    </w:p>
    <w:p>
      <w:pPr>
        <w:spacing w:after="0" w:line="174"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Stock Ownership Requirements</w:t>
      </w:r>
      <w:r>
        <w:rPr>
          <w:rFonts w:ascii="Times New Roman" w:cs="Times New Roman" w:eastAsia="Times New Roman" w:hAnsi="Times New Roman"/>
          <w:sz w:val="18"/>
          <w:szCs w:val="18"/>
          <w:color w:val="auto"/>
        </w:rPr>
        <w:t>. The Board has historically encouraged its members and members of senior management to acquire and maintain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link the interests of such persons to the stockholders. However, neither the Board nor the Compensation Committee has established stock ownership guidelines for members of the Board or the executive officers of the Company.</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Securities Trading Policy/Hedging Prohibition</w:t>
      </w:r>
      <w:r>
        <w:rPr>
          <w:rFonts w:ascii="Times New Roman" w:cs="Times New Roman" w:eastAsia="Times New Roman" w:hAnsi="Times New Roman"/>
          <w:sz w:val="18"/>
          <w:szCs w:val="18"/>
          <w:color w:val="auto"/>
        </w:rPr>
        <w:t>. Officers and other employees may not engage in any transaction in which they may profit from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speculative swings in the value of the Company’s securities. This includes “short sales” (selling borrowed securities which the seller hopes can be purchased at a lower price in the future) or “short sales against the box” (selling owned, but not delivered securities), “put” and “call” options (publicly available rights to sell or buy securities within a certain period of time at a specified price) and hedging transactions, such as zero-cost collars and forward sale contracts. In addition, this policy is designed to ensure compliance with all insider trading rules.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The Company has entered into indemnification agreements with each of its directors and executive officers (each,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In general, the indemnification agreements provide that, subject to certain limitations, the Company will indemnify and hold harmless each Indemnitee against all expenses, judgments, penalties, fines and amounts paid in settlement actually and reasonably incurred by such Indemnitee or on such Indemnitee’s behalf, in connection with certain pending, completed or threatened proceedings, as defined in the indemnification agreements, if the Indemnitee acted in good faith and reasonably in the best interests of the Company and, with respect to any criminal proceeding, had no reasonable cause to believe that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stock options and RSUs held by our named executive officers that were outstanding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Borders>
              <w:top w:val="single" w:sz="8" w:color="auto"/>
            </w:tcBorders>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 vested</w:t>
            </w:r>
          </w:p>
        </w:tc>
        <w:tc>
          <w:tcPr>
            <w:tcW w:w="0" w:type="dxa"/>
            <w:vAlign w:val="bottom"/>
          </w:tcPr>
          <w:p>
            <w:pPr>
              <w:spacing w:after="0"/>
              <w:rPr>
                <w:sz w:val="1"/>
                <w:szCs w:val="1"/>
                <w:color w:val="auto"/>
              </w:rPr>
            </w:pPr>
          </w:p>
        </w:tc>
      </w:tr>
      <w:tr>
        <w:trPr>
          <w:trHeight w:val="176"/>
        </w:trPr>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5"/>
                <w:szCs w:val="15"/>
                <w:color w:val="auto"/>
              </w:rPr>
            </w:pPr>
          </w:p>
        </w:tc>
        <w:tc>
          <w:tcPr>
            <w:tcW w:w="9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240" w:type="dxa"/>
            <w:vAlign w:val="bottom"/>
            <w:tcBorders>
              <w:top w:val="single" w:sz="8" w:color="auto"/>
            </w:tcBorders>
            <w:shd w:val="clear" w:color="auto" w:fill="EEEEEE"/>
          </w:tcPr>
          <w:p>
            <w:pPr>
              <w:spacing w:after="0" w:line="119" w:lineRule="exact"/>
              <w:rPr>
                <w:sz w:val="20"/>
                <w:szCs w:val="20"/>
                <w:color w:val="auto"/>
              </w:rPr>
            </w:pPr>
            <w:r>
              <w:rPr>
                <w:rFonts w:ascii="Times New Roman" w:cs="Times New Roman" w:eastAsia="Times New Roman" w:hAnsi="Times New Roman"/>
                <w:sz w:val="13"/>
                <w:szCs w:val="13"/>
                <w:color w:val="auto"/>
              </w:rPr>
              <w:t>Juho Sarvikas</w:t>
            </w:r>
          </w:p>
        </w:tc>
        <w:tc>
          <w:tcPr>
            <w:tcW w:w="140" w:type="dxa"/>
            <w:vAlign w:val="bottom"/>
            <w:tcBorders>
              <w:top w:val="single" w:sz="8" w:color="EEEEEE"/>
            </w:tcBorders>
            <w:shd w:val="clear" w:color="auto" w:fill="EEEEEE"/>
          </w:tcPr>
          <w:p>
            <w:pPr>
              <w:spacing w:after="0"/>
              <w:rPr>
                <w:sz w:val="10"/>
                <w:szCs w:val="10"/>
                <w:color w:val="auto"/>
              </w:rPr>
            </w:pPr>
          </w:p>
        </w:tc>
        <w:tc>
          <w:tcPr>
            <w:tcW w:w="112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12/24/2025</w:t>
            </w:r>
          </w:p>
        </w:tc>
        <w:tc>
          <w:tcPr>
            <w:tcW w:w="120" w:type="dxa"/>
            <w:vAlign w:val="bottom"/>
            <w:tcBorders>
              <w:top w:val="single" w:sz="8" w:color="EEEEEE"/>
            </w:tcBorders>
            <w:shd w:val="clear" w:color="auto" w:fill="EEEEEE"/>
          </w:tcPr>
          <w:p>
            <w:pPr>
              <w:spacing w:after="0"/>
              <w:rPr>
                <w:sz w:val="10"/>
                <w:szCs w:val="10"/>
                <w:color w:val="auto"/>
              </w:rPr>
            </w:pPr>
          </w:p>
        </w:tc>
        <w:tc>
          <w:tcPr>
            <w:tcW w:w="1240" w:type="dxa"/>
            <w:vAlign w:val="bottom"/>
            <w:tcBorders>
              <w:top w:val="single" w:sz="8" w:color="auto"/>
            </w:tcBorders>
            <w:shd w:val="clear" w:color="auto" w:fill="EEEEEE"/>
          </w:tcPr>
          <w:p>
            <w:pPr>
              <w:ind w:left="118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EEEEEE"/>
            </w:tcBorders>
            <w:shd w:val="clear" w:color="auto" w:fill="EEEEEE"/>
          </w:tcPr>
          <w:p>
            <w:pPr>
              <w:spacing w:after="0"/>
              <w:rPr>
                <w:sz w:val="10"/>
                <w:szCs w:val="10"/>
                <w:color w:val="auto"/>
              </w:rPr>
            </w:pPr>
          </w:p>
        </w:tc>
        <w:tc>
          <w:tcPr>
            <w:tcW w:w="124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EEEEEE"/>
            </w:tcBorders>
            <w:shd w:val="clear" w:color="auto" w:fill="EEEEEE"/>
          </w:tcPr>
          <w:p>
            <w:pPr>
              <w:spacing w:after="0"/>
              <w:rPr>
                <w:sz w:val="10"/>
                <w:szCs w:val="10"/>
                <w:color w:val="auto"/>
              </w:rPr>
            </w:pPr>
          </w:p>
        </w:tc>
        <w:tc>
          <w:tcPr>
            <w:tcW w:w="900" w:type="dxa"/>
            <w:vAlign w:val="bottom"/>
            <w:tcBorders>
              <w:top w:val="single" w:sz="8" w:color="auto"/>
            </w:tcBorders>
            <w:shd w:val="clear" w:color="auto" w:fill="EEEEEE"/>
          </w:tcPr>
          <w:p>
            <w:pPr>
              <w:spacing w:after="0"/>
              <w:rPr>
                <w:sz w:val="10"/>
                <w:szCs w:val="10"/>
                <w:color w:val="auto"/>
              </w:rPr>
            </w:pPr>
          </w:p>
        </w:tc>
        <w:tc>
          <w:tcPr>
            <w:tcW w:w="34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EEEEEE"/>
            </w:tcBorders>
            <w:shd w:val="clear" w:color="auto" w:fill="EEEEEE"/>
          </w:tcPr>
          <w:p>
            <w:pPr>
              <w:spacing w:after="0"/>
              <w:rPr>
                <w:sz w:val="10"/>
                <w:szCs w:val="10"/>
                <w:color w:val="auto"/>
              </w:rPr>
            </w:pPr>
          </w:p>
        </w:tc>
        <w:tc>
          <w:tcPr>
            <w:tcW w:w="122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EEEEEE"/>
            </w:tcBorders>
            <w:shd w:val="clear" w:color="auto" w:fill="EEEEEE"/>
          </w:tcPr>
          <w:p>
            <w:pPr>
              <w:spacing w:after="0"/>
              <w:rPr>
                <w:sz w:val="10"/>
                <w:szCs w:val="10"/>
                <w:color w:val="auto"/>
              </w:rPr>
            </w:pPr>
          </w:p>
        </w:tc>
        <w:tc>
          <w:tcPr>
            <w:tcW w:w="122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137,000</w:t>
            </w:r>
          </w:p>
        </w:tc>
        <w:tc>
          <w:tcPr>
            <w:tcW w:w="260" w:type="dxa"/>
            <w:vAlign w:val="bottom"/>
            <w:tcBorders>
              <w:top w:val="single" w:sz="8" w:color="EEEEEE"/>
            </w:tcBorders>
            <w:shd w:val="clear" w:color="auto" w:fill="EEEEEE"/>
          </w:tcPr>
          <w:p>
            <w:pPr>
              <w:jc w:val="right"/>
              <w:ind w:right="60"/>
              <w:spacing w:after="0" w:line="120" w:lineRule="exact"/>
              <w:rPr>
                <w:sz w:val="20"/>
                <w:szCs w:val="20"/>
                <w:color w:val="auto"/>
              </w:rPr>
            </w:pPr>
            <w:r>
              <w:rPr>
                <w:rFonts w:ascii="Times New Roman" w:cs="Times New Roman" w:eastAsia="Times New Roman" w:hAnsi="Times New Roman"/>
                <w:sz w:val="12"/>
                <w:szCs w:val="12"/>
                <w:color w:val="auto"/>
                <w:w w:val="85"/>
              </w:rPr>
              <w:t>(3)</w:t>
            </w:r>
          </w:p>
        </w:tc>
        <w:tc>
          <w:tcPr>
            <w:tcW w:w="1240" w:type="dxa"/>
            <w:vAlign w:val="bottom"/>
            <w:tcBorders>
              <w:top w:val="single" w:sz="8" w:color="auto"/>
            </w:tcBorders>
            <w:shd w:val="clear" w:color="auto" w:fill="EEEEEE"/>
          </w:tcPr>
          <w:p>
            <w:pPr>
              <w:jc w:val="right"/>
              <w:spacing w:after="0" w:line="119" w:lineRule="exact"/>
              <w:rPr>
                <w:sz w:val="20"/>
                <w:szCs w:val="20"/>
                <w:color w:val="auto"/>
              </w:rPr>
            </w:pPr>
            <w:r>
              <w:rPr>
                <w:rFonts w:ascii="Times New Roman" w:cs="Times New Roman" w:eastAsia="Times New Roman" w:hAnsi="Times New Roman"/>
                <w:sz w:val="13"/>
                <w:szCs w:val="13"/>
                <w:color w:val="auto"/>
              </w:rPr>
              <w:t>1,406,990</w:t>
            </w:r>
          </w:p>
        </w:tc>
        <w:tc>
          <w:tcPr>
            <w:tcW w:w="100" w:type="dxa"/>
            <w:vAlign w:val="bottom"/>
            <w:tcBorders>
              <w:top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1/6/2025</w:t>
            </w:r>
          </w:p>
        </w:tc>
        <w:tc>
          <w:tcPr>
            <w:tcW w:w="1460" w:type="dxa"/>
            <w:vAlign w:val="bottom"/>
            <w:gridSpan w:val="2"/>
            <w:shd w:val="clear" w:color="auto" w:fill="EEEEEE"/>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9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14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1/6/2035</w:t>
            </w:r>
          </w:p>
        </w:tc>
        <w:tc>
          <w:tcPr>
            <w:tcW w:w="14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1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1/6/2025</w:t>
            </w:r>
          </w:p>
        </w:tc>
        <w:tc>
          <w:tcPr>
            <w:tcW w:w="120" w:type="dxa"/>
            <w:vAlign w:val="bottom"/>
            <w:shd w:val="clear" w:color="auto" w:fill="EEEEEE"/>
          </w:tcPr>
          <w:p>
            <w:pPr>
              <w:spacing w:after="0"/>
              <w:rPr>
                <w:sz w:val="12"/>
                <w:szCs w:val="12"/>
                <w:color w:val="auto"/>
              </w:rPr>
            </w:pPr>
          </w:p>
        </w:tc>
        <w:tc>
          <w:tcPr>
            <w:tcW w:w="1460" w:type="dxa"/>
            <w:vAlign w:val="bottom"/>
            <w:gridSpan w:val="2"/>
            <w:shd w:val="clear" w:color="auto" w:fill="EEEEEE"/>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210,000</w:t>
            </w:r>
          </w:p>
        </w:tc>
        <w:tc>
          <w:tcPr>
            <w:tcW w:w="9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15.72</w:t>
            </w:r>
          </w:p>
        </w:tc>
        <w:tc>
          <w:tcPr>
            <w:tcW w:w="14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1/6/2035</w:t>
            </w:r>
          </w:p>
        </w:tc>
        <w:tc>
          <w:tcPr>
            <w:tcW w:w="14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1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1/6/2025</w:t>
            </w:r>
          </w:p>
        </w:tc>
        <w:tc>
          <w:tcPr>
            <w:tcW w:w="120" w:type="dxa"/>
            <w:vAlign w:val="bottom"/>
            <w:shd w:val="clear" w:color="auto" w:fill="EEEEEE"/>
          </w:tcPr>
          <w:p>
            <w:pPr>
              <w:spacing w:after="0"/>
              <w:rPr>
                <w:sz w:val="12"/>
                <w:szCs w:val="12"/>
                <w:color w:val="auto"/>
              </w:rPr>
            </w:pPr>
          </w:p>
        </w:tc>
        <w:tc>
          <w:tcPr>
            <w:tcW w:w="1460" w:type="dxa"/>
            <w:vAlign w:val="bottom"/>
            <w:gridSpan w:val="2"/>
            <w:shd w:val="clear" w:color="auto" w:fill="EEEEEE"/>
          </w:tcPr>
          <w:p>
            <w:pPr>
              <w:ind w:left="1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215,000</w:t>
            </w:r>
          </w:p>
        </w:tc>
        <w:tc>
          <w:tcPr>
            <w:tcW w:w="9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20.72</w:t>
            </w:r>
          </w:p>
        </w:tc>
        <w:tc>
          <w:tcPr>
            <w:tcW w:w="14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1/6/2035</w:t>
            </w:r>
          </w:p>
        </w:tc>
        <w:tc>
          <w:tcPr>
            <w:tcW w:w="14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1/6/2025</w:t>
            </w:r>
          </w:p>
        </w:tc>
        <w:tc>
          <w:tcPr>
            <w:tcW w:w="120" w:type="dxa"/>
            <w:vAlign w:val="bottom"/>
            <w:shd w:val="clear" w:color="auto" w:fill="EEEEEE"/>
          </w:tcPr>
          <w:p>
            <w:pPr>
              <w:spacing w:after="0"/>
              <w:rPr>
                <w:sz w:val="14"/>
                <w:szCs w:val="14"/>
                <w:color w:val="auto"/>
              </w:rPr>
            </w:pPr>
          </w:p>
        </w:tc>
        <w:tc>
          <w:tcPr>
            <w:tcW w:w="1460" w:type="dxa"/>
            <w:vAlign w:val="bottom"/>
            <w:gridSpan w:val="2"/>
            <w:shd w:val="clear" w:color="auto" w:fill="EEEEEE"/>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225,000</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25.72</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1/6/2035</w:t>
            </w:r>
          </w:p>
        </w:tc>
        <w:tc>
          <w:tcPr>
            <w:tcW w:w="14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2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1/6/2025</w:t>
            </w:r>
          </w:p>
        </w:tc>
        <w:tc>
          <w:tcPr>
            <w:tcW w:w="120" w:type="dxa"/>
            <w:vAlign w:val="bottom"/>
            <w:shd w:val="clear" w:color="auto" w:fill="EEEEEE"/>
          </w:tcPr>
          <w:p>
            <w:pPr>
              <w:spacing w:after="0"/>
              <w:rPr>
                <w:sz w:val="14"/>
                <w:szCs w:val="14"/>
                <w:color w:val="auto"/>
              </w:rPr>
            </w:pPr>
          </w:p>
        </w:tc>
        <w:tc>
          <w:tcPr>
            <w:tcW w:w="1240" w:type="dxa"/>
            <w:vAlign w:val="bottom"/>
            <w:shd w:val="clear" w:color="auto" w:fill="EEEEEE"/>
          </w:tcPr>
          <w:p>
            <w:pPr>
              <w:ind w:left="11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62" w:lineRule="exact"/>
              <w:rPr>
                <w:sz w:val="20"/>
                <w:szCs w:val="20"/>
                <w:color w:val="auto"/>
              </w:rPr>
            </w:pPr>
            <w:r>
              <w:rPr>
                <w:rFonts w:ascii="Times New Roman" w:cs="Times New Roman" w:eastAsia="Times New Roman" w:hAnsi="Times New Roman"/>
                <w:sz w:val="12"/>
                <w:szCs w:val="12"/>
                <w:color w:val="auto"/>
              </w:rPr>
              <w:t>167,910</w:t>
            </w:r>
            <w:r>
              <w:rPr>
                <w:rFonts w:ascii="Times New Roman" w:cs="Times New Roman" w:eastAsia="Times New Roman" w:hAnsi="Times New Roman"/>
                <w:sz w:val="18"/>
                <w:szCs w:val="18"/>
                <w:color w:val="auto"/>
                <w:vertAlign w:val="superscript"/>
              </w:rPr>
              <w:t>(4)</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1,724,436</w:t>
            </w:r>
          </w:p>
        </w:tc>
        <w:tc>
          <w:tcPr>
            <w:tcW w:w="0" w:type="dxa"/>
            <w:vAlign w:val="bottom"/>
          </w:tcPr>
          <w:p>
            <w:pPr>
              <w:spacing w:after="0"/>
              <w:rPr>
                <w:sz w:val="1"/>
                <w:szCs w:val="1"/>
                <w:color w:val="auto"/>
              </w:rPr>
            </w:pPr>
          </w:p>
        </w:tc>
      </w:tr>
      <w:tr>
        <w:trPr>
          <w:trHeight w:val="162"/>
        </w:trPr>
        <w:tc>
          <w:tcPr>
            <w:tcW w:w="12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1/6/2025</w:t>
            </w:r>
          </w:p>
        </w:tc>
        <w:tc>
          <w:tcPr>
            <w:tcW w:w="120" w:type="dxa"/>
            <w:vAlign w:val="bottom"/>
            <w:shd w:val="clear" w:color="auto" w:fill="EEEEEE"/>
          </w:tcPr>
          <w:p>
            <w:pPr>
              <w:spacing w:after="0"/>
              <w:rPr>
                <w:sz w:val="14"/>
                <w:szCs w:val="14"/>
                <w:color w:val="auto"/>
              </w:rPr>
            </w:pPr>
          </w:p>
        </w:tc>
        <w:tc>
          <w:tcPr>
            <w:tcW w:w="1240" w:type="dxa"/>
            <w:vAlign w:val="bottom"/>
            <w:shd w:val="clear" w:color="auto" w:fill="EEEEEE"/>
          </w:tcPr>
          <w:p>
            <w:pPr>
              <w:ind w:left="11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62" w:lineRule="exact"/>
              <w:rPr>
                <w:sz w:val="20"/>
                <w:szCs w:val="20"/>
                <w:color w:val="auto"/>
              </w:rPr>
            </w:pPr>
            <w:r>
              <w:rPr>
                <w:rFonts w:ascii="Times New Roman" w:cs="Times New Roman" w:eastAsia="Times New Roman" w:hAnsi="Times New Roman"/>
                <w:sz w:val="12"/>
                <w:szCs w:val="12"/>
                <w:color w:val="auto"/>
              </w:rPr>
              <w:t>124,347</w:t>
            </w:r>
            <w:r>
              <w:rPr>
                <w:rFonts w:ascii="Times New Roman" w:cs="Times New Roman" w:eastAsia="Times New Roman" w:hAnsi="Times New Roman"/>
                <w:sz w:val="18"/>
                <w:szCs w:val="18"/>
                <w:color w:val="auto"/>
                <w:vertAlign w:val="superscript"/>
              </w:rPr>
              <w:t>(3)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1,277,044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4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Steven Gatoff</w:t>
            </w:r>
          </w:p>
        </w:tc>
        <w:tc>
          <w:tcPr>
            <w:tcW w:w="13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12/24/2025</w:t>
            </w:r>
          </w:p>
        </w:tc>
        <w:tc>
          <w:tcPr>
            <w:tcW w:w="1460" w:type="dxa"/>
            <w:vAlign w:val="bottom"/>
            <w:gridSpan w:val="2"/>
            <w:shd w:val="clear" w:color="auto" w:fill="EEEEEE"/>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62" w:lineRule="exact"/>
              <w:rPr>
                <w:sz w:val="20"/>
                <w:szCs w:val="20"/>
                <w:color w:val="auto"/>
              </w:rPr>
            </w:pPr>
            <w:r>
              <w:rPr>
                <w:rFonts w:ascii="Times New Roman" w:cs="Times New Roman" w:eastAsia="Times New Roman" w:hAnsi="Times New Roman"/>
                <w:sz w:val="12"/>
                <w:szCs w:val="12"/>
                <w:color w:val="auto"/>
              </w:rPr>
              <w:t>73,600</w:t>
            </w:r>
            <w:r>
              <w:rPr>
                <w:rFonts w:ascii="Times New Roman" w:cs="Times New Roman" w:eastAsia="Times New Roman" w:hAnsi="Times New Roman"/>
                <w:sz w:val="18"/>
                <w:szCs w:val="18"/>
                <w:color w:val="auto"/>
                <w:vertAlign w:val="superscript"/>
              </w:rPr>
              <w:t>(3)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755,872</w:t>
            </w:r>
          </w:p>
        </w:tc>
        <w:tc>
          <w:tcPr>
            <w:tcW w:w="0" w:type="dxa"/>
            <w:vAlign w:val="bottom"/>
          </w:tcPr>
          <w:p>
            <w:pPr>
              <w:spacing w:after="0"/>
              <w:rPr>
                <w:sz w:val="1"/>
                <w:szCs w:val="1"/>
                <w:color w:val="auto"/>
              </w:rPr>
            </w:pPr>
          </w:p>
        </w:tc>
      </w:tr>
      <w:tr>
        <w:trPr>
          <w:trHeight w:val="139"/>
        </w:trPr>
        <w:tc>
          <w:tcPr>
            <w:tcW w:w="1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07/30/2024</w:t>
            </w:r>
          </w:p>
        </w:tc>
        <w:tc>
          <w:tcPr>
            <w:tcW w:w="1460" w:type="dxa"/>
            <w:vAlign w:val="bottom"/>
            <w:gridSpan w:val="2"/>
            <w:shd w:val="clear" w:color="auto" w:fill="EEEEEE"/>
          </w:tcPr>
          <w:p>
            <w:pPr>
              <w:ind w:left="1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39" w:lineRule="exact"/>
              <w:rPr>
                <w:sz w:val="20"/>
                <w:szCs w:val="20"/>
                <w:color w:val="auto"/>
              </w:rPr>
            </w:pPr>
            <w:r>
              <w:rPr>
                <w:rFonts w:ascii="Times New Roman" w:cs="Times New Roman" w:eastAsia="Times New Roman" w:hAnsi="Times New Roman"/>
                <w:sz w:val="11"/>
                <w:szCs w:val="11"/>
                <w:color w:val="auto"/>
              </w:rPr>
              <w:t>129,167</w:t>
            </w:r>
            <w:r>
              <w:rPr>
                <w:rFonts w:ascii="Times New Roman" w:cs="Times New Roman" w:eastAsia="Times New Roman" w:hAnsi="Times New Roman"/>
                <w:sz w:val="16"/>
                <w:szCs w:val="16"/>
                <w:color w:val="auto"/>
                <w:vertAlign w:val="superscript"/>
              </w:rPr>
              <w:t>(3)</w:t>
            </w:r>
          </w:p>
        </w:tc>
        <w:tc>
          <w:tcPr>
            <w:tcW w:w="1340" w:type="dxa"/>
            <w:vAlign w:val="bottom"/>
            <w:gridSpan w:val="2"/>
            <w:shd w:val="clear" w:color="auto" w:fill="EEEEEE"/>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1,326,545</w:t>
            </w:r>
          </w:p>
        </w:tc>
        <w:tc>
          <w:tcPr>
            <w:tcW w:w="0" w:type="dxa"/>
            <w:vAlign w:val="bottom"/>
          </w:tcPr>
          <w:p>
            <w:pPr>
              <w:spacing w:after="0"/>
              <w:rPr>
                <w:sz w:val="1"/>
                <w:szCs w:val="1"/>
                <w:color w:val="auto"/>
              </w:rPr>
            </w:pPr>
          </w:p>
        </w:tc>
      </w:tr>
      <w:tr>
        <w:trPr>
          <w:trHeight w:val="171"/>
        </w:trPr>
        <w:tc>
          <w:tcPr>
            <w:tcW w:w="12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09/14/2023</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14,062</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10,938</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9/14/2033</w:t>
            </w:r>
          </w:p>
        </w:tc>
        <w:tc>
          <w:tcPr>
            <w:tcW w:w="14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380" w:type="dxa"/>
            <w:vAlign w:val="bottom"/>
            <w:gridSpan w:val="3"/>
          </w:tcPr>
          <w:p>
            <w:pPr>
              <w:spacing w:after="0"/>
              <w:rPr>
                <w:sz w:val="12"/>
                <w:szCs w:val="12"/>
                <w:color w:val="auto"/>
              </w:rPr>
            </w:pPr>
          </w:p>
        </w:tc>
        <w:tc>
          <w:tcPr>
            <w:tcW w:w="1460" w:type="dxa"/>
            <w:vAlign w:val="bottom"/>
            <w:gridSpan w:val="2"/>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Paul McClaskey</w:t>
            </w:r>
          </w:p>
        </w:tc>
        <w:tc>
          <w:tcPr>
            <w:tcW w:w="13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12/24/2025</w:t>
            </w:r>
          </w:p>
        </w:tc>
        <w:tc>
          <w:tcPr>
            <w:tcW w:w="1460" w:type="dxa"/>
            <w:vAlign w:val="bottom"/>
            <w:gridSpan w:val="2"/>
            <w:shd w:val="clear" w:color="auto" w:fill="EEEEEE"/>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62" w:lineRule="exact"/>
              <w:rPr>
                <w:sz w:val="20"/>
                <w:szCs w:val="20"/>
                <w:color w:val="auto"/>
              </w:rPr>
            </w:pPr>
            <w:r>
              <w:rPr>
                <w:rFonts w:ascii="Times New Roman" w:cs="Times New Roman" w:eastAsia="Times New Roman" w:hAnsi="Times New Roman"/>
                <w:sz w:val="12"/>
                <w:szCs w:val="12"/>
                <w:color w:val="auto"/>
              </w:rPr>
              <w:t>15,500</w:t>
            </w:r>
            <w:r>
              <w:rPr>
                <w:rFonts w:ascii="Times New Roman" w:cs="Times New Roman" w:eastAsia="Times New Roman" w:hAnsi="Times New Roman"/>
                <w:sz w:val="18"/>
                <w:szCs w:val="18"/>
                <w:color w:val="auto"/>
                <w:vertAlign w:val="superscript"/>
              </w:rPr>
              <w:t>(3)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159,185</w:t>
            </w:r>
          </w:p>
        </w:tc>
        <w:tc>
          <w:tcPr>
            <w:tcW w:w="0" w:type="dxa"/>
            <w:vAlign w:val="bottom"/>
          </w:tcPr>
          <w:p>
            <w:pPr>
              <w:spacing w:after="0"/>
              <w:rPr>
                <w:sz w:val="1"/>
                <w:szCs w:val="1"/>
                <w:color w:val="auto"/>
              </w:rPr>
            </w:pPr>
          </w:p>
        </w:tc>
      </w:tr>
      <w:tr>
        <w:trPr>
          <w:trHeight w:val="139"/>
        </w:trPr>
        <w:tc>
          <w:tcPr>
            <w:tcW w:w="1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7/30/2024</w:t>
            </w:r>
          </w:p>
        </w:tc>
        <w:tc>
          <w:tcPr>
            <w:tcW w:w="1460" w:type="dxa"/>
            <w:vAlign w:val="bottom"/>
            <w:gridSpan w:val="2"/>
            <w:shd w:val="clear" w:color="auto" w:fill="EEEEEE"/>
          </w:tcPr>
          <w:p>
            <w:pPr>
              <w:ind w:left="1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EEEEE"/>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EEEEEE"/>
          </w:tcPr>
          <w:p>
            <w:pPr>
              <w:jc w:val="right"/>
              <w:ind w:right="60"/>
              <w:spacing w:after="0" w:line="139" w:lineRule="exact"/>
              <w:rPr>
                <w:sz w:val="20"/>
                <w:szCs w:val="20"/>
                <w:color w:val="auto"/>
              </w:rPr>
            </w:pPr>
            <w:r>
              <w:rPr>
                <w:rFonts w:ascii="Times New Roman" w:cs="Times New Roman" w:eastAsia="Times New Roman" w:hAnsi="Times New Roman"/>
                <w:sz w:val="11"/>
                <w:szCs w:val="11"/>
                <w:color w:val="auto"/>
              </w:rPr>
              <w:t>30,000</w:t>
            </w:r>
            <w:r>
              <w:rPr>
                <w:rFonts w:ascii="Times New Roman" w:cs="Times New Roman" w:eastAsia="Times New Roman" w:hAnsi="Times New Roman"/>
                <w:sz w:val="16"/>
                <w:szCs w:val="16"/>
                <w:color w:val="auto"/>
                <w:vertAlign w:val="superscript"/>
              </w:rPr>
              <w:t>(3)</w:t>
            </w:r>
          </w:p>
        </w:tc>
        <w:tc>
          <w:tcPr>
            <w:tcW w:w="1340" w:type="dxa"/>
            <w:vAlign w:val="bottom"/>
            <w:gridSpan w:val="2"/>
            <w:shd w:val="clear" w:color="auto" w:fill="EEEEEE"/>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198,981</w:t>
            </w:r>
          </w:p>
        </w:tc>
        <w:tc>
          <w:tcPr>
            <w:tcW w:w="0" w:type="dxa"/>
            <w:vAlign w:val="bottom"/>
          </w:tcPr>
          <w:p>
            <w:pPr>
              <w:spacing w:after="0"/>
              <w:rPr>
                <w:sz w:val="1"/>
                <w:szCs w:val="1"/>
                <w:color w:val="auto"/>
              </w:rPr>
            </w:pPr>
          </w:p>
        </w:tc>
      </w:tr>
      <w:tr>
        <w:trPr>
          <w:trHeight w:val="171"/>
        </w:trPr>
        <w:tc>
          <w:tcPr>
            <w:tcW w:w="12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12/21/2023</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5,000</w:t>
            </w:r>
          </w:p>
        </w:tc>
        <w:tc>
          <w:tcPr>
            <w:tcW w:w="900" w:type="dxa"/>
            <w:vAlign w:val="bottom"/>
            <w:shd w:val="clear" w:color="auto" w:fill="EEEEEE"/>
          </w:tcPr>
          <w:p>
            <w:pPr>
              <w:spacing w:after="0"/>
              <w:rPr>
                <w:sz w:val="14"/>
                <w:szCs w:val="14"/>
                <w:color w:val="auto"/>
              </w:rPr>
            </w:pPr>
          </w:p>
        </w:tc>
        <w:tc>
          <w:tcPr>
            <w:tcW w:w="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2.20</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12/21/2033</w:t>
            </w:r>
          </w:p>
        </w:tc>
        <w:tc>
          <w:tcPr>
            <w:tcW w:w="14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2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stock options are scheduled to vest over a four-year period, with one-fourth vesting on the first anniversary of the grant date and the remainder vesting ratably on a monthly basis thereafter through the fourth anniversary of the grant date. The options granted to Mr. Sarvikas are also subject to the requirement that the average of the per-share closing price of the Company's common stock as reported on the principal exchange on which the shares are listed has equaled or exceeded the exercise price for 20 trading days within any 30-day period prior to the date of exercise.</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closing price per share of our common stock on December 31, 2025 ($10.27).</w:t>
      </w:r>
    </w:p>
    <w:p>
      <w:pPr>
        <w:spacing w:after="0" w:line="9"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 awards. The RSUs are scheduled to vest over a four-year period, with one-fourth vesting on the first anniversary of the grant date and the remainder vesting ratably thereafter through the fourth anniversary of the grant date. In April 2026, the RSU awards were amended to change the vesting schedule after the first anniversary of the grant date from monthly to quarterly.</w:t>
      </w:r>
    </w:p>
    <w:p>
      <w:pPr>
        <w:spacing w:after="0" w:line="1" w:lineRule="exact"/>
        <w:rPr>
          <w:rFonts w:ascii="Times New Roman" w:cs="Times New Roman" w:eastAsia="Times New Roman" w:hAnsi="Times New Roman"/>
          <w:sz w:val="18"/>
          <w:szCs w:val="18"/>
          <w:color w:val="auto"/>
        </w:rPr>
      </w:pPr>
    </w:p>
    <w:p>
      <w:pPr>
        <w:ind w:left="340" w:right="80" w:hanging="332"/>
        <w:spacing w:after="0" w:line="253"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 RSU awards which are subject to stock price performance vesting requirements and time vesting during the performance period set forth in Mr. Sarvikas’ offer letter, as previously disclosed. The number of performance shares set forth in this column represents the number of shares that would be awarded based on achievement of the target performance goal. The number of performance shares actually earned, if any, will be determined based on performance over the entire three-year performance period, and may differ significantly from the amount shown in this column.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our executive compensation pay relative to corporate performance of our principal executive officers (“PEO”) and non-PEO named executive officers (“NEOs”) for 2023, 2024 and 2025. This table and the accompanying disclosures are prescribed by SEC rules. Those rules require amounts included in the “compensation actually paid” columns of the table to be calculated according to a particular formula intended to demonstrate the relationship between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right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initial fixed</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600" w:type="dxa"/>
            <w:vAlign w:val="bottom"/>
            <w:tcBorders>
              <w:right w:val="single" w:sz="8" w:color="auto"/>
            </w:tcBorders>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1220" w:type="dxa"/>
            <w:vAlign w:val="bottom"/>
            <w:tcBorders>
              <w:right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20" w:type="dxa"/>
            <w:vAlign w:val="bottom"/>
            <w:tcBorders>
              <w:right w:val="single" w:sz="8" w:color="auto"/>
            </w:tcBorders>
            <w:gridSpan w:val="2"/>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Compensation Table Total for</w:t>
            </w:r>
          </w:p>
        </w:tc>
        <w:tc>
          <w:tcPr>
            <w:tcW w:w="2600" w:type="dxa"/>
            <w:vAlign w:val="bottom"/>
            <w:tcBorders>
              <w:right w:val="single" w:sz="8" w:color="auto"/>
            </w:tcBorders>
            <w:gridSpan w:val="2"/>
            <w:vMerge w:val="continue"/>
          </w:tcPr>
          <w:p>
            <w:pPr>
              <w:spacing w:after="0"/>
              <w:rPr>
                <w:sz w:val="17"/>
                <w:szCs w:val="17"/>
                <w:color w:val="auto"/>
              </w:rPr>
            </w:pPr>
          </w:p>
        </w:tc>
        <w:tc>
          <w:tcPr>
            <w:tcW w:w="1220" w:type="dxa"/>
            <w:vAlign w:val="bottom"/>
            <w:tcBorders>
              <w:right w:val="single" w:sz="8" w:color="auto"/>
            </w:tcBorders>
          </w:tcPr>
          <w:p>
            <w:pPr>
              <w:jc w:val="center"/>
              <w:ind w:right="31"/>
              <w:spacing w:after="0" w:line="198" w:lineRule="exact"/>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Actually Paid</w:t>
            </w:r>
          </w:p>
        </w:tc>
        <w:tc>
          <w:tcPr>
            <w:tcW w:w="1340" w:type="dxa"/>
            <w:vAlign w:val="bottom"/>
            <w:tcBorders>
              <w:right w:val="single" w:sz="8" w:color="auto"/>
            </w:tcBorders>
          </w:tcPr>
          <w:p>
            <w:pPr>
              <w:jc w:val="center"/>
              <w:ind w:right="150"/>
              <w:spacing w:after="0" w:line="19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1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(in</w:t>
            </w:r>
          </w:p>
        </w:tc>
        <w:tc>
          <w:tcPr>
            <w:tcW w:w="0" w:type="dxa"/>
            <w:vAlign w:val="bottom"/>
          </w:tcPr>
          <w:p>
            <w:pPr>
              <w:spacing w:after="0"/>
              <w:rPr>
                <w:sz w:val="1"/>
                <w:szCs w:val="1"/>
                <w:color w:val="auto"/>
              </w:rPr>
            </w:pPr>
          </w:p>
        </w:tc>
      </w:tr>
      <w:tr>
        <w:trPr>
          <w:trHeight w:val="270"/>
        </w:trPr>
        <w:tc>
          <w:tcPr>
            <w:tcW w:w="116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520" w:type="dxa"/>
            <w:vAlign w:val="bottom"/>
            <w:tcBorders>
              <w:bottom w:val="single" w:sz="8" w:color="auto"/>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PEO ($)</w:t>
            </w:r>
          </w:p>
        </w:tc>
        <w:tc>
          <w:tcPr>
            <w:tcW w:w="2600" w:type="dxa"/>
            <w:vAlign w:val="bottom"/>
            <w:tcBorders>
              <w:bottom w:val="single" w:sz="8" w:color="auto"/>
              <w:right w:val="single" w:sz="8" w:color="auto"/>
            </w:tcBorders>
            <w:gridSpan w:val="2"/>
          </w:tcPr>
          <w:p>
            <w:pPr>
              <w:jc w:val="right"/>
              <w:ind w:right="590"/>
              <w:spacing w:after="0" w:line="270" w:lineRule="exact"/>
              <w:rPr>
                <w:sz w:val="20"/>
                <w:szCs w:val="20"/>
                <w:color w:val="auto"/>
              </w:rPr>
            </w:pPr>
            <w:r>
              <w:rPr>
                <w:rFonts w:ascii="Times New Roman" w:cs="Times New Roman" w:eastAsia="Times New Roman" w:hAnsi="Times New Roman"/>
                <w:sz w:val="18"/>
                <w:szCs w:val="18"/>
                <w:b w:val="1"/>
                <w:bCs w:val="1"/>
                <w:color w:val="auto"/>
              </w:rPr>
              <w:t>Paid to PEO ($)</w:t>
            </w:r>
            <w:r>
              <w:rPr>
                <w:rFonts w:ascii="Times New Roman" w:cs="Times New Roman" w:eastAsia="Times New Roman" w:hAnsi="Times New Roman"/>
                <w:sz w:val="29"/>
                <w:szCs w:val="29"/>
                <w:b w:val="1"/>
                <w:bCs w:val="1"/>
                <w:color w:val="auto"/>
                <w:vertAlign w:val="superscript"/>
              </w:rPr>
              <w:t>(3)</w:t>
            </w:r>
          </w:p>
        </w:tc>
        <w:tc>
          <w:tcPr>
            <w:tcW w:w="1220" w:type="dxa"/>
            <w:vAlign w:val="bottom"/>
            <w:tcBorders>
              <w:right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3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36"/>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PEO1 (1)</w:t>
            </w:r>
          </w:p>
        </w:tc>
        <w:tc>
          <w:tcPr>
            <w:tcW w:w="12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PEO1 (2)</w:t>
            </w: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PEO1 (1)</w:t>
            </w:r>
          </w:p>
        </w:tc>
        <w:tc>
          <w:tcPr>
            <w:tcW w:w="12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PEO1 (2)</w:t>
            </w:r>
          </w:p>
        </w:tc>
        <w:tc>
          <w:tcPr>
            <w:tcW w:w="1220" w:type="dxa"/>
            <w:vAlign w:val="bottom"/>
            <w:tcBorders>
              <w:bottom w:val="single" w:sz="8" w:color="auto"/>
              <w:right w:val="single" w:sz="8" w:color="auto"/>
            </w:tcBorders>
          </w:tcPr>
          <w:p>
            <w:pPr>
              <w:jc w:val="center"/>
              <w:ind w:right="31"/>
              <w:spacing w:after="0" w:line="236" w:lineRule="exact"/>
              <w:rPr>
                <w:sz w:val="20"/>
                <w:szCs w:val="20"/>
                <w:color w:val="auto"/>
              </w:rPr>
            </w:pPr>
            <w:r>
              <w:rPr>
                <w:rFonts w:ascii="Times New Roman" w:cs="Times New Roman" w:eastAsia="Times New Roman" w:hAnsi="Times New Roman"/>
                <w:sz w:val="17"/>
                <w:szCs w:val="17"/>
                <w:b w:val="1"/>
                <w:bCs w:val="1"/>
                <w:color w:val="auto"/>
              </w:rPr>
              <w:t>NEOs ($)</w:t>
            </w:r>
            <w:r>
              <w:rPr>
                <w:rFonts w:ascii="Times New Roman" w:cs="Times New Roman" w:eastAsia="Times New Roman" w:hAnsi="Times New Roman"/>
                <w:sz w:val="27"/>
                <w:szCs w:val="27"/>
                <w:b w:val="1"/>
                <w:bCs w:val="1"/>
                <w:color w:val="auto"/>
                <w:vertAlign w:val="superscript"/>
              </w:rPr>
              <w:t>(4)</w:t>
            </w:r>
          </w:p>
        </w:tc>
        <w:tc>
          <w:tcPr>
            <w:tcW w:w="132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6"/>
              </w:rPr>
              <w:t>NEOs ($)</w:t>
            </w:r>
            <w:r>
              <w:rPr>
                <w:rFonts w:ascii="Times New Roman" w:cs="Times New Roman" w:eastAsia="Times New Roman" w:hAnsi="Times New Roman"/>
                <w:sz w:val="27"/>
                <w:szCs w:val="27"/>
                <w:b w:val="1"/>
                <w:bCs w:val="1"/>
                <w:color w:val="auto"/>
                <w:w w:val="96"/>
                <w:vertAlign w:val="superscript"/>
              </w:rPr>
              <w:t>(3)(4)</w:t>
            </w:r>
          </w:p>
        </w:tc>
        <w:tc>
          <w:tcPr>
            <w:tcW w:w="1340" w:type="dxa"/>
            <w:vAlign w:val="bottom"/>
            <w:tcBorders>
              <w:bottom w:val="single" w:sz="8" w:color="auto"/>
              <w:right w:val="single" w:sz="8" w:color="auto"/>
            </w:tcBorders>
          </w:tcPr>
          <w:p>
            <w:pPr>
              <w:jc w:val="center"/>
              <w:ind w:right="150"/>
              <w:spacing w:after="0" w:line="236" w:lineRule="exact"/>
              <w:rPr>
                <w:sz w:val="20"/>
                <w:szCs w:val="20"/>
                <w:color w:val="auto"/>
              </w:rPr>
            </w:pPr>
            <w:r>
              <w:rPr>
                <w:rFonts w:ascii="Times New Roman" w:cs="Times New Roman" w:eastAsia="Times New Roman" w:hAnsi="Times New Roman"/>
                <w:sz w:val="17"/>
                <w:szCs w:val="17"/>
                <w:b w:val="1"/>
                <w:bCs w:val="1"/>
                <w:color w:val="auto"/>
              </w:rPr>
              <w:t>Return ($)</w:t>
            </w:r>
            <w:r>
              <w:rPr>
                <w:rFonts w:ascii="Times New Roman" w:cs="Times New Roman" w:eastAsia="Times New Roman" w:hAnsi="Times New Roman"/>
                <w:sz w:val="27"/>
                <w:szCs w:val="27"/>
                <w:b w:val="1"/>
                <w:bCs w:val="1"/>
                <w:color w:val="auto"/>
                <w:vertAlign w:val="superscript"/>
              </w:rPr>
              <w:t>(5)</w:t>
            </w:r>
          </w:p>
        </w:tc>
        <w:tc>
          <w:tcPr>
            <w:tcW w:w="110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(6)</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Borders>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11,988,776</w:t>
            </w:r>
          </w:p>
        </w:tc>
        <w:tc>
          <w:tcPr>
            <w:tcW w:w="1240" w:type="dxa"/>
            <w:vAlign w:val="bottom"/>
            <w:tcBorders>
              <w:bottom w:val="single" w:sz="8" w:color="auto"/>
              <w:right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138,346</w:t>
            </w:r>
          </w:p>
        </w:tc>
        <w:tc>
          <w:tcPr>
            <w:tcW w:w="1340" w:type="dxa"/>
            <w:vAlign w:val="bottom"/>
            <w:tcBorders>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11,686,382</w:t>
            </w:r>
          </w:p>
        </w:tc>
        <w:tc>
          <w:tcPr>
            <w:tcW w:w="1260" w:type="dxa"/>
            <w:vAlign w:val="bottom"/>
            <w:tcBorders>
              <w:bottom w:val="single" w:sz="8" w:color="auto"/>
              <w:right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231,846</w:t>
            </w:r>
          </w:p>
        </w:tc>
        <w:tc>
          <w:tcPr>
            <w:tcW w:w="1220" w:type="dxa"/>
            <w:vAlign w:val="bottom"/>
            <w:tcBorders>
              <w:bottom w:val="single" w:sz="8" w:color="auto"/>
              <w:right w:val="single" w:sz="8" w:color="auto"/>
            </w:tcBorders>
            <w:shd w:val="clear" w:color="auto" w:fill="EEEEEE"/>
          </w:tcPr>
          <w:p>
            <w:pPr>
              <w:jc w:val="right"/>
              <w:ind w:right="31"/>
              <w:spacing w:after="0"/>
              <w:rPr>
                <w:sz w:val="20"/>
                <w:szCs w:val="20"/>
                <w:color w:val="auto"/>
              </w:rPr>
            </w:pPr>
            <w:r>
              <w:rPr>
                <w:rFonts w:ascii="Times New Roman" w:cs="Times New Roman" w:eastAsia="Times New Roman" w:hAnsi="Times New Roman"/>
                <w:sz w:val="18"/>
                <w:szCs w:val="18"/>
                <w:color w:val="auto"/>
              </w:rPr>
              <w:t>928,129</w:t>
            </w:r>
          </w:p>
        </w:tc>
        <w:tc>
          <w:tcPr>
            <w:tcW w:w="1320" w:type="dxa"/>
            <w:vAlign w:val="bottom"/>
            <w:tcBorders>
              <w:bottom w:val="single" w:sz="8" w:color="auto"/>
              <w:right w:val="single" w:sz="8" w:color="auto"/>
            </w:tcBorders>
            <w:shd w:val="clear" w:color="auto" w:fill="EEEEEE"/>
          </w:tcPr>
          <w:p>
            <w:pPr>
              <w:jc w:val="right"/>
              <w:ind w:right="71"/>
              <w:spacing w:after="0"/>
              <w:rPr>
                <w:sz w:val="20"/>
                <w:szCs w:val="20"/>
                <w:color w:val="auto"/>
              </w:rPr>
            </w:pPr>
            <w:r>
              <w:rPr>
                <w:rFonts w:ascii="Times New Roman" w:cs="Times New Roman" w:eastAsia="Times New Roman" w:hAnsi="Times New Roman"/>
                <w:sz w:val="18"/>
                <w:szCs w:val="18"/>
                <w:color w:val="auto"/>
              </w:rPr>
              <w:t>1,156,964</w:t>
            </w:r>
          </w:p>
        </w:tc>
        <w:tc>
          <w:tcPr>
            <w:tcW w:w="1340" w:type="dxa"/>
            <w:vAlign w:val="bottom"/>
            <w:tcBorders>
              <w:bottom w:val="single" w:sz="8" w:color="auto"/>
              <w:right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124.05</w:t>
            </w:r>
          </w:p>
        </w:tc>
        <w:tc>
          <w:tcPr>
            <w:tcW w:w="1100" w:type="dxa"/>
            <w:vAlign w:val="bottom"/>
            <w:tcBorders>
              <w:bottom w:val="single" w:sz="8" w:color="auto"/>
              <w:right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1,467,914</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462,995</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1,932,745</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361,509</w:t>
            </w:r>
          </w:p>
        </w:tc>
        <w:tc>
          <w:tcPr>
            <w:tcW w:w="122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1,767,232</w:t>
            </w:r>
          </w:p>
        </w:tc>
        <w:tc>
          <w:tcPr>
            <w:tcW w:w="132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2,042,549</w:t>
            </w:r>
          </w:p>
        </w:tc>
        <w:tc>
          <w:tcPr>
            <w:tcW w:w="13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122.14</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shd w:val="clear" w:color="auto" w:fill="EEEEEE"/>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512,500</w:t>
            </w:r>
          </w:p>
        </w:tc>
        <w:tc>
          <w:tcPr>
            <w:tcW w:w="1340" w:type="dxa"/>
            <w:vAlign w:val="bottom"/>
            <w:tcBorders>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(239,254)</w:t>
            </w:r>
          </w:p>
        </w:tc>
        <w:tc>
          <w:tcPr>
            <w:tcW w:w="1220" w:type="dxa"/>
            <w:vAlign w:val="bottom"/>
            <w:tcBorders>
              <w:bottom w:val="single" w:sz="8" w:color="auto"/>
              <w:right w:val="single" w:sz="8" w:color="auto"/>
            </w:tcBorders>
            <w:shd w:val="clear" w:color="auto" w:fill="EEEEEE"/>
          </w:tcPr>
          <w:p>
            <w:pPr>
              <w:jc w:val="right"/>
              <w:ind w:right="31"/>
              <w:spacing w:after="0"/>
              <w:rPr>
                <w:sz w:val="20"/>
                <w:szCs w:val="20"/>
                <w:color w:val="auto"/>
              </w:rPr>
            </w:pPr>
            <w:r>
              <w:rPr>
                <w:rFonts w:ascii="Times New Roman" w:cs="Times New Roman" w:eastAsia="Times New Roman" w:hAnsi="Times New Roman"/>
                <w:sz w:val="18"/>
                <w:szCs w:val="18"/>
                <w:color w:val="auto"/>
              </w:rPr>
              <w:t>312,667</w:t>
            </w:r>
          </w:p>
        </w:tc>
        <w:tc>
          <w:tcPr>
            <w:tcW w:w="1320" w:type="dxa"/>
            <w:vAlign w:val="bottom"/>
            <w:tcBorders>
              <w:bottom w:val="single" w:sz="8" w:color="auto"/>
              <w:right w:val="single" w:sz="8" w:color="auto"/>
            </w:tcBorders>
            <w:shd w:val="clear" w:color="auto" w:fill="EEEEEE"/>
          </w:tcPr>
          <w:p>
            <w:pPr>
              <w:jc w:val="right"/>
              <w:ind w:right="31"/>
              <w:spacing w:after="0"/>
              <w:rPr>
                <w:sz w:val="20"/>
                <w:szCs w:val="20"/>
                <w:color w:val="auto"/>
              </w:rPr>
            </w:pPr>
            <w:r>
              <w:rPr>
                <w:rFonts w:ascii="Times New Roman" w:cs="Times New Roman" w:eastAsia="Times New Roman" w:hAnsi="Times New Roman"/>
                <w:sz w:val="18"/>
                <w:szCs w:val="18"/>
                <w:color w:val="auto"/>
              </w:rPr>
              <w:t>238,520</w:t>
            </w:r>
          </w:p>
        </w:tc>
        <w:tc>
          <w:tcPr>
            <w:tcW w:w="1340" w:type="dxa"/>
            <w:vAlign w:val="bottom"/>
            <w:tcBorders>
              <w:bottom w:val="single" w:sz="8" w:color="auto"/>
              <w:right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26.19</w:t>
            </w:r>
          </w:p>
        </w:tc>
        <w:tc>
          <w:tcPr>
            <w:tcW w:w="1100" w:type="dxa"/>
            <w:vAlign w:val="bottom"/>
            <w:tcBorders>
              <w:bottom w:val="single" w:sz="8" w:color="auto"/>
              <w:right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represents compensation paid to Juho Sarvikas, who served as PEO commencing February 6, 2025. For 2024 represents compensation paid to Philip Brace, who served as PEO from February 24, 2024 through February 5, 2025.</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represents compensation paid to Philip Brace. For 2024 and 2023, represents compensation paid to Ashish Sharma, who served as PEO from March 1, 2022 through February 23, 2024.</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340" w:right="140" w:hanging="332"/>
        <w:spacing w:after="0" w:line="277"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Summary Compensation Table (“SCT”) totals reported for the PEOs and the average of the other NEOs for each year were subject to the adjustments summarized in the two tables below as required by Regulation S-K Item 402(v)(2)(iii) to calculate “compensation actually paid.” Equity values are calculated in accordance with FASB ASC Topic 718. Valuation assumptions used to calculate fair values at the times indicated in the two tables below did not materially differ from those disclosed at the time of grant except for the stock price, percentage of volatility, risk free rate and the term used to calculate the valuations. The following table shows the adjustments made to the SCT totals to calculate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140" w:type="dxa"/>
            <w:vAlign w:val="bottom"/>
            <w:tcBorders>
              <w:top w:val="single" w:sz="8" w:color="auto"/>
              <w:bottom w:val="single" w:sz="8" w:color="auto"/>
              <w:right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96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Non-</w:t>
            </w: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PEO2</w:t>
            </w:r>
          </w:p>
        </w:tc>
        <w:tc>
          <w:tcPr>
            <w:tcW w:w="11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PEO1</w:t>
            </w:r>
          </w:p>
        </w:tc>
        <w:tc>
          <w:tcPr>
            <w:tcW w:w="60" w:type="dxa"/>
            <w:vAlign w:val="bottom"/>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PEO NEOs</w:t>
            </w: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6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60" w:type="dxa"/>
            <w:vAlign w:val="bottom"/>
            <w:tcBorders>
              <w:left w:val="single" w:sz="8" w:color="auto"/>
              <w:right w:val="single" w:sz="8" w:color="auto"/>
            </w:tcBorders>
            <w:shd w:val="clear" w:color="auto" w:fill="EEEEEE"/>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Compensation from Summary</w:t>
            </w:r>
          </w:p>
        </w:tc>
        <w:tc>
          <w:tcPr>
            <w:tcW w:w="114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11,988,776</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138,346</w:t>
            </w:r>
          </w:p>
        </w:tc>
        <w:tc>
          <w:tcPr>
            <w:tcW w:w="114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928,129</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1,467,914</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462,995</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1,767,232</w:t>
            </w:r>
          </w:p>
        </w:tc>
        <w:tc>
          <w:tcPr>
            <w:tcW w:w="112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512,500</w:t>
            </w:r>
          </w:p>
        </w:tc>
        <w:tc>
          <w:tcPr>
            <w:tcW w:w="60" w:type="dxa"/>
            <w:vAlign w:val="bottom"/>
            <w:shd w:val="clear" w:color="auto" w:fill="EEEEEE"/>
          </w:tcPr>
          <w:p>
            <w:pPr>
              <w:spacing w:after="0"/>
              <w:rPr>
                <w:sz w:val="16"/>
                <w:szCs w:val="16"/>
                <w:color w:val="auto"/>
              </w:rPr>
            </w:pPr>
          </w:p>
        </w:tc>
        <w:tc>
          <w:tcPr>
            <w:tcW w:w="82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312,667</w:t>
            </w:r>
          </w:p>
        </w:tc>
        <w:tc>
          <w:tcPr>
            <w:tcW w:w="0" w:type="dxa"/>
            <w:vAlign w:val="bottom"/>
          </w:tcPr>
          <w:p>
            <w:pPr>
              <w:spacing w:after="0"/>
              <w:rPr>
                <w:sz w:val="1"/>
                <w:szCs w:val="1"/>
                <w:color w:val="auto"/>
              </w:rPr>
            </w:pPr>
          </w:p>
        </w:tc>
      </w:tr>
      <w:tr>
        <w:trPr>
          <w:trHeight w:val="238"/>
        </w:trPr>
        <w:tc>
          <w:tcPr>
            <w:tcW w:w="2960" w:type="dxa"/>
            <w:vAlign w:val="bottom"/>
            <w:tcBorders>
              <w:left w:val="single" w:sz="8" w:color="auto"/>
              <w:bottom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Table</w:t>
            </w: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20" w:type="dxa"/>
            <w:vAlign w:val="bottom"/>
            <w:tcBorders>
              <w:bottom w:val="single" w:sz="8" w:color="auto"/>
              <w:right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820" w:type="dxa"/>
            <w:vAlign w:val="bottom"/>
            <w:tcBorders>
              <w:bottom w:val="single" w:sz="8" w:color="auto"/>
              <w:right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for Equity Awards</w:t>
            </w:r>
          </w:p>
        </w:tc>
        <w:tc>
          <w:tcPr>
            <w:tcW w:w="11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shd w:val="clear" w:color="auto" w:fill="EEEEEE"/>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Adjustment for grant date values in the</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(11,264,121)</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(482,031)</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(1,215,404)</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(1,055,700)</w:t>
            </w:r>
          </w:p>
        </w:tc>
        <w:tc>
          <w:tcPr>
            <w:tcW w:w="11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EEEEEE"/>
          </w:tcPr>
          <w:p>
            <w:pPr>
              <w:spacing w:after="0"/>
              <w:rPr>
                <w:sz w:val="16"/>
                <w:szCs w:val="16"/>
                <w:color w:val="auto"/>
              </w:rPr>
            </w:pPr>
          </w:p>
        </w:tc>
        <w:tc>
          <w:tcPr>
            <w:tcW w:w="8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(27,825)</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20" w:type="dxa"/>
            <w:vAlign w:val="bottom"/>
            <w:tcBorders>
              <w:bottom w:val="single" w:sz="8" w:color="auto"/>
              <w:right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820" w:type="dxa"/>
            <w:vAlign w:val="bottom"/>
            <w:tcBorders>
              <w:bottom w:val="single" w:sz="8" w:color="auto"/>
              <w:right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Year-end fair value of unvested awards</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10,961,767</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457,529</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1,026,000</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1,179,900</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16,536</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granted in the current year</w:t>
            </w: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shd w:val="clear" w:color="auto" w:fill="EEEEEE"/>
          </w:tcPr>
          <w:p>
            <w:pPr>
              <w:ind w:left="20"/>
              <w:spacing w:after="0" w:line="191" w:lineRule="exact"/>
              <w:rPr>
                <w:sz w:val="20"/>
                <w:szCs w:val="20"/>
                <w:color w:val="auto"/>
              </w:rPr>
            </w:pPr>
            <w:r>
              <w:rPr>
                <w:rFonts w:ascii="Times New Roman" w:cs="Times New Roman" w:eastAsia="Times New Roman" w:hAnsi="Times New Roman"/>
                <w:sz w:val="18"/>
                <w:szCs w:val="18"/>
                <w:color w:val="auto"/>
              </w:rPr>
              <w:t>Year-over-year difference of year-end</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(11,226)</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164,097</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(101,940)</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85,161</w:t>
            </w:r>
          </w:p>
        </w:tc>
        <w:tc>
          <w:tcPr>
            <w:tcW w:w="11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(758,715)</w:t>
            </w:r>
          </w:p>
        </w:tc>
        <w:tc>
          <w:tcPr>
            <w:tcW w:w="60" w:type="dxa"/>
            <w:vAlign w:val="bottom"/>
            <w:shd w:val="clear" w:color="auto" w:fill="EEEEEE"/>
          </w:tcPr>
          <w:p>
            <w:pPr>
              <w:spacing w:after="0"/>
              <w:rPr>
                <w:sz w:val="16"/>
                <w:szCs w:val="16"/>
                <w:color w:val="auto"/>
              </w:rPr>
            </w:pPr>
          </w:p>
        </w:tc>
        <w:tc>
          <w:tcPr>
            <w:tcW w:w="8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(62,156)</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fair values for unvested awards granted</w:t>
            </w:r>
          </w:p>
        </w:tc>
        <w:tc>
          <w:tcPr>
            <w:tcW w:w="114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14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120" w:type="dxa"/>
            <w:vAlign w:val="bottom"/>
            <w:tcBorders>
              <w:right w:val="single" w:sz="8" w:color="auto"/>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20" w:type="dxa"/>
            <w:vAlign w:val="bottom"/>
            <w:tcBorders>
              <w:right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in prior years</w:t>
            </w: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20" w:type="dxa"/>
            <w:vAlign w:val="bottom"/>
            <w:tcBorders>
              <w:bottom w:val="single" w:sz="8" w:color="auto"/>
              <w:right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820" w:type="dxa"/>
            <w:vAlign w:val="bottom"/>
            <w:tcBorders>
              <w:bottom w:val="single" w:sz="8" w:color="auto"/>
              <w:right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Fair values at vest date for awards</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297,404</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granted and vested in current year</w:t>
            </w: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shd w:val="clear" w:color="auto" w:fill="EEEEEE"/>
          </w:tcPr>
          <w:p>
            <w:pPr>
              <w:ind w:left="20"/>
              <w:spacing w:after="0" w:line="191" w:lineRule="exact"/>
              <w:rPr>
                <w:sz w:val="20"/>
                <w:szCs w:val="20"/>
                <w:color w:val="auto"/>
              </w:rPr>
            </w:pPr>
            <w:r>
              <w:rPr>
                <w:rFonts w:ascii="Times New Roman" w:cs="Times New Roman" w:eastAsia="Times New Roman" w:hAnsi="Times New Roman"/>
                <w:sz w:val="18"/>
                <w:szCs w:val="18"/>
                <w:color w:val="auto"/>
              </w:rPr>
              <w:t>Difference in fair values between prior</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93,500</w:t>
            </w:r>
          </w:p>
        </w:tc>
        <w:tc>
          <w:tcPr>
            <w:tcW w:w="114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264,563</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192,734</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455</w:t>
            </w:r>
          </w:p>
        </w:tc>
        <w:tc>
          <w:tcPr>
            <w:tcW w:w="100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65,957</w:t>
            </w:r>
          </w:p>
        </w:tc>
        <w:tc>
          <w:tcPr>
            <w:tcW w:w="11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6,961</w:t>
            </w:r>
          </w:p>
        </w:tc>
        <w:tc>
          <w:tcPr>
            <w:tcW w:w="60" w:type="dxa"/>
            <w:vAlign w:val="bottom"/>
            <w:shd w:val="clear" w:color="auto" w:fill="EEEEEE"/>
          </w:tcPr>
          <w:p>
            <w:pPr>
              <w:spacing w:after="0"/>
              <w:rPr>
                <w:sz w:val="16"/>
                <w:szCs w:val="16"/>
                <w:color w:val="auto"/>
              </w:rPr>
            </w:pPr>
          </w:p>
        </w:tc>
        <w:tc>
          <w:tcPr>
            <w:tcW w:w="820" w:type="dxa"/>
            <w:vAlign w:val="bottom"/>
            <w:tcBorders>
              <w:right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(702)</w:t>
            </w:r>
          </w:p>
        </w:tc>
        <w:tc>
          <w:tcPr>
            <w:tcW w:w="0" w:type="dxa"/>
            <w:vAlign w:val="bottom"/>
          </w:tcPr>
          <w:p>
            <w:pPr>
              <w:spacing w:after="0"/>
              <w:rPr>
                <w:sz w:val="1"/>
                <w:szCs w:val="1"/>
                <w:color w:val="auto"/>
              </w:rPr>
            </w:pPr>
          </w:p>
        </w:tc>
      </w:tr>
      <w:tr>
        <w:trPr>
          <w:trHeight w:val="216"/>
        </w:trPr>
        <w:tc>
          <w:tcPr>
            <w:tcW w:w="2960" w:type="dxa"/>
            <w:vAlign w:val="bottom"/>
            <w:tcBorders>
              <w:left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year-end fair values and vest date fair</w:t>
            </w:r>
          </w:p>
        </w:tc>
        <w:tc>
          <w:tcPr>
            <w:tcW w:w="114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14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000" w:type="dxa"/>
            <w:vAlign w:val="bottom"/>
            <w:tcBorders>
              <w:right w:val="single" w:sz="8" w:color="auto"/>
            </w:tcBorders>
            <w:shd w:val="clear" w:color="auto" w:fill="EEEEEE"/>
          </w:tcPr>
          <w:p>
            <w:pPr>
              <w:spacing w:after="0"/>
              <w:rPr>
                <w:sz w:val="18"/>
                <w:szCs w:val="18"/>
                <w:color w:val="auto"/>
              </w:rPr>
            </w:pPr>
          </w:p>
        </w:tc>
        <w:tc>
          <w:tcPr>
            <w:tcW w:w="1120" w:type="dxa"/>
            <w:vAlign w:val="bottom"/>
            <w:tcBorders>
              <w:right w:val="single" w:sz="8" w:color="auto"/>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20" w:type="dxa"/>
            <w:vAlign w:val="bottom"/>
            <w:tcBorders>
              <w:right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values for awards granted in prior years</w:t>
            </w: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20" w:type="dxa"/>
            <w:vAlign w:val="bottom"/>
            <w:tcBorders>
              <w:bottom w:val="single" w:sz="8" w:color="auto"/>
              <w:right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820" w:type="dxa"/>
            <w:vAlign w:val="bottom"/>
            <w:tcBorders>
              <w:bottom w:val="single" w:sz="8" w:color="auto"/>
              <w:right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Adjustments for Equity Awards</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(302,394)</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93,500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228,835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464,831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(101,486)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275,318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(751,754)</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(74,147)</w:t>
            </w:r>
          </w:p>
        </w:tc>
        <w:tc>
          <w:tcPr>
            <w:tcW w:w="0" w:type="dxa"/>
            <w:vAlign w:val="bottom"/>
          </w:tcPr>
          <w:p>
            <w:pPr>
              <w:spacing w:after="0"/>
              <w:rPr>
                <w:sz w:val="1"/>
                <w:szCs w:val="1"/>
                <w:color w:val="auto"/>
              </w:rPr>
            </w:pPr>
          </w:p>
        </w:tc>
      </w:tr>
      <w:tr>
        <w:trPr>
          <w:trHeight w:val="187"/>
        </w:trPr>
        <w:tc>
          <w:tcPr>
            <w:tcW w:w="2960" w:type="dxa"/>
            <w:vAlign w:val="bottom"/>
            <w:tcBorders>
              <w:left w:val="single" w:sz="8" w:color="auto"/>
              <w:right w:val="single" w:sz="8" w:color="auto"/>
            </w:tcBorders>
            <w:shd w:val="clear" w:color="auto" w:fill="EEEEEE"/>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Compensation Actually Paid (as</w:t>
            </w:r>
          </w:p>
        </w:tc>
        <w:tc>
          <w:tcPr>
            <w:tcW w:w="114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11,686,382</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231,846</w:t>
            </w:r>
          </w:p>
        </w:tc>
        <w:tc>
          <w:tcPr>
            <w:tcW w:w="114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1,156,964</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1,932,745</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361,509</w:t>
            </w:r>
          </w:p>
        </w:tc>
        <w:tc>
          <w:tcPr>
            <w:tcW w:w="100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2,042,549</w:t>
            </w:r>
          </w:p>
        </w:tc>
        <w:tc>
          <w:tcPr>
            <w:tcW w:w="112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(239,254)</w:t>
            </w:r>
          </w:p>
        </w:tc>
        <w:tc>
          <w:tcPr>
            <w:tcW w:w="60" w:type="dxa"/>
            <w:vAlign w:val="bottom"/>
            <w:shd w:val="clear" w:color="auto" w:fill="EEEEEE"/>
          </w:tcPr>
          <w:p>
            <w:pPr>
              <w:spacing w:after="0"/>
              <w:rPr>
                <w:sz w:val="16"/>
                <w:szCs w:val="16"/>
                <w:color w:val="auto"/>
              </w:rPr>
            </w:pPr>
          </w:p>
        </w:tc>
        <w:tc>
          <w:tcPr>
            <w:tcW w:w="820" w:type="dxa"/>
            <w:vAlign w:val="bottom"/>
            <w:tcBorders>
              <w:right w:val="single" w:sz="8" w:color="auto"/>
            </w:tcBorders>
            <w:shd w:val="clear" w:color="auto" w:fill="EEEEEE"/>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238,520</w:t>
            </w:r>
          </w:p>
        </w:tc>
        <w:tc>
          <w:tcPr>
            <w:tcW w:w="0" w:type="dxa"/>
            <w:vAlign w:val="bottom"/>
          </w:tcPr>
          <w:p>
            <w:pPr>
              <w:spacing w:after="0"/>
              <w:rPr>
                <w:sz w:val="1"/>
                <w:szCs w:val="1"/>
                <w:color w:val="auto"/>
              </w:rPr>
            </w:pPr>
          </w:p>
        </w:tc>
      </w:tr>
      <w:tr>
        <w:trPr>
          <w:trHeight w:val="238"/>
        </w:trPr>
        <w:tc>
          <w:tcPr>
            <w:tcW w:w="2960" w:type="dxa"/>
            <w:vAlign w:val="bottom"/>
            <w:tcBorders>
              <w:left w:val="single" w:sz="8" w:color="auto"/>
              <w:bottom w:val="single" w:sz="8" w:color="auto"/>
              <w:right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8"/>
                <w:szCs w:val="18"/>
                <w:b w:val="1"/>
                <w:bCs w:val="1"/>
                <w:color w:val="auto"/>
              </w:rPr>
              <w:t>calculated)</w:t>
            </w: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4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000" w:type="dxa"/>
            <w:vAlign w:val="bottom"/>
            <w:tcBorders>
              <w:bottom w:val="single" w:sz="8" w:color="auto"/>
              <w:right w:val="single" w:sz="8" w:color="auto"/>
            </w:tcBorders>
            <w:shd w:val="clear" w:color="auto" w:fill="EEEEEE"/>
          </w:tcPr>
          <w:p>
            <w:pPr>
              <w:spacing w:after="0"/>
              <w:rPr>
                <w:sz w:val="20"/>
                <w:szCs w:val="20"/>
                <w:color w:val="auto"/>
              </w:rPr>
            </w:pPr>
          </w:p>
        </w:tc>
        <w:tc>
          <w:tcPr>
            <w:tcW w:w="1120" w:type="dxa"/>
            <w:vAlign w:val="bottom"/>
            <w:tcBorders>
              <w:bottom w:val="single" w:sz="8" w:color="auto"/>
              <w:right w:val="single" w:sz="8" w:color="auto"/>
            </w:tcBorders>
            <w:shd w:val="clear" w:color="auto" w:fill="EEEEEE"/>
          </w:tcPr>
          <w:p>
            <w:pPr>
              <w:spacing w:after="0"/>
              <w:rPr>
                <w:sz w:val="20"/>
                <w:szCs w:val="20"/>
                <w:color w:val="auto"/>
              </w:rPr>
            </w:pPr>
          </w:p>
        </w:tc>
        <w:tc>
          <w:tcPr>
            <w:tcW w:w="60" w:type="dxa"/>
            <w:vAlign w:val="bottom"/>
            <w:tcBorders>
              <w:bottom w:val="single" w:sz="8" w:color="auto"/>
            </w:tcBorders>
            <w:shd w:val="clear" w:color="auto" w:fill="EEEEEE"/>
          </w:tcPr>
          <w:p>
            <w:pPr>
              <w:spacing w:after="0"/>
              <w:rPr>
                <w:sz w:val="20"/>
                <w:szCs w:val="20"/>
                <w:color w:val="auto"/>
              </w:rPr>
            </w:pPr>
          </w:p>
        </w:tc>
        <w:tc>
          <w:tcPr>
            <w:tcW w:w="820" w:type="dxa"/>
            <w:vAlign w:val="bottom"/>
            <w:tcBorders>
              <w:bottom w:val="single" w:sz="8" w:color="auto"/>
              <w:right w:val="single" w:sz="8" w:color="auto"/>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compensation of the following other NEOs: for 2025 and 2024, Steven Gatoff and Paul McClaskey; and for 2023, Steven Gatoff, Robert Barbieri and Doug Kahn.</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a $100 investment in the Company’s shares as of December 31, 2022, valued again on each of December 31, 2023, 2024 and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as reported in the Company’s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Company’s Amended and Restated 2000 Employee Stock Purchase Plan (the “Purchase Plan”) and 2018 Omnibus Incentive Compensation Plan (the “2018 Incentive Plan”) were the only compensation plans under which securities of the Company were authorized for grant. The Purchase Plan and the 2018 Incentive Plan were approved by our stockholders. In 2019, the Board terminated the Company’s 2015 Incentive Compensation Plan (the “2015 Incentive Plan”), which was adopted by the Board without stockholder approval pursuant to NASDAQ Listing Rule 5635. The following table provides information as of December 31, 2025 regarding the Company’s existing and predecessor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 remaining</w:t>
            </w: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74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available for future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issued upon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issuance under</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2"/>
          </w:tcPr>
          <w:p>
            <w:pPr>
              <w:jc w:val="center"/>
              <w:ind w:right="420"/>
              <w:spacing w:after="0" w:line="270" w:lineRule="exact"/>
              <w:rPr>
                <w:sz w:val="20"/>
                <w:szCs w:val="20"/>
                <w:color w:val="auto"/>
              </w:rPr>
            </w:pPr>
            <w:r>
              <w:rPr>
                <w:rFonts w:ascii="Times New Roman" w:cs="Times New Roman" w:eastAsia="Times New Roman" w:hAnsi="Times New Roman"/>
                <w:sz w:val="18"/>
                <w:szCs w:val="18"/>
                <w:b w:val="1"/>
                <w:bCs w:val="1"/>
                <w:color w:val="auto"/>
                <w:w w:val="96"/>
              </w:rPr>
              <w:t>outstanding</w:t>
            </w:r>
            <w:r>
              <w:rPr>
                <w:rFonts w:ascii="Times New Roman" w:cs="Times New Roman" w:eastAsia="Times New Roman" w:hAnsi="Times New Roman"/>
                <w:sz w:val="29"/>
                <w:szCs w:val="29"/>
                <w:b w:val="1"/>
                <w:bCs w:val="1"/>
                <w:color w:val="auto"/>
                <w:w w:val="96"/>
                <w:vertAlign w:val="superscript"/>
              </w:rPr>
              <w:t>(1)</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8"/>
        </w:trPr>
        <w:tc>
          <w:tcPr>
            <w:tcW w:w="5440" w:type="dxa"/>
            <w:vAlign w:val="bottom"/>
            <w:shd w:val="clear" w:color="auto" w:fill="000000"/>
          </w:tcPr>
          <w:p>
            <w:pPr>
              <w:spacing w:after="0" w:line="29" w:lineRule="exact"/>
              <w:rPr>
                <w:sz w:val="20"/>
                <w:szCs w:val="20"/>
                <w:color w:val="auto"/>
              </w:rPr>
            </w:pPr>
            <w:r>
              <w:rPr>
                <w:rFonts w:ascii="Times New Roman" w:cs="Times New Roman" w:eastAsia="Times New Roman" w:hAnsi="Times New Roman"/>
                <w:sz w:val="3"/>
                <w:szCs w:val="3"/>
                <w:color w:val="auto"/>
              </w:rPr>
              <w:t>Equity compensation plans approved by security holders</w:t>
            </w:r>
          </w:p>
        </w:tc>
        <w:tc>
          <w:tcPr>
            <w:tcW w:w="220" w:type="dxa"/>
            <w:vAlign w:val="bottom"/>
            <w:shd w:val="clear" w:color="auto" w:fill="EEEEEE"/>
          </w:tcPr>
          <w:p>
            <w:pPr>
              <w:spacing w:after="0"/>
              <w:rPr>
                <w:sz w:val="2"/>
                <w:szCs w:val="2"/>
                <w:color w:val="auto"/>
              </w:rPr>
            </w:pPr>
          </w:p>
        </w:tc>
        <w:tc>
          <w:tcPr>
            <w:tcW w:w="1560" w:type="dxa"/>
            <w:vAlign w:val="bottom"/>
            <w:shd w:val="clear" w:color="auto" w:fill="000000"/>
          </w:tcPr>
          <w:p>
            <w:pPr>
              <w:ind w:left="980"/>
              <w:spacing w:after="0" w:line="29" w:lineRule="exact"/>
              <w:rPr>
                <w:sz w:val="20"/>
                <w:szCs w:val="20"/>
                <w:color w:val="auto"/>
              </w:rPr>
            </w:pPr>
            <w:r>
              <w:rPr>
                <w:rFonts w:ascii="Times New Roman" w:cs="Times New Roman" w:eastAsia="Times New Roman" w:hAnsi="Times New Roman"/>
                <w:sz w:val="3"/>
                <w:szCs w:val="3"/>
                <w:color w:val="auto"/>
              </w:rPr>
              <w:t>615,789</w:t>
            </w:r>
          </w:p>
        </w:tc>
        <w:tc>
          <w:tcPr>
            <w:tcW w:w="28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148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15.28</w:t>
            </w:r>
          </w:p>
        </w:tc>
        <w:tc>
          <w:tcPr>
            <w:tcW w:w="320" w:type="dxa"/>
            <w:vAlign w:val="bottom"/>
            <w:shd w:val="clear" w:color="auto" w:fill="EEEEEE"/>
          </w:tcPr>
          <w:p>
            <w:pPr>
              <w:spacing w:after="0"/>
              <w:rPr>
                <w:sz w:val="2"/>
                <w:szCs w:val="2"/>
                <w:color w:val="auto"/>
              </w:rPr>
            </w:pPr>
          </w:p>
        </w:tc>
        <w:tc>
          <w:tcPr>
            <w:tcW w:w="156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1,949,786</w:t>
            </w:r>
          </w:p>
        </w:tc>
        <w:tc>
          <w:tcPr>
            <w:tcW w:w="18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7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901,250</w:t>
            </w:r>
            <w:r>
              <w:rPr>
                <w:rFonts w:ascii="Times New Roman" w:cs="Times New Roman" w:eastAsia="Times New Roman" w:hAnsi="Times New Roman"/>
                <w:sz w:val="14"/>
                <w:szCs w:val="14"/>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17.66</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based on the weighted-average exercise price of vested and unvested outstanding stock options. RSUs, which have no exercise price, are excluded from this calculation.</w:t>
      </w:r>
    </w:p>
    <w:p>
      <w:pPr>
        <w:spacing w:after="0" w:line="161" w:lineRule="exact"/>
        <w:rPr>
          <w:rFonts w:ascii="Times New Roman" w:cs="Times New Roman" w:eastAsia="Times New Roman" w:hAnsi="Times New Roman"/>
          <w:sz w:val="18"/>
          <w:szCs w:val="18"/>
          <w:color w:val="auto"/>
        </w:rPr>
      </w:pPr>
    </w:p>
    <w:p>
      <w:pPr>
        <w:jc w:val="both"/>
        <w:ind w:left="340" w:right="28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future issuance under the Purchase Plan and the 2018 Incentive Plan. As of December 31, 2025, there were 429,578 shares of our common stock available for issuance under the Purchase Plan (all of which were eligible to be purchased during the offering period in effect on such date) and 1,520,208 shares of our common stock available for issuance under the 2018 Incentive Plan.</w:t>
      </w:r>
    </w:p>
    <w:p>
      <w:pPr>
        <w:spacing w:after="0" w:line="175" w:lineRule="exact"/>
        <w:rPr>
          <w:rFonts w:ascii="Times New Roman" w:cs="Times New Roman" w:eastAsia="Times New Roman" w:hAnsi="Times New Roman"/>
          <w:sz w:val="18"/>
          <w:szCs w:val="18"/>
          <w:color w:val="auto"/>
        </w:rPr>
      </w:pPr>
    </w:p>
    <w:p>
      <w:pPr>
        <w:ind w:left="340" w:right="180" w:hanging="332"/>
        <w:spacing w:after="0" w:line="25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outstanding options under the 2015 Incentive Plan and inducement options were issued as employment inducement awards in accordance with NASDAQ Listing Rule 5635(c)(4). The 2015 Incentive Plan, which includes the same material terms as the 2018 Incentive Plan, could only be used for inducement grants to individuals to induce them to become employees of the Company or any of its subsidiaries, or, in conjunction with a merger or acquisition, to convert, replace or adjust outstanding stock options or other equity compensation awards, or for any other reason for which there is an applicable exception from the stockholder approval requirements of NASDAQ Listing Rule 5635, in each such case, subject to the applicable requirements of the NASDAQ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Pursuant to the Audit Committee charter, the Audit Committee is responsible for implementing the Company’s written policies and procedures regarding transactions with a related person (as defined in SEC regulations). In considering related person transactions, the Audit Committee takes into account the relevant available facts and circumstances, including:</w:t>
      </w:r>
    </w:p>
    <w:p>
      <w:pPr>
        <w:spacing w:after="0" w:line="17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risks, costs and benefits to the Company;</w:t>
      </w:r>
    </w:p>
    <w:p>
      <w:pPr>
        <w:spacing w:after="0" w:line="26" w:lineRule="exact"/>
        <w:rPr>
          <w:rFonts w:ascii="Arial" w:cs="Arial" w:eastAsia="Arial" w:hAnsi="Arial"/>
          <w:sz w:val="18"/>
          <w:szCs w:val="18"/>
          <w:b w:val="1"/>
          <w:bCs w:val="1"/>
          <w:color w:val="auto"/>
        </w:rPr>
      </w:pPr>
    </w:p>
    <w:p>
      <w:pPr>
        <w:ind w:left="660" w:right="440" w:hanging="652"/>
        <w:spacing w:after="0" w:line="249"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transaction;</w:t>
      </w:r>
    </w:p>
    <w:p>
      <w:pPr>
        <w:spacing w:after="0" w:line="8" w:lineRule="exact"/>
        <w:rPr>
          <w:rFonts w:ascii="Arial" w:cs="Arial" w:eastAsia="Arial" w:hAnsi="Arial"/>
          <w:sz w:val="18"/>
          <w:szCs w:val="18"/>
          <w:b w:val="1"/>
          <w:bCs w:val="1"/>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8" w:lineRule="exact"/>
        <w:rPr>
          <w:rFonts w:ascii="Arial" w:cs="Arial" w:eastAsia="Arial" w:hAnsi="Arial"/>
          <w:sz w:val="18"/>
          <w:szCs w:val="18"/>
          <w:b w:val="1"/>
          <w:bCs w:val="1"/>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When reviewing a related person transaction, the Audit Committee determines in good faith whether the transaction is in, or is not inconsistent with, the best interests of the Company and its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Loan Agreement and Exchange Transactions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28, 2024, the Company entered into a Loan and Security Agreement (the “Short-Term Loan Agreement”) with (i) South Ocean Funding, LLC (“South Ocean”), which is an affiliate of Golden Harbor Ltd. (“Golden Harbor”) and Tavistock Holdings, Inc. and (ii) certain participant lenders (the “Participating Lenders”). The Short-Term Loan Agreement established a senior secured $19.5 million loan facility (the “Term Loan”) under which the Company borrowed the $19.5 million on June 28, 2024 to partially fund the Company’s repurchase of $45.9 million in face value of the Company’s 3.25% convertible notes due May 2025 (the “2025 Convertible Notes”) at a discount of 30% to face value.</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Term Loan matured on September 30, 2024, and provided that the Company may request an extension of the maturity date of up to six months, to March 31, 2025, which South Ocean and each Participating Lender may grant or deny with respect to each of their respective portions of the Loan. The remaining outstanding balance of the Term Loan was paid off in November 2024 upon the closing of the Company’s sale of its telematics business (the “Disposition”). Borrowings under the Term Loan accrued interest at 12.0% per annum. Upon the repayment of the Term Loan, the Company paid an exit fee equal to 4.0% of the aggregate principal amount repaid.</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part of the Loan Agreement, the Participating Lenders contributed an aggregate of $3.0 million of participation interests in the Loan Agreement (the “Participation Interests”). The Participating Lenders consist of Philip Brace, who served as the Company’s Executive Chairman when the Short-Term Loan Agreement was entered into, who acquired a $1.0 million Participation Interest, and North Sound Ventures, LP, which acquired a $2.0 million Participation Interest in the $19.5 million Loan. The remaining balance of the Term Loan was paid in full in November 2024, upon the consummation of the Disposition.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entering into the Short-Term Loan Agreement, the Company paid an arrangement and administration fee of $150,000 to South Ocean.</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Loan Agreement, the Company issued to South Ocean and the Participating Lenders warrants (the “Loan Warrants”) to purchase an aggregate of 550,000 shares of our common stock. The Loan Warrants have an exercise price of $12.12 per share of common stock, subject to adjustment for stock splits, reverse stock splits, stock dividends and similar transactions. The Loan Warrants will expire four years from the date of issuance, are exercisable on a cash basis, and contain customary registration rights with respect to the shares of common stock issuable upon exercise of the Loan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20"/>
        <w:spacing w:after="0" w:line="253" w:lineRule="auto"/>
        <w:rPr>
          <w:sz w:val="20"/>
          <w:szCs w:val="20"/>
          <w:color w:val="auto"/>
        </w:rPr>
      </w:pPr>
      <w:r>
        <w:rPr>
          <w:rFonts w:ascii="Times New Roman" w:cs="Times New Roman" w:eastAsia="Times New Roman" w:hAnsi="Times New Roman"/>
          <w:sz w:val="18"/>
          <w:szCs w:val="18"/>
          <w:color w:val="auto"/>
        </w:rPr>
        <w:t>Also on June 28, 2024, the Company entered into separate binding Exchange Term Sheets with respect to privately-negotiated exchanges of $80 million face value of the 2025 Convertible Notes held by North Sound Partners and Golden Harbor, for a combination of long-term debt and equity (the “Exchange Transactions”). Pursuant to each respective Exchange Term Sheet, each of the noteholders agreed to exchange the 2025 Convertible Notes that they held at a discounted price of $700 per $1,000 face value, for an aggregate of (i) approximately 2.4 million shares of our common stock, (ii) $31.8 million in principal amount of new senior secured notes due in 2029 (“New Senior Secured Notes”), and (iii) warrants (the “Exchange Warrants”) to purchase an aggregate of approximately 1.5 million shares of our common stock at an exercise price of $12.12 per share. On November 6, 2024, the transactions consummated by the Exchange Term Sheets were consummated and the Company issued (i) to North Sound Partners 1,676,669 shares of common stock, Exchange Warrants exercisable to purchase 1,089,835 shares and approximately $21.8 million in aggregate principal amount of New Senior Secured Notes and (ii) to Golden Harbor 697,736 shares of Common Stock, Exchange Warrants exercisable to purchase 435,528 shares and $10.0 million in aggregate principal amount of New Senior Secured Notes.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New Senior Secured Notes bear interest at 9.0% per annum, payable paid in cash, in arrears, and on a semi-annual basis, and have a maturity date of May 1, 2029. The documentation of the New Senior Secured Notes includes a Base Indenture (the “Base Indenture”) and Supplemental Indenture (the “Supplemental Indenture” and, collectively with the Base Indenture, the “New Senior Secured Notes Indenture”) entered into by the Company and certain of its subsidiaries, as guarantors (the “Guarantors”) and a Pledge and Security Agreement (the “Security Agreement”), pursuant to which the New Senior Secured Notes are secured by a first priority lien on substantially all of Company’s assets. Pursuant to the terms of the New Senior Secured Notes Indenture, the Company may redeem all or part of the New Senior Secured Notes at any time prior to May 1, 2029 at a redemption price equal to 100% of the principal amount of the New Senior Secured Notes to be redeemed plus the present value at such redemption of the sum of all required interest payments from such redemption date through May 1, 2029, plus accrued and unpaid interest on such New Senior Secured Note to, but excluding, the redemption date. If the Company experiences a fundamental change (as defined in the New Senior Secured Notes Indenture), the holders of the New Senior Secured Notes will have the right to require the Company to repurchase the New Senior Secured Notes at a purchase price equal to the greater of (i) the amount that would be paid to redeem the New Senior Secured Notes as if the date of the repurchase was the redemption date and (ii) 101% of the principal amount thereof, plus accrued and unpaid interest, if any, to, but excluding, the date of such repurchase. The New Senior Secured Notes Indenture contains covenants customary for such senior secured debt, which put certain restrictions on the Company or the Guarantors’ ability to incur liens, sell or transfer assets, incur other indebtedness, pay dividends, make investments, enter into transactions with affiliates, make other distributions or payments on account of any redemption, retirement or purchase of any capital stock or pay certain other indebtedness. The New Senior Secured Notes Indenture also provides for customary events of default (subject in certain cases to customary grace and cure periods), which include payment defaults, a failure to pay certain judgments and certain events of bankruptcy and insolvency. These events of default are subject to a number of important qualifications, limitations and exceptions that are described in the New Senior Secured Notes Indenture.</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Exchange Transactions, on November 6, 2024, the Company entered into a customary registration rights agreement with certain holders of the 2025 Convertible Notes, including Golden Harbor and North Sound Trading, LP ( (the “Registration Rights Agreement”), pursuant to which the Company agreed to file a registration statement with the Securities and Exchange Commission, within six months following the closing date of the Exchange Transactions, in order to effect a registration for the resale by such holders of the shares of common stock issued pursuant to the Exchange Transactions and any shares of Common Stock issuable upon exercise of the Exchange Warrants. The Registration Rights Agreement also provides such holders with “piggy-back” registration rights, subject to certain requirements and customary conditions.</w:t>
      </w:r>
    </w:p>
    <w:p>
      <w:pPr>
        <w:spacing w:after="0" w:line="18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As of the date hereof, affiliates of each of Golden Harbor and North Sound Partners may be deemed to beneficially own more than 5% of the Company’s outstanding common stock. James B. Avery, a member of the Company’s Board of Directors, currently serves as Senior Managing Director of Tavistock Group, an affiliate of Golden Harbor. Brian Miller, another member of the Company’s Board of Directors, is the sole shareholder of NS Manager and, as such, may be deemed to be a beneficial owner of the securities held by North Sound Partners.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1, 2024, the Company entered into a binding term sheet with an individual retirement account held by Christopher Lytle’s mother (the “Chris Lytle IRA”) to exchange $375,000 in face amount of 2025 Convertible Notes at a discounted price of $700 per $1,000 face value, for a combination of shares and warrants. On October 24, 2024, the Company entered into a Repurchase Agreement with the Chris Lytle IRA, reflecting the terms of the binding term sheet, pursuant to which the Company agreed to issue the Chris Lytle IRA 30,586 shares of Common Stock and Exchange Warrants exercisable to purchase up to 20,646 shares of Common Stock. Christopher Lytle was a member of the Board until September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Payments on 2025 Convertible Notes</w:t>
      </w:r>
    </w:p>
    <w:p>
      <w:pPr>
        <w:spacing w:after="0" w:line="22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2024, the Company made interest payments to Golden Harbor, North Sound Trading, L.P., and the Chris Lytle IRA in the amounts of $805,859, $1,830,252, and $12,052 respectively, pursuant to the 2025 Convertible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Payments on the New Senior Secured Notes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2025, the Company made interest payments to North Sound Trading, L.P. and Golden Harbor in the amounts of $1,932,376 and $887,499 respectively, pursuant to the New Senior Secured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Interests in Siena Loan Agreement</w:t>
      </w:r>
    </w:p>
    <w:p>
      <w:pPr>
        <w:spacing w:after="0" w:line="2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May 2, 2023, (1) South Ocean and North Sound Ventures, LP (the “Participants”) collectively purchased a $4.0 million last-out subordinated participation interest (the “Participation Interest”) in the Company’s Loan and Security Agreement (the “Credit Agreement”) with Siena Lending, LLC (“Siena”) pursuant to a Participation Agreement between the Participants and Siena (the “Participation Agreement”). In connection with the purchase of the Participation Interest, the Company agreed to pay the Participants an exit fee upon the earlier of (a) the scheduled maturity date of the Credit Agreement,</w:t>
      </w:r>
    </w:p>
    <w:p>
      <w:pPr>
        <w:spacing w:after="0" w:line="3" w:lineRule="exact"/>
        <w:rPr>
          <w:sz w:val="20"/>
          <w:szCs w:val="20"/>
          <w:color w:val="auto"/>
        </w:rPr>
      </w:pPr>
    </w:p>
    <w:p>
      <w:pPr>
        <w:ind w:right="100" w:firstLine="8"/>
        <w:spacing w:after="0" w:line="253"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Siena’s commitment to make revolving loans prior to the scheduled maturity date of the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19, 2024, in connection with the termination of the Credit Agreement, the Company was required to pay exit fees of $300,000 to South Ocean and $100,000 to North Sound Ventures, LP as a result of the early redemption of the Participation Interest.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South Ocean is an affiliate of Golden Harbor and North Sound Ventures, LP is an affiliate of North Sound Management, Inc. As of the date hereof, affiliates of each of Golden Harbor and North Sound Management, Inc. hold in excess of 5% of the Company’s outstanding Common Stock. James Avery, a member of our Board of Directors, currently serves as Senior Managing Director of Tavistock Group, an affiliate of South Ocean. Brian Miller, another member of the Company’s Board of Directors, is the sole shareholder of NS Manager and, as such, may be deemed to be a beneficial owner of the securities held by North Sound Partners.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Review, Approval and Ratification of Transactions with Related Persons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is committed to upholding the highest legal and ethical conduct in fulfilling its responsibilities and recognizes that related party transactions can present a heightened risk of potential or actual conflicts of interest.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review and approve all related party transactions. Current SEC rules define a related party transaction to include any transaction, arrangement or relationship in which:</w:t>
      </w:r>
    </w:p>
    <w:p>
      <w:pPr>
        <w:spacing w:after="0" w:line="16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a participant;</w:t>
      </w:r>
    </w:p>
    <w:p>
      <w:pPr>
        <w:spacing w:after="0" w:line="224"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involved exceeds $120,000; and</w:t>
      </w:r>
    </w:p>
    <w:p>
      <w:pPr>
        <w:spacing w:after="0" w:line="224" w:lineRule="exact"/>
        <w:rPr>
          <w:rFonts w:ascii="Arial" w:cs="Arial" w:eastAsia="Arial" w:hAnsi="Arial"/>
          <w:sz w:val="18"/>
          <w:szCs w:val="18"/>
          <w:b w:val="1"/>
          <w:bCs w:val="1"/>
          <w:color w:val="auto"/>
        </w:rPr>
      </w:pPr>
    </w:p>
    <w:p>
      <w:pPr>
        <w:ind w:left="660" w:right="80" w:hanging="652"/>
        <w:spacing w:after="0" w:line="265" w:lineRule="auto"/>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executive officer, director or director nominee, or any person who is known to be the beneficial owner of more than 5% of our common stock, or any person who is an immediate family member of an executive officer, director or director nominee or beneficial owner of more than 5% of our common stock had or will have a direct or indirect material interest.</w:t>
      </w:r>
    </w:p>
    <w:p>
      <w:pPr>
        <w:spacing w:after="0" w:line="17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addition, the Audit Committee is responsible for reviewing and investigating any matters pertaining to the integrity of management, including conflicts of interest and adherence to our Code of Conduct. Under our Code of Conduct, directors, officers and all other members of the workforce are expected to avoid any relationship, influence or activity that would cause or even appear to cause a conflict of interest. All directors must recuse themselves from any discussion or decision affecting their personal, business or professional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party transactions shall be disclosed in our applicable filings with the SEC as required under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regarding the beneficial ownership of our common stock as of April 21, 2026 by: (i) each of our directors; (ii) each of our NEOs; (iii) all current directors and executive officers as a group; and (iv) each beneficial owner of more than five percent of our common stock.</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regulations, and generally includes voting power or investment power with respect to securities held. Unless otherwise indicated and subject to applicable community property laws, we believe that each of the stockholders named in the table below has sole voting and investment power with respect to the shares shown as beneficially owned. Securities that may be beneficially acquired within 60 days after April 21, 2026 are deemed to be beneficially owned by the person holding such securities for the purpose of computing the ownership of such person, but are not treated as outstanding for the purpose of computing the ownership of any other person.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address for directors and executive officers is 9710 Scranton Road, Suite 200, San Diego, California 92121. The tables below list the number and percentage of shares beneficially owned based on 16,240,613 shares of common stock outstanding as of April 21, 2026. The Company is not aware of any arrangements that have resulted, or may at a subsequent date result, in a change of control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Right to Acquire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580" w:type="dxa"/>
            <w:vAlign w:val="bottom"/>
          </w:tcPr>
          <w:p>
            <w:pPr>
              <w:jc w:val="right"/>
              <w:ind w:right="510"/>
              <w:spacing w:after="0" w:line="27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3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3"/>
                <w:szCs w:val="23"/>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36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Juho Sarvikas</w:t>
            </w:r>
          </w:p>
        </w:tc>
        <w:tc>
          <w:tcPr>
            <w:tcW w:w="2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301,043</w:t>
            </w:r>
          </w:p>
        </w:tc>
        <w:tc>
          <w:tcPr>
            <w:tcW w:w="3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345,947</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Gatoff</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61,184</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17,187</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78,371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Paul McClaskey</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11,656</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17,906</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B. Avery</w:t>
            </w:r>
            <w:r>
              <w:rPr>
                <w:rFonts w:ascii="Times New Roman" w:cs="Times New Roman" w:eastAsia="Times New Roman" w:hAnsi="Times New Roman"/>
                <w:sz w:val="29"/>
                <w:szCs w:val="29"/>
                <w:color w:val="auto"/>
                <w:vertAlign w:val="superscript"/>
              </w:rPr>
              <w:t>(2)</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Christopher Harland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40,337</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40,337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Miller</w:t>
            </w:r>
            <w:r>
              <w:rPr>
                <w:rFonts w:ascii="Times New Roman" w:cs="Times New Roman" w:eastAsia="Times New Roman" w:hAnsi="Times New Roman"/>
                <w:sz w:val="29"/>
                <w:szCs w:val="29"/>
                <w:color w:val="auto"/>
                <w:vertAlign w:val="superscript"/>
              </w:rPr>
              <w:t>(3)</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2,135,156</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1,174,450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3,309,606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George Mulhern</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936</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5,938</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6,874</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Tuder</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55,290</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60,980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and executive officers as a</w:t>
            </w:r>
          </w:p>
        </w:tc>
        <w:tc>
          <w:tcPr>
            <w:tcW w:w="16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group (eight persons)</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2,349,463</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1.510,557</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3,860,020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98"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7" w:lineRule="exact"/>
        <w:rPr>
          <w:sz w:val="20"/>
          <w:szCs w:val="20"/>
          <w:color w:val="auto"/>
        </w:rPr>
      </w:pPr>
    </w:p>
    <w:p>
      <w:pPr>
        <w:ind w:left="380" w:right="120" w:hanging="372"/>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acquired pursuant to (a) stock options or warrants that are or will become exercisable within 60 days after April 21, 2026, and (b) restricted stock units that will vest within 60 days after April 21, 2026.</w:t>
      </w:r>
    </w:p>
    <w:p>
      <w:pPr>
        <w:jc w:val="both"/>
        <w:ind w:left="380" w:hanging="372"/>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securities held by Braslyn, Ltd., Golden Harbor Ltd. or Tavistock Holdings, Inc., in which Mr. Avery disclaims beneficial ownership, which are reported in the “</w:t>
      </w:r>
      <w:r>
        <w:rPr>
          <w:rFonts w:ascii="Times New Roman" w:cs="Times New Roman" w:eastAsia="Times New Roman" w:hAnsi="Times New Roman"/>
          <w:sz w:val="18"/>
          <w:szCs w:val="18"/>
          <w:i w:val="1"/>
          <w:iCs w:val="1"/>
          <w:color w:val="auto"/>
        </w:rPr>
        <w:t>Five Percent Holders</w:t>
      </w:r>
      <w:r>
        <w:rPr>
          <w:rFonts w:ascii="Times New Roman" w:cs="Times New Roman" w:eastAsia="Times New Roman" w:hAnsi="Times New Roman"/>
          <w:sz w:val="18"/>
          <w:szCs w:val="18"/>
          <w:color w:val="auto"/>
        </w:rPr>
        <w:t>” table below. Mr. Avery is obligated to transfer any shares issued pursuant to any equity awards made to him by the Company, or the economic benefits thereof, to Tavistock Holdings, Inc.</w:t>
      </w:r>
    </w:p>
    <w:p>
      <w:pPr>
        <w:spacing w:after="0" w:line="1" w:lineRule="exact"/>
        <w:rPr>
          <w:rFonts w:ascii="Times New Roman" w:cs="Times New Roman" w:eastAsia="Times New Roman" w:hAnsi="Times New Roman"/>
          <w:sz w:val="18"/>
          <w:szCs w:val="18"/>
          <w:color w:val="auto"/>
        </w:rPr>
      </w:pPr>
    </w:p>
    <w:p>
      <w:pPr>
        <w:ind w:left="380" w:right="420" w:hanging="372"/>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held by North Sound Management, Inc. and North Sound Trading, LP, which are reported in the “</w:t>
      </w:r>
      <w:r>
        <w:rPr>
          <w:rFonts w:ascii="Times New Roman" w:cs="Times New Roman" w:eastAsia="Times New Roman" w:hAnsi="Times New Roman"/>
          <w:sz w:val="18"/>
          <w:szCs w:val="18"/>
          <w:i w:val="1"/>
          <w:iCs w:val="1"/>
          <w:color w:val="auto"/>
        </w:rPr>
        <w:t>Five Percent Holders</w:t>
      </w:r>
      <w:r>
        <w:rPr>
          <w:rFonts w:ascii="Times New Roman" w:cs="Times New Roman" w:eastAsia="Times New Roman" w:hAnsi="Times New Roman"/>
          <w:sz w:val="18"/>
          <w:szCs w:val="18"/>
          <w:color w:val="auto"/>
        </w:rPr>
        <w:t>” table below.</w:t>
      </w:r>
    </w:p>
    <w:p>
      <w:pPr>
        <w:ind w:left="380" w:right="540" w:hanging="372"/>
        <w:spacing w:after="0" w:line="26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84,615 shares of common stock issuable upon the exercise of Loan Warrants and 1,089,835 shares of common stock issuable upon the exercise of Exchange Warrants, subject to exercise limitation provisions in the Exchange Warrants and Loan Warrants.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and percentage of shares of common stock held by all persons and entities known by us to beneficially own five percent or more of our outstanding common stock. The information regarding beneficial ownership of the persons and entities identified below is included in reliance on reports filed by the persons and entities with the SEC, except for modifications that are disclosed below and except that the percentage is based upon our calculations made in reliance upon the number of shares reported to be beneficially owned by such person or entity in such report and the number of shares of common stock outstanding on April 21,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Shares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 to Acquire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Borders>
              <w:bottom w:val="single" w:sz="8" w:color="EEEEEE"/>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EEEEEE"/>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EEEEEE"/>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EEEEEE"/>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Borders>
              <w:bottom w:val="single" w:sz="8" w:color="EEEEEE"/>
            </w:tcBorders>
          </w:tcPr>
          <w:p>
            <w:pPr>
              <w:spacing w:after="0"/>
              <w:rPr>
                <w:sz w:val="20"/>
                <w:szCs w:val="20"/>
                <w:color w:val="auto"/>
              </w:rPr>
            </w:pPr>
          </w:p>
        </w:tc>
      </w:tr>
      <w:tr>
        <w:trPr>
          <w:trHeight w:val="250"/>
        </w:trPr>
        <w:tc>
          <w:tcPr>
            <w:tcW w:w="4960" w:type="dxa"/>
            <w:vAlign w:val="bottom"/>
            <w:shd w:val="clear" w:color="auto" w:fill="EEEEEE"/>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Golden Harbor Ltd.</w:t>
            </w:r>
            <w:r>
              <w:rPr>
                <w:rFonts w:ascii="Times New Roman" w:cs="Times New Roman" w:eastAsia="Times New Roman" w:hAnsi="Times New Roman"/>
                <w:sz w:val="28"/>
                <w:szCs w:val="28"/>
                <w:color w:val="auto"/>
                <w:vertAlign w:val="superscript"/>
              </w:rPr>
              <w:t>(1)</w:t>
            </w:r>
          </w:p>
        </w:tc>
        <w:tc>
          <w:tcPr>
            <w:tcW w:w="174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2,805,877</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531,841</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3,337,718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Cay House</w:t>
            </w: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EP Taylor Drive N7776</w:t>
            </w: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Lyford Cay</w:t>
            </w: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New Providence C5</w:t>
            </w: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960" w:type="dxa"/>
            <w:vAlign w:val="bottom"/>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North Sound Management, Inc.</w:t>
            </w:r>
            <w:r>
              <w:rPr>
                <w:rFonts w:ascii="Times New Roman" w:cs="Times New Roman" w:eastAsia="Times New Roman" w:hAnsi="Times New Roman"/>
                <w:sz w:val="29"/>
                <w:szCs w:val="29"/>
                <w:color w:val="auto"/>
                <w:vertAlign w:val="superscript"/>
              </w:rPr>
              <w:t>(2)</w:t>
            </w:r>
          </w:p>
        </w:tc>
        <w:tc>
          <w:tcPr>
            <w:tcW w:w="174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2,135,156</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1,174,450</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3,309,609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 Edward E. Murphy</w:t>
            </w:r>
          </w:p>
        </w:tc>
        <w:tc>
          <w:tcPr>
            <w:tcW w:w="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5746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115 East Putnam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ind w:left="460" w:right="80" w:hanging="452"/>
        <w:spacing w:after="0" w:line="253"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by Golden Harbor Ltd. and Joe Lewis with the SEC on November 12, 2024, a Form 4 filed by Tavistock Holdings, Inc. and Joe Lewis on September 15, 2025, and information provided by the holder. Represents shares beneficially owned by Golden Harbor Ltd., Tavistock Holdings, Inc., South Ocean Funding, LLC and/or Braslyn Ltd., each of which is controlled by Joe Lewis. Total shares of common stock beneficially owned includes 465,385 shares issuable upon exercise of Loan Warrants (as defined under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Short-Term Loan Agreement and Exchange Transactions</w:t>
      </w:r>
      <w:r>
        <w:rPr>
          <w:rFonts w:ascii="Times New Roman" w:cs="Times New Roman" w:eastAsia="Times New Roman" w:hAnsi="Times New Roman"/>
          <w:sz w:val="18"/>
          <w:szCs w:val="18"/>
          <w:color w:val="auto"/>
        </w:rPr>
        <w:t>” above) and 453,528 shares issuable upon the exercise of Exchange Warrants (as defined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Short-Term Loan Agreement and Exchange Transactions</w:t>
      </w:r>
      <w:r>
        <w:rPr>
          <w:rFonts w:ascii="Times New Roman" w:cs="Times New Roman" w:eastAsia="Times New Roman" w:hAnsi="Times New Roman"/>
          <w:sz w:val="18"/>
          <w:szCs w:val="18"/>
          <w:color w:val="auto"/>
        </w:rPr>
        <w:t>” above), subject to exercise limitation provisions (the “Exercise Limitation Provisions”) in the Loan Warrants and the Exchange Warrants. Under the terms of the Exercise Limitation Provisions, a stockholder may not exercise any such warrants to the extent such exercise would cause such stockholder, together with its affiliates and attribution parties, to beneficially own a number of shares of Common Stock which would exceed 19.99% of our then outstanding Common Stock following such exercise, excluding for purposes of such determination shares of Common Stock issuable upon exercise of such warrants which have not been exercised.</w:t>
      </w:r>
    </w:p>
    <w:p>
      <w:pPr>
        <w:spacing w:after="0" w:line="191" w:lineRule="exact"/>
        <w:rPr>
          <w:rFonts w:ascii="Times New Roman" w:cs="Times New Roman" w:eastAsia="Times New Roman" w:hAnsi="Times New Roman"/>
          <w:sz w:val="18"/>
          <w:szCs w:val="18"/>
          <w:color w:val="auto"/>
        </w:rPr>
      </w:pPr>
    </w:p>
    <w:p>
      <w:pPr>
        <w:ind w:left="460" w:right="20" w:hanging="452"/>
        <w:spacing w:after="0" w:line="271"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 filed by North Sound Management, Inc. (“NS Manager”), North Sound Trading, LP (“NS Trading”) and Brian Miller with the SEC on November 14, 2024, a Form 4 filed by NS Manager, NS Trading, and Brian Miller with the SEC on November 17, 2025, and information provided by the holder. Represents shares beneficially owned by North Sound Trading, LP, North Sound Management, Inc., and Brian Miller. Total shares of common stock beneficially owned includes up to 84,615 shares issuable upon the exercise of Loan Warrants and 1,089,835 shares issuable upon the exercise of Exchange Warrants, subject to the Exercise Limitation Provisions in the Loan Warrants and the Exchange Warrants. NS Trading was formed in order to engage in the acquiring, holding and disposing of investments in various companies. NS Manager was formed to act as the general partner of NS Trading, to make investments through NS Trading and to fulfill such other purposes as may be determined by NS Manager and Mr. Brian Miller from time to time. Mr. Miller is the sole shareholder of NS Manager. Accordingly, NS Manager and Mr. Miller each may be deemed to be a beneficial owner of the Common Stock and warrants held by NS Trading. Mr. Miller is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APPOINTMENT OF THE COMPANY’S INDEPENDENT REGISTERED PUBLIC ACCOUNTING FIRM</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Marcum LLP (“Marcum”) audited our consolidated financial statements for the fiscal year ended December 31, 2024. On November 1, 2024, CBIZ CPAs P.C. (“CBIZ”) acquired (the “Acquisition”) the attest business of Marcum LLP (“Marcum”). Accordingly, on April 10, 2025, and as reported in our Current Report on Form 8-K filed with the SEC on that date, as a result of the Acquisition, Marcum resigned as the named audit firm of the Company and was replaced by CBIZ as the Company’s independent registered public accounting firm on the same date. The engagement of CBIZ was approved by the Audit Committee, which appointed CBIZ as our independent registered public accounting firm for the year ending December 31, 2025, effective beginning with the review of our condensed consolidated financial statements for the quarter ended March 31, 2025.</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Board is asking stockholders to ratify this appointment. Although SEC regulations require the Company’s independent registered public accounting firm to be engaged, retained and supervised by the Audit Committee, the Board considers the selection of an independent registered public accounting firm to be an important matter to stockholders and considers a proposal for stockholders to ratify such appointment to be an opportunity for stockholders to provide input to the Audit Committee and the Board on a key corporate governance issue. In the event that our stockholders do not ratify the appointment, it will be considered as a direction to our Audit Committee to consider the selection of a different firm.</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Representatives of CBIZ are expected to be present at the Annual Meeting and will be offered the opportunity to make a statement if they so desire. They will also be available to answer questions.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reports of Marcum regarding our consolidated financial statements for the years ended December 31, 2024 and 2023 did not contain any adverse opinion or disclaimer of opinion and were not qualified or modified as to uncertainty, audit scope, or accounting principles.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2024 and 2023, and through April 10, 2025, the date of Marcum’s resignation due to the Acquisition,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the subject matter of the disagreements in connection with Marcum’s reports on our financial statements, and (b) no “reportable events” (as defined in Item 304(a)(1)(v) of Regulation S-K and the related instructions), except for the material weaknesses in our internal control over financial reporting previously disclosed under Part II, Item 9A of our Annual Report on Form 10-K for the year ended December 31, 2023.</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engaging CBIZ, neither we nor anyone acting on our behalf consulted CBIZ regarding (i) the application of accounting principles to a specified transaction, either completed or proposed, or the type of audit opinion that might be rendered on our financial statements, and no written report was provided to the Company or oral advice was provided that CBIZ concluded was an important factor considered by the Company in reaching a decision as to the accounting, auditing or financial reporting issue, or (ii) any matter that was either the subject of a disagreement (as described in Item 304(a)(1)(iv) of Regulation S-K and the related instructions) or a reportable event (as described in Item 304(a)(1)(v) of Regulation S-K and the related instructions).</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provided Marcum with a copy of the disclosures above prior to its filing with the SEC and requested that Marcum furnish the Company with a letter addressed to the SEC stating whether it agrees with the above statements and, if it does not agree, the respects in which it does not agree. A copy of the letter was filed as Exhibit 16.1 to our Current Report on Form 8-K filed with the SEC on April 10,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Marcum LLP served as our independent registered public accounting firm for 2024 and CBIZ served as our independent registered public accounting firm for 2025. The following table sets forth fees for services rendered by Marcum LLP for 2024 and CBIZ for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EEEEEE"/>
            </w:tcBorders>
          </w:tcPr>
          <w:p>
            <w:pPr>
              <w:spacing w:after="0"/>
              <w:rPr>
                <w:sz w:val="20"/>
                <w:szCs w:val="20"/>
                <w:color w:val="auto"/>
              </w:rPr>
            </w:pPr>
          </w:p>
        </w:tc>
        <w:tc>
          <w:tcPr>
            <w:tcW w:w="3040" w:type="dxa"/>
            <w:vAlign w:val="bottom"/>
            <w:tcBorders>
              <w:bottom w:val="single" w:sz="8" w:color="EEEEEE"/>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20"/>
                <w:szCs w:val="20"/>
                <w:color w:val="auto"/>
              </w:rPr>
            </w:pPr>
          </w:p>
        </w:tc>
      </w:tr>
      <w:tr>
        <w:trPr>
          <w:trHeight w:val="237"/>
        </w:trPr>
        <w:tc>
          <w:tcPr>
            <w:tcW w:w="4620" w:type="dxa"/>
            <w:vAlign w:val="bottom"/>
            <w:shd w:val="clear" w:color="auto" w:fill="EEEEEE"/>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40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9"/>
              </w:rPr>
              <w:t>844,085</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860,050</w:t>
            </w: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3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Fees</w:t>
            </w:r>
          </w:p>
        </w:tc>
        <w:tc>
          <w:tcPr>
            <w:tcW w:w="30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844,085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860,050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8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principally of fees for the audits of our annual consolidated financial statements and internal control over financial reporting, and review of our interim consolidated financial statements.</w:t>
      </w: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primarily of fees for accounting consultations and any other audit attestation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Audit Committee annually reviews and pre-approves certain audit and non-audit services that may be provided by our independent registered public accounting firm and establishes and pre-approves the aggregate fee level for these services. Any proposed services that would cause us to exceed the pre-approved aggregate fee amount must be pre-approved by the Audit Committee. All audit and non-audit services for 2025 and 2024 were pre-approved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and Vote Required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Assuming that a quorum is present, the affirmative vote of the holders of a majority of the shares of our outstanding common stock present, in person or represented by proxy, and entitled to vote at the Annual Meeting is required to ratify the appointment of CBIZ. Abstentions will have the same effect as votes AGAINST this proposal. The ratification of the appointment of CBIZ as the Company’s independent registered public accounting firm for the fiscal year ending December 31, 2026, is considered a routine matter under applicable rules. A broker, dealer, bank or other nominee may generally vote on routine matters, and therefore no broker non-votes are expected in connection with this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OUR NAMED EXECUTIVE OFFICERS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we are asking stockholders to approve an advisory resolution on our executive compensation as reported in this Proxy Statement.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making decisions with respect to compensation for our executive officers, the Compensation Committee is guided by a pay-for-performance philosophy. The Compensation Committee believes that a significant portion of each executive’s total compensation opportunity should vary with achievement of the Company’s annual and long-term financial, operational and strategic goals. In designing the compensation program for our executive officers, the Compensation Committee seeks to achieve the following key objectives: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Motivate Executives</w:t>
      </w:r>
      <w:r>
        <w:rPr>
          <w:rFonts w:ascii="Times New Roman" w:cs="Times New Roman" w:eastAsia="Times New Roman" w:hAnsi="Times New Roman"/>
          <w:sz w:val="18"/>
          <w:szCs w:val="18"/>
          <w:color w:val="auto"/>
        </w:rPr>
        <w:t>. The compensation program should encourage our executive officers to achieve the Company’s annual and long-term goals.</w:t>
      </w:r>
    </w:p>
    <w:p>
      <w:pPr>
        <w:spacing w:after="0" w:line="22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Align Interests with Stockholders</w:t>
      </w:r>
      <w:r>
        <w:rPr>
          <w:rFonts w:ascii="Times New Roman" w:cs="Times New Roman" w:eastAsia="Times New Roman" w:hAnsi="Times New Roman"/>
          <w:sz w:val="18"/>
          <w:szCs w:val="18"/>
          <w:color w:val="auto"/>
        </w:rPr>
        <w:t>. The compensation program should align the interests of our executive officers with those of our stockholders, promoting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that will have a positive impact on total stockholder return over the long term.</w:t>
      </w:r>
    </w:p>
    <w:p>
      <w:pPr>
        <w:spacing w:after="0" w:line="158"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Attract and Retain Talented Executives</w:t>
      </w:r>
      <w:r>
        <w:rPr>
          <w:rFonts w:ascii="Times New Roman" w:cs="Times New Roman" w:eastAsia="Times New Roman" w:hAnsi="Times New Roman"/>
          <w:sz w:val="18"/>
          <w:szCs w:val="18"/>
          <w:color w:val="auto"/>
        </w:rPr>
        <w:t>. The compensation program should provide each executive officer with a total compensation opportunity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competitive. This objective is intended to ensure that we are able to attract and retain qualified executives while maintaining an appropriate cost structure for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executive compensation is structured in the manner that best serves the interests of the Company and its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asking stockholders to approve the following advisory resolution at the Annual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Inseego Corp. (the “Company”) approve, on an advisory and non-binding basis, the compensation of the Company’s named executive officers, as disclosed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result of the say-on-pay vote is non-binding on us and our Board and Compensation Committee. As a result, the Board and Compensation Committee retain discretion to change executive compensation from time to time if they conclude that such a change would be in the best interest of the Company. No determination has been made as to what action, if any, would be taken if our stockholders fail to approve our executive compensation. However, our Board and Compensation Committee value the opinions of stockholders and will carefully consider the result of the say-on-pay vote. We currently conduct say-on-pay votes on an annual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and Vote Required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Assuming that a quorum is present, approval of this proposal requires the affirmative vote of the holders of a majority of the shares of our outstanding common stock present in person or represented by proxy and entitled to vote on this proposal at the Annual Meeting. Because abstentions are counted as present for purposes of the vote on this matter but are not votes FOR this proposal, they have the same effect as votes AGAINST this proposal. Broker non-votes will not have any effect on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assists the Board in fulfilling its responsibility to oversee management’s implementation of the Company’s financial reporting process. The Audit Committee Charter can be viewed on the Company’s website at </w:t>
      </w:r>
      <w:r>
        <w:rPr>
          <w:rFonts w:ascii="Times New Roman" w:cs="Times New Roman" w:eastAsia="Times New Roman" w:hAnsi="Times New Roman"/>
          <w:sz w:val="18"/>
          <w:szCs w:val="18"/>
          <w:i w:val="1"/>
          <w:iCs w:val="1"/>
          <w:color w:val="auto"/>
        </w:rPr>
        <w:t>investor.inseego.com</w:t>
      </w:r>
      <w:r>
        <w:rPr>
          <w:rFonts w:ascii="Times New Roman" w:cs="Times New Roman" w:eastAsia="Times New Roman" w:hAnsi="Times New Roman"/>
          <w:sz w:val="18"/>
          <w:szCs w:val="18"/>
          <w:color w:val="auto"/>
        </w:rPr>
        <w:t xml:space="preserve"> under “Corporate Governance” and is available in print upon request. In discharging its oversight role, the Audit Committee reviewed and discussed the audited financial statements contained in the Company’s Annual Report on Form 10-K for the year ended December 31, 2025 with the Company’s management and its independent registered public accounting firm. Management is responsible for the financial statements and the reporting process, including the system of disclosure controls and procedures and internal control over financial reporting. The independent registered public accounting firm is responsible for expressing an opinion on the conformity of the Company’s financial statements with accounting principles generally accepted in the United States.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Audit Committee met with the independent registered public accounting firm and discussed the matters required to be discussed by the applicable requirements of the Public Company Accounting Oversight Board and the SEC. In addition, the Audit Committee discussed with the independent registered public accounting firm its independence from the Company and its management; received the written disclosures and the letter required by applicable requirements of the Public Company Accounting Oversight Board regarding the independent accountant’s communications with the Audit Committee concerning independence; and considered whether the provision of non-audit services was compatible with maintaining the accounting firm’s independence.</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outlined above, the Audit Committee recommended to the Board that the audited financial statements be included in the Company’s Annual Report on Form 10-K for the year ended December 31, 2025, for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Tuder,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 Avery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Syed Nabeel Anwar Bukhari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Harland</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Report of the Audit Committee is not “soliciting material,” is not deemed “filed” with the SEC, and shall not be deemed incorporated by reference by any general statement incorporating by reference this Proxy Statement into any filing of ours under the Securities Act of 1933, as amended, or under the Securities Exchange Act of 1934, as amended, except to the extent we specifically incorporate this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4" w:name="page45"/>
    <w:bookmarkEnd w:id="44"/>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96925"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Proposals for Inclusion in 2027 Proxy Statement</w:t>
      </w:r>
      <w:r>
        <w:rPr>
          <w:rFonts w:ascii="Times New Roman" w:cs="Times New Roman" w:eastAsia="Times New Roman" w:hAnsi="Times New Roman"/>
          <w:sz w:val="18"/>
          <w:szCs w:val="18"/>
          <w:color w:val="auto"/>
        </w:rPr>
        <w:t>. In order to be included in our proxy materials for our 2027 annual meeting of stockholders,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 or information about a proposed director candidate must be timely received in writing by the Company at Inseego Corp., Attention: Secretary, 9710 Scranton Road, Suite 200, San Diego, California 92121, by January 1, 2027, and otherwise comply with all requirements of the SEC, the General Corporation Law of Delaware and the Bylaws.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Stockholder Proposals to be presented at the 2027 Annual Meeting of Stockholders</w:t>
      </w:r>
      <w:r>
        <w:rPr>
          <w:rFonts w:ascii="Times New Roman" w:cs="Times New Roman" w:eastAsia="Times New Roman" w:hAnsi="Times New Roman"/>
          <w:sz w:val="18"/>
          <w:szCs w:val="18"/>
          <w:color w:val="auto"/>
        </w:rPr>
        <w:t>. If you do not wish to submit a proposal or information about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director candidate for inclusion in next year’s proxy materials, but instead wish to present it directly at the 2027 annual meeting of stockholders, you must give timely written notice of the proposal to our Secretary. To be timely, the notice must be received no earlier than February 16, 2027 and no later than the close of business on March 18, 2027. The notice must describe the stockholder proposal in reasonable detail and provide certain other information required by our Bylaws, a copy of which is available upon request from our Secretary at the above address.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anyone holding 10% or more of a registered class of our equity securities to file reports with the SEC showing their holdings of, and transactions in, these securities. Based solely on a review of copies of such reports we received, we believe that during 2025 all its reporting persons filed such reports on a timely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will furnish without charge, to each person whose proxy is solicited upon the written request of such person, a copy of our Annual Report on Form 10-K for the fiscal year ended December 31, 2025, as filed with the SEC, including the financial statements and financial statement schedules. In addition, upon request, the exhibits to that document will be furnished subject to payment of a specified fee. Requests for copies of these documents should be directed to: Inseego Corp., 9710 Scranton Road, Suite 200, San Diego, California 92121, Attention: Corporate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 AND OTHER MATTERS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to be presented for stockholder action at the Annual Meeting. However, if other matters do properly come before the Annual Meeting or any adjournment or postponements thereof, the Board intends that the persons named in the proxies will vote upon such matters in accordance with their best judgment.</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PLEASE VOTE YOUR SHARES ONLINE, BY TELEPHONE OR, IF YOU REQUESTED PRINTED COPIES OF THESE MATERIALS, BY SIGNING AND PROMPTLY RETURNING YOUR PROXY CARD IN THE POSTAGE-PAID ENVELOPE PROVIDED. YOU MAY REVOKE YOUR PROXY AT ANY TIME PRIOR TO THE ANNUAL MEETING. THANK YOU FOR YOUR ATTENTION TO THIS MATTER. YOUR PROMPT RESPONSE WILL GREATLY FACILITATE ARRANGEMENTS FOR THE ANNUAL MEETING.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149860</wp:posOffset>
            </wp:positionV>
            <wp:extent cx="7132320" cy="7415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741553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7021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70211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x"/>
      <w:numFmt w:val="bullet"/>
      <w:start w:val="1"/>
    </w:lvl>
  </w:abstractNum>
  <w:abstractNum w:abstractNumId="3">
    <w:nsid w:val="62BBD95A"/>
    <w:multiLevelType w:val="hybridMultilevel"/>
    <w:lvl w:ilvl="0">
      <w:lvlJc w:val="left"/>
      <w:lvlText w:val="o"/>
      <w:numFmt w:val="bullet"/>
      <w:start w:val="1"/>
    </w:lvl>
    <w:lvl w:ilvl="1">
      <w:lvlJc w:val="left"/>
      <w:lvlText w:val="(%2)"/>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I"/>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2)"/>
      <w:numFmt w:val="lowerRoman"/>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3"/>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4"/>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2026-04-23T05:28:28Z</dcterms:created>
  <dcterms:modified xsi:type="dcterms:W3CDTF">2026-04-23T05:28:28Z</dcterms:modified>
</cp:coreProperties>
</file>