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124460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58420</wp:posOffset>
            </wp:positionV>
            <wp:extent cx="1243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83"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1"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1"/>
        </w:trPr>
        <w:tc>
          <w:tcPr>
            <w:tcW w:w="4540" w:type="dxa"/>
            <w:vAlign w:val="bottom"/>
            <w:gridSpan w:val="4"/>
          </w:tcPr>
          <w:p>
            <w:pPr>
              <w:ind w:left="940"/>
              <w:spacing w:after="0"/>
              <w:rPr>
                <w:sz w:val="20"/>
                <w:szCs w:val="20"/>
                <w:color w:val="auto"/>
              </w:rPr>
            </w:pPr>
            <w:r>
              <w:rPr>
                <w:rFonts w:ascii="Arial" w:cs="Arial" w:eastAsia="Arial" w:hAnsi="Arial"/>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41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Pr>
          <w:p>
            <w:pPr>
              <w:ind w:left="20"/>
              <w:spacing w:after="0"/>
              <w:rPr>
                <w:sz w:val="20"/>
                <w:szCs w:val="20"/>
                <w:color w:val="auto"/>
              </w:rPr>
            </w:pPr>
            <w:r>
              <w:rPr>
                <w:rFonts w:ascii="Arial" w:cs="Arial" w:eastAsia="Arial" w:hAnsi="Arial"/>
                <w:sz w:val="32"/>
                <w:szCs w:val="32"/>
                <w:b w:val="1"/>
                <w:bCs w:val="1"/>
                <w:color w:val="auto"/>
              </w:rPr>
              <w:t>INSEEGO CORP.</w:t>
            </w:r>
          </w:p>
        </w:tc>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6"/>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660" w:type="dxa"/>
            <w:vAlign w:val="bottom"/>
            <w:gridSpan w:val="4"/>
          </w:tcPr>
          <w:p>
            <w:pPr>
              <w:ind w:left="52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6"/>
        </w:trPr>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60" w:type="dxa"/>
            <w:vAlign w:val="bottom"/>
          </w:tcPr>
          <w:p>
            <w:pPr>
              <w:spacing w:after="0"/>
              <w:rPr>
                <w:sz w:val="2"/>
                <w:szCs w:val="2"/>
                <w:color w:val="auto"/>
              </w:rPr>
            </w:pPr>
          </w:p>
        </w:tc>
      </w:tr>
      <w:tr>
        <w:trPr>
          <w:trHeight w:val="335"/>
        </w:trPr>
        <w:tc>
          <w:tcPr>
            <w:tcW w:w="60" w:type="dxa"/>
            <w:vAlign w:val="bottom"/>
          </w:tcPr>
          <w:p>
            <w:pPr>
              <w:spacing w:after="0"/>
              <w:rPr>
                <w:sz w:val="24"/>
                <w:szCs w:val="24"/>
                <w:color w:val="auto"/>
              </w:rPr>
            </w:pPr>
          </w:p>
        </w:tc>
        <w:tc>
          <w:tcPr>
            <w:tcW w:w="4340" w:type="dxa"/>
            <w:vAlign w:val="bottom"/>
            <w:gridSpan w:val="2"/>
          </w:tcPr>
          <w:p>
            <w:pPr>
              <w:jc w:val="center"/>
              <w:ind w:left="975"/>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spacing w:after="0"/>
              <w:rPr>
                <w:sz w:val="24"/>
                <w:szCs w:val="24"/>
                <w:color w:val="auto"/>
              </w:rPr>
            </w:pPr>
          </w:p>
        </w:tc>
        <w:tc>
          <w:tcPr>
            <w:tcW w:w="4020" w:type="dxa"/>
            <w:vAlign w:val="bottom"/>
            <w:gridSpan w:val="2"/>
          </w:tcPr>
          <w:p>
            <w:pPr>
              <w:jc w:val="right"/>
              <w:ind w:right="2148"/>
              <w:spacing w:after="0"/>
              <w:rPr>
                <w:sz w:val="20"/>
                <w:szCs w:val="20"/>
                <w:color w:val="auto"/>
              </w:rPr>
            </w:pPr>
            <w:r>
              <w:rPr>
                <w:rFonts w:ascii="Arial" w:cs="Arial" w:eastAsia="Arial" w:hAnsi="Arial"/>
                <w:sz w:val="18"/>
                <w:szCs w:val="18"/>
                <w:b w:val="1"/>
                <w:bCs w:val="1"/>
                <w:color w:val="auto"/>
              </w:rPr>
              <w:t>81-3377646</w:t>
            </w:r>
          </w:p>
        </w:tc>
      </w:tr>
      <w:tr>
        <w:trPr>
          <w:trHeight w:val="144"/>
        </w:trPr>
        <w:tc>
          <w:tcPr>
            <w:tcW w:w="60" w:type="dxa"/>
            <w:vAlign w:val="bottom"/>
          </w:tcPr>
          <w:p>
            <w:pPr>
              <w:spacing w:after="0"/>
              <w:rPr>
                <w:sz w:val="12"/>
                <w:szCs w:val="12"/>
                <w:color w:val="auto"/>
              </w:rPr>
            </w:pPr>
          </w:p>
        </w:tc>
        <w:tc>
          <w:tcPr>
            <w:tcW w:w="4340" w:type="dxa"/>
            <w:vAlign w:val="bottom"/>
            <w:gridSpan w:val="2"/>
          </w:tcPr>
          <w:p>
            <w:pPr>
              <w:jc w:val="center"/>
              <w:ind w:left="975"/>
              <w:spacing w:after="0" w:line="144" w:lineRule="exact"/>
              <w:rPr>
                <w:sz w:val="20"/>
                <w:szCs w:val="20"/>
                <w:color w:val="auto"/>
              </w:rPr>
            </w:pPr>
            <w:r>
              <w:rPr>
                <w:rFonts w:ascii="Arial" w:cs="Arial" w:eastAsia="Arial" w:hAnsi="Arial"/>
                <w:sz w:val="14"/>
                <w:szCs w:val="14"/>
                <w:b w:val="1"/>
                <w:bCs w:val="1"/>
                <w:color w:val="auto"/>
                <w:w w:val="94"/>
              </w:rPr>
              <w:t>(State or Other Jurisdiction</w:t>
            </w:r>
          </w:p>
        </w:tc>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60" w:type="dxa"/>
            <w:vAlign w:val="bottom"/>
          </w:tcPr>
          <w:p>
            <w:pPr>
              <w:jc w:val="center"/>
              <w:ind w:right="1748"/>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 w:type="dxa"/>
            <w:vAlign w:val="bottom"/>
          </w:tcPr>
          <w:p>
            <w:pPr>
              <w:spacing w:after="0"/>
              <w:rPr>
                <w:sz w:val="16"/>
                <w:szCs w:val="16"/>
                <w:color w:val="auto"/>
              </w:rPr>
            </w:pPr>
          </w:p>
        </w:tc>
        <w:tc>
          <w:tcPr>
            <w:tcW w:w="4340" w:type="dxa"/>
            <w:vAlign w:val="bottom"/>
            <w:gridSpan w:val="2"/>
          </w:tcPr>
          <w:p>
            <w:pPr>
              <w:jc w:val="center"/>
              <w:ind w:left="975"/>
              <w:spacing w:after="0"/>
              <w:rPr>
                <w:sz w:val="20"/>
                <w:szCs w:val="20"/>
                <w:color w:val="auto"/>
              </w:rPr>
            </w:pPr>
            <w:r>
              <w:rPr>
                <w:rFonts w:ascii="Arial" w:cs="Arial" w:eastAsia="Arial" w:hAnsi="Arial"/>
                <w:sz w:val="14"/>
                <w:szCs w:val="14"/>
                <w:b w:val="1"/>
                <w:bCs w:val="1"/>
                <w:color w:val="auto"/>
                <w:w w:val="94"/>
              </w:rPr>
              <w:t>of Incorporation or Organization)</w:t>
            </w:r>
          </w:p>
        </w:tc>
        <w:tc>
          <w:tcPr>
            <w:tcW w:w="2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60" w:type="dxa"/>
            <w:vAlign w:val="bottom"/>
          </w:tcPr>
          <w:p>
            <w:pPr>
              <w:jc w:val="center"/>
              <w:ind w:right="1748"/>
              <w:spacing w:after="0"/>
              <w:rPr>
                <w:sz w:val="20"/>
                <w:szCs w:val="20"/>
                <w:color w:val="auto"/>
              </w:rPr>
            </w:pPr>
            <w:r>
              <w:rPr>
                <w:rFonts w:ascii="Arial" w:cs="Arial" w:eastAsia="Arial" w:hAnsi="Arial"/>
                <w:sz w:val="14"/>
                <w:szCs w:val="14"/>
                <w:b w:val="1"/>
                <w:bCs w:val="1"/>
                <w:color w:val="auto"/>
                <w:w w:val="94"/>
              </w:rPr>
              <w:t>Identification No.)</w:t>
            </w:r>
          </w:p>
        </w:tc>
      </w:tr>
      <w:tr>
        <w:trPr>
          <w:trHeight w:val="281"/>
        </w:trPr>
        <w:tc>
          <w:tcPr>
            <w:tcW w:w="60" w:type="dxa"/>
            <w:vAlign w:val="bottom"/>
          </w:tcPr>
          <w:p>
            <w:pPr>
              <w:spacing w:after="0"/>
              <w:rPr>
                <w:sz w:val="24"/>
                <w:szCs w:val="24"/>
                <w:color w:val="auto"/>
              </w:rPr>
            </w:pPr>
          </w:p>
        </w:tc>
        <w:tc>
          <w:tcPr>
            <w:tcW w:w="4340" w:type="dxa"/>
            <w:vAlign w:val="bottom"/>
            <w:gridSpan w:val="2"/>
          </w:tcPr>
          <w:p>
            <w:pPr>
              <w:jc w:val="center"/>
              <w:ind w:left="975"/>
              <w:spacing w:after="0"/>
              <w:rPr>
                <w:sz w:val="20"/>
                <w:szCs w:val="20"/>
                <w:color w:val="auto"/>
              </w:rPr>
            </w:pPr>
            <w:r>
              <w:rPr>
                <w:rFonts w:ascii="Arial" w:cs="Arial" w:eastAsia="Arial" w:hAnsi="Arial"/>
                <w:sz w:val="18"/>
                <w:szCs w:val="18"/>
                <w:b w:val="1"/>
                <w:bCs w:val="1"/>
                <w:color w:val="auto"/>
                <w:w w:val="90"/>
              </w:rPr>
              <w:t>12600 Deerfield Parkway, Suite 100</w:t>
            </w:r>
          </w:p>
        </w:tc>
        <w:tc>
          <w:tcPr>
            <w:tcW w:w="2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5"/>
        </w:trPr>
        <w:tc>
          <w:tcPr>
            <w:tcW w:w="60" w:type="dxa"/>
            <w:vAlign w:val="bottom"/>
          </w:tcPr>
          <w:p>
            <w:pPr>
              <w:spacing w:after="0"/>
              <w:rPr>
                <w:sz w:val="19"/>
                <w:szCs w:val="19"/>
                <w:color w:val="auto"/>
              </w:rPr>
            </w:pPr>
          </w:p>
        </w:tc>
        <w:tc>
          <w:tcPr>
            <w:tcW w:w="4340" w:type="dxa"/>
            <w:vAlign w:val="bottom"/>
            <w:gridSpan w:val="2"/>
          </w:tcPr>
          <w:p>
            <w:pPr>
              <w:ind w:left="1800"/>
              <w:spacing w:after="0"/>
              <w:rPr>
                <w:sz w:val="20"/>
                <w:szCs w:val="20"/>
                <w:color w:val="auto"/>
              </w:rPr>
            </w:pPr>
            <w:r>
              <w:rPr>
                <w:rFonts w:ascii="Arial" w:cs="Arial" w:eastAsia="Arial" w:hAnsi="Arial"/>
                <w:sz w:val="18"/>
                <w:szCs w:val="18"/>
                <w:b w:val="1"/>
                <w:bCs w:val="1"/>
                <w:color w:val="auto"/>
              </w:rPr>
              <w:t>Alpharetta, Georgia</w:t>
            </w:r>
          </w:p>
        </w:tc>
        <w:tc>
          <w:tcPr>
            <w:tcW w:w="2820" w:type="dxa"/>
            <w:vAlign w:val="bottom"/>
          </w:tcPr>
          <w:p>
            <w:pPr>
              <w:spacing w:after="0"/>
              <w:rPr>
                <w:sz w:val="19"/>
                <w:szCs w:val="19"/>
                <w:color w:val="auto"/>
              </w:rPr>
            </w:pPr>
          </w:p>
        </w:tc>
        <w:tc>
          <w:tcPr>
            <w:tcW w:w="4020" w:type="dxa"/>
            <w:vAlign w:val="bottom"/>
            <w:gridSpan w:val="2"/>
          </w:tcPr>
          <w:p>
            <w:pPr>
              <w:jc w:val="right"/>
              <w:ind w:right="2348"/>
              <w:spacing w:after="0"/>
              <w:rPr>
                <w:sz w:val="20"/>
                <w:szCs w:val="20"/>
                <w:color w:val="auto"/>
              </w:rPr>
            </w:pPr>
            <w:r>
              <w:rPr>
                <w:rFonts w:ascii="Arial" w:cs="Arial" w:eastAsia="Arial" w:hAnsi="Arial"/>
                <w:sz w:val="18"/>
                <w:szCs w:val="18"/>
                <w:b w:val="1"/>
                <w:bCs w:val="1"/>
                <w:color w:val="auto"/>
              </w:rPr>
              <w:t>30004</w:t>
            </w:r>
          </w:p>
        </w:tc>
      </w:tr>
      <w:tr>
        <w:trPr>
          <w:trHeight w:val="186"/>
        </w:trPr>
        <w:tc>
          <w:tcPr>
            <w:tcW w:w="60" w:type="dxa"/>
            <w:vAlign w:val="bottom"/>
          </w:tcPr>
          <w:p>
            <w:pPr>
              <w:spacing w:after="0"/>
              <w:rPr>
                <w:sz w:val="16"/>
                <w:szCs w:val="16"/>
                <w:color w:val="auto"/>
              </w:rPr>
            </w:pPr>
          </w:p>
        </w:tc>
        <w:tc>
          <w:tcPr>
            <w:tcW w:w="4340" w:type="dxa"/>
            <w:vAlign w:val="bottom"/>
            <w:gridSpan w:val="2"/>
          </w:tcPr>
          <w:p>
            <w:pPr>
              <w:jc w:val="center"/>
              <w:ind w:left="99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60" w:type="dxa"/>
            <w:vAlign w:val="bottom"/>
          </w:tcPr>
          <w:p>
            <w:pPr>
              <w:jc w:val="center"/>
              <w:ind w:right="1768"/>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60" w:type="dxa"/>
            <w:vAlign w:val="bottom"/>
          </w:tcPr>
          <w:p>
            <w:pPr>
              <w:spacing w:after="0"/>
              <w:rPr>
                <w:sz w:val="24"/>
                <w:szCs w:val="24"/>
                <w:color w:val="auto"/>
              </w:rPr>
            </w:pPr>
          </w:p>
        </w:tc>
        <w:tc>
          <w:tcPr>
            <w:tcW w:w="11180" w:type="dxa"/>
            <w:vAlign w:val="bottom"/>
            <w:gridSpan w:val="5"/>
          </w:tcPr>
          <w:p>
            <w:pPr>
              <w:ind w:left="298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24"/>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4340" w:type="dxa"/>
            <w:vAlign w:val="bottom"/>
            <w:tcBorders>
              <w:bottom w:val="single" w:sz="8" w:color="auto"/>
            </w:tcBorders>
            <w:gridSpan w:val="2"/>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gridSpan w:val="2"/>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Title of each class</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0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2"/>
        </w:trPr>
        <w:tc>
          <w:tcPr>
            <w:tcW w:w="60" w:type="dxa"/>
            <w:vAlign w:val="bottom"/>
            <w:tcBorders>
              <w:right w:val="single" w:sz="8" w:color="auto"/>
            </w:tcBorders>
          </w:tcPr>
          <w:p>
            <w:pPr>
              <w:spacing w:after="0"/>
              <w:rPr>
                <w:sz w:val="19"/>
                <w:szCs w:val="19"/>
                <w:color w:val="auto"/>
              </w:rPr>
            </w:pPr>
          </w:p>
        </w:tc>
        <w:tc>
          <w:tcPr>
            <w:tcW w:w="43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$0.001 per share</w:t>
            </w:r>
          </w:p>
        </w:tc>
        <w:tc>
          <w:tcPr>
            <w:tcW w:w="2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INSG</w:t>
            </w:r>
          </w:p>
        </w:tc>
        <w:tc>
          <w:tcPr>
            <w:tcW w:w="4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Nasdaq Global Select Market</w:t>
            </w:r>
          </w:p>
        </w:tc>
      </w:tr>
      <w:tr>
        <w:trPr>
          <w:trHeight w:val="230"/>
        </w:trPr>
        <w:tc>
          <w:tcPr>
            <w:tcW w:w="60" w:type="dxa"/>
            <w:vAlign w:val="bottom"/>
            <w:tcBorders>
              <w:right w:val="single" w:sz="8" w:color="auto"/>
            </w:tcBorders>
          </w:tcPr>
          <w:p>
            <w:pPr>
              <w:spacing w:after="0"/>
              <w:rPr>
                <w:sz w:val="20"/>
                <w:szCs w:val="20"/>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 Purchase Rights</w:t>
            </w:r>
          </w:p>
        </w:tc>
        <w:tc>
          <w:tcPr>
            <w:tcW w:w="28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r>
    </w:tbl>
    <w:p>
      <w:pPr>
        <w:spacing w:after="0" w:line="8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10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4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November 3, 2020 was 98,880,267.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b w:val="1"/>
                <w:bCs w:val="1"/>
                <w:color w:val="auto"/>
                <w:w w:val="89"/>
              </w:rPr>
              <w:t>Page</w:t>
            </w:r>
          </w:p>
        </w:tc>
      </w:tr>
      <w:tr>
        <w:trPr>
          <w:trHeight w:val="297"/>
        </w:trPr>
        <w:tc>
          <w:tcPr>
            <w:tcW w:w="10640" w:type="dxa"/>
            <w:vAlign w:val="bottom"/>
            <w:gridSpan w:val="2"/>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9820" w:type="dxa"/>
            <w:vAlign w:val="bottom"/>
          </w:tcPr>
          <w:p>
            <w:pPr>
              <w:ind w:left="120"/>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5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2">
              <w:r>
                <w:rPr>
                  <w:rFonts w:ascii="Arial" w:cs="Arial" w:eastAsia="Arial" w:hAnsi="Arial"/>
                  <w:sz w:val="18"/>
                  <w:szCs w:val="18"/>
                  <w:color w:val="0000FF"/>
                </w:rPr>
                <w:t>Condensed Consolidated Balance Sheets (Unaudited)</w:t>
              </w:r>
            </w:hyperlink>
          </w:p>
        </w:tc>
        <w:tc>
          <w:tcPr>
            <w:tcW w:w="5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(Unaudited)</w:t>
              </w:r>
            </w:hyperlink>
          </w:p>
        </w:tc>
        <w:tc>
          <w:tcPr>
            <w:tcW w:w="5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Deficit (Unaudited)</w:t>
              </w:r>
            </w:hyperlink>
          </w:p>
        </w:tc>
        <w:tc>
          <w:tcPr>
            <w:tcW w:w="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58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58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9820" w:type="dxa"/>
            <w:vAlign w:val="bottom"/>
          </w:tcPr>
          <w:p>
            <w:pPr>
              <w:ind w:left="120"/>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58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9820" w:type="dxa"/>
            <w:vAlign w:val="bottom"/>
          </w:tcPr>
          <w:p>
            <w:pPr>
              <w:ind w:left="120"/>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58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9820" w:type="dxa"/>
            <w:vAlign w:val="bottom"/>
          </w:tcPr>
          <w:p>
            <w:pPr>
              <w:ind w:left="120"/>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58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20" w:type="dxa"/>
            <w:vAlign w:val="bottom"/>
          </w:tcPr>
          <w:p>
            <w:pPr>
              <w:spacing w:after="0"/>
              <w:rPr>
                <w:sz w:val="24"/>
                <w:szCs w:val="24"/>
                <w:color w:val="auto"/>
              </w:rPr>
            </w:pPr>
          </w:p>
        </w:tc>
      </w:tr>
      <w:tr>
        <w:trPr>
          <w:trHeight w:val="338"/>
        </w:trPr>
        <w:tc>
          <w:tcPr>
            <w:tcW w:w="10640" w:type="dxa"/>
            <w:vAlign w:val="bottom"/>
            <w:gridSpan w:val="2"/>
          </w:tcPr>
          <w:p>
            <w:pPr>
              <w:ind w:left="40"/>
              <w:spacing w:after="0"/>
              <w:rPr>
                <w:rFonts w:ascii="Arial" w:cs="Arial" w:eastAsia="Arial" w:hAnsi="Arial"/>
                <w:sz w:val="18"/>
                <w:szCs w:val="18"/>
                <w:color w:val="0000FF"/>
              </w:rPr>
            </w:pPr>
            <w:hyperlink w:anchor="page37">
              <w:r>
                <w:rPr>
                  <w:rFonts w:ascii="Arial" w:cs="Arial" w:eastAsia="Arial" w:hAnsi="Arial"/>
                  <w:sz w:val="18"/>
                  <w:szCs w:val="18"/>
                  <w:color w:val="0000FF"/>
                </w:rPr>
                <w:t>PART II—OTHER INFORMATION</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9820" w:type="dxa"/>
            <w:vAlign w:val="bottom"/>
          </w:tcPr>
          <w:p>
            <w:pPr>
              <w:ind w:left="120"/>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58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20"/>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58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9820" w:type="dxa"/>
            <w:vAlign w:val="bottom"/>
          </w:tcPr>
          <w:p>
            <w:pPr>
              <w:ind w:left="120"/>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58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9820" w:type="dxa"/>
            <w:vAlign w:val="bottom"/>
          </w:tcPr>
          <w:p>
            <w:pPr>
              <w:ind w:left="120"/>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58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9820" w:type="dxa"/>
            <w:vAlign w:val="bottom"/>
          </w:tcPr>
          <w:p>
            <w:pPr>
              <w:ind w:left="120"/>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58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9820" w:type="dxa"/>
            <w:vAlign w:val="bottom"/>
          </w:tcPr>
          <w:p>
            <w:pPr>
              <w:ind w:left="120"/>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58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9820" w:type="dxa"/>
            <w:vAlign w:val="bottom"/>
          </w:tcPr>
          <w:p>
            <w:pPr>
              <w:ind w:left="120"/>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58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c>
          <w:tcPr>
            <w:tcW w:w="20" w:type="dxa"/>
            <w:vAlign w:val="bottom"/>
          </w:tcPr>
          <w:p>
            <w:pPr>
              <w:spacing w:after="0"/>
              <w:rPr>
                <w:sz w:val="24"/>
                <w:szCs w:val="24"/>
                <w:color w:val="auto"/>
              </w:rPr>
            </w:pPr>
          </w:p>
        </w:tc>
      </w:tr>
      <w:tr>
        <w:trPr>
          <w:trHeight w:val="338"/>
        </w:trPr>
        <w:tc>
          <w:tcPr>
            <w:tcW w:w="10640" w:type="dxa"/>
            <w:vAlign w:val="bottom"/>
            <w:gridSpan w:val="2"/>
          </w:tcPr>
          <w:p>
            <w:pPr>
              <w:ind w:left="40"/>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58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c>
          <w:tcPr>
            <w:tcW w:w="20" w:type="dxa"/>
            <w:vAlign w:val="bottom"/>
          </w:tcPr>
          <w:p>
            <w:pPr>
              <w:spacing w:after="0"/>
              <w:rPr>
                <w:sz w:val="24"/>
                <w:szCs w:val="24"/>
                <w:color w:val="auto"/>
              </w:rPr>
            </w:pPr>
          </w:p>
        </w:tc>
      </w:tr>
      <w:tr>
        <w:trPr>
          <w:trHeight w:val="1208"/>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8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398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12,074</w:t>
            </w: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Accounts receivable, net of allowance for doubtful accounts of $1,701 and $2,133, respectively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38,042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19,656</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25,290</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7,117</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115,239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64,137</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Arial" w:cs="Arial" w:eastAsia="Arial" w:hAnsi="Arial"/>
                <w:sz w:val="16"/>
                <w:szCs w:val="16"/>
                <w:color w:val="auto"/>
              </w:rPr>
              <w:t>Property, plant and equipment, net of accumulated depreciation of $18,606 and $16,017, respectively</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10,756</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Rental assets, net of accumulated depreciation of $13,934 and $12,791,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0" w:type="dxa"/>
            <w:vAlign w:val="bottom"/>
          </w:tcPr>
          <w:p>
            <w:pPr>
              <w:spacing w:after="0"/>
              <w:rPr>
                <w:sz w:val="1"/>
                <w:szCs w:val="1"/>
                <w:color w:val="auto"/>
              </w:rPr>
            </w:pPr>
          </w:p>
        </w:tc>
      </w:tr>
      <w:tr>
        <w:trPr>
          <w:trHeight w:val="213"/>
        </w:trPr>
        <w:tc>
          <w:tcPr>
            <w:tcW w:w="8560" w:type="dxa"/>
            <w:vAlign w:val="bottom"/>
          </w:tcPr>
          <w:p>
            <w:pPr>
              <w:spacing w:after="0"/>
              <w:rPr>
                <w:sz w:val="20"/>
                <w:szCs w:val="20"/>
                <w:color w:val="auto"/>
              </w:rPr>
            </w:pPr>
            <w:r>
              <w:rPr>
                <w:rFonts w:ascii="Arial" w:cs="Arial" w:eastAsia="Arial" w:hAnsi="Arial"/>
                <w:sz w:val="16"/>
                <w:szCs w:val="16"/>
                <w:color w:val="auto"/>
              </w:rPr>
              <w:t>Intangible assets, net of accumulated amortization of $40,772 and $33,011, respectively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51,974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44,392</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33,659</w:t>
            </w:r>
          </w:p>
        </w:tc>
        <w:tc>
          <w:tcPr>
            <w:tcW w:w="0" w:type="dxa"/>
            <w:vAlign w:val="bottom"/>
          </w:tcPr>
          <w:p>
            <w:pPr>
              <w:spacing w:after="0"/>
              <w:rPr>
                <w:sz w:val="1"/>
                <w:szCs w:val="1"/>
                <w:color w:val="auto"/>
              </w:rPr>
            </w:pPr>
          </w:p>
        </w:tc>
      </w:tr>
      <w:tr>
        <w:trPr>
          <w:trHeight w:val="213"/>
        </w:trPr>
        <w:tc>
          <w:tcPr>
            <w:tcW w:w="8560" w:type="dxa"/>
            <w:vAlign w:val="bottom"/>
          </w:tcPr>
          <w:p>
            <w:pPr>
              <w:spacing w:after="0"/>
              <w:rPr>
                <w:sz w:val="20"/>
                <w:szCs w:val="20"/>
                <w:color w:val="auto"/>
              </w:rPr>
            </w:pPr>
            <w:r>
              <w:rPr>
                <w:rFonts w:ascii="Arial" w:cs="Arial" w:eastAsia="Arial" w:hAnsi="Arial"/>
                <w:sz w:val="16"/>
                <w:szCs w:val="16"/>
                <w:color w:val="auto"/>
              </w:rPr>
              <w:t>Right-of-use assets,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3"/>
        </w:trPr>
        <w:tc>
          <w:tcPr>
            <w:tcW w:w="856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223,739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161,373</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shd w:val="clear" w:color="auto" w:fill="CCEEFF"/>
          </w:tcPr>
          <w:p>
            <w:pPr>
              <w:ind w:left="2500"/>
              <w:spacing w:after="0"/>
              <w:rPr>
                <w:sz w:val="20"/>
                <w:szCs w:val="20"/>
                <w:color w:val="auto"/>
              </w:rPr>
            </w:pPr>
            <w:r>
              <w:rPr>
                <w:rFonts w:ascii="Arial" w:cs="Arial" w:eastAsia="Arial" w:hAnsi="Arial"/>
                <w:sz w:val="16"/>
                <w:szCs w:val="16"/>
                <w:b w:val="1"/>
                <w:bCs w:val="1"/>
                <w:color w:val="auto"/>
              </w:rPr>
              <w:t>LIABILITIES AND STOCKHOLDERS’ DEFICIT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56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26,482</w:t>
            </w: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17,861</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DigiCore bank facilities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44,530</w:t>
            </w: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2025 Notes,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162,839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2022 Notes,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101,334</w:t>
            </w: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Term loan, net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46,538</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liabilities,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13"/>
        </w:trPr>
        <w:tc>
          <w:tcPr>
            <w:tcW w:w="8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250,961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198,731</w:t>
            </w:r>
          </w:p>
        </w:tc>
        <w:tc>
          <w:tcPr>
            <w:tcW w:w="0" w:type="dxa"/>
            <w:vAlign w:val="bottom"/>
          </w:tcPr>
          <w:p>
            <w:pPr>
              <w:spacing w:after="0"/>
              <w:rPr>
                <w:sz w:val="1"/>
                <w:szCs w:val="1"/>
                <w:color w:val="auto"/>
              </w:rPr>
            </w:pPr>
          </w:p>
        </w:tc>
      </w:tr>
      <w:tr>
        <w:trPr>
          <w:trHeight w:val="193"/>
        </w:trPr>
        <w:tc>
          <w:tcPr>
            <w:tcW w:w="85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Preferred stock, par value $0.001; 2,000,000 shares authorized: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56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w w:val="93"/>
              </w:rPr>
              <w:t>Series E Preferred stock, par value $0.001; 39,500 and 10,000 shares designated, respectively, 35,000 and 10,000 shares</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5"/>
              </w:rPr>
              <w:t>issued and outstanding, respectively, liquidation preference of $1,000 per share (plus any accrued but unpaid dividends)</w:t>
            </w: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560" w:type="dxa"/>
            <w:vAlign w:val="bottom"/>
          </w:tcPr>
          <w:p>
            <w:pPr>
              <w:ind w:left="200"/>
              <w:spacing w:after="0" w:line="166" w:lineRule="exact"/>
              <w:rPr>
                <w:sz w:val="20"/>
                <w:szCs w:val="20"/>
                <w:color w:val="auto"/>
              </w:rPr>
            </w:pPr>
            <w:r>
              <w:rPr>
                <w:rFonts w:ascii="Arial" w:cs="Arial" w:eastAsia="Arial" w:hAnsi="Arial"/>
                <w:sz w:val="16"/>
                <w:szCs w:val="16"/>
                <w:color w:val="auto"/>
                <w:w w:val="93"/>
              </w:rPr>
              <w:t>Common stock, par value $0.001; 150,000,000 shares authorized, 98,788,531 and 81,974,051 shares issued and outstanding,</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9"/>
        </w:trPr>
        <w:tc>
          <w:tcPr>
            <w:tcW w:w="856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584,862</w:t>
            </w: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(718,829)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(618,303)</w:t>
            </w:r>
          </w:p>
        </w:tc>
        <w:tc>
          <w:tcPr>
            <w:tcW w:w="0" w:type="dxa"/>
            <w:vAlign w:val="bottom"/>
          </w:tcPr>
          <w:p>
            <w:pPr>
              <w:spacing w:after="0"/>
              <w:rPr>
                <w:sz w:val="1"/>
                <w:szCs w:val="1"/>
                <w:color w:val="auto"/>
              </w:rPr>
            </w:pPr>
          </w:p>
        </w:tc>
      </w:tr>
      <w:tr>
        <w:trPr>
          <w:trHeight w:val="207"/>
        </w:trPr>
        <w:tc>
          <w:tcPr>
            <w:tcW w:w="8560" w:type="dxa"/>
            <w:vAlign w:val="bottom"/>
          </w:tcPr>
          <w:p>
            <w:pPr>
              <w:ind w:left="760"/>
              <w:spacing w:after="0"/>
              <w:rPr>
                <w:sz w:val="20"/>
                <w:szCs w:val="20"/>
                <w:color w:val="auto"/>
              </w:rPr>
            </w:pPr>
            <w:r>
              <w:rPr>
                <w:rFonts w:ascii="Arial" w:cs="Arial" w:eastAsia="Arial" w:hAnsi="Arial"/>
                <w:sz w:val="16"/>
                <w:szCs w:val="16"/>
                <w:color w:val="auto"/>
              </w:rPr>
              <w:t>Total stockholders’ deficit attributable to Inseego Corp.</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(37,238)</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6"/>
        </w:trPr>
        <w:tc>
          <w:tcPr>
            <w:tcW w:w="85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deficit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(37,358)</w:t>
            </w:r>
          </w:p>
        </w:tc>
        <w:tc>
          <w:tcPr>
            <w:tcW w:w="0" w:type="dxa"/>
            <w:vAlign w:val="bottom"/>
          </w:tcPr>
          <w:p>
            <w:pPr>
              <w:spacing w:after="0"/>
              <w:rPr>
                <w:sz w:val="1"/>
                <w:szCs w:val="1"/>
                <w:color w:val="auto"/>
              </w:rPr>
            </w:pPr>
          </w:p>
        </w:tc>
      </w:tr>
      <w:tr>
        <w:trPr>
          <w:trHeight w:val="238"/>
        </w:trPr>
        <w:tc>
          <w:tcPr>
            <w:tcW w:w="85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223,739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161,373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216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16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1"/>
        </w:trPr>
        <w:tc>
          <w:tcPr>
            <w:tcW w:w="63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638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123,548</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43,615</w:t>
            </w:r>
          </w:p>
        </w:tc>
        <w:tc>
          <w:tcPr>
            <w:tcW w:w="0" w:type="dxa"/>
            <w:vAlign w:val="bottom"/>
          </w:tcPr>
          <w:p>
            <w:pPr>
              <w:spacing w:after="0"/>
              <w:rPr>
                <w:sz w:val="1"/>
                <w:szCs w:val="1"/>
                <w:color w:val="auto"/>
              </w:rPr>
            </w:pPr>
          </w:p>
        </w:tc>
      </w:tr>
      <w:tr>
        <w:trPr>
          <w:trHeight w:val="213"/>
        </w:trPr>
        <w:tc>
          <w:tcPr>
            <w:tcW w:w="63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167,163</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101,607</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16,616</w:t>
            </w:r>
          </w:p>
        </w:tc>
        <w:tc>
          <w:tcPr>
            <w:tcW w:w="0" w:type="dxa"/>
            <w:vAlign w:val="bottom"/>
          </w:tcPr>
          <w:p>
            <w:pPr>
              <w:spacing w:after="0"/>
              <w:rPr>
                <w:sz w:val="1"/>
                <w:szCs w:val="1"/>
                <w:color w:val="auto"/>
              </w:rPr>
            </w:pPr>
          </w:p>
        </w:tc>
      </w:tr>
      <w:tr>
        <w:trPr>
          <w:trHeight w:val="213"/>
        </w:trPr>
        <w:tc>
          <w:tcPr>
            <w:tcW w:w="63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118,223</w:t>
            </w:r>
          </w:p>
        </w:tc>
        <w:tc>
          <w:tcPr>
            <w:tcW w:w="0" w:type="dxa"/>
            <w:vAlign w:val="bottom"/>
          </w:tcPr>
          <w:p>
            <w:pPr>
              <w:spacing w:after="0"/>
              <w:rPr>
                <w:sz w:val="1"/>
                <w:szCs w:val="1"/>
                <w:color w:val="auto"/>
              </w:rPr>
            </w:pPr>
          </w:p>
        </w:tc>
      </w:tr>
      <w:tr>
        <w:trPr>
          <w:trHeight w:val="207"/>
        </w:trPr>
        <w:tc>
          <w:tcPr>
            <w:tcW w:w="63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64,397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48,940</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15,328</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20,769</w:t>
            </w: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21,086</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07"/>
        </w:trPr>
        <w:tc>
          <w:tcPr>
            <w:tcW w:w="63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costs and expenses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59,758</w:t>
            </w:r>
          </w:p>
        </w:tc>
        <w:tc>
          <w:tcPr>
            <w:tcW w:w="0" w:type="dxa"/>
            <w:vAlign w:val="bottom"/>
          </w:tcPr>
          <w:p>
            <w:pPr>
              <w:spacing w:after="0"/>
              <w:rPr>
                <w:sz w:val="1"/>
                <w:szCs w:val="1"/>
                <w:color w:val="auto"/>
              </w:rPr>
            </w:pPr>
          </w:p>
        </w:tc>
      </w:tr>
      <w:tr>
        <w:trPr>
          <w:trHeight w:val="21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(10,818)</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(15,336)</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6"/>
        </w:trPr>
        <w:tc>
          <w:tcPr>
            <w:tcW w:w="63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(98,248)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(26,220)</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(27,013)</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6"/>
        </w:trPr>
        <w:tc>
          <w:tcPr>
            <w:tcW w:w="6380" w:type="dxa"/>
            <w:vAlign w:val="bottom"/>
          </w:tcPr>
          <w:p>
            <w:pPr>
              <w:ind w:left="20"/>
              <w:spacing w:after="0"/>
              <w:rPr>
                <w:sz w:val="20"/>
                <w:szCs w:val="20"/>
                <w:color w:val="auto"/>
              </w:rPr>
            </w:pPr>
            <w:r>
              <w:rPr>
                <w:rFonts w:ascii="Arial" w:cs="Arial" w:eastAsia="Arial" w:hAnsi="Arial"/>
                <w:sz w:val="16"/>
                <w:szCs w:val="16"/>
                <w:color w:val="auto"/>
              </w:rPr>
              <w:t>Net loss attributable to Inseego Corp.</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(27,070)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Net loss attributable to common shareholders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(27,201)</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data:</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Net loss per common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computation of net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98,016,798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79,550,445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95,136,713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77,606,317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0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63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2019</w:t>
            </w:r>
          </w:p>
        </w:tc>
      </w:tr>
      <w:tr>
        <w:trPr>
          <w:trHeight w:val="211"/>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264"/>
              <w:spacing w:after="0"/>
              <w:rPr>
                <w:sz w:val="20"/>
                <w:szCs w:val="20"/>
                <w:color w:val="auto"/>
              </w:rPr>
            </w:pPr>
            <w:r>
              <w:rPr>
                <w:rFonts w:ascii="Arial" w:cs="Arial" w:eastAsia="Arial" w:hAnsi="Arial"/>
                <w:sz w:val="16"/>
                <w:szCs w:val="16"/>
                <w:color w:val="auto"/>
                <w:w w:val="90"/>
              </w:rPr>
              <w:t>(5,439)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(27,013)</w:t>
            </w:r>
          </w:p>
        </w:tc>
      </w:tr>
      <w:tr>
        <w:trPr>
          <w:trHeight w:val="213"/>
        </w:trPr>
        <w:tc>
          <w:tcPr>
            <w:tcW w:w="6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284"/>
              <w:spacing w:after="0"/>
              <w:rPr>
                <w:sz w:val="20"/>
                <w:szCs w:val="20"/>
                <w:color w:val="auto"/>
              </w:rPr>
            </w:pPr>
            <w:r>
              <w:rPr>
                <w:rFonts w:ascii="Arial" w:cs="Arial" w:eastAsia="Arial" w:hAnsi="Arial"/>
                <w:sz w:val="16"/>
                <w:szCs w:val="16"/>
                <w:color w:val="auto"/>
                <w:w w:val="89"/>
              </w:rPr>
              <w:t>1,170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w:t>
            </w:r>
          </w:p>
        </w:tc>
      </w:tr>
      <w:tr>
        <w:trPr>
          <w:trHeight w:val="23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center"/>
              <w:ind w:left="264"/>
              <w:spacing w:after="0"/>
              <w:rPr>
                <w:sz w:val="20"/>
                <w:szCs w:val="20"/>
                <w:color w:val="auto"/>
              </w:rPr>
            </w:pPr>
            <w:r>
              <w:rPr>
                <w:rFonts w:ascii="Arial" w:cs="Arial" w:eastAsia="Arial" w:hAnsi="Arial"/>
                <w:sz w:val="16"/>
                <w:szCs w:val="16"/>
                <w:color w:val="auto"/>
                <w:w w:val="90"/>
              </w:rPr>
              <w:t>(4,269)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520" w:type="dxa"/>
            <w:vAlign w:val="bottom"/>
            <w:gridSpan w:val="5"/>
          </w:tcPr>
          <w:p>
            <w:pPr>
              <w:ind w:left="280"/>
              <w:spacing w:after="0"/>
              <w:rPr>
                <w:sz w:val="20"/>
                <w:szCs w:val="20"/>
                <w:color w:val="auto"/>
              </w:rPr>
            </w:pPr>
            <w:r>
              <w:rPr>
                <w:rFonts w:ascii="Arial" w:cs="Arial" w:eastAsia="Arial" w:hAnsi="Arial"/>
                <w:sz w:val="13"/>
                <w:szCs w:val="13"/>
                <w:b w:val="1"/>
                <w:bCs w:val="1"/>
                <w:color w:val="auto"/>
              </w:rPr>
              <w:t>Preferred Stock</w:t>
            </w:r>
          </w:p>
        </w:tc>
        <w:tc>
          <w:tcPr>
            <w:tcW w:w="156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16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100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110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Noncontrolling</w:t>
            </w:r>
          </w:p>
        </w:tc>
        <w:tc>
          <w:tcPr>
            <w:tcW w:w="120" w:type="dxa"/>
            <w:vAlign w:val="bottom"/>
          </w:tcPr>
          <w:p>
            <w:pPr>
              <w:spacing w:after="0"/>
              <w:rPr>
                <w:sz w:val="4"/>
                <w:szCs w:val="4"/>
                <w:color w:val="auto"/>
              </w:rPr>
            </w:pPr>
          </w:p>
        </w:tc>
        <w:tc>
          <w:tcPr>
            <w:tcW w:w="900" w:type="dxa"/>
            <w:vAlign w:val="bottom"/>
          </w:tcPr>
          <w:p>
            <w:pPr>
              <w:jc w:val="center"/>
              <w:ind w:right="50"/>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Pr>
          <w:p>
            <w:pPr>
              <w:spacing w:after="0"/>
              <w:rPr>
                <w:sz w:val="15"/>
                <w:szCs w:val="15"/>
                <w:color w:val="auto"/>
              </w:rPr>
            </w:pPr>
          </w:p>
        </w:tc>
        <w:tc>
          <w:tcPr>
            <w:tcW w:w="900" w:type="dxa"/>
            <w:vAlign w:val="bottom"/>
          </w:tcPr>
          <w:p>
            <w:pPr>
              <w:jc w:val="center"/>
              <w:ind w:right="7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88"/>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2019</w:t>
            </w:r>
          </w:p>
        </w:tc>
        <w:tc>
          <w:tcPr>
            <w:tcW w:w="6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78,985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562,405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(596,081)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(37,328)</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(8,823)</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w w:val="93"/>
              </w:rPr>
              <w:t>restricted stock units and stock issued under</w:t>
            </w: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Issuance of Series E preferred shares</w:t>
            </w:r>
          </w:p>
        </w:tc>
        <w:tc>
          <w:tcPr>
            <w:tcW w:w="640" w:type="dxa"/>
            <w:vAlign w:val="bottom"/>
          </w:tcPr>
          <w:p>
            <w:pPr>
              <w:ind w:left="44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4"/>
                <w:szCs w:val="14"/>
                <w:color w:val="auto"/>
              </w:rPr>
              <w:t>Balance, September 30, 2019</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79,826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574,485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(7,789)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(605,018)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(38,320)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686,410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(41,928)</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Arial" w:cs="Arial" w:eastAsia="Arial" w:hAnsi="Arial"/>
                <w:sz w:val="14"/>
                <w:szCs w:val="14"/>
                <w:color w:val="auto"/>
              </w:rPr>
              <w:t>Net (loss) income</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(5,439)</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w w:val="93"/>
              </w:rPr>
              <w:t>restricted stock units and stock issued under</w:t>
            </w: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4"/>
                <w:szCs w:val="14"/>
                <w:color w:val="auto"/>
                <w:w w:val="91"/>
              </w:rPr>
              <w:t>Issuance of common shares under settlement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6"/>
        </w:trPr>
        <w:tc>
          <w:tcPr>
            <w:tcW w:w="2620" w:type="dxa"/>
            <w:vAlign w:val="bottom"/>
          </w:tcPr>
          <w:p>
            <w:pPr>
              <w:ind w:left="180"/>
              <w:spacing w:after="0"/>
              <w:rPr>
                <w:sz w:val="20"/>
                <w:szCs w:val="20"/>
                <w:color w:val="auto"/>
              </w:rPr>
            </w:pPr>
            <w:r>
              <w:rPr>
                <w:rFonts w:ascii="Arial" w:cs="Arial" w:eastAsia="Arial" w:hAnsi="Arial"/>
                <w:sz w:val="14"/>
                <w:szCs w:val="14"/>
                <w:color w:val="auto"/>
              </w:rPr>
              <w:t>agreement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 connection</w:t>
            </w: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the Notes Exchange</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4"/>
                <w:szCs w:val="14"/>
                <w:color w:val="auto"/>
                <w:w w:val="99"/>
              </w:rPr>
              <w:t>Issuance of common shares in connection</w:t>
            </w: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14,353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14,354</w:t>
            </w:r>
          </w:p>
        </w:tc>
        <w:tc>
          <w:tcPr>
            <w:tcW w:w="0" w:type="dxa"/>
            <w:vAlign w:val="bottom"/>
          </w:tcPr>
          <w:p>
            <w:pPr>
              <w:spacing w:after="0"/>
              <w:rPr>
                <w:sz w:val="1"/>
                <w:szCs w:val="1"/>
                <w:color w:val="auto"/>
              </w:rPr>
            </w:pPr>
          </w:p>
        </w:tc>
      </w:tr>
      <w:tr>
        <w:trPr>
          <w:trHeight w:val="186"/>
        </w:trPr>
        <w:tc>
          <w:tcPr>
            <w:tcW w:w="2620" w:type="dxa"/>
            <w:vAlign w:val="bottom"/>
          </w:tcPr>
          <w:p>
            <w:pPr>
              <w:ind w:left="180"/>
              <w:spacing w:after="0"/>
              <w:rPr>
                <w:sz w:val="20"/>
                <w:szCs w:val="20"/>
                <w:color w:val="auto"/>
              </w:rPr>
            </w:pPr>
            <w:r>
              <w:rPr>
                <w:rFonts w:ascii="Arial" w:cs="Arial" w:eastAsia="Arial" w:hAnsi="Arial"/>
                <w:sz w:val="14"/>
                <w:szCs w:val="14"/>
                <w:color w:val="auto"/>
              </w:rPr>
              <w:t>with conversion of 2025 Notes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2020</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(718,829)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520" w:type="dxa"/>
            <w:vAlign w:val="bottom"/>
            <w:gridSpan w:val="5"/>
          </w:tcPr>
          <w:p>
            <w:pPr>
              <w:ind w:left="280"/>
              <w:spacing w:after="0"/>
              <w:rPr>
                <w:sz w:val="20"/>
                <w:szCs w:val="20"/>
                <w:color w:val="auto"/>
              </w:rPr>
            </w:pPr>
            <w:r>
              <w:rPr>
                <w:rFonts w:ascii="Arial" w:cs="Arial" w:eastAsia="Arial" w:hAnsi="Arial"/>
                <w:sz w:val="13"/>
                <w:szCs w:val="13"/>
                <w:b w:val="1"/>
                <w:bCs w:val="1"/>
                <w:color w:val="auto"/>
              </w:rPr>
              <w:t>Preferred Stock</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1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100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110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Noncontrolling</w:t>
            </w:r>
          </w:p>
        </w:tc>
        <w:tc>
          <w:tcPr>
            <w:tcW w:w="260" w:type="dxa"/>
            <w:vAlign w:val="bottom"/>
          </w:tcPr>
          <w:p>
            <w:pPr>
              <w:spacing w:after="0"/>
              <w:rPr>
                <w:sz w:val="4"/>
                <w:szCs w:val="4"/>
                <w:color w:val="auto"/>
              </w:rPr>
            </w:pPr>
          </w:p>
        </w:tc>
        <w:tc>
          <w:tcPr>
            <w:tcW w:w="880" w:type="dxa"/>
            <w:vAlign w:val="bottom"/>
          </w:tcPr>
          <w:p>
            <w:pPr>
              <w:jc w:val="right"/>
              <w:ind w:right="370"/>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77"/>
        </w:trPr>
        <w:tc>
          <w:tcPr>
            <w:tcW w:w="254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Stockholders’Deficit</w:t>
            </w:r>
          </w:p>
        </w:tc>
        <w:tc>
          <w:tcPr>
            <w:tcW w:w="0" w:type="dxa"/>
            <w:vAlign w:val="bottom"/>
          </w:tcPr>
          <w:p>
            <w:pPr>
              <w:spacing w:after="0"/>
              <w:rPr>
                <w:sz w:val="1"/>
                <w:szCs w:val="1"/>
                <w:color w:val="auto"/>
              </w:rPr>
            </w:pPr>
          </w:p>
        </w:tc>
      </w:tr>
      <w:tr>
        <w:trPr>
          <w:trHeight w:val="188"/>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73,980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546,230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(577,817)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20"/>
                <w:szCs w:val="20"/>
                <w:color w:val="auto"/>
              </w:rPr>
            </w:pPr>
            <w:r>
              <w:rPr>
                <w:rFonts w:ascii="Arial" w:cs="Arial" w:eastAsia="Arial" w:hAnsi="Arial"/>
                <w:sz w:val="14"/>
                <w:szCs w:val="14"/>
                <w:color w:val="auto"/>
              </w:rPr>
              <w:t>Net (loss) income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(27,013)</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vesting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restricted stock units and stock issued</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under employee stock purchase plan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10,639</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Series E preferred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5,955</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574,485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(605,018)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20"/>
                <w:szCs w:val="20"/>
                <w:color w:val="auto"/>
              </w:rPr>
            </w:pPr>
            <w:r>
              <w:rPr>
                <w:rFonts w:ascii="Arial" w:cs="Arial" w:eastAsia="Arial" w:hAnsi="Arial"/>
                <w:sz w:val="14"/>
                <w:szCs w:val="14"/>
                <w:color w:val="auto"/>
              </w:rPr>
              <w:t>Net (loss) income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(98,470)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(98,441)</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vesting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restricted stock units and stock issued</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3,196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3,198</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under employee stock purchase plan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Issuance of Series E preferred stock</w:t>
            </w: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Issuance of Series E preferred stock in lieu</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interest</w:t>
            </w: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Repurchase of Series E preferred stock</w:t>
            </w: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Issuance of common shares in connection</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66,088</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private exchanges of 2022 Notes</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4"/>
                <w:szCs w:val="14"/>
                <w:color w:val="auto"/>
                <w:w w:val="96"/>
              </w:rPr>
              <w:t>Issuance of common shares in connection</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1,177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14,353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14,354</w:t>
            </w:r>
          </w:p>
        </w:tc>
        <w:tc>
          <w:tcPr>
            <w:tcW w:w="0" w:type="dxa"/>
            <w:vAlign w:val="bottom"/>
          </w:tcPr>
          <w:p>
            <w:pPr>
              <w:spacing w:after="0"/>
              <w:rPr>
                <w:sz w:val="1"/>
                <w:szCs w:val="1"/>
                <w:color w:val="auto"/>
              </w:rPr>
            </w:pPr>
          </w:p>
        </w:tc>
      </w:tr>
      <w:tr>
        <w:trPr>
          <w:trHeight w:val="186"/>
        </w:trPr>
        <w:tc>
          <w:tcPr>
            <w:tcW w:w="2540" w:type="dxa"/>
            <w:vAlign w:val="bottom"/>
          </w:tcPr>
          <w:p>
            <w:pPr>
              <w:ind w:left="180"/>
              <w:spacing w:after="0"/>
              <w:rPr>
                <w:sz w:val="20"/>
                <w:szCs w:val="20"/>
                <w:color w:val="auto"/>
              </w:rPr>
            </w:pPr>
            <w:r>
              <w:rPr>
                <w:rFonts w:ascii="Arial" w:cs="Arial" w:eastAsia="Arial" w:hAnsi="Arial"/>
                <w:sz w:val="14"/>
                <w:szCs w:val="14"/>
                <w:color w:val="auto"/>
              </w:rPr>
              <w:t>with conversion of 2025 Notes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8,188</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4"/>
                <w:szCs w:val="14"/>
                <w:color w:val="auto"/>
              </w:rPr>
              <w:t>Issuance of common shares under</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6"/>
        </w:trPr>
        <w:tc>
          <w:tcPr>
            <w:tcW w:w="2540" w:type="dxa"/>
            <w:vAlign w:val="bottom"/>
          </w:tcPr>
          <w:p>
            <w:pPr>
              <w:ind w:left="180"/>
              <w:spacing w:after="0"/>
              <w:rPr>
                <w:sz w:val="20"/>
                <w:szCs w:val="20"/>
                <w:color w:val="auto"/>
              </w:rPr>
            </w:pPr>
            <w:r>
              <w:rPr>
                <w:rFonts w:ascii="Arial" w:cs="Arial" w:eastAsia="Arial" w:hAnsi="Arial"/>
                <w:sz w:val="14"/>
                <w:szCs w:val="14"/>
                <w:color w:val="auto"/>
              </w:rPr>
              <w:t>settlement agreement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98,789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(718,829)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3"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Nine Months Ended</w:t>
      </w:r>
    </w:p>
    <w:p>
      <w:pPr>
        <w:jc w:val="center"/>
        <w:ind w:left="8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13335</wp:posOffset>
            </wp:positionV>
            <wp:extent cx="1594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5"/>
        </w:trPr>
        <w:tc>
          <w:tcPr>
            <w:tcW w:w="8700" w:type="dxa"/>
            <w:vAlign w:val="bottom"/>
          </w:tcPr>
          <w:p>
            <w:pPr>
              <w:ind w:left="20"/>
              <w:spacing w:after="0"/>
              <w:rPr>
                <w:sz w:val="20"/>
                <w:szCs w:val="20"/>
                <w:color w:val="auto"/>
              </w:rPr>
            </w:pPr>
            <w:r>
              <w:rPr>
                <w:rFonts w:ascii="Arial" w:cs="Arial" w:eastAsia="Arial" w:hAnsi="Arial"/>
                <w:sz w:val="15"/>
                <w:szCs w:val="15"/>
                <w:color w:val="auto"/>
              </w:rPr>
              <w:t>Cash flows from operating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loss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(27,013)</w:t>
            </w:r>
          </w:p>
        </w:tc>
        <w:tc>
          <w:tcPr>
            <w:tcW w:w="0" w:type="dxa"/>
            <w:vAlign w:val="bottom"/>
          </w:tcPr>
          <w:p>
            <w:pPr>
              <w:spacing w:after="0"/>
              <w:rPr>
                <w:sz w:val="1"/>
                <w:szCs w:val="1"/>
                <w:color w:val="auto"/>
              </w:rPr>
            </w:pPr>
          </w:p>
        </w:tc>
      </w:tr>
      <w:tr>
        <w:trPr>
          <w:trHeight w:val="198"/>
        </w:trPr>
        <w:tc>
          <w:tcPr>
            <w:tcW w:w="8700" w:type="dxa"/>
            <w:vAlign w:val="bottom"/>
          </w:tcPr>
          <w:p>
            <w:pPr>
              <w:ind w:left="20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12,770</w:t>
            </w:r>
          </w:p>
        </w:tc>
        <w:tc>
          <w:tcPr>
            <w:tcW w:w="0" w:type="dxa"/>
            <w:vAlign w:val="bottom"/>
          </w:tcPr>
          <w:p>
            <w:pPr>
              <w:spacing w:after="0"/>
              <w:rPr>
                <w:sz w:val="1"/>
                <w:szCs w:val="1"/>
                <w:color w:val="auto"/>
              </w:rPr>
            </w:pPr>
          </w:p>
        </w:tc>
      </w:tr>
      <w:tr>
        <w:trPr>
          <w:trHeight w:val="198"/>
        </w:trPr>
        <w:tc>
          <w:tcPr>
            <w:tcW w:w="8700" w:type="dxa"/>
            <w:vAlign w:val="bottom"/>
          </w:tcPr>
          <w:p>
            <w:pPr>
              <w:ind w:left="440"/>
              <w:spacing w:after="0"/>
              <w:rPr>
                <w:sz w:val="20"/>
                <w:szCs w:val="20"/>
                <w:color w:val="auto"/>
              </w:rPr>
            </w:pPr>
            <w:r>
              <w:rPr>
                <w:rFonts w:ascii="Arial" w:cs="Arial" w:eastAsia="Arial" w:hAnsi="Arial"/>
                <w:sz w:val="15"/>
                <w:szCs w:val="15"/>
                <w:color w:val="auto"/>
              </w:rPr>
              <w:t>Provision for bad debts, net of recoveries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691</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Provision for excess and obsolete inventory, net of recoveries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0" w:type="dxa"/>
            <w:vAlign w:val="bottom"/>
          </w:tcPr>
          <w:p>
            <w:pPr>
              <w:spacing w:after="0"/>
              <w:rPr>
                <w:sz w:val="1"/>
                <w:szCs w:val="1"/>
                <w:color w:val="auto"/>
              </w:rPr>
            </w:pPr>
          </w:p>
        </w:tc>
      </w:tr>
      <w:tr>
        <w:trPr>
          <w:trHeight w:val="198"/>
        </w:trPr>
        <w:tc>
          <w:tcPr>
            <w:tcW w:w="8700" w:type="dxa"/>
            <w:vAlign w:val="bottom"/>
          </w:tcPr>
          <w:p>
            <w:pPr>
              <w:ind w:left="440"/>
              <w:spacing w:after="0"/>
              <w:rPr>
                <w:sz w:val="20"/>
                <w:szCs w:val="20"/>
                <w:color w:val="auto"/>
              </w:rPr>
            </w:pPr>
            <w:r>
              <w:rPr>
                <w:rFonts w:ascii="Arial" w:cs="Arial" w:eastAsia="Arial" w:hAnsi="Arial"/>
                <w:sz w:val="15"/>
                <w:szCs w:val="15"/>
                <w:color w:val="auto"/>
              </w:rPr>
              <w:t>Share-based compensation expense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5,955</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debt discount and debt issuance costs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7,329</w:t>
            </w:r>
          </w:p>
        </w:tc>
        <w:tc>
          <w:tcPr>
            <w:tcW w:w="0" w:type="dxa"/>
            <w:vAlign w:val="bottom"/>
          </w:tcPr>
          <w:p>
            <w:pPr>
              <w:spacing w:after="0"/>
              <w:rPr>
                <w:sz w:val="1"/>
                <w:szCs w:val="1"/>
                <w:color w:val="auto"/>
              </w:rPr>
            </w:pPr>
          </w:p>
        </w:tc>
      </w:tr>
      <w:tr>
        <w:trPr>
          <w:trHeight w:val="198"/>
        </w:trPr>
        <w:tc>
          <w:tcPr>
            <w:tcW w:w="8700" w:type="dxa"/>
            <w:vAlign w:val="bottom"/>
          </w:tcPr>
          <w:p>
            <w:pPr>
              <w:ind w:left="440"/>
              <w:spacing w:after="0"/>
              <w:rPr>
                <w:sz w:val="20"/>
                <w:szCs w:val="20"/>
                <w:color w:val="auto"/>
              </w:rPr>
            </w:pPr>
            <w:r>
              <w:rPr>
                <w:rFonts w:ascii="Arial" w:cs="Arial" w:eastAsia="Arial" w:hAnsi="Arial"/>
                <w:sz w:val="15"/>
                <w:szCs w:val="15"/>
                <w:color w:val="auto"/>
              </w:rPr>
              <w:t>Fair value adjustment on derivative instrument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Loss on debt conversion and extinguishment,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Pr>
          <w:p>
            <w:pPr>
              <w:ind w:left="440"/>
              <w:spacing w:after="0"/>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1,349</w:t>
            </w:r>
          </w:p>
        </w:tc>
        <w:tc>
          <w:tcPr>
            <w:tcW w:w="0" w:type="dxa"/>
            <w:vAlign w:val="bottom"/>
          </w:tcPr>
          <w:p>
            <w:pPr>
              <w:spacing w:after="0"/>
              <w:rPr>
                <w:sz w:val="1"/>
                <w:szCs w:val="1"/>
                <w:color w:val="auto"/>
              </w:rPr>
            </w:pPr>
          </w:p>
        </w:tc>
      </w:tr>
      <w:tr>
        <w:trPr>
          <w:trHeight w:val="198"/>
        </w:trPr>
        <w:tc>
          <w:tcPr>
            <w:tcW w:w="8700" w:type="dxa"/>
            <w:vAlign w:val="bottom"/>
          </w:tcPr>
          <w:p>
            <w:pPr>
              <w:ind w:left="440"/>
              <w:spacing w:after="0"/>
              <w:rPr>
                <w:sz w:val="20"/>
                <w:szCs w:val="20"/>
                <w:color w:val="auto"/>
              </w:rPr>
            </w:pPr>
            <w:r>
              <w:rPr>
                <w:rFonts w:ascii="Arial" w:cs="Arial" w:eastAsia="Arial" w:hAnsi="Arial"/>
                <w:sz w:val="15"/>
                <w:szCs w:val="15"/>
                <w:color w:val="auto"/>
              </w:rPr>
              <w:t>Changes in assets and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(1,912)</w:t>
            </w:r>
          </w:p>
        </w:tc>
        <w:tc>
          <w:tcPr>
            <w:tcW w:w="0" w:type="dxa"/>
            <w:vAlign w:val="bottom"/>
          </w:tcPr>
          <w:p>
            <w:pPr>
              <w:spacing w:after="0"/>
              <w:rPr>
                <w:sz w:val="1"/>
                <w:szCs w:val="1"/>
                <w:color w:val="auto"/>
              </w:rPr>
            </w:pPr>
          </w:p>
        </w:tc>
      </w:tr>
      <w:tr>
        <w:trPr>
          <w:trHeight w:val="198"/>
        </w:trPr>
        <w:tc>
          <w:tcPr>
            <w:tcW w:w="8700" w:type="dxa"/>
            <w:vAlign w:val="bottom"/>
          </w:tcPr>
          <w:p>
            <w:pPr>
              <w:ind w:left="640"/>
              <w:spacing w:after="0"/>
              <w:rPr>
                <w:sz w:val="20"/>
                <w:szCs w:val="20"/>
                <w:color w:val="auto"/>
              </w:rPr>
            </w:pPr>
            <w:r>
              <w:rPr>
                <w:rFonts w:ascii="Arial" w:cs="Arial" w:eastAsia="Arial" w:hAnsi="Arial"/>
                <w:sz w:val="15"/>
                <w:szCs w:val="15"/>
                <w:color w:val="auto"/>
              </w:rPr>
              <w:t>Inventories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(2,525)</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Prepaid expenses and other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(4,535)</w:t>
            </w:r>
          </w:p>
        </w:tc>
        <w:tc>
          <w:tcPr>
            <w:tcW w:w="0" w:type="dxa"/>
            <w:vAlign w:val="bottom"/>
          </w:tcPr>
          <w:p>
            <w:pPr>
              <w:spacing w:after="0"/>
              <w:rPr>
                <w:sz w:val="1"/>
                <w:szCs w:val="1"/>
                <w:color w:val="auto"/>
              </w:rPr>
            </w:pPr>
          </w:p>
        </w:tc>
      </w:tr>
      <w:tr>
        <w:trPr>
          <w:trHeight w:val="198"/>
        </w:trPr>
        <w:tc>
          <w:tcPr>
            <w:tcW w:w="8700" w:type="dxa"/>
            <w:vAlign w:val="bottom"/>
          </w:tcPr>
          <w:p>
            <w:pPr>
              <w:ind w:left="640"/>
              <w:spacing w:after="0"/>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25,170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(8,887)</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Accrued expenses, income taxes, and other</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1,404</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CCEEFF"/>
            </w:tcBorders>
          </w:tcPr>
          <w:p>
            <w:pPr>
              <w:ind w:left="860"/>
              <w:spacing w:after="0"/>
              <w:rPr>
                <w:sz w:val="20"/>
                <w:szCs w:val="20"/>
                <w:color w:val="auto"/>
              </w:rPr>
            </w:pPr>
            <w:r>
              <w:rPr>
                <w:rFonts w:ascii="Arial" w:cs="Arial" w:eastAsia="Arial" w:hAnsi="Arial"/>
                <w:sz w:val="15"/>
                <w:szCs w:val="15"/>
                <w:color w:val="auto"/>
              </w:rPr>
              <w:t>Net cash provided by (used in) operating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(14,998)</w:t>
            </w:r>
          </w:p>
        </w:tc>
        <w:tc>
          <w:tcPr>
            <w:tcW w:w="0" w:type="dxa"/>
            <w:vAlign w:val="bottom"/>
          </w:tcPr>
          <w:p>
            <w:pPr>
              <w:spacing w:after="0"/>
              <w:rPr>
                <w:sz w:val="1"/>
                <w:szCs w:val="1"/>
                <w:color w:val="auto"/>
              </w:rPr>
            </w:pPr>
          </w:p>
        </w:tc>
      </w:tr>
      <w:tr>
        <w:trPr>
          <w:trHeight w:val="187"/>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700" w:type="dxa"/>
            <w:vAlign w:val="bottom"/>
          </w:tcPr>
          <w:p>
            <w:pPr>
              <w:ind w:left="200"/>
              <w:spacing w:after="0"/>
              <w:rPr>
                <w:sz w:val="20"/>
                <w:szCs w:val="20"/>
                <w:color w:val="auto"/>
              </w:rPr>
            </w:pPr>
            <w:r>
              <w:rPr>
                <w:rFonts w:ascii="Arial" w:cs="Arial" w:eastAsia="Arial" w:hAnsi="Arial"/>
                <w:sz w:val="15"/>
                <w:szCs w:val="15"/>
                <w:color w:val="auto"/>
              </w:rPr>
              <w:t>Purchases of property, plant and equipment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(4,169)</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the sale of property, plant and equipment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Additions to capitalized software development costs and purchases of intangible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(16,800)</w:t>
            </w:r>
          </w:p>
        </w:tc>
        <w:tc>
          <w:tcPr>
            <w:tcW w:w="0" w:type="dxa"/>
            <w:vAlign w:val="bottom"/>
          </w:tcPr>
          <w:p>
            <w:pPr>
              <w:spacing w:after="0"/>
              <w:rPr>
                <w:sz w:val="1"/>
                <w:szCs w:val="1"/>
                <w:color w:val="auto"/>
              </w:rPr>
            </w:pPr>
          </w:p>
        </w:tc>
      </w:tr>
      <w:tr>
        <w:trPr>
          <w:trHeight w:val="200"/>
        </w:trPr>
        <w:tc>
          <w:tcPr>
            <w:tcW w:w="87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(20,515)</w:t>
            </w:r>
          </w:p>
        </w:tc>
        <w:tc>
          <w:tcPr>
            <w:tcW w:w="0" w:type="dxa"/>
            <w:vAlign w:val="bottom"/>
          </w:tcPr>
          <w:p>
            <w:pPr>
              <w:spacing w:after="0"/>
              <w:rPr>
                <w:sz w:val="1"/>
                <w:szCs w:val="1"/>
                <w:color w:val="auto"/>
              </w:rPr>
            </w:pPr>
          </w:p>
        </w:tc>
      </w:tr>
      <w:tr>
        <w:trPr>
          <w:trHeight w:val="179"/>
        </w:trPr>
        <w:tc>
          <w:tcPr>
            <w:tcW w:w="870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Gross proceeds from the issuance of 2025 Notes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8700" w:type="dxa"/>
            <w:vAlign w:val="bottom"/>
          </w:tcPr>
          <w:p>
            <w:pPr>
              <w:ind w:left="200"/>
              <w:spacing w:after="0"/>
              <w:rPr>
                <w:sz w:val="20"/>
                <w:szCs w:val="20"/>
                <w:color w:val="auto"/>
              </w:rPr>
            </w:pPr>
            <w:r>
              <w:rPr>
                <w:rFonts w:ascii="Arial" w:cs="Arial" w:eastAsia="Arial" w:hAnsi="Arial"/>
                <w:sz w:val="15"/>
                <w:szCs w:val="15"/>
                <w:color w:val="auto"/>
              </w:rPr>
              <w:t>Payment of issuance costs related to 2025 Notes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paid to investors in private exchange transactions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8700" w:type="dxa"/>
            <w:vAlign w:val="bottom"/>
          </w:tcPr>
          <w:p>
            <w:pPr>
              <w:ind w:left="200"/>
              <w:spacing w:after="0"/>
              <w:rPr>
                <w:sz w:val="20"/>
                <w:szCs w:val="20"/>
                <w:color w:val="auto"/>
              </w:rPr>
            </w:pPr>
            <w:r>
              <w:rPr>
                <w:rFonts w:ascii="Arial" w:cs="Arial" w:eastAsia="Arial" w:hAnsi="Arial"/>
                <w:sz w:val="15"/>
                <w:szCs w:val="15"/>
                <w:color w:val="auto"/>
              </w:rPr>
              <w:t>Payoff of term loan and related extinguishment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(48,830)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Gross proceeds received from issuance of Series E preferred stock</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99"/>
        </w:trPr>
        <w:tc>
          <w:tcPr>
            <w:tcW w:w="8700" w:type="dxa"/>
            <w:vAlign w:val="bottom"/>
          </w:tcPr>
          <w:p>
            <w:pPr>
              <w:ind w:left="200"/>
              <w:spacing w:after="0"/>
              <w:rPr>
                <w:sz w:val="20"/>
                <w:szCs w:val="20"/>
                <w:color w:val="auto"/>
              </w:rPr>
            </w:pPr>
            <w:r>
              <w:rPr>
                <w:rFonts w:ascii="Arial" w:cs="Arial" w:eastAsia="Arial" w:hAnsi="Arial"/>
                <w:sz w:val="15"/>
                <w:szCs w:val="15"/>
                <w:color w:val="auto"/>
              </w:rPr>
              <w:t>Repurchase of Series E preferred stock</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the exercise of warrants to purchase common stock</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10,639</w:t>
            </w:r>
          </w:p>
        </w:tc>
        <w:tc>
          <w:tcPr>
            <w:tcW w:w="0" w:type="dxa"/>
            <w:vAlign w:val="bottom"/>
          </w:tcPr>
          <w:p>
            <w:pPr>
              <w:spacing w:after="0"/>
              <w:rPr>
                <w:sz w:val="1"/>
                <w:szCs w:val="1"/>
                <w:color w:val="auto"/>
              </w:rPr>
            </w:pPr>
          </w:p>
        </w:tc>
      </w:tr>
      <w:tr>
        <w:trPr>
          <w:trHeight w:val="198"/>
        </w:trPr>
        <w:tc>
          <w:tcPr>
            <w:tcW w:w="8700" w:type="dxa"/>
            <w:vAlign w:val="bottom"/>
          </w:tcPr>
          <w:p>
            <w:pPr>
              <w:ind w:left="200"/>
              <w:spacing w:after="0"/>
              <w:rPr>
                <w:sz w:val="20"/>
                <w:szCs w:val="20"/>
                <w:color w:val="auto"/>
              </w:rPr>
            </w:pPr>
            <w:r>
              <w:rPr>
                <w:rFonts w:ascii="Arial" w:cs="Arial" w:eastAsia="Arial" w:hAnsi="Arial"/>
                <w:sz w:val="15"/>
                <w:szCs w:val="15"/>
                <w:color w:val="auto"/>
              </w:rPr>
              <w:t>Net borrowing (repayment) of DigiCore bank and overdraft facilities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Principal payments under finance lease obligations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Proceeds from stock option exercises and employee stock purchase plan, net of taxes paid on vested restricted stock units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00"/>
        </w:trPr>
        <w:tc>
          <w:tcPr>
            <w:tcW w:w="87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18,942</w:t>
            </w:r>
          </w:p>
        </w:tc>
        <w:tc>
          <w:tcPr>
            <w:tcW w:w="0" w:type="dxa"/>
            <w:vAlign w:val="bottom"/>
          </w:tcPr>
          <w:p>
            <w:pPr>
              <w:spacing w:after="0"/>
              <w:rPr>
                <w:sz w:val="1"/>
                <w:szCs w:val="1"/>
                <w:color w:val="auto"/>
              </w:rPr>
            </w:pPr>
          </w:p>
        </w:tc>
      </w:tr>
      <w:tr>
        <w:trPr>
          <w:trHeight w:val="19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rates on cash</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00"/>
        </w:trPr>
        <w:tc>
          <w:tcPr>
            <w:tcW w:w="87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(17,131)</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31,076</w:t>
            </w:r>
          </w:p>
        </w:tc>
        <w:tc>
          <w:tcPr>
            <w:tcW w:w="0" w:type="dxa"/>
            <w:vAlign w:val="bottom"/>
          </w:tcPr>
          <w:p>
            <w:pPr>
              <w:spacing w:after="0"/>
              <w:rPr>
                <w:sz w:val="1"/>
                <w:szCs w:val="1"/>
                <w:color w:val="auto"/>
              </w:rPr>
            </w:pPr>
          </w:p>
        </w:tc>
      </w:tr>
      <w:tr>
        <w:trPr>
          <w:trHeight w:val="22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13,945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paid during the year for:</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00" w:type="dxa"/>
            <w:vAlign w:val="bottom"/>
          </w:tcPr>
          <w:p>
            <w:pPr>
              <w:ind w:left="440"/>
              <w:spacing w:after="0"/>
              <w:rPr>
                <w:sz w:val="20"/>
                <w:szCs w:val="20"/>
                <w:color w:val="auto"/>
              </w:rPr>
            </w:pPr>
            <w:r>
              <w:rPr>
                <w:rFonts w:ascii="Arial" w:cs="Arial" w:eastAsia="Arial" w:hAnsi="Arial"/>
                <w:sz w:val="15"/>
                <w:szCs w:val="15"/>
                <w:color w:val="auto"/>
              </w:rPr>
              <w:t>Interest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640</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6,231</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Income taxes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0" w:type="dxa"/>
            <w:vAlign w:val="bottom"/>
          </w:tcPr>
          <w:p>
            <w:pPr>
              <w:spacing w:after="0"/>
              <w:rPr>
                <w:sz w:val="1"/>
                <w:szCs w:val="1"/>
                <w:color w:val="auto"/>
              </w:rPr>
            </w:pPr>
          </w:p>
        </w:tc>
      </w:tr>
      <w:tr>
        <w:trPr>
          <w:trHeight w:val="198"/>
        </w:trPr>
        <w:tc>
          <w:tcPr>
            <w:tcW w:w="8700" w:type="dxa"/>
            <w:vAlign w:val="bottom"/>
          </w:tcPr>
          <w:p>
            <w:pPr>
              <w:ind w:left="20"/>
              <w:spacing w:after="0"/>
              <w:rPr>
                <w:sz w:val="20"/>
                <w:szCs w:val="20"/>
                <w:color w:val="auto"/>
              </w:rPr>
            </w:pPr>
            <w:r>
              <w:rPr>
                <w:rFonts w:ascii="Arial" w:cs="Arial" w:eastAsia="Arial" w:hAnsi="Arial"/>
                <w:sz w:val="15"/>
                <w:szCs w:val="15"/>
                <w:color w:val="auto"/>
              </w:rPr>
              <w:t>Supplemental disclosures of non-cash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Transfer of inventories to rental assets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2,712</w:t>
            </w:r>
          </w:p>
        </w:tc>
        <w:tc>
          <w:tcPr>
            <w:tcW w:w="0" w:type="dxa"/>
            <w:vAlign w:val="bottom"/>
          </w:tcPr>
          <w:p>
            <w:pPr>
              <w:spacing w:after="0"/>
              <w:rPr>
                <w:sz w:val="1"/>
                <w:szCs w:val="1"/>
                <w:color w:val="auto"/>
              </w:rPr>
            </w:pPr>
          </w:p>
        </w:tc>
      </w:tr>
      <w:tr>
        <w:trPr>
          <w:trHeight w:val="198"/>
        </w:trPr>
        <w:tc>
          <w:tcPr>
            <w:tcW w:w="8700" w:type="dxa"/>
            <w:vAlign w:val="bottom"/>
          </w:tcPr>
          <w:p>
            <w:pPr>
              <w:ind w:left="440"/>
              <w:spacing w:after="0"/>
              <w:rPr>
                <w:sz w:val="20"/>
                <w:szCs w:val="20"/>
                <w:color w:val="auto"/>
              </w:rPr>
            </w:pPr>
            <w:r>
              <w:rPr>
                <w:rFonts w:ascii="Arial" w:cs="Arial" w:eastAsia="Arial" w:hAnsi="Arial"/>
                <w:sz w:val="15"/>
                <w:szCs w:val="15"/>
                <w:color w:val="auto"/>
              </w:rPr>
              <w:t>Capital expenditures financed through accounts payable</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3,786</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799</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Right-of-use assets obtained in exchange for operating leases liabilities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3,554</w:t>
            </w:r>
          </w:p>
        </w:tc>
        <w:tc>
          <w:tcPr>
            <w:tcW w:w="0" w:type="dxa"/>
            <w:vAlign w:val="bottom"/>
          </w:tcPr>
          <w:p>
            <w:pPr>
              <w:spacing w:after="0"/>
              <w:rPr>
                <w:sz w:val="1"/>
                <w:szCs w:val="1"/>
                <w:color w:val="auto"/>
              </w:rPr>
            </w:pPr>
          </w:p>
        </w:tc>
      </w:tr>
      <w:tr>
        <w:trPr>
          <w:trHeight w:val="199"/>
        </w:trPr>
        <w:tc>
          <w:tcPr>
            <w:tcW w:w="8700" w:type="dxa"/>
            <w:vAlign w:val="bottom"/>
          </w:tcPr>
          <w:p>
            <w:pPr>
              <w:ind w:left="440"/>
              <w:spacing w:after="0"/>
              <w:rPr>
                <w:sz w:val="20"/>
                <w:szCs w:val="20"/>
                <w:color w:val="auto"/>
              </w:rPr>
            </w:pPr>
            <w:r>
              <w:rPr>
                <w:rFonts w:ascii="Arial" w:cs="Arial" w:eastAsia="Arial" w:hAnsi="Arial"/>
                <w:sz w:val="15"/>
                <w:szCs w:val="15"/>
                <w:color w:val="auto"/>
              </w:rPr>
              <w:t>Issuance of common stock under Settlement Agreement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972</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1,279</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Preferred stock issued in extinguishment of term loan accrued interest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8700" w:type="dxa"/>
            <w:vAlign w:val="bottom"/>
          </w:tcPr>
          <w:p>
            <w:pPr>
              <w:ind w:left="440"/>
              <w:spacing w:after="0"/>
              <w:rPr>
                <w:sz w:val="20"/>
                <w:szCs w:val="20"/>
                <w:color w:val="auto"/>
              </w:rPr>
            </w:pPr>
            <w:r>
              <w:rPr>
                <w:rFonts w:ascii="Arial" w:cs="Arial" w:eastAsia="Arial" w:hAnsi="Arial"/>
                <w:sz w:val="15"/>
                <w:szCs w:val="15"/>
                <w:color w:val="auto"/>
              </w:rPr>
              <w:t>Debt discount and issuance costs extinguished in notes conversion</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1,728</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2022 Notes conversion to equity</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8700" w:type="dxa"/>
            <w:vAlign w:val="bottom"/>
          </w:tcPr>
          <w:p>
            <w:pPr>
              <w:ind w:left="440"/>
              <w:spacing w:after="0"/>
              <w:rPr>
                <w:sz w:val="20"/>
                <w:szCs w:val="20"/>
                <w:color w:val="auto"/>
              </w:rPr>
            </w:pPr>
            <w:r>
              <w:rPr>
                <w:rFonts w:ascii="Arial" w:cs="Arial" w:eastAsia="Arial" w:hAnsi="Arial"/>
                <w:sz w:val="15"/>
                <w:szCs w:val="15"/>
                <w:color w:val="auto"/>
              </w:rPr>
              <w:t>Novatel Wireless Notes conversion to equity</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2025 Notes issued to extinguish the 2022 Notes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8700" w:type="dxa"/>
            <w:vAlign w:val="bottom"/>
          </w:tcPr>
          <w:p>
            <w:pPr>
              <w:ind w:left="460"/>
              <w:spacing w:after="0"/>
              <w:rPr>
                <w:sz w:val="20"/>
                <w:szCs w:val="20"/>
                <w:color w:val="auto"/>
              </w:rPr>
            </w:pPr>
            <w:r>
              <w:rPr>
                <w:rFonts w:ascii="Arial" w:cs="Arial" w:eastAsia="Arial" w:hAnsi="Arial"/>
                <w:sz w:val="15"/>
                <w:szCs w:val="15"/>
                <w:color w:val="auto"/>
              </w:rPr>
              <w:t>2025 Notes conversion, including shares issued in satisfaction of interest make-whole payment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14,353</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688" w:right="35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688" w:right="3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9019"/>
          </w:cols>
          <w:pgMar w:left="1440" w:top="746"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46" w:right="1440"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80" w:firstLine="445"/>
        <w:spacing w:after="0" w:line="269"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September 30, 2020 and the results of the Company’s operations for the three and nine months ended September 30, 2020 and 2019 are unaudited. The condensed consolidated financial statements reflect all adjustments, consisting of only normal recurring accruals, except otherwise disclosed herein,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2019. The year-end condensed consolidated balance sheet data as of December 31, 2019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2019. The results of operations for the interim periods presented are not necessarily indicative of results to be expected for any other interim period or for the year as a whole.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58" w:lineRule="exact"/>
        <w:rPr>
          <w:sz w:val="20"/>
          <w:szCs w:val="20"/>
          <w:color w:val="auto"/>
        </w:rPr>
      </w:pPr>
    </w:p>
    <w:p>
      <w:pPr>
        <w:ind w:right="40" w:firstLine="405"/>
        <w:spacing w:after="0" w:line="276" w:lineRule="auto"/>
        <w:rPr>
          <w:sz w:val="20"/>
          <w:szCs w:val="20"/>
          <w:color w:val="auto"/>
        </w:rPr>
      </w:pPr>
      <w:r>
        <w:rPr>
          <w:rFonts w:ascii="Arial" w:cs="Arial" w:eastAsia="Arial" w:hAnsi="Arial"/>
          <w:sz w:val="16"/>
          <w:szCs w:val="16"/>
          <w:color w:val="auto"/>
        </w:rPr>
        <w:t>In December 2019, COVID-19 was reported to have surfaced in Wuhan, China, resulting in shutdowns of manufacturing and commerce globally in the months that followed. Since then, the COVID-19 pandemic has spread to multiple countries worldwide, including the United States and has resulted in authorities implementing numerous measures to try to contain the disease or slow its spread, such as travel bans and restrictions, quarantines, shelter-in-place orders and shutdowns. The extent of the impact of the COVID-19 pandemic on the Company’s operational and financial performance will depend on future developments, including the duration and spread of the pandemic and related actions taken by the U.S. government, state and local government officials, and international governments to prevent the spread of the disease, all of which are uncertain and cannot be predicted.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2020, the Company had available cash and cash equivalents totaling $42.0 million and working capital of $40.7 million.</w:t>
      </w:r>
    </w:p>
    <w:p>
      <w:pPr>
        <w:spacing w:after="0" w:line="115" w:lineRule="exact"/>
        <w:rPr>
          <w:sz w:val="20"/>
          <w:szCs w:val="20"/>
          <w:color w:val="auto"/>
        </w:rPr>
      </w:pPr>
    </w:p>
    <w:p>
      <w:pPr>
        <w:ind w:right="120" w:firstLine="405"/>
        <w:spacing w:after="0" w:line="291" w:lineRule="auto"/>
        <w:rPr>
          <w:sz w:val="20"/>
          <w:szCs w:val="20"/>
          <w:color w:val="auto"/>
        </w:rPr>
      </w:pPr>
      <w:r>
        <w:rPr>
          <w:rFonts w:ascii="Arial" w:cs="Arial" w:eastAsia="Arial" w:hAnsi="Arial"/>
          <w:sz w:val="17"/>
          <w:szCs w:val="17"/>
          <w:color w:val="auto"/>
        </w:rPr>
        <w:t>In order to make continued growth investments, on March 6, 2020, the Company issued and sold 25,000 shares of Fixed-Rate Cumulative Perpetual Preferred Stock, Series E, par value $0.001 per share (the “Series E Preferred Stock”), for an aggregate purchase price of $25.0 million.</w:t>
      </w:r>
    </w:p>
    <w:p>
      <w:pPr>
        <w:spacing w:after="0" w:line="39" w:lineRule="exact"/>
        <w:rPr>
          <w:sz w:val="20"/>
          <w:szCs w:val="20"/>
          <w:color w:val="auto"/>
        </w:rPr>
      </w:pPr>
    </w:p>
    <w:p>
      <w:pPr>
        <w:ind w:firstLine="405"/>
        <w:spacing w:after="0" w:line="257" w:lineRule="auto"/>
        <w:rPr>
          <w:sz w:val="20"/>
          <w:szCs w:val="20"/>
          <w:color w:val="auto"/>
        </w:rPr>
      </w:pPr>
      <w:r>
        <w:rPr>
          <w:rFonts w:ascii="Arial" w:cs="Arial" w:eastAsia="Arial" w:hAnsi="Arial"/>
          <w:sz w:val="17"/>
          <w:szCs w:val="17"/>
          <w:color w:val="auto"/>
        </w:rPr>
        <w:t>In the first quarter of 2020, $59.9 million of the Company’s 5.5% convertible senior notes due 2022 (the “2022 Notes” formerly referred to as the “Inseego Notes”) were exchanged for common stock in private exchange transactions. Additionally, in the second quarter of 2020, the Company restructured its outstanding debt by completing a $100.0 million registered public offering (the “Offering”) of 3.25% convertible senior notes due 2025 (the “2025 Notes”) and also entered in privately-negotiated Exchange Agreements, pursuant to which an aggregate of $45.0 million in principal amount of the 2022 Notes were exchanged for an aggregate of $32 million in cash and $80.4 million in principal amount of the 2025 Notes (the “Private Exchange Transactions”). In the third quarter of 2020, the Company redeemed the remaining $2,000 principal amount of the 2022 Notes.</w:t>
      </w:r>
    </w:p>
    <w:p>
      <w:pPr>
        <w:spacing w:after="0" w:line="54" w:lineRule="exact"/>
        <w:rPr>
          <w:sz w:val="20"/>
          <w:szCs w:val="20"/>
          <w:color w:val="auto"/>
        </w:rPr>
      </w:pPr>
    </w:p>
    <w:p>
      <w:pPr>
        <w:ind w:right="100" w:firstLine="405"/>
        <w:spacing w:after="0" w:line="224" w:lineRule="auto"/>
        <w:rPr>
          <w:sz w:val="20"/>
          <w:szCs w:val="20"/>
          <w:color w:val="auto"/>
        </w:rPr>
      </w:pPr>
      <w:r>
        <w:rPr>
          <w:rFonts w:ascii="Arial" w:cs="Arial" w:eastAsia="Arial" w:hAnsi="Arial"/>
          <w:sz w:val="18"/>
          <w:szCs w:val="18"/>
          <w:color w:val="auto"/>
        </w:rPr>
        <w:t>During the quarter ended September 30, 2020, certain holders of the 2025 Notes converted approximately $13.5 million in principal amount of the 2025 Notes into 1,177,156 shares of the Company’s common stock in accordance with the terms of such notes. As of September 30, 2020, the Company’s outstanding debt primarily consisted of $166.9 million in principal amount of 2025 Notes.</w:t>
      </w:r>
    </w:p>
    <w:p>
      <w:pPr>
        <w:spacing w:after="0" w:line="68" w:lineRule="exact"/>
        <w:rPr>
          <w:sz w:val="20"/>
          <w:szCs w:val="20"/>
          <w:color w:val="auto"/>
        </w:rPr>
      </w:pPr>
    </w:p>
    <w:p>
      <w:pPr>
        <w:ind w:right="20" w:firstLine="405"/>
        <w:spacing w:after="0" w:line="274"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firstLine="405"/>
        <w:spacing w:after="0" w:line="243"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 Additionally, the Company is uncertain of the full extent to which the COVID-19 pandemic will impact the Company’s business, operations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unaudited condensed consolidated financial statements include the accounts of the Company and its wholly- and majority-owned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ind w:right="220" w:firstLine="405"/>
        <w:spacing w:after="0" w:line="248"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revenue recognition, capitalized software costs, allowance for doubtful accounts receivable, provision for excess and obsolete inventory, valuation of intangible and long-lived assets, valuation of goodwill, valuation of debt obligations, valuation of derivatives, royalty costs, accruals relating to litigation, income taxes and share-based compensation expense. The inputs related to certain estimates include consideration of the economic impact of the COVID-19 pandemic. As the impact of the COVID-19 pandemic continues to develop, these estimates could carry a higher degree of variability and volatility, and may change materially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252" w:lineRule="exact"/>
        <w:rPr>
          <w:sz w:val="20"/>
          <w:szCs w:val="20"/>
          <w:color w:val="auto"/>
        </w:rPr>
      </w:pPr>
    </w:p>
    <w:p>
      <w:pPr>
        <w:ind w:right="340" w:firstLine="405"/>
        <w:spacing w:after="0" w:line="241" w:lineRule="auto"/>
        <w:rPr>
          <w:sz w:val="20"/>
          <w:szCs w:val="20"/>
          <w:color w:val="auto"/>
        </w:rPr>
      </w:pPr>
      <w:r>
        <w:rPr>
          <w:rFonts w:ascii="Arial" w:cs="Arial" w:eastAsia="Arial" w:hAnsi="Arial"/>
          <w:sz w:val="18"/>
          <w:szCs w:val="18"/>
          <w:color w:val="auto"/>
        </w:rPr>
        <w:t>The Company generates revenue from a broad range of product sales including intelligent wireless hardware products for the worldwide mobile communications, and industrial Internet of Things (“IoT”) markets, and various Software as a Service (“SaaS”) products. The Company’s products principally include intelligent mobile hotspots, wireless routers for IoT applications, USB modems, integrated telematics and mobile tracking hardware devices, which are supported by applications software and cloud software services designed to enable customers to easily analyze data insights and configure and manage their hardware.</w:t>
      </w:r>
    </w:p>
    <w:p>
      <w:pPr>
        <w:spacing w:after="0" w:line="135" w:lineRule="exact"/>
        <w:rPr>
          <w:sz w:val="20"/>
          <w:szCs w:val="20"/>
          <w:color w:val="auto"/>
        </w:rPr>
      </w:pPr>
    </w:p>
    <w:p>
      <w:pPr>
        <w:jc w:val="both"/>
        <w:ind w:right="480" w:firstLine="405"/>
        <w:spacing w:after="0" w:line="248"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128" w:lineRule="exact"/>
        <w:rPr>
          <w:sz w:val="20"/>
          <w:szCs w:val="20"/>
          <w:color w:val="auto"/>
        </w:rPr>
      </w:pPr>
    </w:p>
    <w:p>
      <w:pPr>
        <w:ind w:firstLine="405"/>
        <w:spacing w:after="0" w:line="230"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gateways, routers, modems, hotspots, HD quality VoLTE based wireless home phones, cloud management software and an advanced portfolio of 5G products. The solutions are offered under the MiFi™ brand for consumer and enterprise markets, and under the Skyus brand for industrial IoT markets. Effective in the third quarter ended on September 30, 2020, IoT &amp; Mobile Solutions now also includes the Company’s Device Management System (“DMS”), rebranded as Inseego Subscribe</w:t>
      </w:r>
      <w:r>
        <w:rPr>
          <w:rFonts w:ascii="Arial" w:cs="Arial" w:eastAsia="Arial" w:hAnsi="Arial"/>
          <w:sz w:val="23"/>
          <w:szCs w:val="23"/>
          <w:color w:val="auto"/>
          <w:vertAlign w:val="superscript"/>
        </w:rPr>
        <w:t>TM</w:t>
      </w:r>
      <w:r>
        <w:rPr>
          <w:rFonts w:ascii="Arial" w:cs="Arial" w:eastAsia="Arial" w:hAnsi="Arial"/>
          <w:sz w:val="18"/>
          <w:szCs w:val="18"/>
          <w:color w:val="auto"/>
        </w:rPr>
        <w:t>, a hosted SaaS platform that helps organizations manage the selection, deployment and spend of their customer’s wireless assets, helping them save money on personnel and telecom expenses. The Company reclassified its Inseego Subscribe revenue stream from Enterprise SaaS solutions to better reflect the Company's end user delineation. This reclassification had no impact on previously reported total net revenue, gross profit, or net loss.</w:t>
      </w:r>
    </w:p>
    <w:p>
      <w:pPr>
        <w:spacing w:after="0" w:line="140" w:lineRule="exact"/>
        <w:rPr>
          <w:sz w:val="20"/>
          <w:szCs w:val="20"/>
          <w:color w:val="auto"/>
        </w:rPr>
      </w:pPr>
    </w:p>
    <w:p>
      <w:pPr>
        <w:ind w:left="220" w:right="180" w:firstLine="405"/>
        <w:spacing w:after="0" w:line="248"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portfolio consists of various subscription offerings to gain access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Ctrack telematics platforms, which provide fleet vehicle, aviation ground vehicle and asset tracking and performance information, and other telematics applications.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63" w:lineRule="exact"/>
        <w:rPr>
          <w:sz w:val="20"/>
          <w:szCs w:val="20"/>
          <w:color w:val="auto"/>
        </w:rPr>
      </w:pPr>
    </w:p>
    <w:p>
      <w:pPr>
        <w:ind w:right="700" w:firstLine="405"/>
        <w:spacing w:after="0" w:line="261" w:lineRule="auto"/>
        <w:rPr>
          <w:sz w:val="20"/>
          <w:szCs w:val="20"/>
          <w:color w:val="auto"/>
        </w:rPr>
      </w:pPr>
      <w:r>
        <w:rPr>
          <w:rFonts w:ascii="Arial" w:cs="Arial" w:eastAsia="Arial" w:hAnsi="Arial"/>
          <w:sz w:val="18"/>
          <w:szCs w:val="18"/>
          <w:color w:val="auto"/>
        </w:rPr>
        <w:t>Certain reclassifications have been made to the prior period condensed consolidated statement of operations to conform to the current period presentation.</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6"/>
          <w:szCs w:val="16"/>
          <w:color w:val="auto"/>
        </w:rPr>
        <w:t>The Company evaluates stock options, stock warrants, debt instruments and other contracts to determine if those contracts or embedded components of those contracts qualify as derivative financial instruments to be separately accounted for under the relevant sections of the Financial Accounting Standards Board (the “FASB”) Accounting Standards Codification.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Instruments</w:t>
      </w:r>
    </w:p>
    <w:p>
      <w:pPr>
        <w:spacing w:after="0" w:line="239" w:lineRule="exact"/>
        <w:rPr>
          <w:sz w:val="20"/>
          <w:szCs w:val="20"/>
          <w:color w:val="auto"/>
        </w:rPr>
      </w:pPr>
    </w:p>
    <w:p>
      <w:pPr>
        <w:ind w:firstLine="405"/>
        <w:spacing w:after="0" w:line="255" w:lineRule="auto"/>
        <w:rPr>
          <w:sz w:val="20"/>
          <w:szCs w:val="20"/>
          <w:color w:val="auto"/>
        </w:rPr>
      </w:pPr>
      <w:r>
        <w:rPr>
          <w:rFonts w:ascii="Arial" w:cs="Arial" w:eastAsia="Arial" w:hAnsi="Arial"/>
          <w:sz w:val="17"/>
          <w:szCs w:val="17"/>
          <w:color w:val="auto"/>
        </w:rPr>
        <w:t>The Company accounts for its convertible debt instruments that may be settled in cash upon conversion (including partial cash settlement) by separating the liability and equity components of the instruments in a manner that reflects the Company's nonconvertible debt borrowing rate. The Company determines the carrying amount of the liability component by measuring the fair value of similar debt instruments that do not have the conversion feature. If a similar debt instrument does not exist, the Company estimates the fair value by using assumptions that market participants would use in pricing a debt instrument, including market interest rates, credit standing, yield curves and volatility. Determining the fair value of the debt component requires the use of accounting estimates and assumptions. These estimates and assumptions require significant judgment and could have a significant impact on the determination of the debt component and the associated non-cash interest expense.</w:t>
      </w:r>
    </w:p>
    <w:p>
      <w:pPr>
        <w:spacing w:after="0" w:line="207" w:lineRule="exact"/>
        <w:rPr>
          <w:sz w:val="20"/>
          <w:szCs w:val="20"/>
          <w:color w:val="auto"/>
        </w:rPr>
      </w:pPr>
    </w:p>
    <w:p>
      <w:pPr>
        <w:ind w:firstLine="405"/>
        <w:spacing w:after="0" w:line="243" w:lineRule="auto"/>
        <w:rPr>
          <w:sz w:val="20"/>
          <w:szCs w:val="20"/>
          <w:color w:val="auto"/>
        </w:rPr>
      </w:pPr>
      <w:r>
        <w:rPr>
          <w:rFonts w:ascii="Arial" w:cs="Arial" w:eastAsia="Arial" w:hAnsi="Arial"/>
          <w:sz w:val="18"/>
          <w:szCs w:val="18"/>
          <w:color w:val="auto"/>
        </w:rPr>
        <w:t>For convertible debt that may be settled in cash upon conversion, the Company assigns a value to the debt component equal to the estimated fair value of similar debt instruments without the conversion feature, which could result in the Company recording the debt instrument at a discount. If the debt instrument is recorded at a discount, the Company amortizes the debt discount over the life of the debt instrument as additional non-cash interest expense utilizing the effective interest method.</w:t>
      </w:r>
    </w:p>
    <w:p>
      <w:pPr>
        <w:spacing w:after="0" w:line="215" w:lineRule="exact"/>
        <w:rPr>
          <w:sz w:val="20"/>
          <w:szCs w:val="20"/>
          <w:color w:val="auto"/>
        </w:rPr>
      </w:pPr>
    </w:p>
    <w:p>
      <w:pPr>
        <w:jc w:val="both"/>
        <w:ind w:right="540" w:firstLine="405"/>
        <w:spacing w:after="0" w:line="270" w:lineRule="auto"/>
        <w:rPr>
          <w:sz w:val="20"/>
          <w:szCs w:val="20"/>
          <w:color w:val="auto"/>
        </w:rPr>
      </w:pPr>
      <w:r>
        <w:rPr>
          <w:rFonts w:ascii="Arial" w:cs="Arial" w:eastAsia="Arial" w:hAnsi="Arial"/>
          <w:sz w:val="17"/>
          <w:szCs w:val="17"/>
          <w:color w:val="auto"/>
        </w:rPr>
        <w:t xml:space="preserve">The Company evaluates embedded features within convertible debt that will be settled in shares upon conversion under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to determine whether the embedded feature(s) should be bifurcated from the host instrument and accounted for as a derivative at fair value with changes in fair value recorded in earnings.</w:t>
      </w:r>
    </w:p>
    <w:p>
      <w:pPr>
        <w:spacing w:after="0" w:line="191" w:lineRule="exact"/>
        <w:rPr>
          <w:sz w:val="20"/>
          <w:szCs w:val="20"/>
          <w:color w:val="auto"/>
        </w:rPr>
      </w:pPr>
    </w:p>
    <w:p>
      <w:pPr>
        <w:ind w:right="100" w:firstLine="405"/>
        <w:spacing w:after="0" w:line="241" w:lineRule="auto"/>
        <w:rPr>
          <w:sz w:val="20"/>
          <w:szCs w:val="20"/>
          <w:color w:val="auto"/>
        </w:rPr>
      </w:pPr>
      <w:r>
        <w:rPr>
          <w:rFonts w:ascii="Arial" w:cs="Arial" w:eastAsia="Arial" w:hAnsi="Arial"/>
          <w:sz w:val="18"/>
          <w:szCs w:val="18"/>
          <w:color w:val="auto"/>
        </w:rPr>
        <w:t>If an embedded derivative is bifurcated from share-settled convertible debt,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total on the unaudited condensed consolidated balance sheet. The derivative liability will be remeasured at each reporting period with changes in fair value recorded in the consolidated statements of operations in other income (expense), net.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04"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74" w:lineRule="exact"/>
        <w:rPr>
          <w:sz w:val="20"/>
          <w:szCs w:val="20"/>
          <w:color w:val="auto"/>
        </w:rPr>
      </w:pPr>
    </w:p>
    <w:p>
      <w:pPr>
        <w:ind w:right="40" w:firstLine="405"/>
        <w:spacing w:after="0" w:line="272" w:lineRule="auto"/>
        <w:rPr>
          <w:sz w:val="20"/>
          <w:szCs w:val="20"/>
          <w:color w:val="auto"/>
        </w:rPr>
      </w:pPr>
      <w:r>
        <w:rPr>
          <w:rFonts w:ascii="Arial" w:cs="Arial" w:eastAsia="Arial" w:hAnsi="Arial"/>
          <w:sz w:val="16"/>
          <w:szCs w:val="16"/>
          <w:color w:val="auto"/>
        </w:rPr>
        <w:t xml:space="preserve">In August 2020, the FASB issued Accounting Standards Update (“ASU”) 2020-06, </w:t>
      </w:r>
      <w:r>
        <w:rPr>
          <w:rFonts w:ascii="Arial" w:cs="Arial" w:eastAsia="Arial" w:hAnsi="Arial"/>
          <w:sz w:val="16"/>
          <w:szCs w:val="16"/>
          <w:i w:val="1"/>
          <w:iCs w:val="1"/>
          <w:color w:val="auto"/>
        </w:rPr>
        <w:t>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Hedging-Contracts in Entity's Own Equity (Subtopic 815-40)-Accounting For Convertible Instruments and Contracts in an Entity's Own Equity. </w:t>
      </w:r>
      <w:r>
        <w:rPr>
          <w:rFonts w:ascii="Arial" w:cs="Arial" w:eastAsia="Arial" w:hAnsi="Arial"/>
          <w:sz w:val="16"/>
          <w:szCs w:val="16"/>
          <w:color w:val="auto"/>
        </w:rPr>
        <w:t>The ASU simplifies accounting for convertible instruments by removing major separation models required under current GAAP. Consequently,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new guidance is effective for annual and interim periods beginning after December 15, 2021, and early adoption is permitted for fiscal years beginning after December 15, 2020, and interim periods within those fiscal years. The Company is currently evaluating the impact that this new guidance will have on its consolidated financial statements.</w:t>
      </w:r>
    </w:p>
    <w:p>
      <w:pPr>
        <w:spacing w:after="0" w:line="195" w:lineRule="exact"/>
        <w:rPr>
          <w:sz w:val="20"/>
          <w:szCs w:val="20"/>
          <w:color w:val="auto"/>
        </w:rPr>
      </w:pPr>
    </w:p>
    <w:p>
      <w:pPr>
        <w:ind w:right="340" w:firstLine="405"/>
        <w:spacing w:after="0" w:line="24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is intended to simplify the accounting for income taxes. The amendment eliminates certain exceptions related to the approach for intra-period tax allocation, the methodology for calculating income taxes in an interim period, and the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recognition of deferred tax liabilities for outside basis differences. The amendment also clarifies existing guidance related to the recognition of franchise tax, the evaluation of a step up in the tax basis of goodwill, and the effects of enacted changes in tax laws or rates in the effective tax rate computation, among other clarifications. The guidance is effective for fiscal years, and interim periods within those fiscal years, beginning after December 15, 2020. The Company early adopted the pronouncement effective for the fourth quarter 2019, the impact of which was not material to the 2019 consolidated financial statements.</w:t>
      </w:r>
    </w:p>
    <w:p>
      <w:pPr>
        <w:spacing w:after="0" w:line="81" w:lineRule="exact"/>
        <w:rPr>
          <w:sz w:val="20"/>
          <w:szCs w:val="20"/>
          <w:color w:val="auto"/>
        </w:rPr>
      </w:pPr>
    </w:p>
    <w:p>
      <w:pPr>
        <w:ind w:right="440" w:firstLine="405"/>
        <w:spacing w:after="0" w:line="24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i w:val="1"/>
          <w:iCs w:val="1"/>
          <w:color w:val="252525"/>
        </w:rPr>
        <w:t>—</w:t>
      </w:r>
      <w:r>
        <w:rPr>
          <w:rFonts w:ascii="Arial" w:cs="Arial" w:eastAsia="Arial" w:hAnsi="Arial"/>
          <w:sz w:val="18"/>
          <w:szCs w:val="18"/>
          <w:i w:val="1"/>
          <w:iCs w:val="1"/>
          <w:color w:val="auto"/>
        </w:rPr>
        <w:t>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measurement and recognition of expected credit losses for financial assets held. This guidance is effective for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periods beginning after December 15, 2019. There was no impact from the adoption of this pronouncement to the Company’s condensed consolidated financial statements.</w:t>
      </w:r>
    </w:p>
    <w:p>
      <w:pPr>
        <w:spacing w:after="0" w:line="80" w:lineRule="exact"/>
        <w:rPr>
          <w:sz w:val="20"/>
          <w:szCs w:val="20"/>
          <w:color w:val="auto"/>
        </w:rPr>
      </w:pPr>
    </w:p>
    <w:p>
      <w:pPr>
        <w:ind w:right="40" w:firstLine="405"/>
        <w:spacing w:after="0" w:line="25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financing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are accounted for similar to previous guidance for operating leases. The new standard requires lessors to account for leases using an approach that is substantially equivalent to previous guidance for sales-type leases, direct financing leases and operating leases. The Company adopted the standard on January 1, 2019, the date it became effective for public companies, using the modified retrospective approach whereby the cumulative effect of adoption was recognized on the adoption date and prior periods were not restated. There was no net cumulative effect adjustment to retained earnings as of January 1, 2019 as a result of this adoption. Upon adoption, the Company elected the package of practical expedients permitted within the standard, which among other things, allows for the carryforward of historical lease classification. The Company also elected the practical expedient provided in a subsequent amendment to the standard that removed the requirement to separate lease and non-lease components, provided certain conditions were met. Refer to Note 10,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the impact of the adoption of this guidance on the Company’s condensed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net, consist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r>
      <w:tr>
        <w:trPr>
          <w:trHeight w:val="211"/>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21,229</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 and components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w:t>
            </w:r>
          </w:p>
        </w:tc>
      </w:tr>
      <w:tr>
        <w:trPr>
          <w:trHeight w:val="234"/>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11"/>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1,415</w:t>
            </w: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Payroll and related expenses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2,716</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483</w:t>
            </w: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1,543</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2,235</w:t>
            </w: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1,101</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liabilities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w:t>
            </w:r>
          </w:p>
        </w:tc>
      </w:tr>
      <w:tr>
        <w:trPr>
          <w:trHeight w:val="21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7,368</w:t>
            </w:r>
          </w:p>
        </w:tc>
      </w:tr>
      <w:tr>
        <w:trPr>
          <w:trHeight w:val="234"/>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17,861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71"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59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31,015</w:t>
            </w:r>
          </w:p>
        </w:tc>
      </w:tr>
      <w:tr>
        <w:trPr>
          <w:trHeight w:val="226"/>
        </w:trPr>
        <w:tc>
          <w:tcPr>
            <w:tcW w:w="59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121" w:lineRule="exact"/>
        <w:rPr>
          <w:sz w:val="20"/>
          <w:szCs w:val="20"/>
          <w:color w:val="auto"/>
        </w:rPr>
      </w:pPr>
    </w:p>
    <w:p>
      <w:pPr>
        <w:ind w:right="200" w:firstLine="445"/>
        <w:spacing w:after="0" w:line="24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34" w:lineRule="exact"/>
        <w:rPr>
          <w:sz w:val="20"/>
          <w:szCs w:val="20"/>
          <w:color w:val="auto"/>
        </w:rPr>
      </w:pPr>
    </w:p>
    <w:p>
      <w:pPr>
        <w:ind w:right="80" w:firstLine="445"/>
        <w:spacing w:after="0" w:line="243"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80" w:lineRule="exact"/>
        <w:rPr>
          <w:sz w:val="20"/>
          <w:szCs w:val="20"/>
          <w:color w:val="auto"/>
        </w:rPr>
      </w:pPr>
    </w:p>
    <w:p>
      <w:pPr>
        <w:ind w:left="1060" w:right="180" w:hanging="647"/>
        <w:spacing w:after="0" w:line="248" w:lineRule="auto"/>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spacing w:after="0" w:line="74" w:lineRule="exact"/>
        <w:rPr>
          <w:sz w:val="20"/>
          <w:szCs w:val="20"/>
          <w:color w:val="auto"/>
        </w:rPr>
      </w:pPr>
    </w:p>
    <w:p>
      <w:pPr>
        <w:ind w:left="1060" w:right="480" w:hanging="647"/>
        <w:spacing w:after="0" w:line="243" w:lineRule="auto"/>
        <w:tabs>
          <w:tab w:leader="none" w:pos="10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80" w:lineRule="exact"/>
        <w:rPr>
          <w:sz w:val="20"/>
          <w:szCs w:val="20"/>
          <w:color w:val="auto"/>
        </w:rPr>
      </w:pPr>
    </w:p>
    <w:p>
      <w:pPr>
        <w:ind w:left="1060" w:right="420" w:hanging="647"/>
        <w:spacing w:after="0" w:line="294" w:lineRule="auto"/>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Pricing inputs include significant inputs that are generally less observable from objective sources, including the Company’s own assumptions. 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93" w:lineRule="exact"/>
        <w:rPr>
          <w:sz w:val="20"/>
          <w:szCs w:val="20"/>
          <w:color w:val="auto"/>
        </w:rPr>
      </w:pPr>
    </w:p>
    <w:p>
      <w:pPr>
        <w:ind w:right="340" w:firstLine="445"/>
        <w:spacing w:after="0" w:line="248"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nine months ended September 30, 2020.</w:t>
      </w:r>
    </w:p>
    <w:p>
      <w:pPr>
        <w:spacing w:after="0" w:line="128"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The following tables summarize the Company’s financial instruments measured at fair value on a recurring basis in accordance with the authoritative guidance for fair value measurements as of September 30, 2020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September 30, 2020</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7"/>
        </w:trPr>
        <w:tc>
          <w:tcPr>
            <w:tcW w:w="7900" w:type="dxa"/>
            <w:vAlign w:val="bottom"/>
          </w:tcPr>
          <w:p>
            <w:pPr>
              <w:ind w:left="340"/>
              <w:spacing w:after="0"/>
              <w:rPr>
                <w:sz w:val="20"/>
                <w:szCs w:val="20"/>
                <w:color w:val="auto"/>
              </w:rPr>
            </w:pPr>
            <w:r>
              <w:rPr>
                <w:rFonts w:ascii="Arial" w:cs="Arial" w:eastAsia="Arial" w:hAnsi="Arial"/>
                <w:sz w:val="16"/>
                <w:szCs w:val="16"/>
                <w:color w:val="auto"/>
              </w:rPr>
              <w:t>Total cash equivalents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September 30, 2020</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tcPr>
          <w:p>
            <w:pPr>
              <w:ind w:left="20"/>
              <w:spacing w:after="0"/>
              <w:rPr>
                <w:sz w:val="20"/>
                <w:szCs w:val="20"/>
                <w:color w:val="auto"/>
              </w:rPr>
            </w:pPr>
            <w:r>
              <w:rPr>
                <w:rFonts w:ascii="Arial" w:cs="Arial" w:eastAsia="Arial" w:hAnsi="Arial"/>
                <w:sz w:val="16"/>
                <w:szCs w:val="16"/>
                <w:color w:val="auto"/>
              </w:rPr>
              <w:t>2025 Notes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207"/>
        </w:trPr>
        <w:tc>
          <w:tcPr>
            <w:tcW w:w="7900" w:type="dxa"/>
            <w:vAlign w:val="bottom"/>
          </w:tcPr>
          <w:p>
            <w:pPr>
              <w:ind w:left="340"/>
              <w:spacing w:after="0"/>
              <w:rPr>
                <w:sz w:val="20"/>
                <w:szCs w:val="20"/>
                <w:color w:val="auto"/>
              </w:rPr>
            </w:pPr>
            <w:r>
              <w:rPr>
                <w:rFonts w:ascii="Arial" w:cs="Arial" w:eastAsia="Arial" w:hAnsi="Arial"/>
                <w:sz w:val="16"/>
                <w:szCs w:val="16"/>
                <w:color w:val="auto"/>
              </w:rPr>
              <w:t>Total embedded derivatives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940" w:firstLine="405"/>
        <w:spacing w:after="0" w:line="253" w:lineRule="auto"/>
        <w:rPr>
          <w:sz w:val="20"/>
          <w:szCs w:val="20"/>
          <w:color w:val="auto"/>
        </w:rPr>
      </w:pPr>
      <w:r>
        <w:rPr>
          <w:rFonts w:ascii="Arial" w:cs="Arial" w:eastAsia="Arial" w:hAnsi="Arial"/>
          <w:sz w:val="18"/>
          <w:szCs w:val="18"/>
          <w:color w:val="auto"/>
        </w:rPr>
        <w:t>The fair value of the interest make-whole payment derivative liability was determined using a Monte Carlo model with the following key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8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May 12, 2020</w:t>
            </w:r>
          </w:p>
        </w:tc>
        <w:tc>
          <w:tcPr>
            <w:tcW w:w="1740" w:type="dxa"/>
            <w:vAlign w:val="bottom"/>
          </w:tcPr>
          <w:p>
            <w:pPr>
              <w:jc w:val="right"/>
              <w:ind w:right="180"/>
              <w:spacing w:after="0"/>
              <w:rPr>
                <w:sz w:val="20"/>
                <w:szCs w:val="20"/>
                <w:color w:val="auto"/>
              </w:rPr>
            </w:pPr>
            <w:r>
              <w:rPr>
                <w:rFonts w:ascii="Arial" w:cs="Arial" w:eastAsia="Arial" w:hAnsi="Arial"/>
                <w:sz w:val="14"/>
                <w:szCs w:val="14"/>
                <w:b w:val="1"/>
                <w:bCs w:val="1"/>
                <w:color w:val="auto"/>
              </w:rPr>
              <w:t>September 30, 2020</w:t>
            </w:r>
          </w:p>
        </w:tc>
      </w:tr>
      <w:tr>
        <w:trPr>
          <w:trHeight w:val="216"/>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$10.62 per share</w:t>
            </w:r>
          </w:p>
        </w:tc>
        <w:tc>
          <w:tcPr>
            <w:tcW w:w="1740" w:type="dxa"/>
            <w:vAlign w:val="bottom"/>
          </w:tcPr>
          <w:p>
            <w:pPr>
              <w:jc w:val="right"/>
              <w:spacing w:after="0"/>
              <w:rPr>
                <w:sz w:val="20"/>
                <w:szCs w:val="20"/>
                <w:color w:val="auto"/>
              </w:rPr>
            </w:pPr>
            <w:r>
              <w:rPr>
                <w:rFonts w:ascii="Arial" w:cs="Arial" w:eastAsia="Arial" w:hAnsi="Arial"/>
                <w:sz w:val="16"/>
                <w:szCs w:val="16"/>
                <w:color w:val="auto"/>
              </w:rPr>
              <w:t>$10.32 per share</w:t>
            </w: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spread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21.50 %</w:t>
            </w: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Term</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4.97 years</w:t>
            </w:r>
          </w:p>
        </w:tc>
        <w:tc>
          <w:tcPr>
            <w:tcW w:w="1740" w:type="dxa"/>
            <w:vAlign w:val="bottom"/>
          </w:tcPr>
          <w:p>
            <w:pPr>
              <w:jc w:val="right"/>
              <w:spacing w:after="0"/>
              <w:rPr>
                <w:sz w:val="20"/>
                <w:szCs w:val="20"/>
                <w:color w:val="auto"/>
              </w:rPr>
            </w:pPr>
            <w:r>
              <w:rPr>
                <w:rFonts w:ascii="Arial" w:cs="Arial" w:eastAsia="Arial" w:hAnsi="Arial"/>
                <w:sz w:val="16"/>
                <w:szCs w:val="16"/>
                <w:color w:val="auto"/>
              </w:rPr>
              <w:t>4.59 years</w:t>
            </w: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740" w:type="dxa"/>
            <w:vAlign w:val="bottom"/>
          </w:tcPr>
          <w:p>
            <w:pPr>
              <w:jc w:val="right"/>
              <w:spacing w:after="0"/>
              <w:rPr>
                <w:sz w:val="20"/>
                <w:szCs w:val="20"/>
                <w:color w:val="auto"/>
              </w:rPr>
            </w:pPr>
            <w:r>
              <w:rPr>
                <w:rFonts w:ascii="Arial" w:cs="Arial" w:eastAsia="Arial" w:hAnsi="Arial"/>
                <w:sz w:val="16"/>
                <w:szCs w:val="16"/>
                <w:color w:val="auto"/>
              </w:rPr>
              <w:t>0.34 %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0.26 %</w:t>
            </w:r>
          </w:p>
        </w:tc>
      </w:tr>
    </w:tbl>
    <w:p>
      <w:pPr>
        <w:spacing w:after="0" w:line="316" w:lineRule="exact"/>
        <w:rPr>
          <w:sz w:val="20"/>
          <w:szCs w:val="20"/>
          <w:color w:val="auto"/>
        </w:rPr>
      </w:pPr>
    </w:p>
    <w:p>
      <w:pPr>
        <w:ind w:right="700" w:firstLine="405"/>
        <w:spacing w:after="0" w:line="235" w:lineRule="auto"/>
        <w:rPr>
          <w:sz w:val="20"/>
          <w:szCs w:val="20"/>
          <w:color w:val="auto"/>
        </w:rPr>
      </w:pPr>
      <w:r>
        <w:rPr>
          <w:rFonts w:ascii="Arial" w:cs="Arial" w:eastAsia="Arial" w:hAnsi="Arial"/>
          <w:sz w:val="18"/>
          <w:szCs w:val="18"/>
          <w:color w:val="auto"/>
        </w:rPr>
        <w:t>The following table sets forth a summary of changes in the fair value of Level 3 liabilities for the nine months ended September 30, 2020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Balance as of</w:t>
            </w: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3"/>
                <w:szCs w:val="13"/>
                <w:color w:val="auto"/>
              </w:rPr>
            </w:pPr>
          </w:p>
        </w:tc>
        <w:tc>
          <w:tcPr>
            <w:tcW w:w="15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Conversions</w:t>
            </w:r>
          </w:p>
        </w:tc>
        <w:tc>
          <w:tcPr>
            <w:tcW w:w="160" w:type="dxa"/>
            <w:vAlign w:val="bottom"/>
          </w:tcPr>
          <w:p>
            <w:pPr>
              <w:spacing w:after="0"/>
              <w:rPr>
                <w:sz w:val="13"/>
                <w:szCs w:val="1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 in fair value</w:t>
            </w:r>
          </w:p>
        </w:tc>
        <w:tc>
          <w:tcPr>
            <w:tcW w:w="180" w:type="dxa"/>
            <w:vAlign w:val="bottom"/>
          </w:tcPr>
          <w:p>
            <w:pPr>
              <w:spacing w:after="0"/>
              <w:rPr>
                <w:sz w:val="13"/>
                <w:szCs w:val="13"/>
                <w:color w:val="auto"/>
              </w:rPr>
            </w:pPr>
          </w:p>
        </w:tc>
        <w:tc>
          <w:tcPr>
            <w:tcW w:w="1540" w:type="dxa"/>
            <w:vAlign w:val="bottom"/>
          </w:tcPr>
          <w:p>
            <w:pPr>
              <w:jc w:val="center"/>
              <w:ind w:right="145"/>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December 31, 2019</w:t>
            </w: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5"/>
              </w:rPr>
              <w:t>Interest make-whole payment $</w:t>
            </w:r>
          </w:p>
        </w:tc>
        <w:tc>
          <w:tcPr>
            <w:tcW w:w="184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  $</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2019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2019</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Total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Company had no Level 3 financial instruments.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The Company’s financial assets and liabilities are carried at fair value or at amounts that, because of their short-term nature, approximate current fair value, with the exception of the 2025 Notes.</w:t>
      </w:r>
    </w:p>
    <w:p>
      <w:pPr>
        <w:spacing w:after="0" w:line="198" w:lineRule="exact"/>
        <w:rPr>
          <w:sz w:val="20"/>
          <w:szCs w:val="20"/>
          <w:color w:val="auto"/>
        </w:rPr>
      </w:pPr>
    </w:p>
    <w:p>
      <w:pPr>
        <w:ind w:firstLine="405"/>
        <w:spacing w:after="0" w:line="294" w:lineRule="auto"/>
        <w:rPr>
          <w:sz w:val="20"/>
          <w:szCs w:val="20"/>
          <w:color w:val="auto"/>
        </w:rPr>
      </w:pPr>
      <w:r>
        <w:rPr>
          <w:rFonts w:ascii="Arial" w:cs="Arial" w:eastAsia="Arial" w:hAnsi="Arial"/>
          <w:sz w:val="16"/>
          <w:szCs w:val="16"/>
          <w:color w:val="auto"/>
        </w:rPr>
        <w:t xml:space="preserve">On May 12, 2020, the Company issued $180.4 million in aggregate principal amount of 2025 Notes, and restructured its outstanding debt as described further in Note 4, </w:t>
      </w:r>
      <w:r>
        <w:rPr>
          <w:rFonts w:ascii="Arial" w:cs="Arial" w:eastAsia="Arial" w:hAnsi="Arial"/>
          <w:sz w:val="16"/>
          <w:szCs w:val="16"/>
          <w:i w:val="1"/>
          <w:iCs w:val="1"/>
          <w:color w:val="auto"/>
        </w:rPr>
        <w:t>Debt.</w:t>
      </w:r>
      <w:r>
        <w:rPr>
          <w:rFonts w:ascii="Arial" w:cs="Arial" w:eastAsia="Arial" w:hAnsi="Arial"/>
          <w:sz w:val="16"/>
          <w:szCs w:val="16"/>
          <w:color w:val="auto"/>
        </w:rPr>
        <w:t xml:space="preserve"> The Company carries its 2025 Notes at amortized cost adjusted for changes in fair value of the embedded derivative. It is not practicable to determine the fair value of the 2025 Notes due to the lack of information available to calculate the fair value of such notes.</w:t>
      </w:r>
    </w:p>
    <w:p>
      <w:pPr>
        <w:spacing w:after="0" w:line="174"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The Company evaluated the 2025 Notes under ASC 815 and identified an embedded derivative that required bifurcation. The embedded derivative is an interest make-whole payment that was valued at $4.6 million on May 12, 2020.</w:t>
      </w:r>
    </w:p>
    <w:p>
      <w:pPr>
        <w:spacing w:after="0" w:line="198" w:lineRule="exact"/>
        <w:rPr>
          <w:sz w:val="20"/>
          <w:szCs w:val="20"/>
          <w:color w:val="auto"/>
        </w:rPr>
      </w:pPr>
    </w:p>
    <w:p>
      <w:pPr>
        <w:ind w:right="40" w:firstLine="405"/>
        <w:spacing w:after="0" w:line="276" w:lineRule="auto"/>
        <w:rPr>
          <w:sz w:val="20"/>
          <w:szCs w:val="20"/>
          <w:color w:val="auto"/>
        </w:rPr>
      </w:pPr>
      <w:r>
        <w:rPr>
          <w:rFonts w:ascii="Arial" w:cs="Arial" w:eastAsia="Arial" w:hAnsi="Arial"/>
          <w:sz w:val="16"/>
          <w:szCs w:val="16"/>
          <w:color w:val="auto"/>
        </w:rPr>
        <w:t>Changes in the fair value of the interest make-whole payment are included in the Company’s condensed consolidated statement of operations for the current quarter within other income (expense), net. During the quarter ended September 30, 2020, certain holders of the 2025 Notes converted an aggregate of approximately $13.5 million in principal amount of the 2025 Notes into shares of the Company’s common stock in accordance with the terms of such notes and a portion of the embedded derivative was settled in shares of the Company’s common stock resulting in $0.3 million of the derivative liability being extinguished upon conversion. As of September 30, 2020, the embedded derivative had a fair value of $2.9 million and a $1.4 million gain on the change in fair value was recorded to other income (expense), net, on the consolidated statement of operations.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400" w:firstLine="405"/>
        <w:spacing w:after="0" w:line="243" w:lineRule="auto"/>
        <w:rPr>
          <w:sz w:val="20"/>
          <w:szCs w:val="20"/>
          <w:color w:val="auto"/>
        </w:rPr>
      </w:pPr>
      <w:r>
        <w:rPr>
          <w:rFonts w:ascii="Arial" w:cs="Arial" w:eastAsia="Arial" w:hAnsi="Arial"/>
          <w:sz w:val="18"/>
          <w:szCs w:val="18"/>
          <w:color w:val="auto"/>
        </w:rPr>
        <w:t>On August 23, 2017, the Company and certain of its direct and indirect subsidiaries, as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 $48.0 million (the “Term Loan”) with a maturity date of August 23, 2020.</w:t>
      </w:r>
    </w:p>
    <w:p>
      <w:pPr>
        <w:spacing w:after="0" w:line="215" w:lineRule="exact"/>
        <w:rPr>
          <w:sz w:val="20"/>
          <w:szCs w:val="20"/>
          <w:color w:val="auto"/>
        </w:rPr>
      </w:pPr>
    </w:p>
    <w:p>
      <w:pPr>
        <w:jc w:val="both"/>
        <w:ind w:right="460" w:firstLine="405"/>
        <w:spacing w:after="0" w:line="248" w:lineRule="auto"/>
        <w:rPr>
          <w:sz w:val="20"/>
          <w:szCs w:val="20"/>
          <w:color w:val="auto"/>
        </w:rPr>
      </w:pPr>
      <w:r>
        <w:rPr>
          <w:rFonts w:ascii="Arial" w:cs="Arial" w:eastAsia="Arial" w:hAnsi="Arial"/>
          <w:sz w:val="18"/>
          <w:szCs w:val="18"/>
          <w:color w:val="auto"/>
        </w:rPr>
        <w:t>On March 31, 2020, the Company issued 2,330 shares of Series E Preferred Stock to South Ocean Funding L.L.C (“South Ocean”), the Lender holding all of the aggregate principal amount then outstanding under the Credit Agreement in satisfaction of all then accrued interest under the Credit Agreement.</w:t>
      </w:r>
    </w:p>
    <w:p>
      <w:pPr>
        <w:spacing w:after="0" w:line="195" w:lineRule="exact"/>
        <w:rPr>
          <w:sz w:val="20"/>
          <w:szCs w:val="20"/>
          <w:color w:val="auto"/>
        </w:rPr>
      </w:pPr>
    </w:p>
    <w:p>
      <w:pPr>
        <w:ind w:right="80" w:firstLine="405"/>
        <w:spacing w:after="0" w:line="239" w:lineRule="auto"/>
        <w:rPr>
          <w:sz w:val="20"/>
          <w:szCs w:val="20"/>
          <w:color w:val="auto"/>
        </w:rPr>
      </w:pPr>
      <w:r>
        <w:rPr>
          <w:rFonts w:ascii="Arial" w:cs="Arial" w:eastAsia="Arial" w:hAnsi="Arial"/>
          <w:sz w:val="16"/>
          <w:szCs w:val="16"/>
          <w:color w:val="auto"/>
        </w:rPr>
        <w:t>On May 12, 2020, the Company used a portion of the proceeds from the Offering to repay in full the Term Loan and terminate the Credit Agreement. The amounts paid included $47.5 million in outstanding principal, approximately $0.5 million in interest accrued thereon, and a prepayment fee of</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$1.4 million. The Company also used a portion of the proceeds of the Offering to repurchase the 2,330 shares of Series E Preferred Stock that had been issued to South Ocean for $2.4 million.</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bore interest at a rate per annum equal to the three-month LIBOR, but in no event less than 1.00%, plus 7.625%.</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consisted of the following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43"/>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9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r>
      <w:tr>
        <w:trPr>
          <w:trHeight w:val="211"/>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w:t>
            </w:r>
          </w:p>
        </w:tc>
      </w:tr>
      <w:tr>
        <w:trPr>
          <w:trHeight w:val="213"/>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r>
      <w:tr>
        <w:trPr>
          <w:trHeight w:val="23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46,538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396"/>
        <w:spacing w:after="0" w:line="253" w:lineRule="auto"/>
        <w:rPr>
          <w:sz w:val="20"/>
          <w:szCs w:val="20"/>
          <w:color w:val="auto"/>
        </w:rPr>
      </w:pPr>
      <w:r>
        <w:rPr>
          <w:rFonts w:ascii="Arial" w:cs="Arial" w:eastAsia="Arial" w:hAnsi="Arial"/>
          <w:sz w:val="18"/>
          <w:szCs w:val="18"/>
          <w:color w:val="auto"/>
        </w:rPr>
        <w:t>The effective interest rate on the Term Loan was 15.19% for the nine months ended September 30, 2020. The following table sets forth total interest expense recognized related to the Term Loan (in thousands):</w:t>
      </w:r>
    </w:p>
    <w:tbl>
      <w:tblPr>
        <w:tblLayout w:type="fixed"/>
        <w:tblInd w:w="0" w:type="dxa"/>
        <w:tblCellMar>
          <w:top w:w="0" w:type="dxa"/>
          <w:left w:w="0" w:type="dxa"/>
          <w:bottom w:w="0" w:type="dxa"/>
          <w:right w:w="0" w:type="dxa"/>
        </w:tblCellMar>
      </w:tblPr>
      <w:tr>
        <w:trPr>
          <w:trHeight w:val="145"/>
        </w:trPr>
        <w:tc>
          <w:tcPr>
            <w:tcW w:w="6160" w:type="dxa"/>
            <w:vAlign w:val="bottom"/>
          </w:tcPr>
          <w:p>
            <w:pPr>
              <w:spacing w:after="0"/>
              <w:rPr>
                <w:sz w:val="12"/>
                <w:szCs w:val="12"/>
                <w:color w:val="auto"/>
              </w:rPr>
            </w:pPr>
          </w:p>
        </w:tc>
        <w:tc>
          <w:tcPr>
            <w:tcW w:w="2040" w:type="dxa"/>
            <w:vAlign w:val="bottom"/>
            <w:gridSpan w:val="4"/>
          </w:tcPr>
          <w:p>
            <w:pPr>
              <w:jc w:val="center"/>
              <w:ind w:left="384"/>
              <w:spacing w:after="0" w:line="145" w:lineRule="exact"/>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4"/>
          </w:tcPr>
          <w:p>
            <w:pPr>
              <w:jc w:val="right"/>
              <w:ind w:right="561"/>
              <w:spacing w:after="0" w:line="145" w:lineRule="exact"/>
              <w:rPr>
                <w:sz w:val="20"/>
                <w:szCs w:val="20"/>
                <w:color w:val="auto"/>
              </w:rPr>
            </w:pPr>
            <w:r>
              <w:rPr>
                <w:rFonts w:ascii="Arial" w:cs="Arial" w:eastAsia="Arial" w:hAnsi="Arial"/>
                <w:sz w:val="14"/>
                <w:szCs w:val="14"/>
                <w:b w:val="1"/>
                <w:bCs w:val="1"/>
                <w:color w:val="auto"/>
              </w:rPr>
              <w:t>Nine Months Ended</w:t>
            </w:r>
          </w:p>
        </w:tc>
      </w:tr>
      <w:tr>
        <w:trPr>
          <w:trHeight w:val="188"/>
        </w:trPr>
        <w:tc>
          <w:tcPr>
            <w:tcW w:w="6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62"/>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6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2019</w:t>
            </w:r>
          </w:p>
        </w:tc>
      </w:tr>
      <w:tr>
        <w:trPr>
          <w:trHeight w:val="211"/>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7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999</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2"/>
        </w:trPr>
        <w:tc>
          <w:tcPr>
            <w:tcW w:w="616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780" w:type="dxa"/>
            <w:vAlign w:val="bottom"/>
          </w:tcPr>
          <w:p>
            <w:pPr>
              <w:jc w:val="right"/>
              <w:ind w:right="604"/>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1,598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4,734</w:t>
            </w:r>
          </w:p>
        </w:tc>
      </w:tr>
      <w:tr>
        <w:trPr>
          <w:trHeight w:val="21"/>
        </w:trPr>
        <w:tc>
          <w:tcPr>
            <w:tcW w:w="6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12, 2020, the Company completed its registered public Offering of $100.0 million aggregate principal amount of 2025 Notes.</w:t>
      </w:r>
    </w:p>
    <w:p>
      <w:pPr>
        <w:spacing w:after="0" w:line="239" w:lineRule="exact"/>
        <w:rPr>
          <w:sz w:val="20"/>
          <w:szCs w:val="20"/>
          <w:color w:val="auto"/>
        </w:rPr>
      </w:pPr>
    </w:p>
    <w:p>
      <w:pPr>
        <w:ind w:firstLine="405"/>
        <w:spacing w:after="0" w:line="276" w:lineRule="auto"/>
        <w:rPr>
          <w:sz w:val="20"/>
          <w:szCs w:val="20"/>
          <w:color w:val="auto"/>
        </w:rPr>
      </w:pPr>
      <w:r>
        <w:rPr>
          <w:rFonts w:ascii="Arial" w:cs="Arial" w:eastAsia="Arial" w:hAnsi="Arial"/>
          <w:sz w:val="16"/>
          <w:szCs w:val="16"/>
          <w:color w:val="auto"/>
        </w:rPr>
        <w:t>On May 12, 2020, the Company also entered into separate privately-negotiated Exchange Agreements with certain holders of the 2022 Notes. Pursuant to the Exchange Agreements,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private placement transactions that closed concurrently with the registered Offering. In connection therewith, the Company recorded a loss of $67.2 million on debt conversion and extinguishment, net in the condensed consolidated statement of operations. The 2025 Notes issued in the Private Exchange Transactions are part of the same series as the 2025 Notes issued in the registered Offering.</w:t>
      </w:r>
    </w:p>
    <w:p>
      <w:pPr>
        <w:spacing w:after="0" w:line="175" w:lineRule="exact"/>
        <w:rPr>
          <w:sz w:val="20"/>
          <w:szCs w:val="20"/>
          <w:color w:val="auto"/>
        </w:rPr>
      </w:pPr>
    </w:p>
    <w:p>
      <w:pPr>
        <w:jc w:val="both"/>
        <w:ind w:right="80" w:firstLine="405"/>
        <w:spacing w:after="0" w:line="219" w:lineRule="auto"/>
        <w:rPr>
          <w:sz w:val="20"/>
          <w:szCs w:val="20"/>
          <w:color w:val="auto"/>
        </w:rPr>
      </w:pPr>
      <w:r>
        <w:rPr>
          <w:rFonts w:ascii="Arial" w:cs="Arial" w:eastAsia="Arial" w:hAnsi="Arial"/>
          <w:sz w:val="18"/>
          <w:szCs w:val="18"/>
          <w:color w:val="auto"/>
        </w:rPr>
        <w:t>During the quarter ended September 30, 2020, certain holders of the 2025 Notes converted an aggregate of approximately $13.5 million in principal amount of the 2025 Notes into 1,177,156 shares of the Company’s common stock, including 108,572 shares of common stock issued in satisfaction of the interest make-whole payment. In connection therewith, the Company recorded a loss of $1.2 million on debt conversion, net in the condensed consolidated statement of operations.</w:t>
      </w:r>
    </w:p>
    <w:p>
      <w:pPr>
        <w:spacing w:after="0" w:line="203" w:lineRule="exact"/>
        <w:rPr>
          <w:sz w:val="20"/>
          <w:szCs w:val="20"/>
          <w:color w:val="auto"/>
        </w:rPr>
      </w:pPr>
    </w:p>
    <w:p>
      <w:pPr>
        <w:ind w:right="280" w:firstLine="405"/>
        <w:spacing w:after="0" w:line="248" w:lineRule="auto"/>
        <w:rPr>
          <w:sz w:val="20"/>
          <w:szCs w:val="20"/>
          <w:color w:val="auto"/>
        </w:rPr>
      </w:pPr>
      <w:r>
        <w:rPr>
          <w:rFonts w:ascii="Arial" w:cs="Arial" w:eastAsia="Arial" w:hAnsi="Arial"/>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209"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09" w:lineRule="exact"/>
        <w:rPr>
          <w:sz w:val="20"/>
          <w:szCs w:val="20"/>
          <w:color w:val="auto"/>
        </w:rPr>
      </w:pPr>
    </w:p>
    <w:p>
      <w:pPr>
        <w:ind w:right="100" w:firstLine="405"/>
        <w:spacing w:after="0" w:line="243" w:lineRule="auto"/>
        <w:rPr>
          <w:sz w:val="20"/>
          <w:szCs w:val="20"/>
          <w:color w:val="auto"/>
        </w:rPr>
      </w:pPr>
      <w:r>
        <w:rPr>
          <w:rFonts w:ascii="Arial" w:cs="Arial" w:eastAsia="Arial" w:hAnsi="Arial"/>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common stock (together with cash in lieu of any fractional share), equal to the conversion rate.</w:t>
      </w:r>
    </w:p>
    <w:p>
      <w:pPr>
        <w:spacing w:after="0" w:line="215"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16" w:lineRule="exact"/>
        <w:rPr>
          <w:sz w:val="20"/>
          <w:szCs w:val="20"/>
          <w:color w:val="auto"/>
        </w:rPr>
      </w:pPr>
    </w:p>
    <w:p>
      <w:pPr>
        <w:ind w:right="60" w:firstLine="405"/>
        <w:spacing w:after="0" w:line="282" w:lineRule="auto"/>
        <w:rPr>
          <w:sz w:val="20"/>
          <w:szCs w:val="20"/>
          <w:color w:val="auto"/>
        </w:rPr>
      </w:pPr>
      <w:r>
        <w:rPr>
          <w:rFonts w:ascii="Arial" w:cs="Arial" w:eastAsia="Arial" w:hAnsi="Arial"/>
          <w:sz w:val="16"/>
          <w:szCs w:val="16"/>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w:t>
      </w:r>
    </w:p>
    <w:p>
      <w:pPr>
        <w:spacing w:after="0"/>
        <w:rPr>
          <w:sz w:val="20"/>
          <w:szCs w:val="20"/>
          <w:color w:val="auto"/>
        </w:rPr>
      </w:pPr>
      <w:r>
        <w:rPr>
          <w:rFonts w:ascii="Arial" w:cs="Arial" w:eastAsia="Arial" w:hAnsi="Arial"/>
          <w:sz w:val="18"/>
          <w:szCs w:val="18"/>
          <w:color w:val="auto"/>
        </w:rPr>
        <w:t>if any, to, but excluding, the fundamental change repurchase date. If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 make-whole fundamental change (as defined in the Indenture) occurs, then the Company will in certain circumstances increase the conversion rate for a specified period of time.</w:t>
      </w:r>
    </w:p>
    <w:p>
      <w:pPr>
        <w:spacing w:after="0" w:line="198"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16"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make-whole payment</w:t>
      </w:r>
    </w:p>
    <w:p>
      <w:pPr>
        <w:spacing w:after="0" w:line="239" w:lineRule="exact"/>
        <w:rPr>
          <w:sz w:val="20"/>
          <w:szCs w:val="20"/>
          <w:color w:val="auto"/>
        </w:rPr>
      </w:pPr>
    </w:p>
    <w:p>
      <w:pPr>
        <w:ind w:right="20" w:firstLine="405"/>
        <w:spacing w:after="0" w:line="270" w:lineRule="auto"/>
        <w:rPr>
          <w:sz w:val="20"/>
          <w:szCs w:val="20"/>
          <w:color w:val="auto"/>
        </w:rPr>
      </w:pPr>
      <w:r>
        <w:rPr>
          <w:rFonts w:ascii="Arial" w:cs="Arial" w:eastAsia="Arial" w:hAnsi="Arial"/>
          <w:sz w:val="16"/>
          <w:szCs w:val="16"/>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common stock (together with cash in lieu of fractional shares). The Company has determined that this feature is an embedded derivative and has recognized the fair value of this derivative as a liability in the condensed consolidated balance sheets, with subsequent changes to fair value to be recorded at each reporting period on the consolidated statement of operations in other income (expense), net.</w:t>
      </w:r>
    </w:p>
    <w:p>
      <w:pPr>
        <w:spacing w:after="0" w:line="203" w:lineRule="exact"/>
        <w:rPr>
          <w:sz w:val="20"/>
          <w:szCs w:val="20"/>
          <w:color w:val="auto"/>
        </w:rPr>
      </w:pPr>
    </w:p>
    <w:p>
      <w:pPr>
        <w:ind w:right="240" w:firstLine="405"/>
        <w:spacing w:after="0" w:line="324" w:lineRule="auto"/>
        <w:rPr>
          <w:sz w:val="20"/>
          <w:szCs w:val="20"/>
          <w:color w:val="auto"/>
        </w:rPr>
      </w:pPr>
      <w:r>
        <w:rPr>
          <w:rFonts w:ascii="Arial" w:cs="Arial" w:eastAsia="Arial" w:hAnsi="Arial"/>
          <w:sz w:val="16"/>
          <w:szCs w:val="16"/>
          <w:color w:val="auto"/>
        </w:rPr>
        <w:t>The estimated fair value of the liability component at the date of issuance was determined using significant assumptions which include an implied credit spread rate for notes with a similar term, the expected volatility and dividend yield of the Company’s common stock and the risk-free interest rate.</w:t>
      </w:r>
    </w:p>
    <w:p>
      <w:pPr>
        <w:spacing w:after="0" w:line="151"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As of September 30, 2020, $166.9 million in principal amount of the 2025 Notes were outstanding, $80.4 million of which were held by related parties.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2025 Notes consist of the following (in thousands):</w:t>
      </w:r>
    </w:p>
    <w:tbl>
      <w:tblPr>
        <w:tblLayout w:type="fixed"/>
        <w:tblInd w:w="0" w:type="dxa"/>
        <w:tblCellMar>
          <w:top w:w="0" w:type="dxa"/>
          <w:left w:w="0" w:type="dxa"/>
          <w:bottom w:w="0" w:type="dxa"/>
          <w:right w:w="0" w:type="dxa"/>
        </w:tblCellMar>
      </w:tblPr>
      <w:tr>
        <w:trPr>
          <w:trHeight w:val="158"/>
        </w:trPr>
        <w:tc>
          <w:tcPr>
            <w:tcW w:w="10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82"/>
              <w:spacing w:after="0" w:line="159" w:lineRule="exact"/>
              <w:rPr>
                <w:sz w:val="20"/>
                <w:szCs w:val="20"/>
                <w:color w:val="auto"/>
              </w:rPr>
            </w:pPr>
            <w:r>
              <w:rPr>
                <w:rFonts w:ascii="Arial" w:cs="Arial" w:eastAsia="Arial" w:hAnsi="Arial"/>
                <w:sz w:val="14"/>
                <w:szCs w:val="14"/>
                <w:b w:val="1"/>
                <w:bCs w:val="1"/>
                <w:color w:val="auto"/>
                <w:w w:val="93"/>
              </w:rPr>
              <w:t>September 30,</w:t>
            </w:r>
          </w:p>
        </w:tc>
      </w:tr>
      <w:tr>
        <w:trPr>
          <w:trHeight w:val="186"/>
        </w:trPr>
        <w:tc>
          <w:tcPr>
            <w:tcW w:w="10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196"/>
        </w:trPr>
        <w:tc>
          <w:tcPr>
            <w:tcW w:w="1004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10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166,898</w:t>
            </w:r>
          </w:p>
        </w:tc>
      </w:tr>
      <w:tr>
        <w:trPr>
          <w:trHeight w:val="213"/>
        </w:trPr>
        <w:tc>
          <w:tcPr>
            <w:tcW w:w="10040" w:type="dxa"/>
            <w:vAlign w:val="bottom"/>
          </w:tcPr>
          <w:p>
            <w:pPr>
              <w:ind w:left="20"/>
              <w:spacing w:after="0"/>
              <w:rPr>
                <w:sz w:val="20"/>
                <w:szCs w:val="20"/>
                <w:color w:val="auto"/>
              </w:rPr>
            </w:pPr>
            <w:r>
              <w:rPr>
                <w:rFonts w:ascii="Arial" w:cs="Arial" w:eastAsia="Arial" w:hAnsi="Arial"/>
                <w:sz w:val="16"/>
                <w:szCs w:val="16"/>
                <w:color w:val="auto"/>
              </w:rPr>
              <w:t>Add: fair value of embedded derivative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2,929</w:t>
            </w:r>
          </w:p>
        </w:tc>
      </w:tr>
      <w:tr>
        <w:trPr>
          <w:trHeight w:val="219"/>
        </w:trPr>
        <w:tc>
          <w:tcPr>
            <w:tcW w:w="10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r>
      <w:tr>
        <w:trPr>
          <w:trHeight w:val="213"/>
        </w:trPr>
        <w:tc>
          <w:tcPr>
            <w:tcW w:w="10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 costs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w:t>
            </w:r>
          </w:p>
        </w:tc>
      </w:tr>
      <w:tr>
        <w:trPr>
          <w:trHeight w:val="238"/>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162,839</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60" w:firstLine="405"/>
        <w:spacing w:after="0" w:line="261" w:lineRule="auto"/>
        <w:rPr>
          <w:sz w:val="20"/>
          <w:szCs w:val="20"/>
          <w:color w:val="auto"/>
        </w:rPr>
      </w:pPr>
      <w:r>
        <w:rPr>
          <w:rFonts w:ascii="Arial" w:cs="Arial" w:eastAsia="Arial" w:hAnsi="Arial"/>
          <w:sz w:val="18"/>
          <w:szCs w:val="18"/>
          <w:color w:val="auto"/>
        </w:rPr>
        <w:t>The effective interest rate on the liability component of the 2025 Notes was 4.03% for the nine months ended September 30, 2020. The following table sets forth total interest expense recognized related to the 2025 Notes (in thousands):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Contractual interest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discount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debt issuance costs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40" w:type="dxa"/>
            <w:vAlign w:val="bottom"/>
          </w:tcPr>
          <w:p>
            <w:pPr>
              <w:jc w:val="right"/>
              <w:ind w:right="22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220" w:type="dxa"/>
            <w:vAlign w:val="bottom"/>
          </w:tcPr>
          <w:p>
            <w:pPr>
              <w:spacing w:after="0"/>
              <w:rPr>
                <w:sz w:val="16"/>
                <w:szCs w:val="16"/>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Pr>
          <w:p>
            <w:pPr>
              <w:spacing w:after="0"/>
              <w:rPr>
                <w:sz w:val="16"/>
                <w:szCs w:val="16"/>
                <w:color w:val="auto"/>
              </w:rPr>
            </w:pPr>
          </w:p>
        </w:tc>
        <w:tc>
          <w:tcPr>
            <w:tcW w:w="1640" w:type="dxa"/>
            <w:vAlign w:val="bottom"/>
          </w:tcPr>
          <w:p>
            <w:pPr>
              <w:jc w:val="right"/>
              <w:ind w:right="242"/>
              <w:spacing w:after="0"/>
              <w:rPr>
                <w:sz w:val="20"/>
                <w:szCs w:val="20"/>
                <w:color w:val="auto"/>
              </w:rPr>
            </w:pPr>
            <w:r>
              <w:rPr>
                <w:rFonts w:ascii="Arial" w:cs="Arial" w:eastAsia="Arial" w:hAnsi="Arial"/>
                <w:sz w:val="14"/>
                <w:szCs w:val="14"/>
                <w:b w:val="1"/>
                <w:bCs w:val="1"/>
                <w:color w:val="auto"/>
                <w:w w:val="99"/>
              </w:rPr>
              <w:t>September 30, 2020</w:t>
            </w:r>
          </w:p>
        </w:tc>
      </w:tr>
      <w:tr>
        <w:trPr>
          <w:trHeight w:val="205"/>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r>
      <w:tr>
        <w:trPr>
          <w:trHeight w:val="216"/>
        </w:trPr>
        <w:tc>
          <w:tcPr>
            <w:tcW w:w="22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9"/>
        </w:trPr>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r>
      <w:tr>
        <w:trPr>
          <w:trHeight w:val="23"/>
        </w:trPr>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-599440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-316230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3900"/>
          </w:cols>
          <w:pgMar w:left="320" w:top="607" w:right="339" w:bottom="1440" w:gutter="0" w:footer="0" w:header="0"/>
          <w:type w:val="continuous"/>
        </w:sectPr>
      </w:pPr>
    </w:p>
    <w:p>
      <w:pPr>
        <w:spacing w:after="0" w:line="137"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As the offering of the 2025 Notes took place during the nine months ended September 30, 2020, there was no interest expense in the comparable three and nine month periods of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39"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On January 9, 2017, in connection with the Note Exchange (as defined below), the Company issued approximately $119.8 million aggregate principal amount of 2022 Notes.</w:t>
      </w:r>
    </w:p>
    <w:p>
      <w:pPr>
        <w:spacing w:after="0" w:line="198"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 xml:space="preserve">During the three months ended March 31, 2020, the Company entered into privately-negotiated exchange agreements with certain investors holding the 2022 Notes. Pursuant to those exchange agreements, the investors exchanged $59.9 million in aggregate principal amount of outstanding 2022 Notes for 13,688,876 shares of common stock. The investors that participated in such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requires the recognition through earnings of an inducement charge equal to the fair value of the consideration delivered in excess of the consideration issuable under the original conversion terms. This resulted in a non-cash charge of $7.9 million for the three months ended March 31, 2020, which was recorded as inducement expense in the condensed consolidated statement of operations.</w:t>
      </w:r>
    </w:p>
    <w:p>
      <w:pPr>
        <w:spacing w:after="0" w:line="196" w:lineRule="exact"/>
        <w:rPr>
          <w:sz w:val="20"/>
          <w:szCs w:val="20"/>
          <w:color w:val="auto"/>
        </w:rPr>
      </w:pPr>
    </w:p>
    <w:p>
      <w:pPr>
        <w:jc w:val="both"/>
        <w:ind w:right="120" w:firstLine="405"/>
        <w:spacing w:after="0" w:line="243" w:lineRule="auto"/>
        <w:rPr>
          <w:sz w:val="20"/>
          <w:szCs w:val="20"/>
          <w:color w:val="auto"/>
        </w:rPr>
      </w:pPr>
      <w:r>
        <w:rPr>
          <w:rFonts w:ascii="Arial" w:cs="Arial" w:eastAsia="Arial" w:hAnsi="Arial"/>
          <w:sz w:val="18"/>
          <w:szCs w:val="18"/>
          <w:color w:val="auto"/>
        </w:rPr>
        <w:t>Pursuant to the Private Exchange Transactions described above, on May 12, 2020, the holders of an aggregate of $45.0 million principal amount of 2022 Notes exchanged their 2022 Notes for a combination of 2025 Notes and cash. As a result of the Private Exchange Transactions, $2,000 in principal amount of the 2022 Notes were outstanding as of June 30, 2020. On July 22, 2020, pursuant to a redemption notice issued on May 15, 2020, the Company redeemed the remaining $2,000 principal amount of the 2022 Notes.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2022 Notes consist of the following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60" w:type="dxa"/>
            <w:vAlign w:val="bottom"/>
          </w:tcPr>
          <w:p>
            <w:pPr>
              <w:jc w:val="right"/>
              <w:ind w:right="103"/>
              <w:spacing w:after="0"/>
              <w:rPr>
                <w:sz w:val="20"/>
                <w:szCs w:val="20"/>
                <w:color w:val="auto"/>
              </w:rPr>
            </w:pPr>
            <w:r>
              <w:rPr>
                <w:rFonts w:ascii="Arial" w:cs="Arial" w:eastAsia="Arial" w:hAnsi="Arial"/>
                <w:sz w:val="14"/>
                <w:szCs w:val="14"/>
                <w:b w:val="1"/>
                <w:bCs w:val="1"/>
                <w:color w:val="auto"/>
                <w:w w:val="94"/>
              </w:rPr>
              <w:t>December 31,</w:t>
            </w:r>
          </w:p>
        </w:tc>
      </w:tr>
      <w:tr>
        <w:trPr>
          <w:trHeight w:val="186"/>
        </w:trPr>
        <w:tc>
          <w:tcPr>
            <w:tcW w:w="8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196"/>
        </w:trPr>
        <w:tc>
          <w:tcPr>
            <w:tcW w:w="874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9"/>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105,125</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w:t>
            </w:r>
          </w:p>
        </w:tc>
      </w:tr>
      <w:tr>
        <w:trPr>
          <w:trHeight w:val="233"/>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101,334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405"/>
        <w:spacing w:after="0" w:line="235" w:lineRule="auto"/>
        <w:rPr>
          <w:sz w:val="20"/>
          <w:szCs w:val="20"/>
          <w:color w:val="auto"/>
        </w:rPr>
      </w:pPr>
      <w:r>
        <w:rPr>
          <w:rFonts w:ascii="Arial" w:cs="Arial" w:eastAsia="Arial" w:hAnsi="Arial"/>
          <w:sz w:val="18"/>
          <w:szCs w:val="18"/>
          <w:color w:val="auto"/>
        </w:rPr>
        <w:t>The effective interest rate on the liability component of the 2022 Notes was 12.89% for the nine months ended September 30, 2020. The following table sets forth total interest expense recognized related to the 2022 Notes (in thousands):</w:t>
      </w:r>
    </w:p>
    <w:tbl>
      <w:tblPr>
        <w:tblLayout w:type="fixed"/>
        <w:tblInd w:w="0" w:type="dxa"/>
        <w:tblCellMar>
          <w:top w:w="0" w:type="dxa"/>
          <w:left w:w="0" w:type="dxa"/>
          <w:bottom w:w="0" w:type="dxa"/>
          <w:right w:w="0" w:type="dxa"/>
        </w:tblCellMar>
      </w:tblPr>
      <w:tr>
        <w:trPr>
          <w:trHeight w:val="135"/>
        </w:trPr>
        <w:tc>
          <w:tcPr>
            <w:tcW w:w="6160" w:type="dxa"/>
            <w:vAlign w:val="bottom"/>
          </w:tcPr>
          <w:p>
            <w:pPr>
              <w:spacing w:after="0"/>
              <w:rPr>
                <w:sz w:val="11"/>
                <w:szCs w:val="11"/>
                <w:color w:val="auto"/>
              </w:rPr>
            </w:pPr>
          </w:p>
        </w:tc>
        <w:tc>
          <w:tcPr>
            <w:tcW w:w="2040" w:type="dxa"/>
            <w:vAlign w:val="bottom"/>
            <w:gridSpan w:val="4"/>
          </w:tcPr>
          <w:p>
            <w:pPr>
              <w:jc w:val="center"/>
              <w:ind w:left="384"/>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gridSpan w:val="4"/>
          </w:tcPr>
          <w:p>
            <w:pPr>
              <w:jc w:val="right"/>
              <w:ind w:right="561"/>
              <w:spacing w:after="0" w:line="135" w:lineRule="exact"/>
              <w:rPr>
                <w:sz w:val="20"/>
                <w:szCs w:val="20"/>
                <w:color w:val="auto"/>
              </w:rPr>
            </w:pPr>
            <w:r>
              <w:rPr>
                <w:rFonts w:ascii="Arial" w:cs="Arial" w:eastAsia="Arial" w:hAnsi="Arial"/>
                <w:sz w:val="14"/>
                <w:szCs w:val="14"/>
                <w:b w:val="1"/>
                <w:bCs w:val="1"/>
                <w:color w:val="auto"/>
              </w:rPr>
              <w:t>Nine Months Ended</w:t>
            </w:r>
          </w:p>
        </w:tc>
      </w:tr>
      <w:tr>
        <w:trPr>
          <w:trHeight w:val="188"/>
        </w:trPr>
        <w:tc>
          <w:tcPr>
            <w:tcW w:w="6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62"/>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6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2019</w:t>
            </w:r>
          </w:p>
        </w:tc>
      </w:tr>
      <w:tr>
        <w:trPr>
          <w:trHeight w:val="211"/>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4,337</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7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1,955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5,866</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780" w:type="dxa"/>
            <w:vAlign w:val="bottom"/>
          </w:tcPr>
          <w:p>
            <w:pPr>
              <w:jc w:val="right"/>
              <w:ind w:right="604"/>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3,516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10,547</w:t>
            </w:r>
          </w:p>
        </w:tc>
      </w:tr>
      <w:tr>
        <w:trPr>
          <w:trHeight w:val="20"/>
        </w:trPr>
        <w:tc>
          <w:tcPr>
            <w:tcW w:w="6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Novatel Wireless Notes</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7"/>
          <w:szCs w:val="17"/>
          <w:color w:val="auto"/>
        </w:rPr>
        <w:t>On June 10, 2015, Novatel Wireless, Inc., a wholly owned subsidiary of Inseego Corp. (“Novatel Wireless”), issued $120.0 million of 5.50% convertible senior notes due 2020 (the “Novatel Wireless Notes”), which were governed by the terms of an indenture, dated June 10, 2015, between Novatel Wireless, as issuer, Inseego and Wilmington Trust, National Association, as trustee, as amended by certain supplemental indentures (the “Novatel Indenture”). On January 9, 2017, in connection with the settlement of an exchange offer and consent solicitation with respect to the Novatel Wireless Notes (the “Note Exchange”), approximately $119.8 million aggregate principal amount of outstanding Novatel Wireless Notes were validly tendered and accepted for exchange and subsequently canceled. In February 2020, the holders of the remaining $250,000 of the aggregate principal amount of Novatel Wireless Notes that remained outstanding following the Note Exchange, converted their Novatel Wireless Notes into 50,000 shares of Inseego Corp. common stock, at the conversion price of $5.00 per share, in accordance with the terms of the Novatel Indenture. Accordingly, no Novatel Wireless Notes were outstanding as of September 30,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121" w:lineRule="exact"/>
        <w:rPr>
          <w:sz w:val="20"/>
          <w:szCs w:val="20"/>
          <w:color w:val="auto"/>
        </w:rPr>
      </w:pPr>
    </w:p>
    <w:p>
      <w:pPr>
        <w:ind w:right="760" w:firstLine="405"/>
        <w:spacing w:after="0" w:line="261"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0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205"/>
        </w:trPr>
        <w:tc>
          <w:tcPr>
            <w:tcW w:w="6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2019</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1,315</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r>
      <w:tr>
        <w:trPr>
          <w:trHeight w:val="21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w:t>
            </w:r>
          </w:p>
        </w:tc>
      </w:tr>
      <w:tr>
        <w:trPr>
          <w:trHeight w:val="23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2,207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9,044,304</w:t>
            </w:r>
          </w:p>
        </w:tc>
      </w:tr>
      <w:tr>
        <w:trPr>
          <w:trHeight w:val="213"/>
        </w:trPr>
        <w:tc>
          <w:tcPr>
            <w:tcW w:w="100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1,526,000</w:t>
            </w:r>
          </w:p>
        </w:tc>
      </w:tr>
      <w:tr>
        <w:trPr>
          <w:trHeight w:val="219"/>
        </w:trPr>
        <w:tc>
          <w:tcPr>
            <w:tcW w:w="10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(910,490)</w:t>
            </w:r>
          </w:p>
        </w:tc>
      </w:tr>
      <w:tr>
        <w:trPr>
          <w:trHeight w:val="213"/>
        </w:trPr>
        <w:tc>
          <w:tcPr>
            <w:tcW w:w="10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(450,777)</w:t>
            </w:r>
          </w:p>
        </w:tc>
      </w:tr>
      <w:tr>
        <w:trPr>
          <w:trHeight w:val="21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September 30,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9,209,037</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10060" w:type="dxa"/>
            <w:vAlign w:val="bottom"/>
          </w:tcPr>
          <w:p>
            <w:pPr>
              <w:ind w:left="20"/>
              <w:spacing w:after="0"/>
              <w:rPr>
                <w:sz w:val="20"/>
                <w:szCs w:val="20"/>
                <w:color w:val="auto"/>
              </w:rPr>
            </w:pPr>
            <w:r>
              <w:rPr>
                <w:rFonts w:ascii="Arial" w:cs="Arial" w:eastAsia="Arial" w:hAnsi="Arial"/>
                <w:sz w:val="16"/>
                <w:szCs w:val="16"/>
                <w:color w:val="auto"/>
              </w:rPr>
              <w:t>Exercisable — September 30, 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4,034,796</w:t>
            </w:r>
          </w:p>
        </w:tc>
      </w:tr>
      <w:tr>
        <w:trPr>
          <w:trHeight w:val="20"/>
        </w:trPr>
        <w:tc>
          <w:tcPr>
            <w:tcW w:w="10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At September 30, 2020, total unrecognized compensation expense related to stock options was $13.6 million, which is expected to be recognized over a weighted-average period of 2.66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400,315</w:t>
            </w:r>
          </w:p>
        </w:tc>
      </w:tr>
      <w:tr>
        <w:trPr>
          <w:trHeight w:val="213"/>
        </w:trPr>
        <w:tc>
          <w:tcPr>
            <w:tcW w:w="100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437,413</w:t>
            </w:r>
          </w:p>
        </w:tc>
      </w:tr>
      <w:tr>
        <w:trPr>
          <w:trHeight w:val="219"/>
        </w:trPr>
        <w:tc>
          <w:tcPr>
            <w:tcW w:w="10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(486,092)</w:t>
            </w:r>
          </w:p>
        </w:tc>
      </w:tr>
      <w:tr>
        <w:trPr>
          <w:trHeight w:val="213"/>
        </w:trPr>
        <w:tc>
          <w:tcPr>
            <w:tcW w:w="10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(4,584)</w:t>
            </w:r>
          </w:p>
        </w:tc>
      </w:tr>
      <w:tr>
        <w:trPr>
          <w:trHeight w:val="238"/>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September 30,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347,052</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20" w:firstLine="405"/>
        <w:spacing w:after="0" w:line="261" w:lineRule="auto"/>
        <w:rPr>
          <w:sz w:val="20"/>
          <w:szCs w:val="20"/>
          <w:color w:val="auto"/>
        </w:rPr>
      </w:pPr>
      <w:r>
        <w:rPr>
          <w:rFonts w:ascii="Arial" w:cs="Arial" w:eastAsia="Arial" w:hAnsi="Arial"/>
          <w:sz w:val="18"/>
          <w:szCs w:val="18"/>
          <w:color w:val="auto"/>
        </w:rPr>
        <w:t>At September 30, 2020, total unrecognized compensation expense related to RSUs was $1.4 million, which is expected to be recognized over a weighted-average period of 1.82 years.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38" w:lineRule="exact"/>
        <w:rPr>
          <w:sz w:val="20"/>
          <w:szCs w:val="20"/>
          <w:color w:val="auto"/>
        </w:rPr>
      </w:pPr>
    </w:p>
    <w:p>
      <w:pPr>
        <w:jc w:val="both"/>
        <w:ind w:right="180" w:firstLine="405"/>
        <w:spacing w:after="0" w:line="311" w:lineRule="auto"/>
        <w:rPr>
          <w:sz w:val="20"/>
          <w:szCs w:val="20"/>
          <w:color w:val="auto"/>
        </w:rPr>
      </w:pPr>
      <w:r>
        <w:rPr>
          <w:rFonts w:ascii="Arial" w:cs="Arial" w:eastAsia="Arial" w:hAnsi="Arial"/>
          <w:sz w:val="16"/>
          <w:szCs w:val="16"/>
          <w:color w:val="auto"/>
        </w:rPr>
        <w:t>For the three months ended September 30, 2020, the computation of diluted EPS excluded 26,839,771 shares related to the convertible notes, stock options and RSUs as their effect would have been anti-dilutive. For the nine months ended September 30, 2020, the computation of diluted EPS excluded 26,839,771 shares primarily related to the convertible notes, warrants, stock options and RSUs as their effect would have been anti-dilutive.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Private Placements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ind w:right="20" w:firstLine="405"/>
        <w:spacing w:after="0" w:line="255" w:lineRule="auto"/>
        <w:rPr>
          <w:sz w:val="20"/>
          <w:szCs w:val="20"/>
          <w:color w:val="auto"/>
        </w:rPr>
      </w:pPr>
      <w:r>
        <w:rPr>
          <w:rFonts w:ascii="Arial" w:cs="Arial" w:eastAsia="Arial" w:hAnsi="Arial"/>
          <w:sz w:val="17"/>
          <w:szCs w:val="17"/>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became exercisable on September 28, 2019, and will expire on June 30, 2022.</w:t>
      </w:r>
    </w:p>
    <w:p>
      <w:pPr>
        <w:spacing w:after="0" w:line="126"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During the first quarter of 2020, the Company received $1.9 million in net cash proceeds from the exercise of 338,454 of the Company’s common stock purchase warrants issued in 2015.</w:t>
      </w:r>
    </w:p>
    <w:p>
      <w:pPr>
        <w:spacing w:after="0" w:line="117"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The Company assessed the terms of the warrants under ASC 815. Pursuant to this guidance, the Company has determined that the warrants do not require liability accounting and has classified the warrants as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58" w:lineRule="exact"/>
        <w:rPr>
          <w:sz w:val="20"/>
          <w:szCs w:val="20"/>
          <w:color w:val="auto"/>
        </w:rPr>
      </w:pPr>
    </w:p>
    <w:p>
      <w:pPr>
        <w:ind w:firstLine="405"/>
        <w:spacing w:after="0" w:line="276" w:lineRule="auto"/>
        <w:rPr>
          <w:sz w:val="20"/>
          <w:szCs w:val="20"/>
          <w:color w:val="auto"/>
        </w:rPr>
      </w:pPr>
      <w:r>
        <w:rPr>
          <w:rFonts w:ascii="Arial" w:cs="Arial" w:eastAsia="Arial" w:hAnsi="Arial"/>
          <w:sz w:val="16"/>
          <w:szCs w:val="16"/>
          <w:color w:val="auto"/>
        </w:rPr>
        <w:t>On August 9, 2019, the Company completed a private placement of 10,000 shares of Series E Preferred Stock for an aggregate purchase price of $10.0 million in accordance with the terms and provisions of a Securities Purchase Agreement, dated August 9, 2019, by and among the Company and certain accredited investors.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w:t>
      </w:r>
    </w:p>
    <w:p>
      <w:pPr>
        <w:spacing w:after="0" w:line="108"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On March 6, 2020, the Company issued and sold an additional 25,000 shares of Series E Preferred Stock for an aggregate purchase price of $25.0 million.</w:t>
      </w:r>
    </w:p>
    <w:p>
      <w:pPr>
        <w:spacing w:after="0" w:line="117" w:lineRule="exact"/>
        <w:rPr>
          <w:sz w:val="20"/>
          <w:szCs w:val="20"/>
          <w:color w:val="auto"/>
        </w:rPr>
      </w:pPr>
    </w:p>
    <w:p>
      <w:pPr>
        <w:ind w:right="680" w:firstLine="405"/>
        <w:spacing w:after="0" w:line="261" w:lineRule="auto"/>
        <w:rPr>
          <w:sz w:val="20"/>
          <w:szCs w:val="20"/>
          <w:color w:val="auto"/>
        </w:rPr>
      </w:pPr>
      <w:r>
        <w:rPr>
          <w:rFonts w:ascii="Arial" w:cs="Arial" w:eastAsia="Arial" w:hAnsi="Arial"/>
          <w:sz w:val="18"/>
          <w:szCs w:val="18"/>
          <w:color w:val="auto"/>
        </w:rPr>
        <w:t>On March 31, 2020, Inseego Corp. issued 2,330 shares of Series E Preferred Stock to South Ocean, in satisfaction of certain deferred interest obligations pursuant to the terms and conditions of the Credit Agreement.</w:t>
      </w:r>
    </w:p>
    <w:p>
      <w:pPr>
        <w:spacing w:after="0" w:line="198"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color w:val="auto"/>
        </w:rPr>
        <w:t>On May 12, 2020, the Company used a portion of the proceeds from the Offering to repurchase the 2,330 shares of Series E Preferred Stock, which had been issued to satisfy accrued interest under the Credit Agreement, for $2.4 million.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3"/>
        </w:trPr>
        <w:tc>
          <w:tcPr>
            <w:tcW w:w="6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2019</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77,208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188,638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122,331</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South Africa</w:t>
            </w:r>
          </w:p>
        </w:tc>
        <w:tc>
          <w:tcPr>
            <w:tcW w:w="26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6,836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20,930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26,164</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6,196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18,201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18,668</w:t>
            </w: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90,240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62,716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227,769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167,163</w:t>
            </w:r>
          </w:p>
        </w:tc>
      </w:tr>
      <w:tr>
        <w:trPr>
          <w:trHeight w:val="21"/>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September 30, 2020 and 2019, one customer accounted for 58.4% and 57.7% of net revenues, respectively.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nine months ended September 30, 2020 and 2019, one customer accounted for 56.4% and 55.8% of net revenues, respectively.</w:t>
      </w:r>
    </w:p>
    <w:p>
      <w:pPr>
        <w:spacing w:after="0" w:line="115"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As of September 30, 2020, one customer accounted for 53.0% of accounts receivable, net. As of December 31, 2019, two customers accounted for 25.0% and 11.2% of accounts receivable, net,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58" w:lineRule="exact"/>
        <w:rPr>
          <w:sz w:val="20"/>
          <w:szCs w:val="20"/>
          <w:color w:val="auto"/>
        </w:rPr>
      </w:pPr>
    </w:p>
    <w:p>
      <w:pPr>
        <w:ind w:right="220" w:firstLine="405"/>
        <w:spacing w:after="0" w:line="279"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several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105" w:lineRule="exact"/>
        <w:rPr>
          <w:sz w:val="20"/>
          <w:szCs w:val="20"/>
          <w:color w:val="auto"/>
        </w:rPr>
      </w:pPr>
    </w:p>
    <w:p>
      <w:pPr>
        <w:ind w:right="60" w:firstLine="405"/>
        <w:spacing w:after="0" w:line="251" w:lineRule="auto"/>
        <w:rPr>
          <w:sz w:val="20"/>
          <w:szCs w:val="20"/>
          <w:color w:val="auto"/>
        </w:rPr>
      </w:pPr>
      <w:r>
        <w:rPr>
          <w:rFonts w:ascii="Arial" w:cs="Arial" w:eastAsia="Arial" w:hAnsi="Arial"/>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of common stock to the former stockholders of RER in satisfaction of all remaining liabilities under the Settlement Agreement.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58" w:lineRule="exact"/>
        <w:rPr>
          <w:sz w:val="20"/>
          <w:szCs w:val="20"/>
          <w:color w:val="auto"/>
        </w:rPr>
      </w:pPr>
    </w:p>
    <w:p>
      <w:pPr>
        <w:ind w:firstLine="405"/>
        <w:spacing w:after="0" w:line="262"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58" w:lineRule="exact"/>
        <w:rPr>
          <w:sz w:val="20"/>
          <w:szCs w:val="20"/>
          <w:color w:val="auto"/>
        </w:rPr>
      </w:pPr>
    </w:p>
    <w:p>
      <w:pPr>
        <w:ind w:firstLine="405"/>
        <w:spacing w:after="0" w:line="274" w:lineRule="auto"/>
        <w:rPr>
          <w:sz w:val="20"/>
          <w:szCs w:val="20"/>
          <w:color w:val="auto"/>
        </w:rPr>
      </w:pPr>
      <w:r>
        <w:rPr>
          <w:rFonts w:ascii="Arial" w:cs="Arial" w:eastAsia="Arial" w:hAnsi="Arial"/>
          <w:sz w:val="16"/>
          <w:szCs w:val="16"/>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the new guidance,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09"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the legacy guidance,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135" w:lineRule="exact"/>
        <w:rPr>
          <w:sz w:val="20"/>
          <w:szCs w:val="20"/>
          <w:color w:val="auto"/>
        </w:rPr>
      </w:pPr>
    </w:p>
    <w:p>
      <w:pPr>
        <w:ind w:right="20" w:firstLine="405"/>
        <w:spacing w:after="0" w:line="270" w:lineRule="auto"/>
        <w:rPr>
          <w:sz w:val="20"/>
          <w:szCs w:val="20"/>
          <w:color w:val="auto"/>
        </w:rPr>
      </w:pPr>
      <w:r>
        <w:rPr>
          <w:rFonts w:ascii="Arial" w:cs="Arial" w:eastAsia="Arial" w:hAnsi="Arial"/>
          <w:sz w:val="16"/>
          <w:szCs w:val="16"/>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September 30, 2020, the Company had right-of-use assets of $9.3 million and lease liabilities related to its operating leases of $10.0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September 30, 2020, the Company’s weighted-average remaining lease term and weighted-average discount rate related to its operating leases were 6.0 years and 9.1%, respectively.</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6"/>
          <w:szCs w:val="16"/>
          <w:color w:val="auto"/>
        </w:rPr>
        <w:t>During the nine months ended September 30, 2020 and 2019, the cash paid for amounts included in the measurement of lease liabilities related to the Company’s operating leases was approximately $0.5 million and $1.6 million, respectively, which is included as an operating cash outflow within the consolidated statements of cash flows. During the nine months ended September 30, 2020 and 2019, the operating lease costs related to the Company’s operating leases were approximately $0.7 million and $1.4 million, respectively, which is included in operating costs and expenses in the condensed consolidated statements of operations. During the nine months ended September 30, 2020, the Company entered into a lease agreement for its new corporate offices and renewed the lease on an R&amp;D facility for which right-of-use assets were recorded in exchange for new lease liabilities.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future minimum payments under operating leases were as follows at September 30,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(remainder)</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2021</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2,330</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1,887</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4,437</w:t>
            </w:r>
          </w:p>
        </w:tc>
      </w:tr>
      <w:tr>
        <w:trPr>
          <w:trHeight w:val="213"/>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13,108</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w:t>
            </w:r>
          </w:p>
        </w:tc>
      </w:tr>
      <w:tr>
        <w:trPr>
          <w:trHeight w:val="212"/>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w:t>
            </w:r>
          </w:p>
        </w:tc>
      </w:tr>
      <w:tr>
        <w:trPr>
          <w:trHeight w:val="234"/>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8,655</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The current and long term portion of operating lease obligations are classified within accrued expenses and other current liabilities and other long-term liabilities, respectively, on the condensed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04" w:lineRule="exact"/>
        <w:rPr>
          <w:sz w:val="20"/>
          <w:szCs w:val="20"/>
          <w:color w:val="auto"/>
        </w:rPr>
      </w:pPr>
    </w:p>
    <w:p>
      <w:pPr>
        <w:ind w:right="420" w:firstLine="405"/>
        <w:spacing w:after="0" w:line="248" w:lineRule="auto"/>
        <w:rPr>
          <w:sz w:val="20"/>
          <w:szCs w:val="20"/>
          <w:color w:val="auto"/>
        </w:rPr>
      </w:pPr>
      <w:r>
        <w:rPr>
          <w:rFonts w:ascii="Arial" w:cs="Arial" w:eastAsia="Arial" w:hAnsi="Arial"/>
          <w:sz w:val="18"/>
          <w:szCs w:val="18"/>
          <w:color w:val="auto"/>
        </w:rPr>
        <w:t xml:space="preserve">Prior to January 1, 2019, and as previously disclosed in the Company’s Form 10-K for the year ended December 31, 2018, the Company derived revenue from customers who lease the Company’s monitoring devices. The Company recorded such revenue in accordance with the previous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and determined that the leases qualify as operating leases.</w:t>
      </w:r>
    </w:p>
    <w:p>
      <w:pPr>
        <w:spacing w:after="0" w:line="74" w:lineRule="exact"/>
        <w:rPr>
          <w:sz w:val="20"/>
          <w:szCs w:val="20"/>
          <w:color w:val="auto"/>
        </w:rPr>
      </w:pPr>
    </w:p>
    <w:p>
      <w:pPr>
        <w:ind w:right="40" w:firstLine="405"/>
        <w:spacing w:after="0" w:line="324"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16" w:lineRule="exact"/>
        <w:rPr>
          <w:sz w:val="20"/>
          <w:szCs w:val="20"/>
          <w:color w:val="auto"/>
        </w:rPr>
      </w:pPr>
    </w:p>
    <w:p>
      <w:pPr>
        <w:ind w:right="140" w:firstLine="405"/>
        <w:spacing w:after="0" w:line="243"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accounts for the combined component as a single performance obligation under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income tax provision of $0.2 million for each of the three months ended September 30, 2020 and 2019, and $0.2 million and</w:t>
      </w:r>
    </w:p>
    <w:p>
      <w:pPr>
        <w:spacing w:after="0" w:line="2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$0.8 million for the nine months ended September 30, 2020 and 2019, respectively, consisted primarily of foreign income taxes at certain of the Company’s international entities and minimum state taxes for its U.S.-based entities. The Company’s income tax expense is different than the expected expense (or benefit) based on statutory rates primarily due to full valuation allowances at all of its U.S.-based entities and many of its foreign subsidiaries.</w:t>
      </w:r>
    </w:p>
    <w:p>
      <w:pPr>
        <w:spacing w:after="0" w:line="184"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May 12, 2020, the Company issued $180.4 million of 2025 Notes in a financing which allowed it to redeem the remaining outstanding 2022 Notes and pay off the Term Loan. The loss on the extinguishment of the 2022 Notes did not impact the Company’s tax expense or net deferred tax liabilities given the full valuation allowance against the Company’s significant net operating losses.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4" w:name="page25"/>
    <w:bookmarkEnd w:id="24"/>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2" w:lineRule="exact"/>
        <w:rPr>
          <w:sz w:val="20"/>
          <w:szCs w:val="20"/>
          <w:color w:val="auto"/>
        </w:rPr>
      </w:pPr>
    </w:p>
    <w:p>
      <w:pPr>
        <w:ind w:firstLine="445"/>
        <w:spacing w:after="0" w:line="271"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115" w:lineRule="exact"/>
        <w:rPr>
          <w:sz w:val="20"/>
          <w:szCs w:val="20"/>
          <w:color w:val="auto"/>
        </w:rPr>
      </w:pPr>
    </w:p>
    <w:p>
      <w:pPr>
        <w:ind w:left="660" w:right="2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03"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0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103"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recent outbreak of the 2019 novel coronavirus (2019-nCoV), now known as “COVID-19”, which could extend lead times in our supply chain and lengthen sales cycles with our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wireless broadband data access in industrial IoT markets;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58"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2019 (“Form 10-K”). If one or more events related to these or other risks or uncertainties materialize, or if our underlying assumptions prove to be incorrect, actual results may differ materially from what we anticipate.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jc w:val="both"/>
        <w:ind w:right="160" w:firstLine="445"/>
        <w:spacing w:after="0" w:line="248" w:lineRule="auto"/>
        <w:rPr>
          <w:sz w:val="20"/>
          <w:szCs w:val="20"/>
          <w:color w:val="auto"/>
        </w:rPr>
      </w:pPr>
      <w:r>
        <w:rPr>
          <w:rFonts w:ascii="Arial" w:cs="Arial" w:eastAsia="Arial" w:hAnsi="Arial"/>
          <w:sz w:val="18"/>
          <w:szCs w:val="18"/>
          <w:color w:val="auto"/>
        </w:rPr>
        <w:t>“Inseego”, the Inseego logo, “DigiCore”, “Novatel Wireless”, the Novatel Wireless logo, “MiFi”, “MiFi Intelligent Mobile Hotspot”, “Ctrack”, the Ctrack logo, “Inseego North America”, “Inseego Subscribe”, and “Skyus” are trademarks or registered trademarks of Inseego and its subsidiaries. Other trademarks, trade names or service marks used in this report are the property of their respective owners.</w:t>
      </w:r>
    </w:p>
    <w:p>
      <w:pPr>
        <w:spacing w:after="0" w:line="128"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and majority-owned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6" w:name="page27"/>
    <w:bookmarkEnd w:id="26"/>
    <w:p>
      <w:pPr>
        <w:jc w:val="both"/>
        <w:ind w:firstLine="405"/>
        <w:spacing w:after="0" w:line="270"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2019, contained in our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62" w:lineRule="exact"/>
        <w:rPr>
          <w:sz w:val="20"/>
          <w:szCs w:val="20"/>
          <w:color w:val="auto"/>
        </w:rPr>
      </w:pPr>
    </w:p>
    <w:p>
      <w:pPr>
        <w:ind w:right="20" w:firstLine="405"/>
        <w:spacing w:after="0" w:line="254" w:lineRule="auto"/>
        <w:rPr>
          <w:sz w:val="20"/>
          <w:szCs w:val="20"/>
          <w:color w:val="auto"/>
        </w:rPr>
      </w:pPr>
      <w:r>
        <w:rPr>
          <w:rFonts w:ascii="Arial" w:cs="Arial" w:eastAsia="Arial" w:hAnsi="Arial"/>
          <w:sz w:val="17"/>
          <w:szCs w:val="17"/>
          <w:color w:val="auto"/>
        </w:rPr>
        <w:t>Inseego Corp. is a leader in the design and development of fixed and mobile wireless solutions (advanced 4G and 5G NR), industrial IoT (“IoT”) and cloud solutions for large enterprise verticals, service providers and small and medium-sized businesses around the globe. Our customers include wireless service providers, Fortune 500 enterprises, consumers, governments and first responders.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2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62" w:lineRule="exact"/>
        <w:rPr>
          <w:sz w:val="20"/>
          <w:szCs w:val="20"/>
          <w:color w:val="auto"/>
        </w:rPr>
      </w:pPr>
    </w:p>
    <w:p>
      <w:pPr>
        <w:ind w:right="60" w:firstLine="405"/>
        <w:spacing w:after="0" w:line="252" w:lineRule="auto"/>
        <w:rPr>
          <w:sz w:val="20"/>
          <w:szCs w:val="20"/>
          <w:color w:val="auto"/>
        </w:rPr>
      </w:pPr>
      <w:r>
        <w:rPr>
          <w:rFonts w:ascii="Arial" w:cs="Arial" w:eastAsia="Arial" w:hAnsi="Arial"/>
          <w:sz w:val="17"/>
          <w:szCs w:val="17"/>
          <w:color w:val="auto"/>
        </w:rPr>
        <w:t>We provide intelligent wireless 3G, 4G and 5G hardware products for the worldwide mobile communications and in 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and mobile hotspots, and wireless gateways and routers for IoT applications, Gb speed 4G LTE hotspots and USB modems and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32" w:lineRule="exact"/>
        <w:rPr>
          <w:sz w:val="20"/>
          <w:szCs w:val="20"/>
          <w:color w:val="auto"/>
        </w:rPr>
      </w:pPr>
    </w:p>
    <w:p>
      <w:pPr>
        <w:ind w:right="180" w:firstLine="405"/>
        <w:spacing w:after="0" w:line="248" w:lineRule="auto"/>
        <w:rPr>
          <w:sz w:val="20"/>
          <w:szCs w:val="20"/>
          <w:color w:val="auto"/>
        </w:rPr>
      </w:pPr>
      <w:r>
        <w:rPr>
          <w:rFonts w:ascii="Arial" w:cs="Arial" w:eastAsia="Arial" w:hAnsi="Arial"/>
          <w:sz w:val="18"/>
          <w:szCs w:val="18"/>
          <w:color w:val="auto"/>
        </w:rPr>
        <w:t>Our MiFi customer base is comprised of wireless operators to whom we provide intelligent fixed and mobile wireless devices. These wireless operators include Verizon Wireless, AT&amp;T, and Sprint in the United States, Rogers in Canada, Telstra in Australia, as well as other international wireless operators, distributors and various companies in other vertical markets and geographies.</w:t>
      </w:r>
    </w:p>
    <w:p>
      <w:pPr>
        <w:spacing w:after="0" w:line="12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7"/>
          <w:szCs w:val="17"/>
          <w:color w:val="auto"/>
        </w:rPr>
        <w:t>We sell our wireless routers for IoT, integrated telematics and mobile tracking hardware devices through our direct sales force, value-added resellers and through distributors. The customer base for our 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120"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sell SaaS, software and services solutions across multiple mobile and IoT vertical markets, including fleet management, vehicle telematics,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88" w:lineRule="exact"/>
        <w:rPr>
          <w:sz w:val="20"/>
          <w:szCs w:val="20"/>
          <w:color w:val="auto"/>
        </w:rPr>
      </w:pPr>
    </w:p>
    <w:p>
      <w:pPr>
        <w:ind w:right="140" w:firstLine="405"/>
        <w:spacing w:after="0" w:line="204" w:lineRule="auto"/>
        <w:rPr>
          <w:sz w:val="20"/>
          <w:szCs w:val="20"/>
          <w:color w:val="auto"/>
        </w:rPr>
      </w:pPr>
      <w:r>
        <w:rPr>
          <w:rFonts w:ascii="Arial" w:cs="Arial" w:eastAsia="Arial" w:hAnsi="Arial"/>
          <w:sz w:val="18"/>
          <w:szCs w:val="18"/>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 Effective in the third quarter ended on September 30, 2020, our IoT &amp; Mobile Solutions now also includes our Device Management System (“DMS”), rebranded as Inseego Subscribe</w:t>
      </w:r>
      <w:r>
        <w:rPr>
          <w:rFonts w:ascii="Arial" w:cs="Arial" w:eastAsia="Arial" w:hAnsi="Arial"/>
          <w:sz w:val="23"/>
          <w:szCs w:val="23"/>
          <w:color w:val="auto"/>
          <w:vertAlign w:val="superscript"/>
        </w:rPr>
        <w:t>TM</w:t>
      </w:r>
      <w:r>
        <w:rPr>
          <w:rFonts w:ascii="Arial" w:cs="Arial" w:eastAsia="Arial" w:hAnsi="Arial"/>
          <w:sz w:val="18"/>
          <w:szCs w:val="18"/>
          <w:color w:val="auto"/>
        </w:rPr>
        <w:t>, a hosted SaaS platform that helps organizations manage the selection, deployment and spend of their customer’s wireless assets, helping</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27" w:name="page28"/>
    <w:bookmarkEnd w:id="27"/>
    <w:p>
      <w:pPr>
        <w:ind w:right="400"/>
        <w:spacing w:after="0" w:line="235" w:lineRule="auto"/>
        <w:rPr>
          <w:sz w:val="20"/>
          <w:szCs w:val="20"/>
          <w:color w:val="auto"/>
        </w:rPr>
      </w:pPr>
      <w:r>
        <w:rPr>
          <w:rFonts w:ascii="Arial" w:cs="Arial" w:eastAsia="Arial" w:hAnsi="Arial"/>
          <w:sz w:val="18"/>
          <w:szCs w:val="18"/>
          <w:color w:val="auto"/>
        </w:rPr>
        <w:t>them save money on personnel and telecom expenses. We reclassified our Inseego Subscribe revenue stream, from Enterprise SaaS solutions, to better reflect our end user delineation.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may be influenced by a number of factors including:</w:t>
      </w:r>
    </w:p>
    <w:p>
      <w:pPr>
        <w:spacing w:after="0" w:line="5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49" w:lineRule="exact"/>
        <w:rPr>
          <w:rFonts w:ascii="Arial" w:cs="Arial" w:eastAsia="Arial" w:hAnsi="Arial"/>
          <w:sz w:val="18"/>
          <w:szCs w:val="18"/>
          <w:color w:val="auto"/>
        </w:rPr>
      </w:pPr>
    </w:p>
    <w:p>
      <w:pPr>
        <w:ind w:left="980" w:right="320" w:hanging="324"/>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58"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color w:val="auto"/>
        </w:rPr>
        <w:t>We anticipate introducing additional products during the next twelve months, including SaaS telematics solutions and additional service offerings,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22" w:lineRule="exact"/>
        <w:rPr>
          <w:sz w:val="20"/>
          <w:szCs w:val="20"/>
          <w:color w:val="auto"/>
        </w:rPr>
      </w:pPr>
    </w:p>
    <w:p>
      <w:pPr>
        <w:ind w:right="60" w:firstLine="405"/>
        <w:spacing w:after="0" w:line="219" w:lineRule="auto"/>
        <w:rPr>
          <w:sz w:val="20"/>
          <w:szCs w:val="20"/>
          <w:color w:val="auto"/>
        </w:rPr>
      </w:pPr>
      <w:r>
        <w:rPr>
          <w:rFonts w:ascii="Arial" w:cs="Arial" w:eastAsia="Arial" w:hAnsi="Arial"/>
          <w:sz w:val="18"/>
          <w:szCs w:val="18"/>
          <w:color w:val="auto"/>
        </w:rPr>
        <w:t>In December 2019, COVID-19 was reported to have surfaced in Wuhan, China, resulting in shutdowns of manufacturing and commerce globally in the months that followed. Since then, the COVID-19 pandemic has spread to multiple countries worldwide, including the United States, and has resulted in authorities implementing numerous measures to try to contain the disease or slow its spread, such as travel bans and restrictions, quarantines, shelter-in-place orders and shutdowns.</w:t>
      </w:r>
    </w:p>
    <w:p>
      <w:pPr>
        <w:spacing w:after="0" w:line="190" w:lineRule="exact"/>
        <w:rPr>
          <w:sz w:val="20"/>
          <w:szCs w:val="20"/>
          <w:color w:val="auto"/>
        </w:rPr>
      </w:pPr>
    </w:p>
    <w:p>
      <w:pPr>
        <w:ind w:right="20" w:firstLine="405"/>
        <w:spacing w:after="0" w:line="216" w:lineRule="auto"/>
        <w:rPr>
          <w:sz w:val="20"/>
          <w:szCs w:val="20"/>
          <w:color w:val="auto"/>
        </w:rPr>
      </w:pPr>
      <w:r>
        <w:rPr>
          <w:rFonts w:ascii="Arial" w:cs="Arial" w:eastAsia="Arial" w:hAnsi="Arial"/>
          <w:sz w:val="18"/>
          <w:szCs w:val="18"/>
          <w:color w:val="auto"/>
        </w:rPr>
        <w:t>The demand environment for our 5G products during the three months ended September 30, 2020 was consistent with our expectations, with continued demand for our products due to a dramatic increase around the world in remote or tele-work and learning due to the COVID-19 pandemic. While demand for our products continues to be robust, the macroeconomic environment remains uncertain and the demand for our products may not be sustainable for the long term. We continue to monitor the implications of the COVID-19 pandemic on our business, as well as our customers’ and suppliers’ businesses.</w:t>
      </w:r>
    </w:p>
    <w:p>
      <w:pPr>
        <w:spacing w:after="0" w:line="12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105"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costs.</w:t>
      </w:r>
    </w:p>
    <w:p>
      <w:pPr>
        <w:spacing w:after="0" w:line="117" w:lineRule="exact"/>
        <w:rPr>
          <w:sz w:val="20"/>
          <w:szCs w:val="20"/>
          <w:color w:val="auto"/>
        </w:rPr>
      </w:pPr>
    </w:p>
    <w:p>
      <w:pPr>
        <w:ind w:right="240" w:firstLine="405"/>
        <w:spacing w:after="0" w:line="291" w:lineRule="auto"/>
        <w:rPr>
          <w:sz w:val="20"/>
          <w:szCs w:val="20"/>
          <w:color w:val="auto"/>
        </w:rPr>
      </w:pPr>
      <w:r>
        <w:rPr>
          <w:rFonts w:ascii="Arial" w:cs="Arial" w:eastAsia="Arial" w:hAnsi="Arial"/>
          <w:sz w:val="17"/>
          <w:szCs w:val="17"/>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93"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Sales and marketing expenses consist primarily of our sales force and product-marketing professionals. In order to maintain strong sales relationships, we provide co-marketing, trade show support and product training. We are also engaged 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ind w:right="240"/>
        <w:spacing w:after="0" w:line="261" w:lineRule="auto"/>
        <w:rPr>
          <w:sz w:val="20"/>
          <w:szCs w:val="20"/>
          <w:color w:val="auto"/>
        </w:rPr>
      </w:pPr>
      <w:r>
        <w:rPr>
          <w:rFonts w:ascii="Arial" w:cs="Arial" w:eastAsia="Arial" w:hAnsi="Arial"/>
          <w:sz w:val="18"/>
          <w:szCs w:val="18"/>
          <w:color w:val="auto"/>
        </w:rPr>
        <w:t>a wide variety of marketing activities, such as awareness and lead generation programs as well as product marketing. Other marketing initiatives include public relations, seminars and co-branding with partners.</w:t>
      </w:r>
    </w:p>
    <w:p>
      <w:pPr>
        <w:spacing w:after="0" w:line="117"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35" w:lineRule="exact"/>
        <w:rPr>
          <w:sz w:val="20"/>
          <w:szCs w:val="20"/>
          <w:color w:val="auto"/>
        </w:rPr>
      </w:pPr>
    </w:p>
    <w:p>
      <w:pPr>
        <w:jc w:val="both"/>
        <w:ind w:right="40" w:firstLine="405"/>
        <w:spacing w:after="0" w:line="248"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 as well as discontinued operations, if any.</w:t>
      </w:r>
    </w:p>
    <w:p>
      <w:pPr>
        <w:spacing w:after="0" w:line="128"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firstLine="405"/>
        <w:spacing w:after="0" w:line="259" w:lineRule="auto"/>
        <w:rPr>
          <w:sz w:val="20"/>
          <w:szCs w:val="20"/>
          <w:color w:val="auto"/>
        </w:rPr>
      </w:pPr>
      <w:r>
        <w:rPr>
          <w:rFonts w:ascii="Arial" w:cs="Arial" w:eastAsia="Arial" w:hAnsi="Arial"/>
          <w:sz w:val="17"/>
          <w:szCs w:val="17"/>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other than our policy on derivative financial instruments as disclosed below. The accounting principles used in preparing our unaudited condensed consolidated financial statements conform in all material respects to accounting principles generally accepted in the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9" w:lineRule="exact"/>
        <w:rPr>
          <w:sz w:val="20"/>
          <w:szCs w:val="20"/>
          <w:color w:val="auto"/>
        </w:rPr>
      </w:pPr>
    </w:p>
    <w:p>
      <w:pPr>
        <w:ind w:right="120" w:firstLine="405"/>
        <w:spacing w:after="0" w:line="276" w:lineRule="auto"/>
        <w:rPr>
          <w:sz w:val="20"/>
          <w:szCs w:val="20"/>
          <w:color w:val="auto"/>
        </w:rPr>
      </w:pPr>
      <w:r>
        <w:rPr>
          <w:rFonts w:ascii="Arial" w:cs="Arial" w:eastAsia="Arial" w:hAnsi="Arial"/>
          <w:sz w:val="16"/>
          <w:szCs w:val="16"/>
          <w:color w:val="auto"/>
        </w:rPr>
        <w:t>The Company evaluates stock options, stock warrants, debt instruments and other contracts to determine if those contracts or embedded components of those contracts qualify as derivative financial instruments to be separately accounted for under the relevant sections of the Financial Accounting Standards Board (the “FASB”) Accounting Standards Codification.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 of operations as other income or other expense. Upon conversion, exercise or expiration of a derivative financial instrument, the instrument is marked to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Instruments</w:t>
      </w:r>
    </w:p>
    <w:p>
      <w:pPr>
        <w:spacing w:after="0" w:line="239" w:lineRule="exact"/>
        <w:rPr>
          <w:sz w:val="20"/>
          <w:szCs w:val="20"/>
          <w:color w:val="auto"/>
        </w:rPr>
      </w:pPr>
    </w:p>
    <w:p>
      <w:pPr>
        <w:ind w:firstLine="405"/>
        <w:spacing w:after="0" w:line="239" w:lineRule="auto"/>
        <w:rPr>
          <w:sz w:val="20"/>
          <w:szCs w:val="20"/>
          <w:color w:val="auto"/>
        </w:rPr>
      </w:pPr>
      <w:r>
        <w:rPr>
          <w:rFonts w:ascii="Arial" w:cs="Arial" w:eastAsia="Arial" w:hAnsi="Arial"/>
          <w:sz w:val="18"/>
          <w:szCs w:val="18"/>
          <w:color w:val="auto"/>
        </w:rPr>
        <w:t>We account for our convertible debt instruments that may be settled in cash upon conversion (including partial cash settlement) by separating the liability and equity components of the instruments in a manner that reflects our nonconvertible debt borrowing rate. We determine the carrying amount of the liability component by measuring the fair value of similar debt instruments that do not have the conversion feature. If a similar debt instrument does not exist, we estimate the fair value by using assumptions that market participants would use in pricing a debt instrument, including market interest rates, credit standing, yield curves and volatility. Determining the fair value of the debt component requires the use of accounting estimates and assumptions. These estimates and assumptions require significant judgment and could have a significant impact on the determination of the debt component and the associated non-cash interest expense.</w:t>
      </w:r>
    </w:p>
    <w:p>
      <w:pPr>
        <w:spacing w:after="0" w:line="218" w:lineRule="exact"/>
        <w:rPr>
          <w:sz w:val="20"/>
          <w:szCs w:val="20"/>
          <w:color w:val="auto"/>
        </w:rPr>
      </w:pPr>
    </w:p>
    <w:p>
      <w:pPr>
        <w:ind w:right="60" w:firstLine="405"/>
        <w:spacing w:after="0" w:line="294" w:lineRule="auto"/>
        <w:rPr>
          <w:sz w:val="20"/>
          <w:szCs w:val="20"/>
          <w:color w:val="auto"/>
        </w:rPr>
      </w:pPr>
      <w:r>
        <w:rPr>
          <w:rFonts w:ascii="Arial" w:cs="Arial" w:eastAsia="Arial" w:hAnsi="Arial"/>
          <w:sz w:val="16"/>
          <w:szCs w:val="16"/>
          <w:color w:val="auto"/>
        </w:rPr>
        <w:t>For convertible debt that may be settled in cash upon conversion, we assign a value to the debt component equal to the estimated fair value of similar debt instruments without the conversion feature, which could result in recording the debt instrument at a discount. If the debt instrument is recorded at a discount, we amortize the debt discount over the life of the debt instrument as additional non-cash interest expense utilizing the effective interest method.</w:t>
      </w:r>
    </w:p>
    <w:p>
      <w:pPr>
        <w:spacing w:after="0" w:line="174" w:lineRule="exact"/>
        <w:rPr>
          <w:sz w:val="20"/>
          <w:szCs w:val="20"/>
          <w:color w:val="auto"/>
        </w:rPr>
      </w:pPr>
    </w:p>
    <w:p>
      <w:pPr>
        <w:ind w:right="340" w:firstLine="405"/>
        <w:spacing w:after="0" w:line="248" w:lineRule="auto"/>
        <w:rPr>
          <w:sz w:val="20"/>
          <w:szCs w:val="20"/>
          <w:color w:val="auto"/>
        </w:rPr>
      </w:pPr>
      <w:r>
        <w:rPr>
          <w:rFonts w:ascii="Arial" w:cs="Arial" w:eastAsia="Arial" w:hAnsi="Arial"/>
          <w:sz w:val="18"/>
          <w:szCs w:val="18"/>
          <w:color w:val="auto"/>
        </w:rPr>
        <w:t xml:space="preserve">We evaluate embedded features within convertible debt that will be settled in shares upon conversion under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to determine whether the embedded feature(s) should be bifurcated from the host instrument and accounted for as a derivative at fair value with changes in fair value recorded in earnings.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9" w:name="page30"/>
    <w:bookmarkEnd w:id="29"/>
    <w:p>
      <w:pPr>
        <w:jc w:val="both"/>
        <w:ind w:right="260" w:firstLine="405"/>
        <w:spacing w:after="0" w:line="271" w:lineRule="auto"/>
        <w:rPr>
          <w:sz w:val="20"/>
          <w:szCs w:val="20"/>
          <w:color w:val="auto"/>
        </w:rPr>
      </w:pPr>
      <w:r>
        <w:rPr>
          <w:rFonts w:ascii="Arial" w:cs="Arial" w:eastAsia="Arial" w:hAnsi="Arial"/>
          <w:sz w:val="16"/>
          <w:szCs w:val="16"/>
          <w:color w:val="auto"/>
        </w:rPr>
        <w:t>If an embedded derivative is bifurcated from share-settled convertible debt, we record the debt component at cost less a debt discount equal to the bifurcated derivative’s fair value. We amortize the debt discount over the life of the debt instrument as additional non-cash interest expense utilizing the effective interest method. The convertible debt and the derivative liability are presented in total on the unaudited condensed consolidated balance sheet.</w:t>
      </w:r>
    </w:p>
    <w:p>
      <w:pPr>
        <w:spacing w:after="0" w:line="243" w:lineRule="auto"/>
        <w:rPr>
          <w:sz w:val="20"/>
          <w:szCs w:val="20"/>
          <w:color w:val="auto"/>
        </w:rPr>
      </w:pPr>
      <w:r>
        <w:rPr>
          <w:rFonts w:ascii="Arial" w:cs="Arial" w:eastAsia="Arial" w:hAnsi="Arial"/>
          <w:sz w:val="18"/>
          <w:szCs w:val="18"/>
          <w:color w:val="auto"/>
        </w:rPr>
        <w:t>The derivative liability will be remeasured at each reporting period with changes in fair value recorded in the consolidated statements of operations in other income (expense), net.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September 30, 2020 were $90.2 million, compared to $62.7 million for the same period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29,609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62.0 %</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90,240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27,524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right="140" w:firstLine="405"/>
        <w:spacing w:after="0" w:line="243"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w:t>
      </w:r>
      <w:r>
        <w:rPr>
          <w:rFonts w:ascii="Arial" w:cs="Arial" w:eastAsia="Arial" w:hAnsi="Arial"/>
          <w:sz w:val="18"/>
          <w:szCs w:val="18"/>
          <w:i w:val="1"/>
          <w:iCs w:val="1"/>
          <w:color w:val="auto"/>
        </w:rPr>
        <w:t xml:space="preserve"> </w:t>
      </w:r>
      <w:r>
        <w:rPr>
          <w:rFonts w:ascii="Arial" w:cs="Arial" w:eastAsia="Arial" w:hAnsi="Arial"/>
          <w:sz w:val="18"/>
          <w:szCs w:val="18"/>
          <w:color w:val="auto"/>
        </w:rPr>
        <w:t>the introduction of our second-generation 5G hotspot related to our MiFi business, and increased revenues in our DMS business due to subscriber growth. As a result of the COVID-19 pandemic, there has been an increase in demand for our products due to a dramatic increase around the world in remote or tele-work and learning.</w:t>
      </w:r>
    </w:p>
    <w:p>
      <w:pPr>
        <w:spacing w:after="0" w:line="215"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net revenues is primarily a result of lower Ctrack system revenues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COVID-19 and the effect of strengthening U.S. Dollar foreign exchange rates on international sales.</w:t>
      </w:r>
    </w:p>
    <w:p>
      <w:pPr>
        <w:spacing w:after="0" w:line="117"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September 30, 2020 was $65.1 million, or 72.1%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$44.1 million, or 70.3% of net revenues, for the same period in 2019.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21,653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56.3 %</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20,979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i w:val="1"/>
          <w:iCs w:val="1"/>
          <w:color w:val="auto"/>
        </w:rPr>
        <w:t xml:space="preserve">IoT &amp; Mobile Solutions. </w:t>
      </w:r>
      <w:r>
        <w:rPr>
          <w:rFonts w:ascii="Arial" w:cs="Arial" w:eastAsia="Arial" w:hAnsi="Arial"/>
          <w:sz w:val="17"/>
          <w:szCs w:val="17"/>
          <w:color w:val="auto"/>
        </w:rPr>
        <w:t>The increase in IoT &amp; Mobile Solutions cost of net revenues is primarily a result of the increased sales of our LTE gigabit</w:t>
      </w:r>
      <w:r>
        <w:rPr>
          <w:rFonts w:ascii="Arial" w:cs="Arial" w:eastAsia="Arial" w:hAnsi="Arial"/>
          <w:sz w:val="17"/>
          <w:szCs w:val="17"/>
          <w:i w:val="1"/>
          <w:iCs w:val="1"/>
          <w:color w:val="auto"/>
        </w:rPr>
        <w:t xml:space="preserve"> </w:t>
      </w:r>
      <w:r>
        <w:rPr>
          <w:rFonts w:ascii="Arial" w:cs="Arial" w:eastAsia="Arial" w:hAnsi="Arial"/>
          <w:sz w:val="17"/>
          <w:szCs w:val="17"/>
          <w:color w:val="auto"/>
        </w:rPr>
        <w:t>hotspots, and 5G hotspots, as well as associated expenses such as freight and royalties. As a result of the COVID-19 pandemic, there has been an increase in demand for our products due to a dramatic increase around the world in remote or tele-work and learning.</w:t>
      </w:r>
    </w:p>
    <w:p>
      <w:pPr>
        <w:spacing w:after="0" w:line="110"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decreased as a result of lower Ctrack system revenues,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of strengthening U.S. Dollar foreign exchange rates on international costs.</w:t>
      </w:r>
    </w:p>
    <w:p>
      <w:pPr>
        <w:spacing w:after="0" w:line="117" w:lineRule="exact"/>
        <w:rPr>
          <w:sz w:val="20"/>
          <w:szCs w:val="20"/>
          <w:color w:val="auto"/>
        </w:rPr>
      </w:pPr>
    </w:p>
    <w:p>
      <w:pPr>
        <w:ind w:right="60" w:firstLine="405"/>
        <w:spacing w:after="0" w:line="24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September 30, 2020 was $25.2 million, or a gross margin of 27.9%, compared to $18.6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gross margin of 29.7%, for the same period in 2019. The increase in gross profit was primarily attributable to the increase in IoT &amp; Mobile Solutions revenues.</w:t>
      </w:r>
    </w:p>
    <w:p>
      <w:pPr>
        <w:spacing w:after="0" w:line="128" w:lineRule="exact"/>
        <w:rPr>
          <w:sz w:val="20"/>
          <w:szCs w:val="20"/>
          <w:color w:val="auto"/>
        </w:rPr>
      </w:pPr>
    </w:p>
    <w:p>
      <w:pPr>
        <w:jc w:val="both"/>
        <w:ind w:right="180" w:firstLine="405"/>
        <w:spacing w:after="0" w:line="24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September 30, 2020 were $10.7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11.8% of net revenues, compared to $6.7 million, or 10.6% of net revenues, for the same period in 2019. The increase was primarily a result of increased staffing, test units, and other development spending related to our 5G product programs.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0" w:name="page31"/>
    <w:bookmarkEnd w:id="30"/>
    <w:p>
      <w:pPr>
        <w:ind w:right="460" w:firstLine="405"/>
        <w:spacing w:after="0" w:line="248"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September 30, 2020 were $8.4 million, or 9.4%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$7.1 million, or 11.4% of net revenues, for the same period in 2019. The increase was primarily a result of an increase in employment costs attributable to an increase in headcount.</w:t>
      </w:r>
    </w:p>
    <w:p>
      <w:pPr>
        <w:spacing w:after="0" w:line="128" w:lineRule="exact"/>
        <w:rPr>
          <w:sz w:val="20"/>
          <w:szCs w:val="20"/>
          <w:color w:val="auto"/>
        </w:rPr>
      </w:pPr>
    </w:p>
    <w:p>
      <w:pPr>
        <w:ind w:right="320" w:firstLine="405"/>
        <w:spacing w:after="0" w:line="24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September 30, 2020 were $8.7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9.6% of net revenues, compared to $7.1 million, or 11.4% of net revenues, for the same period in 2019. The increase was primarily a result of increased employment costs attributable to an increase in headcount and non-recurring legal expenses, offset by the effect of strengthening U.S. Dollar foreign exchange rates on international costs.</w:t>
      </w:r>
    </w:p>
    <w:p>
      <w:pPr>
        <w:spacing w:after="0" w:line="130" w:lineRule="exact"/>
        <w:rPr>
          <w:sz w:val="20"/>
          <w:szCs w:val="20"/>
          <w:color w:val="auto"/>
        </w:rPr>
      </w:pPr>
    </w:p>
    <w:p>
      <w:pPr>
        <w:ind w:right="300" w:firstLine="405"/>
        <w:spacing w:after="0" w:line="266"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each of the three months ended September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2019 was $0.8 million.</w:t>
      </w:r>
    </w:p>
    <w:p>
      <w:pPr>
        <w:spacing w:after="0" w:line="112" w:lineRule="exact"/>
        <w:rPr>
          <w:sz w:val="20"/>
          <w:szCs w:val="20"/>
          <w:color w:val="auto"/>
        </w:rPr>
      </w:pPr>
    </w:p>
    <w:p>
      <w:pPr>
        <w:ind w:right="440" w:firstLine="486"/>
        <w:spacing w:after="0" w:line="291" w:lineRule="auto"/>
        <w:rPr>
          <w:sz w:val="20"/>
          <w:szCs w:val="20"/>
          <w:color w:val="auto"/>
        </w:rPr>
      </w:pPr>
      <w:r>
        <w:rPr>
          <w:rFonts w:ascii="Arial" w:cs="Arial" w:eastAsia="Arial" w:hAnsi="Arial"/>
          <w:sz w:val="17"/>
          <w:szCs w:val="17"/>
          <w:b w:val="1"/>
          <w:bCs w:val="1"/>
          <w:i w:val="1"/>
          <w:iCs w:val="1"/>
          <w:color w:val="auto"/>
        </w:rPr>
        <w:t xml:space="preserve">Loss on debt conversion and extinguishment, net. </w:t>
      </w:r>
      <w:r>
        <w:rPr>
          <w:rFonts w:ascii="Arial" w:cs="Arial" w:eastAsia="Arial" w:hAnsi="Arial"/>
          <w:sz w:val="17"/>
          <w:szCs w:val="17"/>
          <w:color w:val="auto"/>
        </w:rPr>
        <w:t>The loss on debt conversion of $1.2 million for the three months ended September 30,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represents the loss on debt conversion of 2025 Notes. There was no such expense for the same period in 2019.</w:t>
      </w:r>
    </w:p>
    <w:p>
      <w:pPr>
        <w:spacing w:after="0" w:line="93" w:lineRule="exact"/>
        <w:rPr>
          <w:sz w:val="20"/>
          <w:szCs w:val="20"/>
          <w:color w:val="auto"/>
        </w:rPr>
      </w:pPr>
    </w:p>
    <w:p>
      <w:pPr>
        <w:jc w:val="both"/>
        <w:ind w:right="40" w:firstLine="405"/>
        <w:spacing w:after="0" w:line="243"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three months ended September 30, 2020 and 2019 was $1.7 million and $5.1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in interest expense was due to the reduction in debt associated with the conversion of debt into equity during the three months ended June 30, 2020, payment in full of the Term Loan during the three months ended June 30, 2020, as well as a lower interest rate on the 2025 Notes, as compared to the 2022 Notes.</w:t>
      </w:r>
    </w:p>
    <w:p>
      <w:pPr>
        <w:spacing w:after="0" w:line="134" w:lineRule="exact"/>
        <w:rPr>
          <w:sz w:val="20"/>
          <w:szCs w:val="20"/>
          <w:color w:val="auto"/>
        </w:rPr>
      </w:pPr>
    </w:p>
    <w:p>
      <w:pPr>
        <w:jc w:val="both"/>
        <w:ind w:right="140" w:firstLine="405"/>
        <w:spacing w:after="0" w:line="24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three months ended September 30, 2020 was $1.1 million, which primarily includes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adjustment related to our interest make-whole payment. For the same period in 2019, other expense, net, was $0.3 million which primarily included foreign currency transaction gains and losses.</w:t>
      </w:r>
    </w:p>
    <w:p>
      <w:pPr>
        <w:spacing w:after="0" w:line="128"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The income tax provision of $0.2 million for the three months ended September 30, 2020 and 2019, primarily related to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entities in foreign jurisdictions.</w:t>
      </w:r>
    </w:p>
    <w:p>
      <w:pPr>
        <w:spacing w:after="0" w:line="117" w:lineRule="exact"/>
        <w:rPr>
          <w:sz w:val="20"/>
          <w:szCs w:val="20"/>
          <w:color w:val="auto"/>
        </w:rPr>
      </w:pPr>
    </w:p>
    <w:p>
      <w:pPr>
        <w:ind w:right="940" w:firstLine="405"/>
        <w:spacing w:after="0" w:line="324" w:lineRule="auto"/>
        <w:rPr>
          <w:sz w:val="20"/>
          <w:szCs w:val="20"/>
          <w:color w:val="auto"/>
        </w:rPr>
      </w:pPr>
      <w:r>
        <w:rPr>
          <w:rFonts w:ascii="Arial" w:cs="Arial" w:eastAsia="Arial" w:hAnsi="Arial"/>
          <w:sz w:val="16"/>
          <w:szCs w:val="16"/>
          <w:b w:val="1"/>
          <w:bCs w:val="1"/>
          <w:i w:val="1"/>
          <w:iCs w:val="1"/>
          <w:color w:val="auto"/>
        </w:rPr>
        <w:t xml:space="preserve">Net loss (income) attributable to noncontrolling interests. </w:t>
      </w:r>
      <w:r>
        <w:rPr>
          <w:rFonts w:ascii="Arial" w:cs="Arial" w:eastAsia="Arial" w:hAnsi="Arial"/>
          <w:sz w:val="16"/>
          <w:szCs w:val="16"/>
          <w:color w:val="auto"/>
        </w:rPr>
        <w:t>Net income attributable to noncontrolling interests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2020 was $3,000, compared to a net loss attributable to noncontrolling interests of $17,000 for the same period in 2019.</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Series E preferred stock dividends. </w:t>
      </w:r>
      <w:r>
        <w:rPr>
          <w:rFonts w:ascii="Arial" w:cs="Arial" w:eastAsia="Arial" w:hAnsi="Arial"/>
          <w:sz w:val="17"/>
          <w:szCs w:val="17"/>
          <w:color w:val="auto"/>
        </w:rPr>
        <w:t>During the three months ended September 30, 2020 and 2019, we recorded dividends of $0.8 million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$0.1 million, respectively, on our Fixed-Rate Cumulative Perpetual Preferred Stock, Series E, par value $0.001 per share (the “Series E Preferred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Nine Months Ended September 30, 2019</w:t>
      </w:r>
    </w:p>
    <w:p>
      <w:pPr>
        <w:spacing w:after="0" w:line="162"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nine months ended September 30, 2020 were $227.8 million, an increase of $60.6 million, or 36.3%,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2019.</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net revenues by our two product categories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123,548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65,523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53.0 %</w:t>
            </w:r>
          </w:p>
        </w:tc>
        <w:tc>
          <w:tcPr>
            <w:tcW w:w="0" w:type="dxa"/>
            <w:vAlign w:val="bottom"/>
          </w:tcPr>
          <w:p>
            <w:pPr>
              <w:spacing w:after="0"/>
              <w:rPr>
                <w:sz w:val="1"/>
                <w:szCs w:val="1"/>
                <w:color w:val="auto"/>
              </w:rPr>
            </w:pPr>
          </w:p>
        </w:tc>
      </w:tr>
      <w:tr>
        <w:trPr>
          <w:trHeight w:val="213"/>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43,615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5"/>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227,769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167,163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w w:val="98"/>
              </w:rPr>
              <w:t>60,606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right="180" w:firstLine="405"/>
        <w:spacing w:after="0" w:line="243"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w:t>
      </w:r>
      <w:r>
        <w:rPr>
          <w:rFonts w:ascii="Arial" w:cs="Arial" w:eastAsia="Arial" w:hAnsi="Arial"/>
          <w:sz w:val="18"/>
          <w:szCs w:val="18"/>
          <w:i w:val="1"/>
          <w:iCs w:val="1"/>
          <w:color w:val="auto"/>
        </w:rPr>
        <w:t xml:space="preserve"> </w:t>
      </w:r>
      <w:r>
        <w:rPr>
          <w:rFonts w:ascii="Arial" w:cs="Arial" w:eastAsia="Arial" w:hAnsi="Arial"/>
          <w:sz w:val="18"/>
          <w:szCs w:val="18"/>
          <w:color w:val="auto"/>
        </w:rPr>
        <w:t>5G hotspots and USB modems, related to our MiFi business, and increased revenues in our DMS business due to subscriber growth. As a result of the COVID-19 pandemic, there has been an increase in demand for our products due to a dramatic increase around the world in remote or tele-work and learning.</w:t>
      </w:r>
    </w:p>
    <w:p>
      <w:pPr>
        <w:spacing w:after="0" w:line="80" w:lineRule="exact"/>
        <w:rPr>
          <w:sz w:val="20"/>
          <w:szCs w:val="20"/>
          <w:color w:val="auto"/>
        </w:rPr>
      </w:pPr>
    </w:p>
    <w:p>
      <w:pPr>
        <w:ind w:left="220" w:right="60" w:firstLine="405"/>
        <w:spacing w:after="0" w:line="261"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net revenues is primarily a result of lower Ctrack system revenues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COVID-19 in fiscal 2020.</w:t>
      </w:r>
    </w:p>
    <w:p>
      <w:pPr>
        <w:spacing w:after="0" w:line="117"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nine months ended September 30, 2020 was $163.4 million or 71.7%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$118.2 million or 70.7% of net revenues, for same period in 2019.</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46,807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163,372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45,149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49"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cost of net revenues is primarily a result of the increased sales in our LTE gigabit</w:t>
      </w:r>
      <w:r>
        <w:rPr>
          <w:rFonts w:ascii="Arial" w:cs="Arial" w:eastAsia="Arial" w:hAnsi="Arial"/>
          <w:sz w:val="18"/>
          <w:szCs w:val="18"/>
          <w:i w:val="1"/>
          <w:iCs w:val="1"/>
          <w:color w:val="auto"/>
        </w:rPr>
        <w:t xml:space="preserve"> </w:t>
      </w:r>
      <w:r>
        <w:rPr>
          <w:rFonts w:ascii="Arial" w:cs="Arial" w:eastAsia="Arial" w:hAnsi="Arial"/>
          <w:sz w:val="18"/>
          <w:szCs w:val="18"/>
          <w:color w:val="auto"/>
        </w:rPr>
        <w:t>hotspots, 5G hotspots, and USB modems related to our MiFi business, as well as associated expenses such as freight and royalties. As a result of the COVID-19 pandemic, there has been an increase in demand for our products due to a dramatic increase around the world in remote or tele-work and learning.</w:t>
      </w:r>
    </w:p>
    <w:p>
      <w:pPr>
        <w:spacing w:after="0" w:line="23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decreased slightly as a result of lower Ctrack system revenues,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the effect of strengthening U.S. Dollar foreign exchange rates on international costs.</w:t>
      </w:r>
    </w:p>
    <w:p>
      <w:pPr>
        <w:spacing w:after="0" w:line="103" w:lineRule="exact"/>
        <w:rPr>
          <w:sz w:val="20"/>
          <w:szCs w:val="20"/>
          <w:color w:val="auto"/>
        </w:rPr>
      </w:pPr>
    </w:p>
    <w:p>
      <w:pPr>
        <w:jc w:val="both"/>
        <w:ind w:right="140" w:firstLine="405"/>
        <w:spacing w:after="0" w:line="24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2020 was $64.4 million, or a gross margin of 28.3%, compared to $48.9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gross margin of 29.3%, for the same period in 2019. The increase in gross profit was primarily attributable to the increase in IoT &amp; Mobile Solutions revenues.</w:t>
      </w:r>
    </w:p>
    <w:p>
      <w:pPr>
        <w:spacing w:after="0" w:line="128" w:lineRule="exact"/>
        <w:rPr>
          <w:sz w:val="20"/>
          <w:szCs w:val="20"/>
          <w:color w:val="auto"/>
        </w:rPr>
      </w:pPr>
    </w:p>
    <w:p>
      <w:pPr>
        <w:ind w:right="220" w:firstLine="405"/>
        <w:spacing w:after="0" w:line="24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nine months ended September 30, 2020 were $29.4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12.9% of net revenues, compared to $15.3 million, or 9.2% of net revenues, for the same period in 2019. The increase was primarily a result of increased staffing, test units, and other development spending related to our 5G product programs.</w:t>
      </w:r>
    </w:p>
    <w:p>
      <w:pPr>
        <w:spacing w:after="0" w:line="128" w:lineRule="exact"/>
        <w:rPr>
          <w:sz w:val="20"/>
          <w:szCs w:val="20"/>
          <w:color w:val="auto"/>
        </w:rPr>
      </w:pPr>
    </w:p>
    <w:p>
      <w:pPr>
        <w:ind w:right="340" w:firstLine="405"/>
        <w:spacing w:after="0" w:line="248"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nine months ended September 30, 2020 were $25.8 million, or 11.3%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$20.8 million, or 12.4% of net revenues, for the same period in 2019. The increase was primarily a result of an increase in employment costs attributable to an increase in headcount.</w:t>
      </w:r>
    </w:p>
    <w:p>
      <w:pPr>
        <w:spacing w:after="0" w:line="128" w:lineRule="exact"/>
        <w:rPr>
          <w:sz w:val="20"/>
          <w:szCs w:val="20"/>
          <w:color w:val="auto"/>
        </w:rPr>
      </w:pPr>
    </w:p>
    <w:p>
      <w:pPr>
        <w:ind w:firstLine="405"/>
        <w:spacing w:after="0" w:line="24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nine months ended September 30, 2020 were $23.3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10.2% of net revenues, compared to $21.1 million, or 12.6% of net revenues, for the same period in 2019. The increase was primarily a result of an increase in employment costs and non-recurring legal expenses.</w:t>
      </w:r>
    </w:p>
    <w:p>
      <w:pPr>
        <w:spacing w:after="0" w:line="124" w:lineRule="exact"/>
        <w:rPr>
          <w:sz w:val="20"/>
          <w:szCs w:val="20"/>
          <w:color w:val="auto"/>
        </w:rPr>
      </w:pPr>
    </w:p>
    <w:p>
      <w:pPr>
        <w:ind w:right="340" w:firstLine="405"/>
        <w:spacing w:after="0" w:line="296" w:lineRule="auto"/>
        <w:rPr>
          <w:sz w:val="20"/>
          <w:szCs w:val="20"/>
          <w:color w:val="auto"/>
        </w:rPr>
      </w:pPr>
      <w:r>
        <w:rPr>
          <w:rFonts w:ascii="Arial" w:cs="Arial" w:eastAsia="Arial" w:hAnsi="Arial"/>
          <w:sz w:val="17"/>
          <w:szCs w:val="17"/>
          <w:b w:val="1"/>
          <w:bCs w:val="1"/>
          <w:i w:val="1"/>
          <w:iCs w:val="1"/>
          <w:color w:val="auto"/>
        </w:rPr>
        <w:t>Amortization of purchased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amortization of purchased intangible assets for the nine months ended September 30, 2020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was $2.4 million and $2.6 million, respectively, the decrease was primarily the result of changes in foreign exchange rates.</w:t>
      </w:r>
    </w:p>
    <w:p>
      <w:pPr>
        <w:spacing w:after="0" w:line="89" w:lineRule="exact"/>
        <w:rPr>
          <w:sz w:val="20"/>
          <w:szCs w:val="20"/>
          <w:color w:val="auto"/>
        </w:rPr>
      </w:pPr>
    </w:p>
    <w:p>
      <w:pPr>
        <w:ind w:right="100" w:firstLine="405"/>
        <w:spacing w:after="0" w:line="243"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w:t>
      </w:r>
      <w:r>
        <w:rPr>
          <w:rFonts w:ascii="Arial" w:cs="Arial" w:eastAsia="Arial" w:hAnsi="Arial"/>
          <w:sz w:val="18"/>
          <w:szCs w:val="18"/>
          <w:color w:val="auto"/>
        </w:rPr>
        <w:t>The loss on debt conversion and extinguishment expense of $76.4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2020 primarily represents the loss on debt conversion and extinguishment of the 2022 Notes, including a $7.9 inducement expense incurred in connection with certain conversions of the 2022 Notes, and loss recorded on debt conversion of 2025 Notes. There was no such expense for the same period in 2019.</w:t>
      </w:r>
    </w:p>
    <w:p>
      <w:pPr>
        <w:spacing w:after="0" w:line="134" w:lineRule="exact"/>
        <w:rPr>
          <w:sz w:val="20"/>
          <w:szCs w:val="20"/>
          <w:color w:val="auto"/>
        </w:rPr>
      </w:pPr>
    </w:p>
    <w:p>
      <w:pPr>
        <w:ind w:right="100" w:firstLine="405"/>
        <w:spacing w:after="0" w:line="284"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each of the nine months ended September 30, 2020 and 2019 was $8.2 million and $15.3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Interest expense is primarily a result of the interest expense and amortization of the debt discount and debt issuance costs related to our Term Loan, 2022 Notes and 2025 Notes. The decrease in interest expense was due to the conversion of debt into equity in the current fiscal year, payment in full of the Term Loan during the nine months ended September 30, 2020, as well as a lower interest rate on the 2025 Notes, as compared to the 2022 Notes.</w:t>
      </w:r>
    </w:p>
    <w:p>
      <w:pPr>
        <w:spacing w:after="0" w:line="101" w:lineRule="exact"/>
        <w:rPr>
          <w:sz w:val="20"/>
          <w:szCs w:val="20"/>
          <w:color w:val="auto"/>
        </w:rPr>
      </w:pPr>
    </w:p>
    <w:p>
      <w:pPr>
        <w:ind w:right="80" w:firstLine="405"/>
        <w:spacing w:after="0" w:line="294"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net, for the nine months ended September 30, 2020 was $2.8 million, which primarily includes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adjustment related to our interest make-whole payment as well as foreign currency transaction gains and losses, and gains on the sale of certain fixed assets. Other expense, net for the same period in 2019 was $0.1 million, which primarily consisted of foreign currency transaction gains and losses.</w:t>
      </w:r>
    </w:p>
    <w:p>
      <w:pPr>
        <w:spacing w:after="0" w:line="93" w:lineRule="exact"/>
        <w:rPr>
          <w:sz w:val="20"/>
          <w:szCs w:val="20"/>
          <w:color w:val="auto"/>
        </w:rPr>
      </w:pPr>
    </w:p>
    <w:p>
      <w:pPr>
        <w:ind w:right="460" w:firstLine="405"/>
        <w:spacing w:after="0" w:line="261"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The income tax provision of $0.2 million for the nine months ended September 30, 2020 and the income tax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for the same period in 2019, respectively, primarily relate to certain of our entities in foreign jurisdictions.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ind w:right="340" w:firstLine="405"/>
        <w:spacing w:after="0" w:line="291" w:lineRule="auto"/>
        <w:rPr>
          <w:sz w:val="20"/>
          <w:szCs w:val="20"/>
          <w:color w:val="auto"/>
        </w:rPr>
      </w:pPr>
      <w:r>
        <w:rPr>
          <w:rFonts w:ascii="Arial" w:cs="Arial" w:eastAsia="Arial" w:hAnsi="Arial"/>
          <w:sz w:val="17"/>
          <w:szCs w:val="17"/>
          <w:b w:val="1"/>
          <w:bCs w:val="1"/>
          <w:i w:val="1"/>
          <w:iCs w:val="1"/>
          <w:color w:val="auto"/>
        </w:rPr>
        <w:t xml:space="preserve">Net income attributable to noncontrolling interests. </w:t>
      </w:r>
      <w:r>
        <w:rPr>
          <w:rFonts w:ascii="Arial" w:cs="Arial" w:eastAsia="Arial" w:hAnsi="Arial"/>
          <w:sz w:val="17"/>
          <w:szCs w:val="17"/>
          <w:color w:val="auto"/>
        </w:rPr>
        <w:t>Net income attributable to noncontrolling interests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was $29,000, compared to a net income attributable to noncontrolling interests of $57,000 for the same period in 2019.</w:t>
      </w:r>
    </w:p>
    <w:p>
      <w:pPr>
        <w:spacing w:after="0" w:line="93"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b w:val="1"/>
          <w:bCs w:val="1"/>
          <w:i w:val="1"/>
          <w:iCs w:val="1"/>
          <w:color w:val="auto"/>
        </w:rPr>
        <w:t xml:space="preserve">Series E preferred stock dividends. </w:t>
      </w:r>
      <w:r>
        <w:rPr>
          <w:rFonts w:ascii="Arial" w:cs="Arial" w:eastAsia="Arial" w:hAnsi="Arial"/>
          <w:sz w:val="18"/>
          <w:szCs w:val="18"/>
          <w:color w:val="auto"/>
        </w:rPr>
        <w:t>During the nine months ended September 30, 2020 and 2019, we recorded accrued dividends of $2.1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respectively, on our Series E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660" w:firstLine="405"/>
        <w:spacing w:after="0" w:line="261" w:lineRule="auto"/>
        <w:rPr>
          <w:sz w:val="20"/>
          <w:szCs w:val="20"/>
          <w:color w:val="auto"/>
        </w:rPr>
      </w:pPr>
      <w:r>
        <w:rPr>
          <w:rFonts w:ascii="Arial" w:cs="Arial" w:eastAsia="Arial" w:hAnsi="Arial"/>
          <w:sz w:val="18"/>
          <w:szCs w:val="18"/>
          <w:color w:val="auto"/>
        </w:rPr>
        <w:t>Our principal sources of liquidity are our existing cash and cash equivalents and cash generated from operations and financing sources. As of September 30, 2020, we had cash and cash equivalents of $42.0 million and working capital of $40.7 million.</w:t>
      </w:r>
    </w:p>
    <w:p>
      <w:pPr>
        <w:spacing w:after="0" w:line="117"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On August 6, 2018, we completed a private placement of 12,062,000 shares of common stock and warrants to purchase an additional 4,221,700 shares of common stock (the “2018 Warrants”).</w:t>
      </w:r>
    </w:p>
    <w:p>
      <w:pPr>
        <w:spacing w:after="0" w:line="117" w:lineRule="exact"/>
        <w:rPr>
          <w:sz w:val="20"/>
          <w:szCs w:val="20"/>
          <w:color w:val="auto"/>
        </w:rPr>
      </w:pPr>
    </w:p>
    <w:p>
      <w:pPr>
        <w:ind w:right="280" w:firstLine="405"/>
        <w:spacing w:after="0" w:line="241" w:lineRule="auto"/>
        <w:rPr>
          <w:sz w:val="20"/>
          <w:szCs w:val="20"/>
          <w:color w:val="auto"/>
        </w:rPr>
      </w:pPr>
      <w:r>
        <w:rPr>
          <w:rFonts w:ascii="Arial" w:cs="Arial" w:eastAsia="Arial" w:hAnsi="Arial"/>
          <w:sz w:val="18"/>
          <w:szCs w:val="18"/>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new warrants have an initial exercise price of $7.00 per share, subject to adjustment for stock splits, reverse stock splits, stock dividends and similar transactions, will be exercisable at any time on or after September 28, 2019, and will expire on June 30, 2022.</w:t>
      </w:r>
    </w:p>
    <w:p>
      <w:pPr>
        <w:spacing w:after="0" w:line="216" w:lineRule="exact"/>
        <w:rPr>
          <w:sz w:val="20"/>
          <w:szCs w:val="20"/>
          <w:color w:val="auto"/>
        </w:rPr>
      </w:pPr>
    </w:p>
    <w:p>
      <w:pPr>
        <w:jc w:val="both"/>
        <w:ind w:right="80" w:firstLine="405"/>
        <w:spacing w:after="0" w:line="248" w:lineRule="auto"/>
        <w:rPr>
          <w:sz w:val="20"/>
          <w:szCs w:val="20"/>
          <w:color w:val="auto"/>
        </w:rPr>
      </w:pPr>
      <w:r>
        <w:rPr>
          <w:rFonts w:ascii="Arial" w:cs="Arial" w:eastAsia="Arial" w:hAnsi="Arial"/>
          <w:sz w:val="18"/>
          <w:szCs w:val="18"/>
          <w:color w:val="auto"/>
        </w:rPr>
        <w:t>On August 9, 2019, we completed a private placement of 10,000 shares of Series E Preferred Stock, for an aggregate purchase price of $10.0 million in accordance with the terms and provisions of a Securities Purchase Agreement, dated August 9, 2019, by and among the Company and certain accredited investors.</w:t>
      </w:r>
    </w:p>
    <w:p>
      <w:pPr>
        <w:spacing w:after="0" w:line="128" w:lineRule="exact"/>
        <w:rPr>
          <w:sz w:val="20"/>
          <w:szCs w:val="20"/>
          <w:color w:val="auto"/>
        </w:rPr>
      </w:pPr>
    </w:p>
    <w:p>
      <w:pPr>
        <w:ind w:right="220" w:firstLine="405"/>
        <w:spacing w:after="0" w:line="248" w:lineRule="auto"/>
        <w:rPr>
          <w:sz w:val="20"/>
          <w:szCs w:val="20"/>
          <w:color w:val="auto"/>
        </w:rPr>
      </w:pPr>
      <w:r>
        <w:rPr>
          <w:rFonts w:ascii="Arial" w:cs="Arial" w:eastAsia="Arial" w:hAnsi="Arial"/>
          <w:sz w:val="18"/>
          <w:szCs w:val="18"/>
          <w:color w:val="auto"/>
        </w:rPr>
        <w:t>On March 6, 2020, we completed a private placement of 25,000 additional shares of Series E Preferred Stock, for an aggregate purchase price of $25.0 million in accordance with the terms and provisions of a Securities Purchase Agreement, dated March 6, 2020, by and among the Company and an accredited investor.</w:t>
      </w:r>
    </w:p>
    <w:p>
      <w:pPr>
        <w:spacing w:after="0" w:line="128" w:lineRule="exact"/>
        <w:rPr>
          <w:sz w:val="20"/>
          <w:szCs w:val="20"/>
          <w:color w:val="auto"/>
        </w:rPr>
      </w:pPr>
    </w:p>
    <w:p>
      <w:pPr>
        <w:ind w:firstLine="405"/>
        <w:spacing w:after="0" w:line="257" w:lineRule="auto"/>
        <w:rPr>
          <w:sz w:val="20"/>
          <w:szCs w:val="20"/>
          <w:color w:val="auto"/>
        </w:rPr>
      </w:pPr>
      <w:r>
        <w:rPr>
          <w:rFonts w:ascii="Arial" w:cs="Arial" w:eastAsia="Arial" w:hAnsi="Arial"/>
          <w:sz w:val="17"/>
          <w:szCs w:val="17"/>
          <w:color w:val="auto"/>
        </w:rPr>
        <w:t>In the first quarter of 2020, $59.9 million of our 5.5% convertible senior notes due 2022 (the “2022 Notes” formerly referred to as the “Inseego Notes”) were exchanged for common stock in private exchange transactions. Additionally, in the second quarter of 2020, we restructured our outstanding debt by completing a $100.0 million registered public offering (the “Offering”) of 3.25% convertible senior notes due 2025 (the “2025 Notes”) and also entered into privately-negotiated Exchange Agreements, pursuant to which an aggregate of $45 million in principal amount of 2022 Notes were exchanged for an aggregate of $32.0 million in cash paid to the lender and $80.4 million in principal amount of the 2025 Notes. (“the Private Exchange Transactions”). In the third quarter of 2020, we redeemed the remaining $2,000 principal amount of the 2022 Notes.</w:t>
      </w:r>
    </w:p>
    <w:p>
      <w:pPr>
        <w:spacing w:after="0" w:line="54" w:lineRule="exact"/>
        <w:rPr>
          <w:sz w:val="20"/>
          <w:szCs w:val="20"/>
          <w:color w:val="auto"/>
        </w:rPr>
      </w:pPr>
    </w:p>
    <w:p>
      <w:pPr>
        <w:ind w:right="360" w:firstLine="405"/>
        <w:spacing w:after="0" w:line="235" w:lineRule="auto"/>
        <w:rPr>
          <w:sz w:val="20"/>
          <w:szCs w:val="20"/>
          <w:color w:val="auto"/>
        </w:rPr>
      </w:pPr>
      <w:r>
        <w:rPr>
          <w:rFonts w:ascii="Arial" w:cs="Arial" w:eastAsia="Arial" w:hAnsi="Arial"/>
          <w:sz w:val="18"/>
          <w:szCs w:val="18"/>
          <w:color w:val="auto"/>
        </w:rPr>
        <w:t>During the quarter ended September 30, 2020, certain holders of the 2025 Notes converted an aggregate of approximately $13.5 million principal amount of the 2025 Notes into shares of the Company’s common stock in accordance with the terms of such notes.</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our outstanding debt primarily consisted of $166.9 million in principal amount of 2025 Notes.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9" w:lineRule="exact"/>
        <w:rPr>
          <w:sz w:val="20"/>
          <w:szCs w:val="20"/>
          <w:color w:val="auto"/>
        </w:rPr>
      </w:pPr>
    </w:p>
    <w:p>
      <w:pPr>
        <w:ind w:right="400" w:firstLine="405"/>
        <w:spacing w:after="0" w:line="243" w:lineRule="auto"/>
        <w:rPr>
          <w:sz w:val="20"/>
          <w:szCs w:val="20"/>
          <w:color w:val="auto"/>
        </w:rPr>
      </w:pPr>
      <w:r>
        <w:rPr>
          <w:rFonts w:ascii="Arial" w:cs="Arial" w:eastAsia="Arial" w:hAnsi="Arial"/>
          <w:sz w:val="18"/>
          <w:szCs w:val="18"/>
          <w:color w:val="auto"/>
        </w:rPr>
        <w:t>On August 23, 2017, the Company and certain of its direct and indirect subsidiaries, as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 $48.0 million (the “Term Loan”) with a maturity date of August 23, 2020.</w:t>
      </w:r>
    </w:p>
    <w:p>
      <w:pPr>
        <w:spacing w:after="0" w:line="215" w:lineRule="exact"/>
        <w:rPr>
          <w:sz w:val="20"/>
          <w:szCs w:val="20"/>
          <w:color w:val="auto"/>
        </w:rPr>
      </w:pPr>
    </w:p>
    <w:p>
      <w:pPr>
        <w:ind w:right="60" w:firstLine="405"/>
        <w:spacing w:after="0" w:line="248" w:lineRule="auto"/>
        <w:rPr>
          <w:sz w:val="20"/>
          <w:szCs w:val="20"/>
          <w:color w:val="auto"/>
        </w:rPr>
      </w:pPr>
      <w:r>
        <w:rPr>
          <w:rFonts w:ascii="Arial" w:cs="Arial" w:eastAsia="Arial" w:hAnsi="Arial"/>
          <w:sz w:val="18"/>
          <w:szCs w:val="18"/>
          <w:color w:val="auto"/>
        </w:rPr>
        <w:t>On March 31, 2020, we issued 2,330 shares of Series E Preferred Stock to South Ocean Funding, LLC (“South Ocean”), the Lender holding all of the aggregate principal amount then outstanding under the Credit Agreement in satisfaction of all then accrued interest under the Credit Agreement. South Ocean is an affiliate of Golden Harbor Ltd.</w:t>
      </w:r>
    </w:p>
    <w:p>
      <w:pPr>
        <w:spacing w:after="0" w:line="209" w:lineRule="exact"/>
        <w:rPr>
          <w:sz w:val="20"/>
          <w:szCs w:val="20"/>
          <w:color w:val="auto"/>
        </w:rPr>
      </w:pPr>
    </w:p>
    <w:p>
      <w:pPr>
        <w:ind w:right="80" w:firstLine="405"/>
        <w:spacing w:after="0" w:line="243" w:lineRule="auto"/>
        <w:rPr>
          <w:sz w:val="20"/>
          <w:szCs w:val="20"/>
          <w:color w:val="auto"/>
        </w:rPr>
      </w:pPr>
      <w:r>
        <w:rPr>
          <w:rFonts w:ascii="Arial" w:cs="Arial" w:eastAsia="Arial" w:hAnsi="Arial"/>
          <w:sz w:val="18"/>
          <w:szCs w:val="18"/>
          <w:color w:val="auto"/>
        </w:rPr>
        <w:t>On May 12, 2020, we used a portion of the proceeds from the Offering to repay in full the Term Loan and terminate the Credit Agreement. The amounts paid included $47.5 million in outstanding principal, approximately $0.5 million in interest accrued thereon, and prepayment fees of $1.4 million. We also used a portion of the proceeds from the Offering to repurchase the 2,330 shares of Series E Preferred Stock which had been issued to satisfy accrued interest under the Credit Agreement, for $2.4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color w:val="auto"/>
        </w:rPr>
        <w:t>The Term Loan bore interest at a rate per annum equal to the three-month LIBOR, but in no event less than 1.00%, plus 7.625%.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12, 2020, we completed a registered public Offering of $100.0 million aggregate principal amount of 2025 Notes.</w:t>
      </w:r>
    </w:p>
    <w:p>
      <w:pPr>
        <w:spacing w:after="0" w:line="225" w:lineRule="exact"/>
        <w:rPr>
          <w:sz w:val="20"/>
          <w:szCs w:val="20"/>
          <w:color w:val="auto"/>
        </w:rPr>
      </w:pPr>
    </w:p>
    <w:p>
      <w:pPr>
        <w:ind w:right="260" w:firstLine="405"/>
        <w:spacing w:after="0" w:line="228" w:lineRule="auto"/>
        <w:rPr>
          <w:sz w:val="20"/>
          <w:szCs w:val="20"/>
          <w:color w:val="auto"/>
        </w:rPr>
      </w:pPr>
      <w:r>
        <w:rPr>
          <w:rFonts w:ascii="Arial" w:cs="Arial" w:eastAsia="Arial" w:hAnsi="Arial"/>
          <w:sz w:val="17"/>
          <w:szCs w:val="17"/>
          <w:color w:val="auto"/>
        </w:rPr>
        <w:t>On May 12, 2020, we also entered into separate privately-negotiated Exchange Agreements certain holders of the 2022 Notes. Pursuant to the Exchange Agreements, each of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concurrent Private Exchange Transactions. The 2025 Notes issued in the Private Exchange Transactions are part of the same series as the 2025 Notes issued in the Offering.</w:t>
      </w:r>
    </w:p>
    <w:p>
      <w:pPr>
        <w:spacing w:after="0" w:line="206" w:lineRule="exact"/>
        <w:rPr>
          <w:sz w:val="20"/>
          <w:szCs w:val="20"/>
          <w:color w:val="auto"/>
        </w:rPr>
      </w:pPr>
    </w:p>
    <w:p>
      <w:pPr>
        <w:ind w:right="320" w:firstLine="405"/>
        <w:spacing w:after="0" w:line="248" w:lineRule="auto"/>
        <w:rPr>
          <w:sz w:val="20"/>
          <w:szCs w:val="20"/>
          <w:color w:val="auto"/>
        </w:rPr>
      </w:pPr>
      <w:r>
        <w:rPr>
          <w:rFonts w:ascii="Arial" w:cs="Arial" w:eastAsia="Arial" w:hAnsi="Arial"/>
          <w:sz w:val="18"/>
          <w:szCs w:val="18"/>
          <w:color w:val="auto"/>
        </w:rPr>
        <w:t>We issued the 2025 Notes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us and the Trustee.</w:t>
      </w:r>
    </w:p>
    <w:p>
      <w:pPr>
        <w:spacing w:after="0" w:line="209"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09" w:lineRule="exact"/>
        <w:rPr>
          <w:sz w:val="20"/>
          <w:szCs w:val="20"/>
          <w:color w:val="auto"/>
        </w:rPr>
      </w:pPr>
    </w:p>
    <w:p>
      <w:pPr>
        <w:jc w:val="both"/>
        <w:ind w:right="200" w:firstLine="405"/>
        <w:spacing w:after="0" w:line="243" w:lineRule="auto"/>
        <w:rPr>
          <w:sz w:val="20"/>
          <w:szCs w:val="20"/>
          <w:color w:val="auto"/>
        </w:rPr>
      </w:pPr>
      <w:r>
        <w:rPr>
          <w:rFonts w:ascii="Arial" w:cs="Arial" w:eastAsia="Arial" w:hAnsi="Arial"/>
          <w:sz w:val="18"/>
          <w:szCs w:val="18"/>
          <w:color w:val="auto"/>
        </w:rPr>
        <w:t>Holders of the 2025 Notes may convert the 2025 Notes into shares of our common stock (together with cash in lieu of any fractional share), at their option, at any time until the close of business on the scheduled trading day immediately before the maturity date. Upon conversion of the 2025 Notes, we will deliver for each $1,000 principal amount of 2025 Notes converted a number of shares of common stock (together with cash in lieu of any fractional share), equal to the conversion rate.</w:t>
      </w:r>
    </w:p>
    <w:p>
      <w:pPr>
        <w:spacing w:after="0" w:line="215"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16" w:lineRule="exact"/>
        <w:rPr>
          <w:sz w:val="20"/>
          <w:szCs w:val="20"/>
          <w:color w:val="auto"/>
        </w:rPr>
      </w:pPr>
    </w:p>
    <w:p>
      <w:pPr>
        <w:ind w:right="640" w:firstLine="405"/>
        <w:spacing w:after="0" w:line="324" w:lineRule="auto"/>
        <w:rPr>
          <w:sz w:val="20"/>
          <w:szCs w:val="20"/>
          <w:color w:val="auto"/>
        </w:rPr>
      </w:pPr>
      <w:r>
        <w:rPr>
          <w:rFonts w:ascii="Arial" w:cs="Arial" w:eastAsia="Arial" w:hAnsi="Arial"/>
          <w:sz w:val="16"/>
          <w:szCs w:val="16"/>
          <w:color w:val="auto"/>
        </w:rPr>
        <w:t>Holders of the 2025 Notes who convert their 2025 Notes may also be entitled to receive, under certain circumstances, an interest make-whole payment payable in, at the Company’s election, either cash or shares of the Common Stock (together with cash in lieu of any fractional share).</w:t>
      </w:r>
    </w:p>
    <w:p>
      <w:pPr>
        <w:spacing w:after="0" w:line="151" w:lineRule="exact"/>
        <w:rPr>
          <w:sz w:val="20"/>
          <w:szCs w:val="20"/>
          <w:color w:val="auto"/>
        </w:rPr>
      </w:pPr>
    </w:p>
    <w:p>
      <w:pPr>
        <w:jc w:val="both"/>
        <w:ind w:right="120" w:firstLine="405"/>
        <w:spacing w:after="0"/>
        <w:rPr>
          <w:sz w:val="20"/>
          <w:szCs w:val="20"/>
          <w:color w:val="auto"/>
        </w:rPr>
      </w:pPr>
      <w:r>
        <w:rPr>
          <w:rFonts w:ascii="Arial" w:cs="Arial" w:eastAsia="Arial" w:hAnsi="Arial"/>
          <w:sz w:val="18"/>
          <w:szCs w:val="18"/>
          <w:color w:val="auto"/>
        </w:rPr>
        <w:t>If a fundamental change (as defined in the Indenture) occurs at any time prior to the maturity date, then the noteholders may require us to repurchase their 2025 Notes at a cash repurchase price equal to the principal amount of the 2025 Notes to be repurchased, plus accrued and unpaid interest, if any, to, but excluding, the fundamental change repurchase date. If a</w:t>
      </w:r>
    </w:p>
    <w:p>
      <w:pPr>
        <w:spacing w:after="0" w:line="3"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make-whole fundamental change (as defined in the Indenture) occurs, then we will in certain circumstances increase the conversion rate for a specified period of time.</w:t>
      </w:r>
    </w:p>
    <w:p>
      <w:pPr>
        <w:spacing w:after="0" w:line="213" w:lineRule="exact"/>
        <w:rPr>
          <w:sz w:val="20"/>
          <w:szCs w:val="20"/>
          <w:color w:val="auto"/>
        </w:rPr>
      </w:pPr>
    </w:p>
    <w:p>
      <w:pPr>
        <w:ind w:right="20" w:firstLine="405"/>
        <w:spacing w:after="0" w:line="279" w:lineRule="auto"/>
        <w:rPr>
          <w:sz w:val="20"/>
          <w:szCs w:val="20"/>
          <w:color w:val="auto"/>
        </w:rPr>
      </w:pPr>
      <w:r>
        <w:rPr>
          <w:rFonts w:ascii="Arial" w:cs="Arial" w:eastAsia="Arial" w:hAnsi="Arial"/>
          <w:sz w:val="16"/>
          <w:szCs w:val="16"/>
          <w:color w:val="auto"/>
        </w:rPr>
        <w:t>The 2025 Notes will be redeemable, in whole or in part, at our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w:t>
      </w:r>
    </w:p>
    <w:p>
      <w:pPr>
        <w:spacing w:after="0" w:line="186"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ind w:right="40"/>
        <w:spacing w:after="0" w:line="262" w:lineRule="auto"/>
        <w:rPr>
          <w:sz w:val="20"/>
          <w:szCs w:val="20"/>
          <w:color w:val="auto"/>
        </w:rPr>
      </w:pPr>
      <w:r>
        <w:rPr>
          <w:rFonts w:ascii="Arial" w:cs="Arial" w:eastAsia="Arial" w:hAnsi="Arial"/>
          <w:sz w:val="17"/>
          <w:szCs w:val="17"/>
          <w:color w:val="auto"/>
        </w:rPr>
        <w:t>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9" w:lineRule="exact"/>
        <w:rPr>
          <w:sz w:val="20"/>
          <w:szCs w:val="20"/>
          <w:color w:val="auto"/>
        </w:rPr>
      </w:pPr>
    </w:p>
    <w:p>
      <w:pPr>
        <w:jc w:val="both"/>
        <w:ind w:right="140" w:firstLine="405"/>
        <w:spacing w:after="0" w:line="243" w:lineRule="auto"/>
        <w:rPr>
          <w:sz w:val="20"/>
          <w:szCs w:val="20"/>
          <w:color w:val="auto"/>
        </w:rPr>
      </w:pPr>
      <w:r>
        <w:rPr>
          <w:rFonts w:ascii="Arial" w:cs="Arial" w:eastAsia="Arial" w:hAnsi="Arial"/>
          <w:sz w:val="18"/>
          <w:szCs w:val="18"/>
          <w:color w:val="auto"/>
        </w:rPr>
        <w:t>During the quarter ended September 30, 2020, certain holders of the 2025 Notes converted an aggregate of approximately $13.5 million in principal amount of the 2025 Notes into 1,177,156 shares of the Company’s common stock, including 108,572 shares of common stock issued in satisfaction of the interest make-whole payment. As of September 30, 2020, $166.9 million in principal amount of the 2025 Notes were outstanding, $80.4 million of which were held by related 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January 9, 2017, we issued approximately $119.8 million aggregate principal amount of 2022 Notes.</w:t>
      </w:r>
    </w:p>
    <w:p>
      <w:pPr>
        <w:spacing w:after="0" w:line="239" w:lineRule="exact"/>
        <w:rPr>
          <w:sz w:val="20"/>
          <w:szCs w:val="20"/>
          <w:color w:val="auto"/>
        </w:rPr>
      </w:pPr>
    </w:p>
    <w:p>
      <w:pPr>
        <w:ind w:right="80" w:firstLine="405"/>
        <w:spacing w:after="0" w:line="271" w:lineRule="auto"/>
        <w:rPr>
          <w:sz w:val="20"/>
          <w:szCs w:val="20"/>
          <w:color w:val="auto"/>
        </w:rPr>
      </w:pPr>
      <w:r>
        <w:rPr>
          <w:rFonts w:ascii="Arial" w:cs="Arial" w:eastAsia="Arial" w:hAnsi="Arial"/>
          <w:sz w:val="16"/>
          <w:szCs w:val="16"/>
          <w:color w:val="auto"/>
        </w:rPr>
        <w:t xml:space="preserve">During the three months ended March 31, 2020, we entered into privately-negotiated exchange agreements with certain investors holding the 2022 Notes. Pursuant to those exchange agreements, the investors exchanged $59.9 million in aggregate principal amount of outstanding 2022 Notes for 13,688,876 shares of common stock. The investors that participated in such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requires the recognition through earnings of an inducement charge equal to the fair value of the consideration delivered in excess of the consideration issuable under the original conversion terms. This resulted in a non-cash charge of $7.9 million for the three months ended March 31, 2020, which was recorded as inducement expense in the condensed consolidated statement of operations.</w:t>
      </w:r>
    </w:p>
    <w:p>
      <w:pPr>
        <w:spacing w:after="0" w:line="196" w:lineRule="exact"/>
        <w:rPr>
          <w:sz w:val="20"/>
          <w:szCs w:val="20"/>
          <w:color w:val="auto"/>
        </w:rPr>
      </w:pPr>
    </w:p>
    <w:p>
      <w:pPr>
        <w:jc w:val="both"/>
        <w:ind w:right="120" w:firstLine="405"/>
        <w:spacing w:after="0" w:line="243" w:lineRule="auto"/>
        <w:rPr>
          <w:sz w:val="20"/>
          <w:szCs w:val="20"/>
          <w:color w:val="auto"/>
        </w:rPr>
      </w:pPr>
      <w:r>
        <w:rPr>
          <w:rFonts w:ascii="Arial" w:cs="Arial" w:eastAsia="Arial" w:hAnsi="Arial"/>
          <w:sz w:val="18"/>
          <w:szCs w:val="18"/>
          <w:color w:val="auto"/>
        </w:rPr>
        <w:t>Pursuant to the Private Exchange Transactions described above, on May 12, 2020, the holders of an aggregate of $45.0 million principal amount of 2022 Notes exchanged their 2022 Notes for a combination of 2025 Notes and cash. As a result of the Private Exchange Transactions, $2,000 in principal amount of the 2022 Notes were outstanding as of June 30, 2020. On July 22, 2020, pursuant to a redemption notice issued on May 15, 2020, we redeemed the remaining $2,000 principal amount of the 2022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104" w:lineRule="exact"/>
        <w:rPr>
          <w:sz w:val="20"/>
          <w:szCs w:val="20"/>
          <w:color w:val="auto"/>
        </w:rPr>
      </w:pPr>
    </w:p>
    <w:p>
      <w:pPr>
        <w:ind w:right="160" w:firstLine="405"/>
        <w:spacing w:after="0" w:line="274" w:lineRule="auto"/>
        <w:rPr>
          <w:sz w:val="20"/>
          <w:szCs w:val="20"/>
          <w:color w:val="auto"/>
        </w:rPr>
      </w:pPr>
      <w:r>
        <w:rPr>
          <w:rFonts w:ascii="Arial" w:cs="Arial" w:eastAsia="Arial" w:hAnsi="Arial"/>
          <w:sz w:val="16"/>
          <w:szCs w:val="16"/>
          <w:color w:val="auto"/>
        </w:rPr>
        <w:t>Pursuant to the amended merger agreement with respect to our acquisition of R.E.R. Enterprises, Inc. (“RER”) and its wholly-owned subsidiary and principal operating asset, Feeney Wireless, LLC (which has been renamed Inseego North America, LLC, the Company agreed to pay a total of</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81" w:lineRule="exact"/>
        <w:rPr>
          <w:sz w:val="20"/>
          <w:szCs w:val="20"/>
          <w:color w:val="auto"/>
        </w:rPr>
      </w:pPr>
    </w:p>
    <w:p>
      <w:pPr>
        <w:ind w:right="40" w:firstLine="405"/>
        <w:spacing w:after="0" w:line="269"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in satisfaction of all remaining liabilities under the Settlement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i w:val="1"/>
          <w:iCs w:val="1"/>
          <w:color w:val="auto"/>
        </w:rPr>
        <w:t>Historical Cash Flows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unaudited condensed consolidated statements of cash flows for the periods indicated (in thousands):</w:t>
      </w:r>
    </w:p>
    <w:p>
      <w:pPr>
        <w:spacing w:after="0" w:line="124"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Nine Months Ended</w:t>
      </w:r>
    </w:p>
    <w:p>
      <w:pPr>
        <w:jc w:val="center"/>
        <w:ind w:left="85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211"/>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(14,998)</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(20,515)</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18,942</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r>
      <w:tr>
        <w:trPr>
          <w:trHeight w:val="213"/>
        </w:trPr>
        <w:tc>
          <w:tcPr>
            <w:tcW w:w="8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(17,131)</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31,076</w:t>
            </w:r>
          </w:p>
        </w:tc>
      </w:tr>
      <w:tr>
        <w:trPr>
          <w:trHeight w:val="23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445"/>
        <w:spacing w:after="0" w:line="27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was $16.7 million for the nine months ended September 30, 2020,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used in operating activities of $15.0 million for the same period in 2019. Net cash provided by operating activities for the nine months ended September 30, 2020 was primarily attributable to net cash provided by working capital, offset by a non-cash loss on debt conversion and extinguishment, a non-cash fair value adjustment on derivative instrument, charges for the fair value of inducement shares issued in the privately-negotiated exchange transactions with certain holders of the 2022 Notes, charge for the exchange of 2022 Notes for 2025 Notes in a Private Exchange Transaction, debt exchange, depreciation and amortization, including the amortization of debt discount and debt issuance costs, and share-based compensation expense. Net cash used in operating activities for the nine months ended September 30, 2019 was primarily attributable to the net loss in the period and net cash used in working capital, partially offset by non-cash charges for depreciation and amortization, including the amortization of debt discount and debt issuance costs, provisions for bad debts and excess and obsolete inventory and share-based compensation expense.</w:t>
      </w:r>
    </w:p>
    <w:p>
      <w:pPr>
        <w:spacing w:after="0" w:line="61" w:lineRule="exact"/>
        <w:rPr>
          <w:sz w:val="20"/>
          <w:szCs w:val="20"/>
          <w:color w:val="auto"/>
        </w:rPr>
      </w:pPr>
    </w:p>
    <w:p>
      <w:pPr>
        <w:ind w:right="100" w:firstLine="445"/>
        <w:spacing w:after="0" w:line="274"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during the nine months ended September 30, 2020 was $25.0 million, compared to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in investing activities of $20.5 million for the same period in 2019. Cash used in investing activities during the nine months ended September 30,</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2020 was primarily related to the purchases of property, plant and equipment and capitalization of certain costs related to the research and development of software to be sold in our products, in large part due to the increase in development in support of 5G products and services. Cash used in investing activities during the same period in 2019 was primarily related to the purchases of property, plant and equipment and capitalization of certain costs related to the research and development of software to be sold in our products.</w:t>
      </w:r>
    </w:p>
    <w:p>
      <w:pPr>
        <w:spacing w:after="0" w:line="81" w:lineRule="exact"/>
        <w:rPr>
          <w:sz w:val="20"/>
          <w:szCs w:val="20"/>
          <w:color w:val="auto"/>
        </w:rPr>
      </w:pPr>
    </w:p>
    <w:p>
      <w:pPr>
        <w:ind w:firstLine="445"/>
        <w:spacing w:after="0" w:line="253"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nine months ended September 30, 2020 was $40.8 million, compared to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provided by financing activities of $18.9 million for the same period in 2019. Net cash provided by financing activities during the nine months ended September 30, 2020 was primarily related to net proceeds received from the Offering, Private Exchange Transactions, the issuance of Series E Preferred Stock, the exercise of warrants to purchase common stock and stock option exercises and purchases through our employee stock purchase plan, partially offset by the repurchase of Series E preferred stock, principal payments under finance lease obligations and taxes paid on vested restricted stock units, payoff of the Term Loan of $48.8 million and payment of $32 million in cash for the Private Exchange Transactions. Net cash provided by financing activities for the same period in 2019 was primarily related to proceeds received from the issuance of Series E preferred stock, the exercise of warrants to purchase common stock and stock option exercises and purchases through our employee stock purchase plan, partially offset by principal payments under finance lease obligations and taxes paid on vested restricted stock units, and debt repayments related to our previous acquisition of Digicore Holdings Limited.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04" w:lineRule="exact"/>
        <w:rPr>
          <w:sz w:val="20"/>
          <w:szCs w:val="20"/>
          <w:color w:val="auto"/>
        </w:rPr>
      </w:pPr>
    </w:p>
    <w:p>
      <w:pPr>
        <w:ind w:right="580" w:firstLine="405"/>
        <w:spacing w:after="0" w:line="291" w:lineRule="auto"/>
        <w:rPr>
          <w:sz w:val="20"/>
          <w:szCs w:val="20"/>
          <w:color w:val="auto"/>
        </w:rPr>
      </w:pPr>
      <w:r>
        <w:rPr>
          <w:rFonts w:ascii="Arial" w:cs="Arial" w:eastAsia="Arial" w:hAnsi="Arial"/>
          <w:sz w:val="17"/>
          <w:szCs w:val="17"/>
          <w:color w:val="auto"/>
        </w:rPr>
        <w:t>Based on the above, the Company’s management believes that its current cash and cash equivalents, together with anticipated cash flows from operations, will be sufficient to meet its working capital needs over the next twelve months without additional sources of cash.</w:t>
      </w:r>
    </w:p>
    <w:p>
      <w:pPr>
        <w:spacing w:after="0" w:line="93" w:lineRule="exact"/>
        <w:rPr>
          <w:sz w:val="20"/>
          <w:szCs w:val="20"/>
          <w:color w:val="auto"/>
        </w:rPr>
      </w:pPr>
    </w:p>
    <w:p>
      <w:pPr>
        <w:ind w:right="140" w:firstLine="405"/>
        <w:spacing w:after="0" w:line="279" w:lineRule="auto"/>
        <w:rPr>
          <w:sz w:val="20"/>
          <w:szCs w:val="20"/>
          <w:color w:val="auto"/>
        </w:rPr>
      </w:pPr>
      <w:r>
        <w:rPr>
          <w:rFonts w:ascii="Arial" w:cs="Arial" w:eastAsia="Arial" w:hAnsi="Arial"/>
          <w:sz w:val="16"/>
          <w:szCs w:val="16"/>
          <w:color w:val="auto"/>
        </w:rPr>
        <w:t>The Company’s liquidity could be impaired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spacing w:after="0" w:line="261" w:lineRule="auto"/>
        <w:rPr>
          <w:sz w:val="20"/>
          <w:szCs w:val="20"/>
          <w:color w:val="auto"/>
        </w:rPr>
      </w:pPr>
      <w:r>
        <w:rPr>
          <w:rFonts w:ascii="Arial" w:cs="Arial" w:eastAsia="Arial" w:hAnsi="Arial"/>
          <w:sz w:val="18"/>
          <w:szCs w:val="18"/>
          <w:color w:val="auto"/>
        </w:rPr>
        <w:t>an adverse impact on its ability to achieve its intended business objectives. There can be no assurance that any required or desired restructuring or financing will be available on terms favorable to the Company, or at all.</w:t>
      </w:r>
    </w:p>
    <w:p>
      <w:pPr>
        <w:spacing w:after="0" w:line="117" w:lineRule="exact"/>
        <w:rPr>
          <w:sz w:val="20"/>
          <w:szCs w:val="20"/>
          <w:color w:val="auto"/>
        </w:rPr>
      </w:pPr>
    </w:p>
    <w:p>
      <w:pPr>
        <w:ind w:right="60" w:firstLine="405"/>
        <w:spacing w:after="0"/>
        <w:rPr>
          <w:sz w:val="20"/>
          <w:szCs w:val="20"/>
          <w:color w:val="auto"/>
        </w:rPr>
      </w:pPr>
      <w:r>
        <w:rPr>
          <w:rFonts w:ascii="Arial" w:cs="Arial" w:eastAsia="Arial" w:hAnsi="Arial"/>
          <w:sz w:val="18"/>
          <w:szCs w:val="18"/>
          <w:color w:val="auto"/>
        </w:rPr>
        <w:t>The global outbreak of COVID-19 was declared a pandemic by the World Health Organization and a national emergency by the U.S. Government in March 2020 and has negatively impacted the U.S. and global economy, disrupted global supply chains, resulted in significant travel and transport restrictions, including mandated closures and orders to “shelter-in-place,” and created significant disruption of the financial markets. The extent of the impact of the COVID-19 pandemic on our operational and financial performance will depend on future developments, including the duration and spread of the pandemic and related actions taken by the U.S. government, state and local government officials, and international governments to prevent disease spread, all of which are uncertain and cannot be predicted.</w:t>
      </w:r>
    </w:p>
    <w:p>
      <w:pPr>
        <w:spacing w:after="0" w:line="81" w:lineRule="exact"/>
        <w:rPr>
          <w:sz w:val="20"/>
          <w:szCs w:val="20"/>
          <w:color w:val="auto"/>
        </w:rPr>
      </w:pPr>
    </w:p>
    <w:p>
      <w:pPr>
        <w:ind w:right="160" w:firstLine="405"/>
        <w:spacing w:after="0" w:line="243" w:lineRule="auto"/>
        <w:rPr>
          <w:sz w:val="20"/>
          <w:szCs w:val="20"/>
          <w:color w:val="auto"/>
        </w:rPr>
      </w:pPr>
      <w:r>
        <w:rPr>
          <w:rFonts w:ascii="Arial" w:cs="Arial" w:eastAsia="Arial" w:hAnsi="Arial"/>
          <w:sz w:val="18"/>
          <w:szCs w:val="18"/>
          <w:color w:val="auto"/>
        </w:rPr>
        <w:t>On March 27, 2020, the President of the United States signed and enacted into law the Coronavirus Aid, Relief, and Economic Security Act (“CARES Act”), a $2 trillion economic relief bill. Pursuant to the CARES Act's relief related to federal employment taxes, we have elected to defer payment of such taxes beginning in April 2020, with $0.9 million in deferred taxes as of September 30, 2020, which will be due in two equal installments in 2021 and 2022.</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160" w:firstLine="405"/>
        <w:spacing w:after="0" w:line="241" w:lineRule="auto"/>
        <w:rPr>
          <w:sz w:val="20"/>
          <w:szCs w:val="20"/>
          <w:color w:val="auto"/>
        </w:rPr>
      </w:pPr>
      <w:r>
        <w:rPr>
          <w:rFonts w:ascii="Arial" w:cs="Arial" w:eastAsia="Arial" w:hAnsi="Arial"/>
          <w:sz w:val="18"/>
          <w:szCs w:val="18"/>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81" w:lineRule="exact"/>
        <w:rPr>
          <w:sz w:val="20"/>
          <w:szCs w:val="20"/>
          <w:color w:val="auto"/>
        </w:rPr>
      </w:pPr>
    </w:p>
    <w:p>
      <w:pPr>
        <w:ind w:right="40" w:firstLine="405"/>
        <w:spacing w:after="0" w:line="269" w:lineRule="auto"/>
        <w:rPr>
          <w:sz w:val="20"/>
          <w:szCs w:val="20"/>
          <w:color w:val="auto"/>
        </w:rPr>
      </w:pPr>
      <w:r>
        <w:rPr>
          <w:rFonts w:ascii="Arial" w:cs="Arial" w:eastAsia="Arial" w:hAnsi="Arial"/>
          <w:sz w:val="16"/>
          <w:szCs w:val="16"/>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September 30, 2020, the end of the period covered by this report. Based on the foregoing, our principal executive officer and principal financial officer concluded that our disclosure controls and procedures were effective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September 30,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and 15d-15(f) promulgated under the Exchange Act, during the three months ended September 30, 2020, that have materially affected, or are reasonably likely to materially affect, the Company’s internal control over financial reporting.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08"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 xml:space="preserve">The disclosure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63" w:lineRule="exact"/>
        <w:rPr>
          <w:sz w:val="20"/>
          <w:szCs w:val="20"/>
          <w:color w:val="auto"/>
        </w:rPr>
      </w:pPr>
    </w:p>
    <w:p>
      <w:pPr>
        <w:ind w:right="20" w:firstLine="405"/>
        <w:spacing w:after="0" w:line="248"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There have been no material changes in our risk factors from those disclosed in “Item 1A. Risk Factors” of the Form 10-K and the Company’s Quarterly Reports on Form 10-Q for the three months ended March 31, 2020 and June 30, 2020.</w:t>
      </w:r>
    </w:p>
    <w:p>
      <w:pPr>
        <w:spacing w:after="0" w:line="1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except as previously disclosed in the Company’s Current Reports on Form 8-K, and except for the issuance described below.</w:t>
      </w:r>
    </w:p>
    <w:p>
      <w:pPr>
        <w:spacing w:after="0" w:line="225" w:lineRule="exact"/>
        <w:rPr>
          <w:sz w:val="20"/>
          <w:szCs w:val="20"/>
          <w:color w:val="auto"/>
        </w:rPr>
      </w:pPr>
    </w:p>
    <w:p>
      <w:pPr>
        <w:ind w:right="260" w:firstLine="405"/>
        <w:spacing w:after="0" w:line="289" w:lineRule="auto"/>
        <w:rPr>
          <w:sz w:val="20"/>
          <w:szCs w:val="20"/>
          <w:color w:val="auto"/>
        </w:rPr>
      </w:pPr>
      <w:r>
        <w:rPr>
          <w:rFonts w:ascii="Arial" w:cs="Arial" w:eastAsia="Arial" w:hAnsi="Arial"/>
          <w:sz w:val="16"/>
          <w:szCs w:val="16"/>
          <w:color w:val="auto"/>
        </w:rPr>
        <w:t>On July 24, 2020, the Company issued 89,928 shares of its common stock to the former stockholders of RER in connection with the Settlement Agreement. The shares were issued in reliance upon an exemption from registration pursuant to Section 4(a)(2) of the Securities Act.</w:t>
      </w:r>
    </w:p>
    <w:p>
      <w:pPr>
        <w:spacing w:after="0" w:line="200" w:lineRule="exact"/>
        <w:rPr>
          <w:sz w:val="20"/>
          <w:szCs w:val="20"/>
          <w:color w:val="auto"/>
        </w:rPr>
      </w:pP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891" w:right="5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40" w:type="dxa"/>
            <w:vAlign w:val="bottom"/>
            <w:gridSpan w:val="19"/>
          </w:tcPr>
          <w:p>
            <w:pPr>
              <w:ind w:left="2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04"/>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Exhibit No.</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gridSpan w:val="16"/>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83"/>
        </w:trPr>
        <w:tc>
          <w:tcPr>
            <w:tcW w:w="76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Amended and Restated Certificate of Incorporation (incorporated by reference to Exhibit 3.1 to the Company’s Current</w:t>
              </w:r>
            </w:hyperlink>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Report on Form 8-K, filed November 9, 2016).</w:t>
              </w:r>
            </w:hyperlink>
          </w:p>
        </w:tc>
        <w:tc>
          <w:tcPr>
            <w:tcW w:w="518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6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Amended and Restated Bylaws (incorporated by reference to Exhibit 3.2 to the Company’s Current Report on Form 8-K,</w:t>
              </w:r>
            </w:hyperlink>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54">
              <w:r>
                <w:rPr>
                  <w:rFonts w:ascii="Arial" w:cs="Arial" w:eastAsia="Arial" w:hAnsi="Arial"/>
                  <w:sz w:val="18"/>
                  <w:szCs w:val="18"/>
                  <w:color w:val="0000FF"/>
                </w:rPr>
                <w:t>filed November 9,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Certificate of Designation of Series D Junior Participating Preferred Stock of Inseego Corp. (incorporated by reference to</w:t>
              </w:r>
            </w:hyperlink>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Exhibit 3.1 to the Company’s Current Report on Form 8-K, filed January 22, 2018).</w:t>
              </w:r>
            </w:hyperlink>
          </w:p>
        </w:tc>
        <w:tc>
          <w:tcPr>
            <w:tcW w:w="272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760" w:type="dxa"/>
            <w:vAlign w:val="bottom"/>
          </w:tcPr>
          <w:p>
            <w:pPr>
              <w:ind w:left="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FF"/>
            </w:tcBorders>
            <w:gridSpan w:val="10"/>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Certificate of Designation of Series E Fixed-Rate Cumulative Perpetual Preferred Stock filed with the Secretary of State</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gridSpan w:val="16"/>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of the State of Delaware on August 8, 2019 (incorporated by reference to Exhibit 3.1 to the Company’s Current Report on</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Form 8-K, filed August 13,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ind w:left="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20" w:type="dxa"/>
            <w:vAlign w:val="bottom"/>
            <w:gridSpan w:val="16"/>
          </w:tcPr>
          <w:p>
            <w:pPr>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Certificate of Amendment to Certificate of Designation of Series E Fixed-Rate Cumulative Perpetual Preferred Stock</w:t>
              </w:r>
            </w:hyperlink>
          </w:p>
        </w:tc>
        <w:tc>
          <w:tcPr>
            <w:tcW w:w="0" w:type="dxa"/>
            <w:vAlign w:val="bottom"/>
          </w:tcPr>
          <w:p>
            <w:pPr>
              <w:spacing w:after="0"/>
              <w:rPr>
                <w:sz w:val="1"/>
                <w:szCs w:val="1"/>
                <w:color w:val="auto"/>
              </w:rPr>
            </w:pPr>
          </w:p>
        </w:tc>
      </w:tr>
      <w:tr>
        <w:trPr>
          <w:trHeight w:val="209"/>
        </w:trPr>
        <w:tc>
          <w:tcPr>
            <w:tcW w:w="76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tcBorders>
              <w:top w:val="single" w:sz="8" w:color="0000FF"/>
            </w:tcBorders>
            <w:gridSpan w:val="7"/>
          </w:tcPr>
          <w:p>
            <w:pPr>
              <w:spacing w:after="0"/>
              <w:rPr>
                <w:rFonts w:ascii="Arial" w:cs="Arial" w:eastAsia="Arial" w:hAnsi="Arial"/>
                <w:sz w:val="18"/>
                <w:szCs w:val="18"/>
                <w:u w:val="single" w:color="auto"/>
                <w:color w:val="0000FF"/>
                <w:w w:val="95"/>
              </w:rPr>
            </w:pPr>
            <w:hyperlink r:id="rId57">
              <w:r>
                <w:rPr>
                  <w:rFonts w:ascii="Arial" w:cs="Arial" w:eastAsia="Arial" w:hAnsi="Arial"/>
                  <w:sz w:val="18"/>
                  <w:szCs w:val="18"/>
                  <w:u w:val="single" w:color="auto"/>
                  <w:color w:val="0000FF"/>
                  <w:w w:val="95"/>
                </w:rPr>
                <w:t>(incorporated by reference to Exhibit 3.1 to the Company’s Current Report on Form 8-K, filed March 10, 2020).</w:t>
              </w:r>
            </w:hyperlink>
          </w:p>
        </w:tc>
        <w:tc>
          <w:tcPr>
            <w:tcW w:w="120" w:type="dxa"/>
            <w:vAlign w:val="bottom"/>
          </w:tcPr>
          <w:p>
            <w:pPr>
              <w:spacing w:after="0"/>
              <w:rPr>
                <w:sz w:val="18"/>
                <w:szCs w:val="18"/>
                <w:color w:val="auto"/>
              </w:rPr>
            </w:pPr>
          </w:p>
        </w:tc>
        <w:tc>
          <w:tcPr>
            <w:tcW w:w="18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20" w:type="dxa"/>
            <w:vAlign w:val="bottom"/>
            <w:gridSpan w:val="16"/>
          </w:tcPr>
          <w:p>
            <w:pPr>
              <w:spacing w:after="0" w:line="190"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Amended Inseego Corp. 2018 Omnibus Incentive Compensation Plan (incorporated by reference to Exhibit 10.1 to the</w:t>
              </w:r>
            </w:hyperlink>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Company’s Current Report on Form 8-K, filed July 24, 2020).</w:t>
              </w:r>
            </w:hyperlink>
          </w:p>
        </w:tc>
        <w:tc>
          <w:tcPr>
            <w:tcW w:w="1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8"/>
                <w:szCs w:val="18"/>
                <w:color w:val="0000FF"/>
              </w:rPr>
            </w:pPr>
            <w:hyperlink w:anchor="page41">
              <w:r>
                <w:rPr>
                  <w:rFonts w:ascii="Arial" w:cs="Arial" w:eastAsia="Arial" w:hAnsi="Arial"/>
                  <w:sz w:val="18"/>
                  <w:szCs w:val="18"/>
                  <w:u w:val="single" w:color="auto"/>
                  <w:color w:val="0000FF"/>
                </w:rPr>
                <w:t>Transition Agreement dated August 11, 2020 between Inseego Corp. and Stephen M. Smith</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57"/>
        </w:trPr>
        <w:tc>
          <w:tcPr>
            <w:tcW w:w="76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20" w:type="dxa"/>
            <w:vAlign w:val="bottom"/>
            <w:gridSpan w:val="16"/>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Offer Letter dated July 26, 2020 between Inseego Corp. and Craig L. Foster.</w:t>
              </w:r>
            </w:hyperlink>
          </w:p>
        </w:tc>
        <w:tc>
          <w:tcPr>
            <w:tcW w:w="0" w:type="dxa"/>
            <w:vAlign w:val="bottom"/>
          </w:tcPr>
          <w:p>
            <w:pPr>
              <w:spacing w:after="0"/>
              <w:rPr>
                <w:sz w:val="1"/>
                <w:szCs w:val="1"/>
                <w:color w:val="auto"/>
              </w:rPr>
            </w:pPr>
          </w:p>
        </w:tc>
      </w:tr>
      <w:tr>
        <w:trPr>
          <w:trHeight w:val="257"/>
        </w:trPr>
        <w:tc>
          <w:tcPr>
            <w:tcW w:w="7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20" w:type="dxa"/>
            <w:vAlign w:val="bottom"/>
            <w:gridSpan w:val="16"/>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Change in Control Agreement dated August 17, 2020 between Inseego Corp. and Craig L. Foster.</w:t>
              </w:r>
            </w:hyperlink>
          </w:p>
        </w:tc>
        <w:tc>
          <w:tcPr>
            <w:tcW w:w="0" w:type="dxa"/>
            <w:vAlign w:val="bottom"/>
          </w:tcPr>
          <w:p>
            <w:pPr>
              <w:spacing w:after="0"/>
              <w:rPr>
                <w:sz w:val="1"/>
                <w:szCs w:val="1"/>
                <w:color w:val="auto"/>
              </w:rPr>
            </w:pPr>
          </w:p>
        </w:tc>
      </w:tr>
      <w:tr>
        <w:trPr>
          <w:trHeight w:val="297"/>
        </w:trPr>
        <w:tc>
          <w:tcPr>
            <w:tcW w:w="76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8"/>
                <w:szCs w:val="18"/>
                <w:u w:val="single" w:color="auto"/>
                <w:color w:val="0000FF"/>
                <w:w w:val="96"/>
              </w:rPr>
            </w:pPr>
            <w:hyperlink w:anchor="page56">
              <w:r>
                <w:rPr>
                  <w:rFonts w:ascii="Arial" w:cs="Arial" w:eastAsia="Arial" w:hAnsi="Arial"/>
                  <w:sz w:val="18"/>
                  <w:szCs w:val="18"/>
                  <w:u w:val="single" w:color="auto"/>
                  <w:color w:val="0000FF"/>
                  <w:w w:val="96"/>
                </w:rPr>
                <w:t>Certification of our Principal Executive Officer adopted pursuant to Section 302 of the Sarbanes-Oxley Act of 2002.</w:t>
              </w:r>
            </w:hyperlink>
          </w:p>
        </w:tc>
        <w:tc>
          <w:tcPr>
            <w:tcW w:w="0" w:type="dxa"/>
            <w:vAlign w:val="bottom"/>
          </w:tcPr>
          <w:p>
            <w:pPr>
              <w:spacing w:after="0"/>
              <w:rPr>
                <w:sz w:val="1"/>
                <w:szCs w:val="1"/>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8"/>
                <w:szCs w:val="18"/>
                <w:u w:val="single" w:color="auto"/>
                <w:color w:val="0000FF"/>
                <w:w w:val="97"/>
              </w:rPr>
            </w:pPr>
            <w:hyperlink w:anchor="page57">
              <w:r>
                <w:rPr>
                  <w:rFonts w:ascii="Arial" w:cs="Arial" w:eastAsia="Arial" w:hAnsi="Arial"/>
                  <w:sz w:val="18"/>
                  <w:szCs w:val="18"/>
                  <w:u w:val="single" w:color="auto"/>
                  <w:color w:val="0000FF"/>
                  <w:w w:val="97"/>
                </w:rPr>
                <w:t>Certification of our Principal Financial Officer adopted pursuant to Section 302 of the Sarbanes-Oxley Act of 2002.</w:t>
              </w:r>
            </w:hyperlink>
          </w:p>
        </w:tc>
        <w:tc>
          <w:tcPr>
            <w:tcW w:w="0" w:type="dxa"/>
            <w:vAlign w:val="bottom"/>
          </w:tcPr>
          <w:p>
            <w:pPr>
              <w:spacing w:after="0"/>
              <w:rPr>
                <w:sz w:val="1"/>
                <w:szCs w:val="1"/>
                <w:color w:val="auto"/>
              </w:rPr>
            </w:pPr>
          </w:p>
        </w:tc>
      </w:tr>
      <w:tr>
        <w:trPr>
          <w:trHeight w:val="310"/>
        </w:trPr>
        <w:tc>
          <w:tcPr>
            <w:tcW w:w="76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Certification of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58">
              <w:r>
                <w:rPr>
                  <w:rFonts w:ascii="Arial" w:cs="Arial" w:eastAsia="Arial" w:hAnsi="Arial"/>
                  <w:sz w:val="18"/>
                  <w:szCs w:val="18"/>
                  <w:color w:val="0000FF"/>
                </w:rPr>
                <w:t>Sarbanes-Oxley Act of 2002.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of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Sarbanes-Oxley Act of 2002.</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2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w w:val="98"/>
              </w:rPr>
              <w:t>101.SCH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w w:val="99"/>
              </w:rPr>
              <w:t>101.PRE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97"/>
        </w:trPr>
        <w:tc>
          <w:tcPr>
            <w:tcW w:w="7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80" w:hanging="95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6, 2020</w:t>
            </w:r>
          </w:p>
        </w:tc>
        <w:tc>
          <w:tcPr>
            <w:tcW w:w="4320" w:type="dxa"/>
            <w:vAlign w:val="bottom"/>
            <w:gridSpan w:val="2"/>
          </w:tcPr>
          <w:p>
            <w:pPr>
              <w:ind w:left="2920"/>
              <w:spacing w:after="0"/>
              <w:rPr>
                <w:sz w:val="20"/>
                <w:szCs w:val="20"/>
                <w:color w:val="auto"/>
              </w:rPr>
            </w:pPr>
            <w:r>
              <w:rPr>
                <w:rFonts w:ascii="Arial" w:cs="Arial" w:eastAsia="Arial" w:hAnsi="Arial"/>
                <w:sz w:val="18"/>
                <w:szCs w:val="18"/>
                <w:color w:val="auto"/>
              </w:rPr>
              <w:t>Inseego Corp.</w:t>
            </w:r>
          </w:p>
        </w:tc>
        <w:tc>
          <w:tcPr>
            <w:tcW w:w="68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83"/>
        </w:trPr>
        <w:tc>
          <w:tcPr>
            <w:tcW w:w="3640" w:type="dxa"/>
            <w:vAlign w:val="bottom"/>
          </w:tcPr>
          <w:p>
            <w:pPr>
              <w:spacing w:after="0"/>
              <w:rPr>
                <w:sz w:val="24"/>
                <w:szCs w:val="24"/>
                <w:color w:val="auto"/>
              </w:rPr>
            </w:pPr>
          </w:p>
        </w:tc>
        <w:tc>
          <w:tcPr>
            <w:tcW w:w="4320" w:type="dxa"/>
            <w:vAlign w:val="bottom"/>
            <w:gridSpan w:val="2"/>
          </w:tcPr>
          <w:p>
            <w:pPr>
              <w:ind w:left="2920"/>
              <w:spacing w:after="0"/>
              <w:rPr>
                <w:sz w:val="20"/>
                <w:szCs w:val="20"/>
                <w:color w:val="auto"/>
              </w:rPr>
            </w:pPr>
            <w:r>
              <w:rPr>
                <w:rFonts w:ascii="Arial" w:cs="Arial" w:eastAsia="Arial" w:hAnsi="Arial"/>
                <w:sz w:val="18"/>
                <w:szCs w:val="18"/>
                <w:color w:val="auto"/>
              </w:rPr>
              <w:t>By:</w:t>
            </w:r>
          </w:p>
        </w:tc>
        <w:tc>
          <w:tcPr>
            <w:tcW w:w="680" w:type="dxa"/>
            <w:vAlign w:val="bottom"/>
          </w:tcPr>
          <w:p>
            <w:pPr>
              <w:ind w:left="500"/>
              <w:spacing w:after="0"/>
              <w:rPr>
                <w:sz w:val="20"/>
                <w:szCs w:val="20"/>
                <w:color w:val="auto"/>
              </w:rPr>
            </w:pPr>
            <w:r>
              <w:rPr>
                <w:rFonts w:ascii="Arial" w:cs="Arial" w:eastAsia="Arial" w:hAnsi="Arial"/>
                <w:sz w:val="16"/>
                <w:szCs w:val="16"/>
                <w:color w:val="auto"/>
                <w:w w:val="94"/>
              </w:rPr>
              <w:t>/s/</w:t>
            </w:r>
          </w:p>
        </w:tc>
        <w:tc>
          <w:tcPr>
            <w:tcW w:w="2540" w:type="dxa"/>
            <w:vAlign w:val="bottom"/>
          </w:tcPr>
          <w:p>
            <w:pPr>
              <w:jc w:val="center"/>
              <w:ind w:right="1084"/>
              <w:spacing w:after="0"/>
              <w:rPr>
                <w:sz w:val="20"/>
                <w:szCs w:val="20"/>
                <w:color w:val="auto"/>
              </w:rPr>
            </w:pPr>
            <w:r>
              <w:rPr>
                <w:rFonts w:ascii="Arial" w:cs="Arial" w:eastAsia="Arial" w:hAnsi="Arial"/>
                <w:sz w:val="16"/>
                <w:szCs w:val="16"/>
                <w:color w:val="auto"/>
                <w:w w:val="98"/>
              </w:rPr>
              <w:t>DAN MONDOR</w:t>
            </w:r>
          </w:p>
        </w:tc>
      </w:tr>
      <w:tr>
        <w:trPr>
          <w:trHeight w:val="173"/>
        </w:trPr>
        <w:tc>
          <w:tcPr>
            <w:tcW w:w="36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jc w:val="center"/>
              <w:ind w:right="1384"/>
              <w:spacing w:after="0"/>
              <w:rPr>
                <w:sz w:val="20"/>
                <w:szCs w:val="20"/>
                <w:color w:val="auto"/>
              </w:rPr>
            </w:pPr>
            <w:r>
              <w:rPr>
                <w:rFonts w:ascii="Arial" w:cs="Arial" w:eastAsia="Arial" w:hAnsi="Arial"/>
                <w:sz w:val="14"/>
                <w:szCs w:val="14"/>
                <w:b w:val="1"/>
                <w:bCs w:val="1"/>
                <w:color w:val="auto"/>
                <w:w w:val="97"/>
              </w:rPr>
              <w:t>Dan Mondor</w:t>
            </w:r>
          </w:p>
        </w:tc>
      </w:tr>
      <w:tr>
        <w:trPr>
          <w:trHeight w:val="186"/>
        </w:trPr>
        <w:tc>
          <w:tcPr>
            <w:tcW w:w="36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20" w:type="dxa"/>
            <w:vAlign w:val="bottom"/>
            <w:gridSpan w:val="2"/>
          </w:tcPr>
          <w:p>
            <w:pPr>
              <w:jc w:val="center"/>
              <w:ind w:right="704"/>
              <w:spacing w:after="0"/>
              <w:rPr>
                <w:sz w:val="20"/>
                <w:szCs w:val="20"/>
                <w:color w:val="auto"/>
              </w:rPr>
            </w:pPr>
            <w:r>
              <w:rPr>
                <w:rFonts w:ascii="Arial" w:cs="Arial" w:eastAsia="Arial" w:hAnsi="Arial"/>
                <w:sz w:val="14"/>
                <w:szCs w:val="14"/>
                <w:b w:val="1"/>
                <w:bCs w:val="1"/>
                <w:color w:val="auto"/>
                <w:w w:val="93"/>
              </w:rPr>
              <w:t>Chief Executive Officer</w:t>
            </w:r>
          </w:p>
        </w:tc>
      </w:tr>
      <w:tr>
        <w:trPr>
          <w:trHeight w:val="633"/>
        </w:trPr>
        <w:tc>
          <w:tcPr>
            <w:tcW w:w="3640" w:type="dxa"/>
            <w:vAlign w:val="bottom"/>
          </w:tcPr>
          <w:p>
            <w:pPr>
              <w:spacing w:after="0"/>
              <w:rPr>
                <w:sz w:val="24"/>
                <w:szCs w:val="24"/>
                <w:color w:val="auto"/>
              </w:rPr>
            </w:pPr>
          </w:p>
        </w:tc>
        <w:tc>
          <w:tcPr>
            <w:tcW w:w="4320" w:type="dxa"/>
            <w:vAlign w:val="bottom"/>
            <w:gridSpan w:val="2"/>
          </w:tcPr>
          <w:p>
            <w:pPr>
              <w:ind w:left="2920"/>
              <w:spacing w:after="0"/>
              <w:rPr>
                <w:sz w:val="20"/>
                <w:szCs w:val="20"/>
                <w:color w:val="auto"/>
              </w:rPr>
            </w:pPr>
            <w:r>
              <w:rPr>
                <w:rFonts w:ascii="Arial" w:cs="Arial" w:eastAsia="Arial" w:hAnsi="Arial"/>
                <w:sz w:val="18"/>
                <w:szCs w:val="18"/>
                <w:color w:val="auto"/>
              </w:rPr>
              <w:t>By:</w:t>
            </w:r>
          </w:p>
        </w:tc>
        <w:tc>
          <w:tcPr>
            <w:tcW w:w="680" w:type="dxa"/>
            <w:vAlign w:val="bottom"/>
          </w:tcPr>
          <w:p>
            <w:pPr>
              <w:ind w:left="400"/>
              <w:spacing w:after="0"/>
              <w:rPr>
                <w:sz w:val="20"/>
                <w:szCs w:val="20"/>
                <w:color w:val="auto"/>
              </w:rPr>
            </w:pPr>
            <w:r>
              <w:rPr>
                <w:rFonts w:ascii="Arial" w:cs="Arial" w:eastAsia="Arial" w:hAnsi="Arial"/>
                <w:sz w:val="16"/>
                <w:szCs w:val="16"/>
                <w:color w:val="auto"/>
              </w:rPr>
              <w:t>/s/</w:t>
            </w:r>
          </w:p>
        </w:tc>
        <w:tc>
          <w:tcPr>
            <w:tcW w:w="2540" w:type="dxa"/>
            <w:vAlign w:val="bottom"/>
          </w:tcPr>
          <w:p>
            <w:pPr>
              <w:jc w:val="center"/>
              <w:ind w:right="1084"/>
              <w:spacing w:after="0"/>
              <w:rPr>
                <w:sz w:val="20"/>
                <w:szCs w:val="20"/>
                <w:color w:val="auto"/>
              </w:rPr>
            </w:pPr>
            <w:r>
              <w:rPr>
                <w:rFonts w:ascii="Arial" w:cs="Arial" w:eastAsia="Arial" w:hAnsi="Arial"/>
                <w:sz w:val="16"/>
                <w:szCs w:val="16"/>
                <w:color w:val="auto"/>
                <w:w w:val="97"/>
              </w:rPr>
              <w:t>CRAIG L. FOSTER</w:t>
            </w:r>
          </w:p>
        </w:tc>
      </w:tr>
      <w:tr>
        <w:trPr>
          <w:trHeight w:val="173"/>
        </w:trPr>
        <w:tc>
          <w:tcPr>
            <w:tcW w:w="36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jc w:val="center"/>
              <w:ind w:right="1404"/>
              <w:spacing w:after="0"/>
              <w:rPr>
                <w:sz w:val="20"/>
                <w:szCs w:val="20"/>
                <w:color w:val="auto"/>
              </w:rPr>
            </w:pPr>
            <w:r>
              <w:rPr>
                <w:rFonts w:ascii="Arial" w:cs="Arial" w:eastAsia="Arial" w:hAnsi="Arial"/>
                <w:sz w:val="14"/>
                <w:szCs w:val="14"/>
                <w:b w:val="1"/>
                <w:bCs w:val="1"/>
                <w:color w:val="auto"/>
                <w:w w:val="95"/>
              </w:rPr>
              <w:t>Craig L. Foster</w:t>
            </w:r>
          </w:p>
        </w:tc>
      </w:tr>
      <w:tr>
        <w:trPr>
          <w:trHeight w:val="186"/>
        </w:trPr>
        <w:tc>
          <w:tcPr>
            <w:tcW w:w="36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20" w:type="dxa"/>
            <w:vAlign w:val="bottom"/>
            <w:gridSpan w:val="2"/>
          </w:tcPr>
          <w:p>
            <w:pPr>
              <w:jc w:val="center"/>
              <w:ind w:right="724"/>
              <w:spacing w:after="0"/>
              <w:rPr>
                <w:sz w:val="20"/>
                <w:szCs w:val="20"/>
                <w:color w:val="auto"/>
              </w:rPr>
            </w:pPr>
            <w:r>
              <w:rPr>
                <w:rFonts w:ascii="Arial" w:cs="Arial" w:eastAsia="Arial" w:hAnsi="Arial"/>
                <w:sz w:val="14"/>
                <w:szCs w:val="14"/>
                <w:b w:val="1"/>
                <w:bCs w:val="1"/>
                <w:color w:val="auto"/>
                <w:w w:val="95"/>
              </w:rPr>
              <w:t>Chief Financial Officer</w:t>
            </w:r>
          </w:p>
        </w:tc>
      </w:tr>
      <w:tr>
        <w:trPr>
          <w:trHeight w:val="876"/>
        </w:trPr>
        <w:tc>
          <w:tcPr>
            <w:tcW w:w="3640" w:type="dxa"/>
            <w:vAlign w:val="bottom"/>
          </w:tcPr>
          <w:p>
            <w:pPr>
              <w:spacing w:after="0"/>
              <w:rPr>
                <w:sz w:val="24"/>
                <w:szCs w:val="24"/>
                <w:color w:val="auto"/>
              </w:rPr>
            </w:pPr>
          </w:p>
        </w:tc>
        <w:tc>
          <w:tcPr>
            <w:tcW w:w="3520" w:type="dxa"/>
            <w:vAlign w:val="bottom"/>
          </w:tcPr>
          <w:p>
            <w:pPr>
              <w:jc w:val="right"/>
              <w:ind w:right="1370"/>
              <w:spacing w:after="0"/>
              <w:rPr>
                <w:sz w:val="20"/>
                <w:szCs w:val="20"/>
                <w:color w:val="auto"/>
              </w:rPr>
            </w:pPr>
            <w:r>
              <w:rPr>
                <w:rFonts w:ascii="Arial" w:cs="Arial" w:eastAsia="Arial" w:hAnsi="Arial"/>
                <w:sz w:val="18"/>
                <w:szCs w:val="18"/>
                <w:color w:val="auto"/>
              </w:rPr>
              <w:t>40</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200"/>
          </w:cols>
          <w:pgMar w:left="320" w:top="891" w:right="3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TRANSITION AGREEMENT AND RELEASE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Transition and Separation Agreement (“Agreement”), dated as of August 11, 2020 is made and entered into by and between Inseego Corp., and its subsidiaries (“Inseego” or the “Company”), and Stephen M. Smith (“Executive”).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20" w:firstLine="656"/>
        <w:spacing w:after="0" w:line="277" w:lineRule="auto"/>
        <w:tabs>
          <w:tab w:leader="none" w:pos="114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and Inseego have mutually agreed that Executive’s employment with the Company shall end effective as of August 14, 2020 (the “</w:t>
      </w:r>
      <w:r>
        <w:rPr>
          <w:rFonts w:ascii="Arial" w:cs="Arial" w:eastAsia="Arial" w:hAnsi="Arial"/>
          <w:sz w:val="18"/>
          <w:szCs w:val="18"/>
          <w:u w:val="single" w:color="auto"/>
          <w:color w:val="auto"/>
        </w:rPr>
        <w:t>Employment Termination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71"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desires to provide transition services as a consultant to Inseego and remain eligible for certain compensation in connection with such services and Inseego would like to receive transition services in Executive’s areas of expertise to assist the Company in transitioning Executive’s duties and responsibilities.</w:t>
      </w:r>
    </w:p>
    <w:p>
      <w:pPr>
        <w:spacing w:after="0" w:line="183" w:lineRule="exact"/>
        <w:rPr>
          <w:rFonts w:ascii="Arial" w:cs="Arial" w:eastAsia="Arial" w:hAnsi="Arial"/>
          <w:sz w:val="18"/>
          <w:szCs w:val="18"/>
          <w:color w:val="auto"/>
        </w:rPr>
      </w:pPr>
    </w:p>
    <w:p>
      <w:pPr>
        <w:ind w:right="20" w:firstLine="656"/>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order to facilitate such services, Executive and Inseego have agreed that, Executive shall serve as a consultant to Inseego from the Employment Termination Date through December 31, 2020 (the “</w:t>
      </w:r>
      <w:r>
        <w:rPr>
          <w:rFonts w:ascii="Arial" w:cs="Arial" w:eastAsia="Arial" w:hAnsi="Arial"/>
          <w:sz w:val="18"/>
          <w:szCs w:val="18"/>
          <w:u w:val="single" w:color="auto"/>
          <w:color w:val="auto"/>
        </w:rPr>
        <w:t>Transition Completion Date</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Inseego and Executive do not anticipate that there will be any disputes between them or legal claims arising out of Executive’s separation from employment, but nevertheless, desire to ensure a completely amicable parting and to settle fully and finally any and all differences or claims that might arise out of Executive the employment relationship and termination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jc w:val="both"/>
        <w:ind w:firstLine="8"/>
        <w:spacing w:after="0" w:line="263" w:lineRule="auto"/>
        <w:tabs>
          <w:tab w:leader="none" w:pos="64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Transition Services</w:t>
      </w:r>
      <w:r>
        <w:rPr>
          <w:rFonts w:ascii="Arial" w:cs="Arial" w:eastAsia="Arial" w:hAnsi="Arial"/>
          <w:sz w:val="18"/>
          <w:szCs w:val="18"/>
          <w:color w:val="auto"/>
        </w:rPr>
        <w:t>. Inseego and Executive agree that Executive’s employment with the Company shall end on the Employment Termination Date, and that Executive shall provide transition services to Inseego, as reasonably requested by Inseego, from the Employment Termination Date through the Transition Completion Date.</w:t>
      </w:r>
    </w:p>
    <w:p>
      <w:pPr>
        <w:spacing w:after="0" w:line="183" w:lineRule="exact"/>
        <w:rPr>
          <w:rFonts w:ascii="Arial" w:cs="Arial" w:eastAsia="Arial" w:hAnsi="Arial"/>
          <w:sz w:val="18"/>
          <w:szCs w:val="18"/>
          <w:color w:val="auto"/>
        </w:rPr>
      </w:pPr>
    </w:p>
    <w:p>
      <w:pPr>
        <w:jc w:val="both"/>
        <w:ind w:firstLine="8"/>
        <w:spacing w:after="0" w:line="259"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Resignation as Officer</w:t>
      </w:r>
      <w:r>
        <w:rPr>
          <w:rFonts w:ascii="Arial" w:cs="Arial" w:eastAsia="Arial" w:hAnsi="Arial"/>
          <w:sz w:val="18"/>
          <w:szCs w:val="18"/>
          <w:color w:val="auto"/>
        </w:rPr>
        <w:t>. Effective as of the end of the business day on the Employment Termination Date, Executive shall cease to constitute an officer of Inseego and all its subsidiaries. Executive hereby agrees to execute such additional documents determined necessary or appropriate by Inseego to effect Executive’s resignation as an officer of Inseego and any of its subsidiaries, provided, that any such documents shall be consistent with the terms of this Agreement.</w:t>
      </w:r>
    </w:p>
    <w:p>
      <w:pPr>
        <w:spacing w:after="0" w:line="186" w:lineRule="exact"/>
        <w:rPr>
          <w:rFonts w:ascii="Arial" w:cs="Arial" w:eastAsia="Arial" w:hAnsi="Arial"/>
          <w:sz w:val="18"/>
          <w:szCs w:val="18"/>
          <w:color w:val="auto"/>
        </w:rPr>
      </w:pPr>
    </w:p>
    <w:p>
      <w:pPr>
        <w:ind w:firstLine="8"/>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not become effective until the eighth (8th) day after Executive and Inseego execute this Agreement. Such date shall be the “Effective Date”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Benefits During Transition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4" w:lineRule="auto"/>
        <w:tabs>
          <w:tab w:leader="none" w:pos="1283"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exchange for the transition services provided during the Transition Period (as defined below), the general release of claims and other good and valuable consideration, Inseego agrees to pay the Executive a total of $175,000 (the “Payments”). The Payments shall be paid to you in the form of salary continuation, given that your annual salary is of $350,000, you will be paid semi-monthly the amount of $14,583.33 less authorized deductions and applicable withholding taxes commencing on the first normally-scheduled Company payroll date following the Employment Termination Date until you have received aggregate severance payments under this paragraph totaling $175,000; provided, however, that Executive acknowledges that Executive is not entitled to receive the Payments unless Executive executes and does not revoke this Agreement, and that no payments due to Executive hereunder shall be made or begin before the Effective Date. The Payments shall be subject to all standard payroll deductions and will cover withholdings for taxes including federal and state income taxes.</w:t>
      </w:r>
    </w:p>
    <w:p>
      <w:pPr>
        <w:spacing w:after="0" w:line="191" w:lineRule="exact"/>
        <w:rPr>
          <w:rFonts w:ascii="Arial" w:cs="Arial" w:eastAsia="Arial" w:hAnsi="Arial"/>
          <w:sz w:val="18"/>
          <w:szCs w:val="18"/>
          <w:color w:val="auto"/>
        </w:rPr>
      </w:pPr>
    </w:p>
    <w:p>
      <w:pPr>
        <w:ind w:firstLine="656"/>
        <w:spacing w:after="0" w:line="277" w:lineRule="auto"/>
        <w:tabs>
          <w:tab w:leader="none" w:pos="1365" w:val="left"/>
        </w:tabs>
        <w:numPr>
          <w:ilvl w:val="1"/>
          <w:numId w:val="8"/>
        </w:numPr>
        <w:rPr>
          <w:rFonts w:ascii="Arial" w:cs="Arial" w:eastAsia="Arial" w:hAnsi="Arial"/>
          <w:sz w:val="18"/>
          <w:szCs w:val="18"/>
          <w:color w:val="auto"/>
        </w:rPr>
      </w:pPr>
      <w:r>
        <w:rPr>
          <w:rFonts w:ascii="Arial" w:cs="Arial" w:eastAsia="Arial" w:hAnsi="Arial"/>
          <w:sz w:val="18"/>
          <w:szCs w:val="18"/>
          <w:color w:val="auto"/>
        </w:rPr>
        <w:t>Executive will be paid out for all accrued PTO as of the Employment Termination Date, and PTO days shall not accrue during the Transition Period. Executive shall also be paid any unpaid expenses incurred in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connection with his Employment through the Employment Termination Date as well as any pre-approved expenses incurred during the Transition Period.</w:t>
      </w:r>
    </w:p>
    <w:p>
      <w:pPr>
        <w:spacing w:after="0" w:line="248" w:lineRule="exact"/>
        <w:rPr>
          <w:sz w:val="20"/>
          <w:szCs w:val="20"/>
          <w:color w:val="auto"/>
        </w:rPr>
      </w:pPr>
    </w:p>
    <w:p>
      <w:pPr>
        <w:jc w:val="both"/>
        <w:ind w:firstLine="656"/>
        <w:spacing w:after="0" w:line="269" w:lineRule="auto"/>
        <w:tabs>
          <w:tab w:leader="none" w:pos="1222" w:val="left"/>
        </w:tabs>
        <w:numPr>
          <w:ilvl w:val="1"/>
          <w:numId w:val="9"/>
        </w:numPr>
        <w:rPr>
          <w:rFonts w:ascii="Arial" w:cs="Arial" w:eastAsia="Arial" w:hAnsi="Arial"/>
          <w:sz w:val="17"/>
          <w:szCs w:val="17"/>
          <w:color w:val="auto"/>
        </w:rPr>
      </w:pPr>
      <w:r>
        <w:rPr>
          <w:rFonts w:ascii="Arial" w:cs="Arial" w:eastAsia="Arial" w:hAnsi="Arial"/>
          <w:sz w:val="17"/>
          <w:szCs w:val="17"/>
          <w:color w:val="auto"/>
        </w:rPr>
        <w:t>From the end of the working day on the Employment Termination Date through the Transition Completion Date (the “</w:t>
      </w:r>
      <w:r>
        <w:rPr>
          <w:rFonts w:ascii="Arial" w:cs="Arial" w:eastAsia="Arial" w:hAnsi="Arial"/>
          <w:sz w:val="17"/>
          <w:szCs w:val="17"/>
          <w:u w:val="single" w:color="auto"/>
          <w:color w:val="auto"/>
        </w:rPr>
        <w:t>Transition Period</w:t>
      </w:r>
      <w:r>
        <w:rPr>
          <w:rFonts w:ascii="Arial" w:cs="Arial" w:eastAsia="Arial" w:hAnsi="Arial"/>
          <w:sz w:val="17"/>
          <w:szCs w:val="17"/>
          <w:color w:val="auto"/>
        </w:rPr>
        <w:t>”), Executive shall be available as a consultant to provide transition services in Executive’s areas of expertise and work experience and responsibility, as reasonably requested by Inseego (the “</w:t>
      </w:r>
      <w:r>
        <w:rPr>
          <w:rFonts w:ascii="Arial" w:cs="Arial" w:eastAsia="Arial" w:hAnsi="Arial"/>
          <w:sz w:val="17"/>
          <w:szCs w:val="17"/>
          <w:u w:val="single" w:color="auto"/>
          <w:color w:val="auto"/>
        </w:rPr>
        <w:t>Transition Services</w:t>
      </w:r>
      <w:r>
        <w:rPr>
          <w:rFonts w:ascii="Arial" w:cs="Arial" w:eastAsia="Arial" w:hAnsi="Arial"/>
          <w:sz w:val="17"/>
          <w:szCs w:val="17"/>
          <w:color w:val="auto"/>
        </w:rPr>
        <w:t>”). During the Transition Period, Executive will not be required to regularly report to the Company’s offices but agrees to make himself available, including to come into the Company’s offices, upon reasonable notice by the Company. If Executive provides more than 40 hours of Transition Services in a calendar month, Inseego will pay Executive an hourly rate of $200 per hour for each hour in excess of 40 hours, subject to any applicable withholdings. Executive shall continue to be a “Service Provider” of the Company as defined in the 2018 Omnibus Incentive Compensation Plan, as amended (the “2018 Incentive Plan”). Accordingly, in accordance with the terms of the 2018 Incentive Plan, all of Executive’s awards under the 2018 Incentive Plan shall continue to vest during the Transition Period. In addition, the post-termination exercise period for the all Executive’s awards under the 2018 Incentive Plan shall be extended through 90 days after the end of the Transition Period (i.e., through March 31, 2021).</w:t>
      </w:r>
    </w:p>
    <w:p>
      <w:pPr>
        <w:spacing w:after="0" w:line="185" w:lineRule="exact"/>
        <w:rPr>
          <w:rFonts w:ascii="Arial" w:cs="Arial" w:eastAsia="Arial" w:hAnsi="Arial"/>
          <w:sz w:val="17"/>
          <w:szCs w:val="17"/>
          <w:color w:val="auto"/>
        </w:rPr>
      </w:pPr>
    </w:p>
    <w:p>
      <w:pPr>
        <w:jc w:val="both"/>
        <w:ind w:firstLine="656"/>
        <w:spacing w:after="0" w:line="270" w:lineRule="auto"/>
        <w:tabs>
          <w:tab w:leader="none" w:pos="1533" w:val="left"/>
        </w:tabs>
        <w:numPr>
          <w:ilvl w:val="1"/>
          <w:numId w:val="9"/>
        </w:numPr>
        <w:rPr>
          <w:rFonts w:ascii="Arial" w:cs="Arial" w:eastAsia="Arial" w:hAnsi="Arial"/>
          <w:sz w:val="17"/>
          <w:szCs w:val="17"/>
          <w:color w:val="auto"/>
        </w:rPr>
      </w:pPr>
      <w:r>
        <w:rPr>
          <w:rFonts w:ascii="Arial" w:cs="Arial" w:eastAsia="Arial" w:hAnsi="Arial"/>
          <w:sz w:val="17"/>
          <w:szCs w:val="17"/>
          <w:color w:val="auto"/>
        </w:rPr>
        <w:t>If Executive elects to receive continued healthcare coverage pursuant to the provisions of the Consolidated Omnibus Budget Reconciliation Act of 1985, as amended (“COBRA”), the Company shall directly pay the premium for Executive and Executive’s covered dependents, if any, through the earliest of (i) the nine (9)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pacing w:after="0" w:line="207" w:lineRule="exact"/>
        <w:rPr>
          <w:rFonts w:ascii="Arial" w:cs="Arial" w:eastAsia="Arial" w:hAnsi="Arial"/>
          <w:sz w:val="17"/>
          <w:szCs w:val="17"/>
          <w:color w:val="auto"/>
        </w:rPr>
      </w:pPr>
    </w:p>
    <w:p>
      <w:pPr>
        <w:ind w:firstLine="656"/>
        <w:spacing w:after="0" w:line="277" w:lineRule="auto"/>
        <w:tabs>
          <w:tab w:leader="none" w:pos="1076"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with respect to COBRA as set forth in the preceding paragraph, Executive will not be eligible to receive any benefits including after the Employment Termination Date.</w:t>
      </w:r>
    </w:p>
    <w:p>
      <w:pPr>
        <w:spacing w:after="0" w:line="197" w:lineRule="exact"/>
        <w:rPr>
          <w:rFonts w:ascii="Arial" w:cs="Arial" w:eastAsia="Arial" w:hAnsi="Arial"/>
          <w:sz w:val="18"/>
          <w:szCs w:val="18"/>
          <w:color w:val="auto"/>
        </w:rPr>
      </w:pPr>
    </w:p>
    <w:p>
      <w:pPr>
        <w:jc w:val="both"/>
        <w:ind w:firstLine="656"/>
        <w:spacing w:after="0" w:line="255" w:lineRule="auto"/>
        <w:tabs>
          <w:tab w:leader="none" w:pos="1118"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shall receive a pro rata bonus for fiscal 2020 based on achievement of the applicable performance goals for the fiscal year of termination based on the number of days in the fiscal year during which Executive was employed as compared to 365, which shall be based on actual achievement of corporate performance goals and criteria as determined by the Board, shall be based on assumed full achievement of any individual performance goal and criteria, and shall be paid to Executive at the time such bonuses normally are paid, but not later than the March 15 of the calendar year following the Covered Termination. Any such pro rata bonus shall be paid in a single cash lump sum, less authorized deductions and applicable withholding taxes.</w:t>
      </w:r>
    </w:p>
    <w:p>
      <w:pPr>
        <w:spacing w:after="0" w:line="219" w:lineRule="exact"/>
        <w:rPr>
          <w:rFonts w:ascii="Arial" w:cs="Arial" w:eastAsia="Arial" w:hAnsi="Arial"/>
          <w:sz w:val="18"/>
          <w:szCs w:val="18"/>
          <w:color w:val="auto"/>
        </w:rPr>
      </w:pPr>
    </w:p>
    <w:p>
      <w:pPr>
        <w:ind w:firstLine="656"/>
        <w:spacing w:after="0" w:line="277" w:lineRule="auto"/>
        <w:tabs>
          <w:tab w:leader="none" w:pos="1123"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as set forth herein, Executive will not be eligible for any other payments from Inseego, and all payments hereunder constitute any and all payments due to Executive in connection with his employment and the separation form the Company.</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 Release of 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419"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exchange for the consideration provided in this Agreement, Executive and Executive’s heirs, executors, representatives, agents, insurers, administrators, successors and assigns (collectively the “Releasors”) irrevocably and unconditionally fully and forever waive, release and discharge Inseego, its subsidiaries and other corporate affiliates and each of their respective Executives, officers, directors, owners, shareholders and agents (collectively referred to herein as, the “Released Parties”) from any and all claims, demands, actions, causes of actions, obligations, judgments, rights, fees, damages, obligations, liabilities and expenses (inclusive of attorneys' fees) of any kind whatsoever, whether known or unknown, (collectively “Claims”),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42" w:name="page43"/>
    <w:bookmarkEnd w:id="42"/>
    <w:p>
      <w:pPr>
        <w:jc w:val="both"/>
        <w:spacing w:after="0" w:line="268" w:lineRule="auto"/>
        <w:rPr>
          <w:sz w:val="20"/>
          <w:szCs w:val="20"/>
          <w:color w:val="auto"/>
        </w:rPr>
      </w:pPr>
      <w:r>
        <w:rPr>
          <w:rFonts w:ascii="Arial" w:cs="Arial" w:eastAsia="Arial" w:hAnsi="Arial"/>
          <w:sz w:val="17"/>
          <w:szCs w:val="17"/>
          <w:color w:val="auto"/>
        </w:rPr>
        <w:t>any Claims under any federal, state, local or foreign law, that Releasors may have, have ever had or may in the future have arising out of, or in any way related to (i) Executive's hire, benefits, employment, termination or separation from employment with Inseego and (ii) any actual or alleged act, omission, transaction, practice, conduct, occurrence or other matter that existed or arose on or before, and including, the date of Executive’s execution of this Agreement, including, but not limited to (A) any claims under Title VII of the Civil Rights Act, as amended, the Americans with Disabilities Act, as amended, the Equal Pay Act, as amended, the Executive Retirement Income Security Act, as amended (with respect to unvested benefits), the Civil Rights Act of 1991, as amended, Section 1981 of U.S.C. Title 42, the Sarbanes-Oxley Act of 2002, as amended, the Worker Adjustment and Retraining Notification Act, as amended, the Age Discrimination in Employment Act, as amended, the California Fair Employment and Housing Act, as amended, and/or any other Federal, state or local law (statutory, regulatory or otherwise) that may be legally waived and released and (B) any tort and/or contract claims, including, but not limited to, any claims of wrongful discharge, defamation, emotional distress, tortious interference with contract, invasion of privacy, nonphysical injury, personal injury or sickness or any other harm. However, this general release of claims excludes, and Executive does not waive, release or discharge any (i) right to file an administrative charge or complaint with the Equal Employment Opportunity Commission or other administrative agency; (ii) claims under state workers' compensation or unemployment laws; (iii) indemnification rights Executive has against Inseego, and/or (iv) any other claims that cannot be waived by law.</w:t>
      </w:r>
    </w:p>
    <w:p>
      <w:pPr>
        <w:spacing w:after="0" w:line="186" w:lineRule="exact"/>
        <w:rPr>
          <w:sz w:val="20"/>
          <w:szCs w:val="20"/>
          <w:color w:val="auto"/>
        </w:rPr>
      </w:pPr>
    </w:p>
    <w:p>
      <w:pPr>
        <w:jc w:val="both"/>
        <w:ind w:firstLine="575"/>
        <w:spacing w:after="0" w:line="269" w:lineRule="auto"/>
        <w:tabs>
          <w:tab w:leader="none" w:pos="12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further consideration of the payments and benefits provided to Executive by this Agreement, the Releasors hereby unconditionally release and forever discharge the Released Parties from any and all Claims that the Releasors may have as of the date Executive signs this Agreement arising under the Age Discrimination in Employment Act (ADEA), as amended. By signing this Agreement, Executive hereby acknowledges and confirms that: (i) in connection with Executive's termination of employment, Executive has been advised by Inseego to consult with an attorney of Executive’s choice before signing this Agreement to have the attorney explain the terms and effect of signing this Agreement, including Executive's release of claims under the ADEA, and that Executive has in fact consulted with an attorney; (ii) Executive was given no less than 21 days to consider the terms of the Agreement and consult with an attorney of Executive’s choice; (iii) Executive is providing this release in exchange for consideration in addition to that which Executive is already entitled; (iv) Executive understands that Executive has seven (7) days from the date of signing this Agreement to revoke the release in this paragraph by providing Inseego with a written notice of Executive's revocation of the release and waiver contained in this paragraph; (vii) Executive understands that the release contained in this paragraph does not apply to rights and claims that may arise after the date on which Executive signs this Agreement and (viii) Executive knowingly and voluntarily accepts the terms of this Agreement.</w:t>
      </w:r>
    </w:p>
    <w:p>
      <w:pPr>
        <w:spacing w:after="0" w:line="181" w:lineRule="exact"/>
        <w:rPr>
          <w:rFonts w:ascii="Arial" w:cs="Arial" w:eastAsia="Arial" w:hAnsi="Arial"/>
          <w:sz w:val="17"/>
          <w:szCs w:val="17"/>
          <w:color w:val="auto"/>
        </w:rPr>
      </w:pPr>
    </w:p>
    <w:p>
      <w:pPr>
        <w:jc w:val="both"/>
        <w:ind w:firstLine="656"/>
        <w:spacing w:after="0" w:line="290"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Executive hereby covenants and agrees not to file, commence or initiate any suits, grievances, demands or causes of action against the Released Parties based upon or relating to any of the claims released pursuant to this Agreement. If Executive breaches this covenant not to sue, Executive hereby agrees to pay all of the reasonable costs and attorneys’ fees actually incurred by the Released Parties in defending against such claims, demands or causes of action, together with such and further damages as may result, directly or indirectly, from that breach. Moreover, Executive agrees that Executive will not persuade or instruct any person to file a suit, claim or complaint with any state or federal court or administrative agency against the Released Parties. In accordance with 29 C.F.R. § 1625.23(b), nothing in this covenant not to sue is intended to preclude Executive from challenging the validity of this Agreement under the OWBPA, 29 U.S.C. § 626(f), with respect to claims under the ADEA, and Inseego shall not be entitled to recover any consideration paid under this Agreement, damages or its attorneys’ fees and costs resulting from such challenge.</w:t>
      </w:r>
    </w:p>
    <w:p>
      <w:pPr>
        <w:spacing w:after="0" w:line="165" w:lineRule="exact"/>
        <w:rPr>
          <w:rFonts w:ascii="Arial" w:cs="Arial" w:eastAsia="Arial" w:hAnsi="Arial"/>
          <w:sz w:val="16"/>
          <w:szCs w:val="16"/>
          <w:color w:val="auto"/>
        </w:rPr>
      </w:pPr>
    </w:p>
    <w:p>
      <w:pPr>
        <w:jc w:val="both"/>
        <w:ind w:firstLine="656"/>
        <w:spacing w:after="0" w:line="311" w:lineRule="auto"/>
        <w:tabs>
          <w:tab w:leader="none" w:pos="12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Nothing in this Agreement shall interfere with Executive’s right to file a charge, cooperate or participate in an investigation or proceeding conducted by, or provide information to, the Equal Employment Opportunity Commission, the National Labor Relations Board, the Occupational Safety and Health Administration, the Securities and Exchange Commission or other federal or state regulatory or law enforcement agency.</w:t>
      </w:r>
    </w:p>
    <w:p>
      <w:pPr>
        <w:spacing w:after="0" w:line="148" w:lineRule="exact"/>
        <w:rPr>
          <w:rFonts w:ascii="Arial" w:cs="Arial" w:eastAsia="Arial" w:hAnsi="Arial"/>
          <w:sz w:val="16"/>
          <w:szCs w:val="16"/>
          <w:color w:val="auto"/>
        </w:rPr>
      </w:pPr>
    </w:p>
    <w:p>
      <w:pPr>
        <w:ind w:firstLine="656"/>
        <w:spacing w:after="0" w:line="277" w:lineRule="auto"/>
        <w:tabs>
          <w:tab w:leader="none" w:pos="12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This Release shall be a release of all claims, whether known or unknown, and Executive hereby expressly waives and release all rights reserved to Executive by Section 1542 of Civil Code of the State of California, which states as follows: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43" w:name="page44"/>
    <w:bookmarkEnd w:id="43"/>
    <w:p>
      <w:pPr>
        <w:spacing w:after="0" w:line="198" w:lineRule="exact"/>
        <w:rPr>
          <w:sz w:val="20"/>
          <w:szCs w:val="20"/>
          <w:color w:val="auto"/>
        </w:rPr>
      </w:pPr>
    </w:p>
    <w:p>
      <w:pPr>
        <w:ind w:left="580" w:right="860"/>
        <w:spacing w:after="0" w:line="308"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6" w:lineRule="exact"/>
        <w:rPr>
          <w:sz w:val="20"/>
          <w:szCs w:val="20"/>
          <w:color w:val="auto"/>
        </w:rPr>
      </w:pPr>
    </w:p>
    <w:p>
      <w:pPr>
        <w:jc w:val="both"/>
        <w:ind w:firstLine="575"/>
        <w:spacing w:after="0" w:line="254" w:lineRule="auto"/>
        <w:tabs>
          <w:tab w:leader="none" w:pos="11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Executive understands and acknowledges that the significance and consequence of the foregoing waiver of Section 1542 of the Civil Code is that even if Executive should eventually suffer damages from Inseego (including, but not limited to, as arising out of Executive’s employment with Inseego), Executive will not be permitted to make any claim whatsoever for those damages. Furthermore, Executive acknowledges and understands that Executive intends such consequences even as to claims for injury or damages that may exist as of the date for this Agreement but which Executive does not know exists, and which, if known, would materially affect Executive's decision to execute this Agreement. Executive further acknowledges and understands that the foregoing release is operative regardless of the reasons for Executive’s lack of knowledge of such claims (whether the lack of knowledge is a result of ignorance, oversight, error, negligence, or any other cause, and regardless of whether such cause is through no fault of Executive or through the fault of Inseego).</w:t>
      </w:r>
    </w:p>
    <w:p>
      <w:pPr>
        <w:spacing w:after="0" w:line="191" w:lineRule="exact"/>
        <w:rPr>
          <w:rFonts w:ascii="Arial" w:cs="Arial" w:eastAsia="Arial" w:hAnsi="Arial"/>
          <w:sz w:val="18"/>
          <w:szCs w:val="18"/>
          <w:color w:val="auto"/>
        </w:rPr>
      </w:pPr>
    </w:p>
    <w:p>
      <w:pPr>
        <w:jc w:val="both"/>
        <w:ind w:firstLine="8"/>
        <w:spacing w:after="0" w:line="272" w:lineRule="auto"/>
        <w:tabs>
          <w:tab w:leader="none" w:pos="54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Executive Representations</w:t>
      </w:r>
      <w:r>
        <w:rPr>
          <w:rFonts w:ascii="Arial" w:cs="Arial" w:eastAsia="Arial" w:hAnsi="Arial"/>
          <w:sz w:val="17"/>
          <w:szCs w:val="17"/>
          <w:color w:val="auto"/>
        </w:rPr>
        <w:t>. Executive specifically represents, warrants and confirms that: (a) throughout Executive’s employment, Executive was fully paid all amounts due from Inseego and appropriately compensated for all hours worked in accordance with the Fair Labor Standards Act and other applicable law, if any; (b) throughout Executive’s employment, Executive has been provided with all leave to which Executive was entitled under Inseego’s policies and applicable law; (c) Executive has no claims, complaints or actions of any kind filed against the Released Parties with any court of law, or local, state or federal government or agency; (d) Executive has not engaged in, is not aware of, or has fully disclosed to Inseego, any matters for which Executive was responsible or which came to Executive’s attention as an Executive of Inseego that might give rise to, evidence, or support any claim of illegal conduct, regulatory violation, unlawful discrimination, or other cause of action against Inseego.</w:t>
      </w:r>
    </w:p>
    <w:p>
      <w:pPr>
        <w:spacing w:after="0" w:line="177" w:lineRule="exact"/>
        <w:rPr>
          <w:rFonts w:ascii="Arial" w:cs="Arial" w:eastAsia="Arial" w:hAnsi="Arial"/>
          <w:sz w:val="17"/>
          <w:szCs w:val="17"/>
          <w:color w:val="auto"/>
        </w:rPr>
      </w:pPr>
    </w:p>
    <w:p>
      <w:pPr>
        <w:ind w:firstLine="8"/>
        <w:spacing w:after="0" w:line="342" w:lineRule="auto"/>
        <w:tabs>
          <w:tab w:leader="none" w:pos="45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 Admission of Wrongdoing or Liability</w:t>
      </w:r>
      <w:r>
        <w:rPr>
          <w:rFonts w:ascii="Arial" w:cs="Arial" w:eastAsia="Arial" w:hAnsi="Arial"/>
          <w:sz w:val="16"/>
          <w:szCs w:val="16"/>
          <w:color w:val="auto"/>
        </w:rPr>
        <w:t>. Nothing contained in this Agreement shall constitute, or be construed as or is intended to be an admission or an acknowledgment by Inseego or the Released Parties of any wrongdoing or liability, all such wrongdoing and liability being expressly denied.</w:t>
      </w:r>
    </w:p>
    <w:p>
      <w:pPr>
        <w:spacing w:after="0" w:line="123" w:lineRule="exact"/>
        <w:rPr>
          <w:rFonts w:ascii="Arial" w:cs="Arial" w:eastAsia="Arial" w:hAnsi="Arial"/>
          <w:sz w:val="16"/>
          <w:szCs w:val="16"/>
          <w:color w:val="auto"/>
        </w:rPr>
      </w:pPr>
    </w:p>
    <w:p>
      <w:pPr>
        <w:jc w:val="both"/>
        <w:ind w:firstLine="8"/>
        <w:spacing w:after="0" w:line="311" w:lineRule="auto"/>
        <w:tabs>
          <w:tab w:leader="none" w:pos="54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Executive agrees to maintain absolute confidentiality and secrecy concerning the terms of this Agreement and will not reveal, or disseminate by publication in any manner whatsoever this document or any matters pertaining to it to any other person except Executive’s immediate family members, legal advisors, financial planners, or tax preparers who are also bound by this confidentiality provision, or as required by legal process.</w:t>
      </w:r>
    </w:p>
    <w:p>
      <w:pPr>
        <w:spacing w:after="0" w:line="148" w:lineRule="exact"/>
        <w:rPr>
          <w:rFonts w:ascii="Arial" w:cs="Arial" w:eastAsia="Arial" w:hAnsi="Arial"/>
          <w:sz w:val="16"/>
          <w:szCs w:val="16"/>
          <w:color w:val="auto"/>
        </w:rPr>
      </w:pPr>
    </w:p>
    <w:p>
      <w:pPr>
        <w:jc w:val="both"/>
        <w:ind w:firstLine="8"/>
        <w:spacing w:after="0" w:line="263"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 Executive acknowledges and agrees to comply with Executive’s continuing obligations under the Confidential Information and Invention Assignment Agreement between Executive and Inseego (the “Confidentiality Agreement”), including but not limited to Executive's obligations not to use or disclose, at any time, any trade secret, confidential or proprietary information of the Company.</w:t>
      </w:r>
    </w:p>
    <w:p>
      <w:pPr>
        <w:spacing w:after="0" w:line="183" w:lineRule="exact"/>
        <w:rPr>
          <w:rFonts w:ascii="Arial" w:cs="Arial" w:eastAsia="Arial" w:hAnsi="Arial"/>
          <w:sz w:val="18"/>
          <w:szCs w:val="18"/>
          <w:color w:val="auto"/>
        </w:rPr>
      </w:pPr>
    </w:p>
    <w:p>
      <w:pPr>
        <w:jc w:val="both"/>
        <w:ind w:firstLine="8"/>
        <w:spacing w:after="0" w:line="254" w:lineRule="auto"/>
        <w:tabs>
          <w:tab w:leader="none" w:pos="54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and Inseego each agree not to make any statements, written or verbal, or cause or encourage others to make any statements, written or verbal, including but not limited to any statements made via social media, on websites or blogs, that defame, disparage or in any way criticize the personal or business reputation, practices, or conduct of the other party or any of the Released Parties. This Section does not, in any way, restrict or impede either party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Inseego’s Senior Vice President &amp; General Counsel.</w:t>
      </w:r>
    </w:p>
    <w:p>
      <w:pPr>
        <w:spacing w:after="0" w:line="194" w:lineRule="exact"/>
        <w:rPr>
          <w:rFonts w:ascii="Arial" w:cs="Arial" w:eastAsia="Arial" w:hAnsi="Arial"/>
          <w:sz w:val="18"/>
          <w:szCs w:val="18"/>
          <w:color w:val="auto"/>
        </w:rPr>
      </w:pPr>
    </w:p>
    <w:p>
      <w:pPr>
        <w:jc w:val="both"/>
        <w:ind w:firstLine="8"/>
        <w:spacing w:after="0" w:line="259"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Inseego Property</w:t>
      </w:r>
      <w:r>
        <w:rPr>
          <w:rFonts w:ascii="Arial" w:cs="Arial" w:eastAsia="Arial" w:hAnsi="Arial"/>
          <w:sz w:val="18"/>
          <w:szCs w:val="18"/>
          <w:color w:val="auto"/>
        </w:rPr>
        <w:t>. On or before the Transition Completion Date, Executive must return all company property, including identification cards or badges, access codes or devices, keys, credit cards, electronically stored documents or files, physical files and any other company property in Executive's possession. Executive further represents that Executive has not copied, printed or caused to be copied or printed out any documents or other material originating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with or belonging to Inseego. Notwithstanding the foregoing Executive shall keep his laptop computer and mobile phone (currently in his name) provided that all Company Data shall be removed by Executive prior to the Transition Completion Date</w:t>
      </w:r>
    </w:p>
    <w:p>
      <w:pPr>
        <w:spacing w:after="0" w:line="170" w:lineRule="exact"/>
        <w:rPr>
          <w:sz w:val="20"/>
          <w:szCs w:val="20"/>
          <w:color w:val="auto"/>
        </w:rPr>
      </w:pPr>
    </w:p>
    <w:p>
      <w:pPr>
        <w:jc w:val="both"/>
        <w:ind w:firstLine="8"/>
        <w:spacing w:after="0" w:line="275" w:lineRule="auto"/>
        <w:tabs>
          <w:tab w:leader="none" w:pos="639"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The parties agree that certain matters in which Executive has been involved during Executive’s employment may necessitate Executive's cooperation with Inseego in the future. Accordingly, for a period of six months following the Transition Completion Date, to the extent reasonably requested by Inseego, Executive shall cooperate with Inseego in connection with matters arising out of Executive's service to Inseego; provided that, Inseego shall make reasonable efforts to minimize disruption of Executive's other activities. Inseego shall reimburse Executive for reasonable expenses incurred in connection with such cooperation subsequent to the Transition Completion Date.</w:t>
      </w:r>
    </w:p>
    <w:p>
      <w:pPr>
        <w:spacing w:after="0" w:line="176" w:lineRule="exact"/>
        <w:rPr>
          <w:rFonts w:ascii="Arial" w:cs="Arial" w:eastAsia="Arial" w:hAnsi="Arial"/>
          <w:sz w:val="17"/>
          <w:szCs w:val="17"/>
          <w:color w:val="auto"/>
        </w:rPr>
      </w:pPr>
    </w:p>
    <w:p>
      <w:pPr>
        <w:jc w:val="both"/>
        <w:ind w:firstLine="8"/>
        <w:spacing w:after="0" w:line="272" w:lineRule="auto"/>
        <w:tabs>
          <w:tab w:leader="none" w:pos="56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Knowing and Voluntary Acknowledgement</w:t>
      </w:r>
      <w:r>
        <w:rPr>
          <w:rFonts w:ascii="Arial" w:cs="Arial" w:eastAsia="Arial" w:hAnsi="Arial"/>
          <w:sz w:val="17"/>
          <w:szCs w:val="17"/>
          <w:color w:val="auto"/>
        </w:rPr>
        <w:t>. Executive specifically agrees and acknowledges that: (a) Executive has read this Agreement in its entirety and understands all of its terms; (b) Executive has been advised of and Executive’s right to, and provided an opportunity to, consult with Executive’s attorney prior to executing this Agreement; (c) Executive knowingly, freely and voluntarily assents to all of its terms and conditions including, without limitation, the waiver, release and covenants contained herein; (d) Executive is executing this Agreement, including the waiver and release, in exchange for good and valuable consideration in addition to anything of value to which Executive is otherwise entitled; (e) Executive is not waiving or releasing rights or claims that may arise after Executive’s execution of this Agreement; and that (f) Executive understands that the waiver and release in this Agreement is being requested in connection with the cessation of Executive’s employment with Inseego.</w:t>
      </w:r>
    </w:p>
    <w:p>
      <w:pPr>
        <w:spacing w:after="0" w:line="177" w:lineRule="exact"/>
        <w:rPr>
          <w:rFonts w:ascii="Arial" w:cs="Arial" w:eastAsia="Arial" w:hAnsi="Arial"/>
          <w:sz w:val="17"/>
          <w:szCs w:val="17"/>
          <w:color w:val="auto"/>
        </w:rPr>
      </w:pPr>
    </w:p>
    <w:p>
      <w:pPr>
        <w:jc w:val="both"/>
        <w:ind w:firstLine="8"/>
        <w:spacing w:after="0" w:line="311" w:lineRule="auto"/>
        <w:tabs>
          <w:tab w:leader="none" w:pos="47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Breach of Agreement</w:t>
      </w:r>
      <w:r>
        <w:rPr>
          <w:rFonts w:ascii="Arial" w:cs="Arial" w:eastAsia="Arial" w:hAnsi="Arial"/>
          <w:sz w:val="16"/>
          <w:szCs w:val="16"/>
          <w:color w:val="auto"/>
        </w:rPr>
        <w:t>. If Executive breaches any provision of this Agreement, to the maximum extent permitted by applicable law, Inseego shall be relieved of all liability and obligations to make any further payments under this Agreement. If either party brings a claim for breach of the terms of this Agreement, the prevailing party shall be entitled to its reasonable attorneys’ fees and expenses incurred in prosecuting or defending such an action.</w:t>
      </w:r>
    </w:p>
    <w:p>
      <w:pPr>
        <w:spacing w:after="0" w:line="148" w:lineRule="exact"/>
        <w:rPr>
          <w:rFonts w:ascii="Arial" w:cs="Arial" w:eastAsia="Arial" w:hAnsi="Arial"/>
          <w:sz w:val="16"/>
          <w:szCs w:val="16"/>
          <w:color w:val="auto"/>
        </w:rPr>
      </w:pPr>
    </w:p>
    <w:p>
      <w:pPr>
        <w:jc w:val="both"/>
        <w:ind w:firstLine="8"/>
        <w:spacing w:after="0" w:line="254" w:lineRule="auto"/>
        <w:tabs>
          <w:tab w:leader="none" w:pos="51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Mutual Arbitration Agreement</w:t>
      </w:r>
      <w:r>
        <w:rPr>
          <w:rFonts w:ascii="Arial" w:cs="Arial" w:eastAsia="Arial" w:hAnsi="Arial"/>
          <w:sz w:val="18"/>
          <w:szCs w:val="18"/>
          <w:color w:val="auto"/>
        </w:rPr>
        <w:t>. Inseego and Executive agree that any dispute or controversy arising out of, relating to, or in connection with this Agreement shall be exclusively settled by final and binding arbitration in San Diego County, California before a single arbitrator appointed by the Judicial Arbitration Mediation Service (“JAMS”) and shall be conducted in accordance with JAMS Streamlined Arbitration Rules &amp; Procedures. The arbitrator may grant any and all injunctions or other relief in such dispute or controversy. The decision of the arbitrator shall be final, conclusive and binding on the parties to the arbitration. Judgment may be entered on the arbitrator's decision in any court having jurisdiction thereof. The prevailing party in any arbitration or action to enforce or interpret this Agreement shall be entitled to an award to recover any and all attorneys' fees, costs and expenses. Neither party shall disclose the existence of any dispute or the terms of any arbitration decision to any third party, other than legal counsel, accountants, and financial advisors or as required by applicable law.</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EXECUTIVE UNDERSTANDS AND ACKNOWLEDGES THAT THIS PARAGRAPH 13 CONSTITUTES AN EXPRESS WAIVER OF ANY RIGHT TO A TRIAL IN COURT (INCLUDING, WITHOUT LIMITATION, A JURY TRIAL).</w:t>
      </w:r>
    </w:p>
    <w:p>
      <w:pPr>
        <w:spacing w:after="0" w:line="170" w:lineRule="exact"/>
        <w:rPr>
          <w:sz w:val="20"/>
          <w:szCs w:val="20"/>
          <w:color w:val="auto"/>
        </w:rPr>
      </w:pPr>
    </w:p>
    <w:p>
      <w:pPr>
        <w:ind w:left="500" w:hanging="447"/>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91" w:lineRule="auto"/>
        <w:tabs>
          <w:tab w:leader="none" w:pos="122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This Agreement contains the complete, entire understanding of the parties. This Agreement supersedes all prior and contemporaneous oral and written agreements and discussions with respect to the subject matter hereof; provided, however, that (i) Executive's surviving obligations under the Confidentiality Agreement and this Agreement; (ii) Executive’s rights with respect to outstanding awards pursuant to the 2018 Incentive Plan; and (iii) Executive’s surviving rights under the Indemnification Agreement between Executive and the Company dated August 21, 2017, remain in full force and effect in accordance with their terms and shall remain unaffected by virtue of this Agreement. This Agreement may be amended or modified only by an agreement in writing. If any provision of this Agreement is determined to be invalid or otherwise unenforceable, then that invalidity or unenforceability shall not affect any other provision of this Agreement, which shall continue and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45" w:name="page46"/>
    <w:bookmarkEnd w:id="45"/>
    <w:p>
      <w:pPr>
        <w:jc w:val="both"/>
        <w:ind w:firstLine="656"/>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of the terms and provisions of this Agreement shall be binding upon each of the parties hereto and shall inure to the benefit of the parties hereto, their heirs, executors, administrators, personal representatives, successors and permitted assigns. Executive may not assign this Agreement or any right or obligation hereunder without the express and prior written consent of Inseego.</w:t>
      </w:r>
    </w:p>
    <w:p>
      <w:pPr>
        <w:spacing w:after="0" w:line="183" w:lineRule="exact"/>
        <w:rPr>
          <w:rFonts w:ascii="Arial" w:cs="Arial" w:eastAsia="Arial" w:hAnsi="Arial"/>
          <w:sz w:val="18"/>
          <w:szCs w:val="18"/>
          <w:color w:val="auto"/>
        </w:rPr>
      </w:pPr>
    </w:p>
    <w:p>
      <w:pPr>
        <w:ind w:firstLine="656"/>
        <w:spacing w:after="0" w:line="277" w:lineRule="auto"/>
        <w:tabs>
          <w:tab w:leader="none" w:pos="13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parties agree that this Agreement shall be construed, enforced and governed by the laws of the State of California, excluding its conflict of laws rules.</w:t>
      </w:r>
    </w:p>
    <w:p>
      <w:pPr>
        <w:spacing w:after="0" w:line="170" w:lineRule="exact"/>
        <w:rPr>
          <w:rFonts w:ascii="Arial" w:cs="Arial" w:eastAsia="Arial" w:hAnsi="Arial"/>
          <w:sz w:val="18"/>
          <w:szCs w:val="18"/>
          <w:color w:val="auto"/>
        </w:rPr>
      </w:pPr>
    </w:p>
    <w:p>
      <w:pPr>
        <w:ind w:firstLine="656"/>
        <w:spacing w:after="0" w:line="277" w:lineRule="auto"/>
        <w:tabs>
          <w:tab w:leader="none" w:pos="12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of the parties hereto shall execute any and all other documents or instruments necessary or mutually desirable in order to carry out the provisions of this Agreement in good faith.</w:t>
      </w:r>
    </w:p>
    <w:p>
      <w:pPr>
        <w:spacing w:after="0" w:line="170" w:lineRule="exact"/>
        <w:rPr>
          <w:rFonts w:ascii="Arial" w:cs="Arial" w:eastAsia="Arial" w:hAnsi="Arial"/>
          <w:sz w:val="18"/>
          <w:szCs w:val="18"/>
          <w:color w:val="auto"/>
        </w:rPr>
      </w:pPr>
    </w:p>
    <w:p>
      <w:pPr>
        <w:ind w:firstLine="656"/>
        <w:spacing w:after="0" w:line="308" w:lineRule="auto"/>
        <w:tabs>
          <w:tab w:leader="none" w:pos="11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No provision of this Agreement shall be interpreted for or against any party hereto because any such party or any such party's legal counsel drafted such provision. This Agreement shall be deemed to have been duly drafted and reviewed and review by each of the parties hereof.</w:t>
      </w:r>
    </w:p>
    <w:p>
      <w:pPr>
        <w:spacing w:after="0" w:line="146" w:lineRule="exact"/>
        <w:rPr>
          <w:rFonts w:ascii="Arial" w:cs="Arial" w:eastAsia="Arial" w:hAnsi="Arial"/>
          <w:sz w:val="17"/>
          <w:szCs w:val="17"/>
          <w:color w:val="auto"/>
        </w:rPr>
      </w:pPr>
    </w:p>
    <w:p>
      <w:pPr>
        <w:ind w:firstLine="656"/>
        <w:spacing w:after="0" w:line="342" w:lineRule="auto"/>
        <w:tabs>
          <w:tab w:leader="none" w:pos="124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This Agreement may be executed in one or more counterparts, each of which shall be deemed an original but all of which together shall constitute one and the same instrument. This Agreement may be executed by delivery of original signature via facsimile or electronic transmission.</w:t>
      </w:r>
    </w:p>
    <w:p>
      <w:pPr>
        <w:spacing w:after="0" w:line="123" w:lineRule="exact"/>
        <w:rPr>
          <w:rFonts w:ascii="Arial" w:cs="Arial" w:eastAsia="Arial" w:hAnsi="Arial"/>
          <w:sz w:val="16"/>
          <w:szCs w:val="16"/>
          <w:color w:val="auto"/>
        </w:rPr>
      </w:pPr>
    </w:p>
    <w:p>
      <w:pPr>
        <w:jc w:val="both"/>
        <w:ind w:firstLine="656"/>
        <w:spacing w:after="0" w:line="257" w:lineRule="auto"/>
        <w:tabs>
          <w:tab w:leader="none" w:pos="1243"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of the parties hereof has been adequately represented by legal counsel or has had adequate opportunity to consult with legal counsel and has affirmatively chosen to waive the right to do so. Neither party may raise any claim or defense in any interpretation of this Agreement or otherwise that asserts that: (i) such party was not adequately involved in the drafting and review of this Agreement; (ii) such party was not adequately represented by legal counsel; (iii) such party did not fully understand each of the terms and conditions of this Agreement; or (iv) such party did not intend to be legally bound by each and every provision hereof.</w:t>
      </w:r>
    </w:p>
    <w:p>
      <w:pPr>
        <w:spacing w:after="0" w:line="210"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 of Full Understanding</w:t>
      </w:r>
      <w:r>
        <w:rPr>
          <w:rFonts w:ascii="Arial" w:cs="Arial" w:eastAsia="Arial" w:hAnsi="Arial"/>
          <w:sz w:val="18"/>
          <w:szCs w:val="18"/>
          <w:b w:val="1"/>
          <w:bCs w:val="1"/>
          <w:color w:val="auto"/>
        </w:rPr>
        <w:t>. EXECUTIVE ACKNOWLEDGES AND AGREES THAT EXECUTIVE HAS FULLY READ,</w:t>
      </w:r>
    </w:p>
    <w:p>
      <w:pPr>
        <w:spacing w:after="0" w:line="27" w:lineRule="exact"/>
        <w:rPr>
          <w:rFonts w:ascii="Arial" w:cs="Arial" w:eastAsia="Arial" w:hAnsi="Arial"/>
          <w:sz w:val="18"/>
          <w:szCs w:val="18"/>
          <w:b w:val="1"/>
          <w:bCs w:val="1"/>
          <w:color w:val="auto"/>
        </w:rPr>
      </w:pPr>
    </w:p>
    <w:p>
      <w:pPr>
        <w:jc w:val="both"/>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UNDERSTANDS AND VOLUNTARILY ENTERS INTO THIS AGREEMENT. EXECUTIVE ACKNOWLEDGES AND AGREES THAT EXECUTIVE HAS HAD AN OPPORTUNITY TO ASK QUESTIONS AND CONSULT WITH AN ATTORNEY OF EXECUTIVE’S CHOICE BEFORE SIGNING THIS AGREEMENT. EXECUTIVE FURTHER ACKNOWLEDGES THAT BY SIGNING THIS AGREEMENT EXECUTIVE IS GIVING UP AND WAIVING IMPORTANT LEGAL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hereby executed this Agreement as of the date written below.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40" w:type="dxa"/>
            <w:vAlign w:val="bottom"/>
            <w:gridSpan w:val="2"/>
          </w:tcPr>
          <w:p>
            <w:pPr>
              <w:jc w:val="center"/>
              <w:ind w:right="2430"/>
              <w:spacing w:after="0"/>
              <w:rPr>
                <w:sz w:val="20"/>
                <w:szCs w:val="20"/>
                <w:color w:val="auto"/>
              </w:rPr>
            </w:pPr>
            <w:r>
              <w:rPr>
                <w:rFonts w:ascii="Arial" w:cs="Arial" w:eastAsia="Arial" w:hAnsi="Arial"/>
                <w:sz w:val="18"/>
                <w:szCs w:val="18"/>
                <w:color w:val="auto"/>
              </w:rPr>
              <w:t>By:   /s/ STEPHEN M. SMITH</w:t>
            </w:r>
          </w:p>
        </w:tc>
        <w:tc>
          <w:tcPr>
            <w:tcW w:w="1680" w:type="dxa"/>
            <w:vAlign w:val="bottom"/>
          </w:tcPr>
          <w:p>
            <w:pPr>
              <w:ind w:left="580"/>
              <w:spacing w:after="0"/>
              <w:rPr>
                <w:sz w:val="20"/>
                <w:szCs w:val="20"/>
                <w:color w:val="auto"/>
              </w:rPr>
            </w:pPr>
            <w:r>
              <w:rPr>
                <w:rFonts w:ascii="Arial" w:cs="Arial" w:eastAsia="Arial" w:hAnsi="Arial"/>
                <w:sz w:val="18"/>
                <w:szCs w:val="18"/>
                <w:color w:val="auto"/>
              </w:rPr>
              <w:t>Date:</w:t>
            </w:r>
          </w:p>
        </w:tc>
        <w:tc>
          <w:tcPr>
            <w:tcW w:w="4400" w:type="dxa"/>
            <w:vAlign w:val="bottom"/>
          </w:tcPr>
          <w:p>
            <w:pPr>
              <w:jc w:val="right"/>
              <w:ind w:right="3650"/>
              <w:spacing w:after="0"/>
              <w:rPr>
                <w:sz w:val="20"/>
                <w:szCs w:val="20"/>
                <w:color w:val="auto"/>
              </w:rPr>
            </w:pPr>
            <w:r>
              <w:rPr>
                <w:rFonts w:ascii="Arial" w:cs="Arial" w:eastAsia="Arial" w:hAnsi="Arial"/>
                <w:sz w:val="18"/>
                <w:szCs w:val="18"/>
                <w:color w:val="auto"/>
                <w:w w:val="91"/>
              </w:rPr>
              <w:t>8/7/2020</w:t>
            </w:r>
          </w:p>
        </w:tc>
      </w:tr>
      <w:tr>
        <w:trPr>
          <w:trHeight w:val="27"/>
        </w:trPr>
        <w:tc>
          <w:tcPr>
            <w:tcW w:w="54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400" w:type="dxa"/>
            <w:vAlign w:val="bottom"/>
          </w:tcPr>
          <w:p>
            <w:pPr>
              <w:jc w:val="center"/>
              <w:ind w:right="2970"/>
              <w:spacing w:after="0"/>
              <w:rPr>
                <w:sz w:val="20"/>
                <w:szCs w:val="20"/>
                <w:color w:val="auto"/>
              </w:rPr>
            </w:pPr>
            <w:r>
              <w:rPr>
                <w:rFonts w:ascii="Arial" w:cs="Arial" w:eastAsia="Arial" w:hAnsi="Arial"/>
                <w:sz w:val="18"/>
                <w:szCs w:val="18"/>
                <w:color w:val="auto"/>
                <w:w w:val="90"/>
              </w:rPr>
              <w:t>Stephen M. Smith</w:t>
            </w: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p>
        </w:tc>
      </w:tr>
    </w:tbl>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INSEEGO CORP.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60" w:val="left"/>
          <w:tab w:leader="none" w:pos="5520" w:val="left"/>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MONDOR</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8/11/2020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31750</wp:posOffset>
            </wp:positionV>
            <wp:extent cx="66522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Dan Mondor</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765935" cy="480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7659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July 26,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Craig Foster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945 Taraval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craig@fostercomplex.com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867-4402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Offer of Employment at Inseego Corp.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Craig,</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It is my pleasure to make you the following offer of employment with Inseego Corp., (“Company”), as Chief Financial Officer. This is an exempt, full time position. In this role, you will report to Dan Mondor, Chairman of the Board and CEO, with a tentative start date on August 17, 2020. </w:t>
      </w:r>
      <w:r>
        <w:rPr>
          <w:rFonts w:ascii="Arial" w:cs="Arial" w:eastAsia="Arial" w:hAnsi="Arial"/>
          <w:sz w:val="18"/>
          <w:szCs w:val="18"/>
          <w:b w:val="1"/>
          <w:bCs w:val="1"/>
          <w:i w:val="1"/>
          <w:iCs w:val="1"/>
          <w:color w:val="auto"/>
        </w:rPr>
        <w:t>This offer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employment expires on Tuesday, July 28, 2020.</w:t>
      </w:r>
    </w:p>
    <w:p>
      <w:pPr>
        <w:spacing w:after="0" w:line="20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receive a semi-monthly salary in the amount of USD $15,625 paid in accordance with our normal payroll procedures. This is</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to $375,000 on an annualized basis.</w:t>
      </w:r>
    </w:p>
    <w:p>
      <w:pPr>
        <w:spacing w:after="0" w:line="189"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u w:val="single" w:color="auto"/>
          <w:color w:val="auto"/>
        </w:rPr>
        <w:t>Company Bonus:</w:t>
      </w:r>
      <w:r>
        <w:rPr>
          <w:rFonts w:ascii="Arial" w:cs="Arial" w:eastAsia="Arial" w:hAnsi="Arial"/>
          <w:sz w:val="17"/>
          <w:szCs w:val="17"/>
          <w:b w:val="1"/>
          <w:bCs w:val="1"/>
          <w:color w:val="auto"/>
        </w:rPr>
        <w:t xml:space="preserve"> </w:t>
      </w:r>
      <w:r>
        <w:rPr>
          <w:rFonts w:ascii="Arial" w:cs="Arial" w:eastAsia="Arial" w:hAnsi="Arial"/>
          <w:sz w:val="17"/>
          <w:szCs w:val="17"/>
          <w:color w:val="auto"/>
        </w:rPr>
        <w:t>You are eligible to participate in the Inseego Corp. Company Bonus Plan with a target bonus opportunity of 50% of your base salary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relevant period, based on criteria established by the Compensation Committee of the Board of Directors of the Company (“Board”).</w:t>
      </w:r>
    </w:p>
    <w:p>
      <w:pPr>
        <w:spacing w:after="0" w:line="16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participate in the Company’s benefit plans consisting of medical, dental, vision, short-term and long-term disability, term</w:t>
      </w:r>
      <w:r>
        <w:rPr>
          <w:rFonts w:ascii="Arial" w:cs="Arial" w:eastAsia="Arial" w:hAnsi="Arial"/>
          <w:sz w:val="18"/>
          <w:szCs w:val="18"/>
          <w:b w:val="1"/>
          <w:bCs w:val="1"/>
          <w:color w:val="auto"/>
        </w:rPr>
        <w:t xml:space="preserve"> </w:t>
      </w:r>
      <w:r>
        <w:rPr>
          <w:rFonts w:ascii="Arial" w:cs="Arial" w:eastAsia="Arial" w:hAnsi="Arial"/>
          <w:sz w:val="18"/>
          <w:szCs w:val="18"/>
          <w:color w:val="auto"/>
        </w:rPr>
        <w:t>life insurance and accidental death and dismemberment insurance. You also will be eligible to participate in the Company’s 401(k) plan and, if available, the Inseego Employee Stock Purchase Plan, subject to its terms and conditions. You also may be eligible for Paid Time Off (PTO) on an accrual basis (according to the schedule outlined in the Employee Handbook) and Company paid holidays.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will receive more information about these programs, including eligibility, at New Hire Orientation.</w:t>
      </w:r>
    </w:p>
    <w:p>
      <w:pPr>
        <w:spacing w:after="0" w:line="2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u w:val="single" w:color="auto"/>
          <w:color w:val="auto"/>
        </w:rPr>
        <w:t>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We will recommend to the Board of Directors of Inseego (or a committee thereof), that you be granted non-qualified stock options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two hundred thousand (200,000) shares of Inseego Common Stock (the “Options”). The Options will vest over 4 years, as follows: (i) one-fourth (1/4) of the Options shall vest on the first anniversary of your start date, and (ii) the remaining three-fourths (3/4) shall vest in equal monthly installments over the following thirty-six (36) months thereafter.</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also recommend to the Board of Directors of Inseego (or a committee thereof), that you be awarded a number of Restricted Stock Units (“RSUs”) determined by dividing $400,000 by the market price of the Company’s stock on the date of grant. The RSUs will vest over 4 years, as follows: (i) one-fourth (1/4) of the Options shall vest on the first anniversary of your start date, and (ii) the remaining three-fourths (3/4) shall vest in equal monthly installments over the following thirty-six (36) months thereafter.</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Options and RSUs will be subject to the Company’s standard terms and conditions for employee RSUs and stock options. In addition, disposing of the underlying shares issuable upon exercise of stock options and vesting of RSUs shall be subject to the Company’s Insider Trading Policy which will be made available to you shortly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Inseego Offer Letter</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1 of 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Created 3-2010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Revised 12-05-2016</w:t>
      </w:r>
    </w:p>
    <w:p>
      <w:pPr>
        <w:sectPr>
          <w:pgSz w:w="11900" w:h="16838" w:orient="portrait"/>
          <w:cols w:equalWidth="0" w:num="1">
            <w:col w:w="11240"/>
          </w:cols>
          <w:pgMar w:left="320" w:top="1440" w:right="339" w:bottom="1440" w:gutter="0" w:footer="0" w:header="0"/>
        </w:sectPr>
      </w:pPr>
    </w:p>
    <w:bookmarkStart w:id="47" w:name="page48"/>
    <w:bookmarkEnd w:id="47"/>
    <w:p>
      <w:pPr>
        <w:ind w:right="580"/>
        <w:spacing w:after="0" w:line="277" w:lineRule="auto"/>
        <w:rPr>
          <w:sz w:val="20"/>
          <w:szCs w:val="20"/>
          <w:color w:val="auto"/>
        </w:rPr>
      </w:pPr>
      <w:r>
        <w:rPr>
          <w:rFonts w:ascii="Arial" w:cs="Arial" w:eastAsia="Arial" w:hAnsi="Arial"/>
          <w:sz w:val="18"/>
          <w:szCs w:val="18"/>
          <w:color w:val="auto"/>
        </w:rPr>
        <w:t>following the commencement of your employment. All equity award recommendations are subject to the final approval of the Board of Directors of Inseego (or a committee thereof).</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u w:val="single" w:color="auto"/>
          <w:color w:val="auto"/>
        </w:rPr>
        <w:t>Relocation Assistance</w:t>
      </w:r>
      <w:r>
        <w:rPr>
          <w:rFonts w:ascii="Arial" w:cs="Arial" w:eastAsia="Arial" w:hAnsi="Arial"/>
          <w:sz w:val="17"/>
          <w:szCs w:val="17"/>
          <w:color w:val="auto"/>
        </w:rPr>
        <w:t>: Your office will be located in our corporate offices at 9710 Scranton Road, San Diego, California (the “Designated Location”). You</w:t>
      </w:r>
      <w:r>
        <w:rPr>
          <w:rFonts w:ascii="Arial" w:cs="Arial" w:eastAsia="Arial" w:hAnsi="Arial"/>
          <w:sz w:val="17"/>
          <w:szCs w:val="17"/>
          <w:b w:val="1"/>
          <w:bCs w:val="1"/>
          <w:color w:val="auto"/>
        </w:rPr>
        <w:t xml:space="preserve"> </w:t>
      </w:r>
      <w:r>
        <w:rPr>
          <w:rFonts w:ascii="Arial" w:cs="Arial" w:eastAsia="Arial" w:hAnsi="Arial"/>
          <w:sz w:val="17"/>
          <w:szCs w:val="17"/>
          <w:color w:val="auto"/>
        </w:rPr>
        <w:t>will relocate from your current residence to the San Diego County at a date agreed upon between you and the Company’s Chief Executive Officer. Because the Designated Location is more than 50 miles from your current residence, you will be eligible for reimbursement of (A) reasonable temporary housing expenses as needed for a period of up to 60 days, (B) additional verified relocation expenses of up to $25,000 for shipment of household items, less any applicable payroll deductions and all required taxes and withholdings. You will be responsible for any taxes associated with payment to you for such reimbursements that are deemed taxable according to the IRS regulations. In the event that you either (x) fail to relocate to San Diego County or (y) voluntarily terminate your employment with the Company within one year of your relocation to San Diego County, you will be responsible for immediate repayment in full to the Company for any relocation assistance amounts previously reimbursed to you by the Company. You may be required to travel periodically as may otherwise be required by the nature of your work assignments, for which you will be reimbursed for reasonable travel expenses in accordance with the Company’s current Employee Travel and Expense Policy.</w:t>
      </w:r>
    </w:p>
    <w:p>
      <w:pPr>
        <w:spacing w:after="0" w:line="20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u w:val="single" w:color="auto"/>
          <w:color w:val="auto"/>
        </w:rPr>
        <w:t>General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required to sign an Inventions, Disclosure, Confidentiality &amp; Proprietary Rights Agreement with the Company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of your employment. We also will ask you certify to us that accepting employment at the Company or performing your duties at the Company as outlined will not be a violation of any agreement or understanding you may have with a prior employer or party. In addition, you will be required during your employment to abide by the Company’s Code of Business Conduct and Ethics and customary employment policies and procedures that apply to all Company employees. The Code and related business and employment practices, which will be presented to you during the first few weeks of your employment with the Company, address numerous topics, including but not limited to, prohibitions on (i) sexual harassment, (ii) trading in the Company’s securities at certain times and (iii) working for, or consulting to, other employers or parties while you are employed by the Company.</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This offer of employment is contingent upon satisfactory completion of a pre-employment background check, confirmation of any conferred degrees, satisfactory references, verification of your employment history as stated on your resume and verification you may legally work in the U.S., consistent with the requirements of the Immigration Reform and Control Act (“IRAC”). In this regard, on your first day of employment, you will be asked to provide the Company with the required form(s) of work authorization and identification required by the U.S. Citizenship and Immigration Services (USCIS).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Please note your employment at the Company is employment at will, which means that either you or the Company can terminate your employment at any time with or without cause or advance notice. By signing below, you agree that no other promises or material terms of employment have been offered to you other than as set forth herein and that this offer letter may be modified or supplemented only in writing, manually signed by both you and either the Chief Human Resources Officer or the Chief Executive Officer</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have any questions about the above information, please feel free to contact Natacha Pavan (858) 812-3488. I look forward to working with you as a member of the Inseego team.</w:t>
      </w:r>
    </w:p>
    <w:p>
      <w:pPr>
        <w:spacing w:after="0" w:line="200" w:lineRule="exact"/>
        <w:rPr>
          <w:sz w:val="20"/>
          <w:szCs w:val="20"/>
          <w:color w:val="auto"/>
        </w:rPr>
      </w:pP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Sincerely,</w:t>
        <w:tab/>
        <w:t>I accept the offer, as stated.</w:t>
      </w:r>
    </w:p>
    <w:p>
      <w:pPr>
        <w:spacing w:after="0" w:line="252" w:lineRule="exact"/>
        <w:rPr>
          <w:sz w:val="20"/>
          <w:szCs w:val="20"/>
          <w:color w:val="auto"/>
        </w:rPr>
      </w:pPr>
    </w:p>
    <w:p>
      <w:pPr>
        <w:spacing w:after="0"/>
        <w:tabs>
          <w:tab w:leader="none" w:pos="1620" w:val="left"/>
          <w:tab w:leader="none" w:pos="3280" w:val="left"/>
        </w:tabs>
        <w:rPr>
          <w:sz w:val="20"/>
          <w:szCs w:val="20"/>
          <w:color w:val="auto"/>
        </w:rPr>
      </w:pPr>
      <w:r>
        <w:rPr>
          <w:rFonts w:ascii="Arial" w:cs="Arial" w:eastAsia="Arial" w:hAnsi="Arial"/>
          <w:sz w:val="18"/>
          <w:szCs w:val="18"/>
          <w:color w:val="auto"/>
        </w:rPr>
        <w:t>/s/ DAN MONDOR</w:t>
        <w:tab/>
        <w:t>/s/ CRAIG FOSTER</w:t>
      </w:r>
      <w:r>
        <w:rPr>
          <w:sz w:val="20"/>
          <w:szCs w:val="20"/>
          <w:color w:val="auto"/>
        </w:rPr>
        <w:tab/>
      </w:r>
      <w:r>
        <w:rPr>
          <w:rFonts w:ascii="Arial" w:cs="Arial" w:eastAsia="Arial" w:hAnsi="Arial"/>
          <w:sz w:val="16"/>
          <w:szCs w:val="16"/>
          <w:color w:val="auto"/>
        </w:rPr>
        <w:t>7/23/2020</w:t>
      </w:r>
    </w:p>
    <w:p>
      <w:pPr>
        <w:spacing w:after="0" w:line="23" w:lineRule="exact"/>
        <w:rPr>
          <w:sz w:val="20"/>
          <w:szCs w:val="20"/>
          <w:color w:val="auto"/>
        </w:rPr>
      </w:pPr>
    </w:p>
    <w:p>
      <w:pPr>
        <w:spacing w:after="0"/>
        <w:tabs>
          <w:tab w:leader="none" w:pos="2780" w:val="left"/>
          <w:tab w:leader="none" w:pos="5700" w:val="left"/>
        </w:tabs>
        <w:rPr>
          <w:sz w:val="20"/>
          <w:szCs w:val="20"/>
          <w:color w:val="auto"/>
        </w:rPr>
      </w:pPr>
      <w:r>
        <w:rPr>
          <w:rFonts w:ascii="Arial" w:cs="Arial" w:eastAsia="Arial" w:hAnsi="Arial"/>
          <w:sz w:val="17"/>
          <w:szCs w:val="17"/>
          <w:color w:val="auto"/>
        </w:rPr>
        <w:t>____________________________</w:t>
      </w:r>
      <w:r>
        <w:rPr>
          <w:sz w:val="20"/>
          <w:szCs w:val="20"/>
          <w:color w:val="auto"/>
        </w:rPr>
        <w:tab/>
      </w:r>
      <w:r>
        <w:rPr>
          <w:rFonts w:ascii="Arial" w:cs="Arial" w:eastAsia="Arial" w:hAnsi="Arial"/>
          <w:sz w:val="17"/>
          <w:szCs w:val="17"/>
          <w:color w:val="auto"/>
        </w:rPr>
        <w:t>______________________________</w:t>
      </w:r>
      <w:r>
        <w:rPr>
          <w:sz w:val="20"/>
          <w:szCs w:val="20"/>
          <w:color w:val="auto"/>
        </w:rPr>
        <w:tab/>
      </w:r>
      <w:r>
        <w:rPr>
          <w:rFonts w:ascii="Arial" w:cs="Arial" w:eastAsia="Arial" w:hAnsi="Arial"/>
          <w:sz w:val="16"/>
          <w:szCs w:val="16"/>
          <w:color w:val="auto"/>
        </w:rPr>
        <w:t>________________</w:t>
      </w:r>
    </w:p>
    <w:p>
      <w:pPr>
        <w:spacing w:after="0" w:line="21" w:lineRule="exact"/>
        <w:rPr>
          <w:sz w:val="20"/>
          <w:szCs w:val="20"/>
          <w:color w:val="auto"/>
        </w:rPr>
      </w:pPr>
    </w:p>
    <w:p>
      <w:pPr>
        <w:spacing w:after="0"/>
        <w:tabs>
          <w:tab w:leader="none" w:pos="1100" w:val="left"/>
          <w:tab w:leader="none" w:pos="2400" w:val="left"/>
        </w:tabs>
        <w:rPr>
          <w:sz w:val="20"/>
          <w:szCs w:val="20"/>
          <w:color w:val="auto"/>
        </w:rPr>
      </w:pPr>
      <w:r>
        <w:rPr>
          <w:rFonts w:ascii="Arial" w:cs="Arial" w:eastAsia="Arial" w:hAnsi="Arial"/>
          <w:sz w:val="18"/>
          <w:szCs w:val="18"/>
          <w:color w:val="auto"/>
        </w:rPr>
        <w:t>Dan Mondor</w:t>
        <w:tab/>
        <w:t>Craig Foster</w:t>
      </w:r>
      <w:r>
        <w:rPr>
          <w:sz w:val="20"/>
          <w:szCs w:val="20"/>
          <w:color w:val="auto"/>
        </w:rPr>
        <w:tab/>
      </w:r>
      <w:r>
        <w:rPr>
          <w:rFonts w:ascii="Arial" w:cs="Arial" w:eastAsia="Arial" w:hAnsi="Arial"/>
          <w:sz w:val="16"/>
          <w:szCs w:val="16"/>
          <w:color w:val="auto"/>
        </w:rPr>
        <w:t>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Inseego Offer Letter</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2 of 2</w:t>
      </w:r>
    </w:p>
    <w:p>
      <w:pPr>
        <w:sectPr>
          <w:pgSz w:w="11900" w:h="16838" w:orient="portrait"/>
          <w:cols w:equalWidth="0" w:num="1">
            <w:col w:w="11240"/>
          </w:cols>
          <w:pgMar w:left="320" w:top="1421"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u w:val="single" w:color="auto"/>
          <w:color w:val="auto"/>
        </w:rPr>
        <w:t>CHANGE IN CONTROL AND SEVERANCE AGREEMENT</w:t>
      </w:r>
    </w:p>
    <w:p>
      <w:pPr>
        <w:spacing w:after="0" w:line="17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between Craig Lynn Foster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and Inseego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this 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August,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42" w:lineRule="exact"/>
        <w:rPr>
          <w:sz w:val="20"/>
          <w:szCs w:val="20"/>
          <w:color w:val="auto"/>
        </w:rPr>
      </w:pPr>
    </w:p>
    <w:p>
      <w:pPr>
        <w:ind w:right="40" w:firstLine="324"/>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of Directors of the Company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recognizes the importance of Executive’s role at the Company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possibility of an acquisition of the Company or an involuntary termination can be a distraction to Executive and can cause Executive to consider alternative employment opportunities. The Board has determined that it is in the best interests of the Company and its shareholders to assure that the Company will have the continued dedication and objectivity of Executive, notwithstanding the possibility, threat or occurrence of such an event.</w:t>
      </w:r>
    </w:p>
    <w:p>
      <w:pPr>
        <w:spacing w:after="0" w:line="111" w:lineRule="exact"/>
        <w:rPr>
          <w:sz w:val="20"/>
          <w:szCs w:val="20"/>
          <w:color w:val="auto"/>
        </w:rPr>
      </w:pPr>
    </w:p>
    <w:p>
      <w:pPr>
        <w:jc w:val="both"/>
        <w:ind w:right="12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in the best interests of the Company and its shareholders to provide Executive with an incentive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and to motivate Executive to maximize the value of the Company upon a Change in Control (as defined below) for the benefit of its stockholders.</w:t>
      </w:r>
    </w:p>
    <w:p>
      <w:pPr>
        <w:spacing w:after="0" w:line="122"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imperative to provide Executive with severance benefits upon certain terminations of Executive’s service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that enhance Executive’s financial security and provide incentive and encouragement to Executive to remain with the Company notwithstanding the possibility of such an event.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unless otherwise defined herein, capitalized terms used in this Agreement are defined in Section 9 below.</w:t>
      </w:r>
    </w:p>
    <w:p>
      <w:pPr>
        <w:spacing w:after="0" w:line="171"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for other good and valuable consideration, including the agreements set forth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agree as follows:</w:t>
      </w:r>
    </w:p>
    <w:p>
      <w:pPr>
        <w:spacing w:after="0" w:line="108"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Agreement shall become effective as of the Effective Date and terminate upon the date that all obligations of the parties hereto with respect to this Agreement have been satisfied.</w:t>
      </w:r>
    </w:p>
    <w:p>
      <w:pPr>
        <w:spacing w:after="0" w:line="112"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Employment.</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Company and Executive acknowledge that Executive’s employment shall be “at-will,” as defined under applicable law. If Executive’s employment terminates for any reason, Executive shall not be entitled to any payments, benefits, damages, awards or compensation other than as provided by this Agreement, the Indemnification Agreement between the Company and Executive entered into on or about the date hereof (the </w:t>
      </w: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Company’s bylaws (as may be amended from time to time), the Company’s Amended and Restated Certificate of Incorporation (as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amended from time to time), and/or any other agreement evidencing the grant to Executive of equity compensation that is concurrently or hereafter entered into by the parties.</w:t>
      </w:r>
    </w:p>
    <w:p>
      <w:pPr>
        <w:spacing w:after="0" w:line="134"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Termination Other Than During a Change in Control Period.</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If Executive experiences a Covered Termination other than during a Change in Control Period, and if Executive delivers to the Company a general release of all claims against the Company and its affiliates, in the form provided by the Company which shall be substantially in the form attached as Exhibit A (which form may be modified by the Company to comply with the facts and applicable law) (a </w:t>
      </w:r>
      <w:r>
        <w:rPr>
          <w:rFonts w:ascii="Arial" w:cs="Arial" w:eastAsia="Arial" w:hAnsi="Arial"/>
          <w:sz w:val="18"/>
          <w:szCs w:val="18"/>
          <w:b w:val="1"/>
          <w:bCs w:val="1"/>
          <w:i w:val="1"/>
          <w:iCs w:val="1"/>
          <w:color w:val="auto"/>
        </w:rPr>
        <w:t>“Release of Claims”</w:t>
      </w:r>
      <w:r>
        <w:rPr>
          <w:rFonts w:ascii="Arial" w:cs="Arial" w:eastAsia="Arial" w:hAnsi="Arial"/>
          <w:sz w:val="18"/>
          <w:szCs w:val="18"/>
          <w:color w:val="auto"/>
        </w:rPr>
        <w:t xml:space="preserve">) that becomes effective within 55 days following the Covered Termination and irrevocable within 62 days following the Covered Termination (the </w:t>
      </w:r>
      <w:r>
        <w:rPr>
          <w:rFonts w:ascii="Arial" w:cs="Arial" w:eastAsia="Arial" w:hAnsi="Arial"/>
          <w:sz w:val="18"/>
          <w:szCs w:val="18"/>
          <w:b w:val="1"/>
          <w:bCs w:val="1"/>
          <w:i w:val="1"/>
          <w:iCs w:val="1"/>
          <w:color w:val="auto"/>
        </w:rPr>
        <w:t>“Release Requirements”</w:t>
      </w:r>
      <w:r>
        <w:rPr>
          <w:rFonts w:ascii="Arial" w:cs="Arial" w:eastAsia="Arial" w:hAnsi="Arial"/>
          <w:sz w:val="18"/>
          <w:szCs w:val="18"/>
          <w:color w:val="auto"/>
        </w:rPr>
        <w:t xml:space="preserve">), then in addition to any accrued but unpaid salary, accrued but unused vacation, incurred but unreimbursed business expenses payable in accordance with applicable law, or vested benefits (other than severance) under any Company benefit plan (the </w:t>
      </w:r>
      <w:r>
        <w:rPr>
          <w:rFonts w:ascii="Arial" w:cs="Arial" w:eastAsia="Arial" w:hAnsi="Arial"/>
          <w:sz w:val="18"/>
          <w:szCs w:val="18"/>
          <w:b w:val="1"/>
          <w:bCs w:val="1"/>
          <w:i w:val="1"/>
          <w:iCs w:val="1"/>
          <w:color w:val="auto"/>
        </w:rPr>
        <w:t>“Accrued Amounts”</w:t>
      </w:r>
      <w:r>
        <w:rPr>
          <w:rFonts w:ascii="Arial" w:cs="Arial" w:eastAsia="Arial" w:hAnsi="Arial"/>
          <w:sz w:val="18"/>
          <w:szCs w:val="18"/>
          <w:color w:val="auto"/>
        </w:rPr>
        <w:t>) the Company shall provide Executive with the following:</w:t>
      </w:r>
    </w:p>
    <w:p>
      <w:pPr>
        <w:spacing w:after="0" w:line="141" w:lineRule="exact"/>
        <w:rPr>
          <w:sz w:val="20"/>
          <w:szCs w:val="20"/>
          <w:color w:val="auto"/>
        </w:rPr>
      </w:pPr>
    </w:p>
    <w:p>
      <w:pPr>
        <w:ind w:right="20" w:firstLine="656"/>
        <w:spacing w:after="0" w:line="263" w:lineRule="auto"/>
        <w:tabs>
          <w:tab w:leader="none" w:pos="129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Executive shall be entitled to receive an amount equal to six (6) months of his or her base salary, payable in cash in the form of salary continuation, commencing on the first normally-scheduled Company payroll date that is at least 75 days following the Termination Date (with any such amounts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49" w:name="page50"/>
    <w:bookmarkEnd w:id="49"/>
    <w:p>
      <w:pPr>
        <w:ind w:right="400"/>
        <w:spacing w:after="0" w:line="277" w:lineRule="auto"/>
        <w:rPr>
          <w:sz w:val="20"/>
          <w:szCs w:val="20"/>
          <w:color w:val="auto"/>
        </w:rPr>
      </w:pPr>
      <w:r>
        <w:rPr>
          <w:rFonts w:ascii="Arial" w:cs="Arial" w:eastAsia="Arial" w:hAnsi="Arial"/>
          <w:sz w:val="18"/>
          <w:szCs w:val="18"/>
          <w:color w:val="auto"/>
        </w:rPr>
        <w:t>normally would have been payable during the period between the Termination Date and such first payment being included in such first payment), less authorized deductions and applicable withholding taxes.</w:t>
      </w:r>
    </w:p>
    <w:p>
      <w:pPr>
        <w:spacing w:after="0" w:line="116" w:lineRule="exact"/>
        <w:rPr>
          <w:sz w:val="20"/>
          <w:szCs w:val="20"/>
          <w:color w:val="auto"/>
        </w:rPr>
      </w:pPr>
    </w:p>
    <w:p>
      <w:pPr>
        <w:ind w:right="200" w:firstLine="656"/>
        <w:spacing w:after="0" w:line="296" w:lineRule="auto"/>
        <w:tabs>
          <w:tab w:leader="none" w:pos="129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Each outstanding and unvested stock option and restricted stock unit award, held by Executive that vests solely based upon Executive’s continued employment, shall automatically become vested and, if applicable, exercisable and any forfeiture restrictions or rights of repurchase thereon shall immediately lapse, as of immediately prior to the Termination Date with respect to that number of shares of Company Common Stock that would have next vested had Executive continued employment with the Company through that next vesting date. All such equity awards or the proceeds therefrom shall be held by the Company until such time as the Executive has timely satisfied the Release Requirements.</w:t>
      </w:r>
    </w:p>
    <w:p>
      <w:pPr>
        <w:spacing w:after="0" w:line="107" w:lineRule="exact"/>
        <w:rPr>
          <w:rFonts w:ascii="Arial" w:cs="Arial" w:eastAsia="Arial" w:hAnsi="Arial"/>
          <w:sz w:val="16"/>
          <w:szCs w:val="16"/>
          <w:color w:val="auto"/>
        </w:rPr>
      </w:pPr>
    </w:p>
    <w:p>
      <w:pPr>
        <w:ind w:right="100" w:firstLine="656"/>
        <w:spacing w:after="0" w:line="270" w:lineRule="auto"/>
        <w:tabs>
          <w:tab w:leader="none" w:pos="129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Continued Healthcare</w:t>
      </w:r>
      <w:r>
        <w:rPr>
          <w:rFonts w:ascii="Arial" w:cs="Arial" w:eastAsia="Arial" w:hAnsi="Arial"/>
          <w:sz w:val="17"/>
          <w:szCs w:val="17"/>
          <w:color w:val="auto"/>
        </w:rPr>
        <w:t>. If Executive elects to receive continued healthcare coverage pursuant to the provisions of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the Company shall directly pay the premium for Executive and Executive’s covered dependents, if any, through the earliest of (i) the nine (9)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pacing w:after="0" w:line="126"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Pro Rata Bonus</w:t>
      </w:r>
      <w:r>
        <w:rPr>
          <w:rFonts w:ascii="Arial" w:cs="Arial" w:eastAsia="Arial" w:hAnsi="Arial"/>
          <w:sz w:val="17"/>
          <w:szCs w:val="17"/>
          <w:color w:val="auto"/>
        </w:rPr>
        <w:t>. Executive shall receive a pro rata bonus for the fiscal year of termination based on achievement of the applicable</w:t>
      </w:r>
    </w:p>
    <w:p>
      <w:pPr>
        <w:spacing w:after="0" w:line="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performance goals for the fiscal year of termination based on the number of days in the fiscal year during which Executive was employed as compared to 365, which shall be based on actual achievement of corporate performance goals and criteria as determined by the Board, shall be based on assumed full achievement of any individual performance goal and criteria, and shall be paid to Executive at the time such bonuses normally are paid, but not later than the March 15 of the calendar year following the Covered Termination. Any such pro rata bonus shall be paid in a single cash lump sum, less authorized deductions and applicable withholding taxes.</w:t>
      </w:r>
    </w:p>
    <w:p>
      <w:pPr>
        <w:spacing w:after="0" w:line="130" w:lineRule="exact"/>
        <w:rPr>
          <w:sz w:val="20"/>
          <w:szCs w:val="20"/>
          <w:color w:val="auto"/>
        </w:rPr>
      </w:pPr>
    </w:p>
    <w:p>
      <w:pPr>
        <w:ind w:left="980" w:hanging="648"/>
        <w:spacing w:after="0"/>
        <w:tabs>
          <w:tab w:leader="none" w:pos="9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Termination During a Change in Control Period.</w:t>
      </w:r>
    </w:p>
    <w:p>
      <w:pPr>
        <w:spacing w:after="0" w:line="175"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If Executive experiences a Covered Termination during a Change in Control Period, and if Executive satisfies the Release Requirements, then in addition to any Accrued Amounts, but in lieu of any amounts the Executive otherwise could have received under Section 3 of this Agreement, the Company shall provide Executive with the following:</w:t>
      </w:r>
    </w:p>
    <w:p>
      <w:pPr>
        <w:spacing w:after="0" w:line="130" w:lineRule="exact"/>
        <w:rPr>
          <w:sz w:val="20"/>
          <w:szCs w:val="20"/>
          <w:color w:val="auto"/>
        </w:rPr>
      </w:pPr>
    </w:p>
    <w:p>
      <w:pPr>
        <w:ind w:right="40" w:firstLine="656"/>
        <w:spacing w:after="0" w:line="293" w:lineRule="auto"/>
        <w:tabs>
          <w:tab w:leader="none" w:pos="129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Executive shall be entitled to receive an amount equal to the sum of eighteen (18) months of Executive’s base salary, plus an amount equal to 12 months of the Executive’s annual target bonus opportunity, in each case, at the rate in effect immediately prior to the Termination Date. The base salary component shall be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 The target annual bonus component shall be payable in cash in a lump sum within 10 days of the date the Executive timely satisfied the Release Requirements.</w:t>
      </w:r>
    </w:p>
    <w:p>
      <w:pPr>
        <w:spacing w:after="0" w:line="110" w:lineRule="exact"/>
        <w:rPr>
          <w:rFonts w:ascii="Arial" w:cs="Arial" w:eastAsia="Arial" w:hAnsi="Arial"/>
          <w:sz w:val="16"/>
          <w:szCs w:val="16"/>
          <w:color w:val="auto"/>
        </w:rPr>
      </w:pPr>
    </w:p>
    <w:p>
      <w:pPr>
        <w:ind w:firstLine="656"/>
        <w:spacing w:after="0" w:line="296" w:lineRule="auto"/>
        <w:tabs>
          <w:tab w:leader="none" w:pos="129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Each outstanding and unvested stock option and restricted stock unit award, held by Executive, shall automatically become vested and, if applicable, exercisable and any forfeiture restrictions or rights of repurchase thereon shall immediately lapse, as of immediately prior to the Termination Date with respect to one hundred percent (100%) of the unvested shares underlying Executive’s equity awards. In all other respects Executive’s equity awards shall continue to be bound by and subject to the terms of their respective agreements and equity plans. All such equity awards or the proceeds therefrom shall be held by the Company until such time as the Executive timely satisfied the Release Requirements, if at all.</w:t>
      </w:r>
    </w:p>
    <w:p>
      <w:pPr>
        <w:spacing w:after="0" w:line="107" w:lineRule="exact"/>
        <w:rPr>
          <w:rFonts w:ascii="Arial" w:cs="Arial" w:eastAsia="Arial" w:hAnsi="Arial"/>
          <w:sz w:val="16"/>
          <w:szCs w:val="16"/>
          <w:color w:val="auto"/>
        </w:rPr>
      </w:pPr>
    </w:p>
    <w:p>
      <w:pPr>
        <w:ind w:right="100" w:firstLine="656"/>
        <w:spacing w:after="0" w:line="277" w:lineRule="auto"/>
        <w:tabs>
          <w:tab w:leader="none" w:pos="129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Continued Healthcare</w:t>
      </w:r>
      <w:r>
        <w:rPr>
          <w:rFonts w:ascii="Arial" w:cs="Arial" w:eastAsia="Arial" w:hAnsi="Arial"/>
          <w:sz w:val="18"/>
          <w:szCs w:val="18"/>
          <w:color w:val="auto"/>
        </w:rPr>
        <w:t>. If Executive elects to receive continued healthcare coverage pursuant to the provisions of COBRA, the Company shall directly pay the premium for Executive and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21" w:right="379" w:bottom="1440" w:gutter="0" w:footer="0" w:header="0"/>
        </w:sectPr>
      </w:pPr>
    </w:p>
    <w:bookmarkStart w:id="50" w:name="page51"/>
    <w:bookmarkEnd w:id="50"/>
    <w:p>
      <w:pPr>
        <w:ind w:right="140"/>
        <w:spacing w:after="0" w:line="272" w:lineRule="auto"/>
        <w:rPr>
          <w:sz w:val="20"/>
          <w:szCs w:val="20"/>
          <w:color w:val="auto"/>
        </w:rPr>
      </w:pPr>
      <w:r>
        <w:rPr>
          <w:rFonts w:ascii="Arial" w:cs="Arial" w:eastAsia="Arial" w:hAnsi="Arial"/>
          <w:sz w:val="17"/>
          <w:szCs w:val="17"/>
          <w:color w:val="auto"/>
        </w:rPr>
        <w:t>covered dependents, if any, through the earliest of (i) the eighteen (18)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pacing w:after="0" w:line="119"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Contemplation.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the event Executive is terminated in Contemplation of a Change in Control, Executive initially shall receive the amounts under Section 3 hereof,</w:t>
      </w:r>
    </w:p>
    <w:p>
      <w:pPr>
        <w:spacing w:after="0" w:line="6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provided that, if the Change of Control actually occurs, that Change in Control satisfies the requirements of Treasury Regulation 1.409A-3(i)(5), and the Executive timely satisfied the Release Requirements, then (1) the reference to “six (6) months” in Section 3(a) shall be extended to eighteen (18) months,</w:t>
      </w:r>
    </w:p>
    <w:p>
      <w:pPr>
        <w:ind w:right="8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 shall receive the target annual bonus amount described in Section 4(a), less any amount paid or payable under Section 3(d), within 10 days of the Change in Control, (3) Section 4(b) shall apply to any outstanding and unvested stock option and restricted stock unit award held by Executive, and (4) the reference to “nine (9) months” in Section 3(c) shall be extended to eighteen months.</w:t>
      </w:r>
    </w:p>
    <w:p>
      <w:pPr>
        <w:spacing w:after="0" w:line="131" w:lineRule="exact"/>
        <w:rPr>
          <w:rFonts w:ascii="Arial" w:cs="Arial" w:eastAsia="Arial" w:hAnsi="Arial"/>
          <w:sz w:val="18"/>
          <w:szCs w:val="18"/>
          <w:color w:val="auto"/>
        </w:rPr>
      </w:pPr>
    </w:p>
    <w:p>
      <w:pPr>
        <w:ind w:left="980" w:hanging="648"/>
        <w:spacing w:after="0"/>
        <w:tabs>
          <w:tab w:leader="none" w:pos="9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Terminations.</w:t>
      </w:r>
    </w:p>
    <w:p>
      <w:pPr>
        <w:spacing w:after="0" w:line="17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If Executive’s service with the Company is terminated by the Company or by Executive for any or no reason other than a Covered Termination, then Executive shall only be entitled to Accrued Amounts.</w:t>
      </w:r>
    </w:p>
    <w:p>
      <w:pPr>
        <w:spacing w:after="0" w:line="112" w:lineRule="exact"/>
        <w:rPr>
          <w:sz w:val="20"/>
          <w:szCs w:val="20"/>
          <w:color w:val="auto"/>
        </w:rPr>
      </w:pPr>
    </w:p>
    <w:p>
      <w:pPr>
        <w:ind w:left="980" w:hanging="648"/>
        <w:spacing w:after="0"/>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Deemed Resignation.</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126" w:lineRule="exact"/>
        <w:rPr>
          <w:sz w:val="20"/>
          <w:szCs w:val="20"/>
          <w:color w:val="auto"/>
        </w:rPr>
      </w:pPr>
    </w:p>
    <w:p>
      <w:pPr>
        <w:ind w:left="980" w:hanging="648"/>
        <w:spacing w:after="0"/>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Payments.</w:t>
      </w:r>
    </w:p>
    <w:p>
      <w:pPr>
        <w:spacing w:after="0" w:line="175" w:lineRule="exact"/>
        <w:rPr>
          <w:sz w:val="20"/>
          <w:szCs w:val="20"/>
          <w:color w:val="auto"/>
        </w:rPr>
      </w:pPr>
    </w:p>
    <w:p>
      <w:pPr>
        <w:ind w:firstLine="324"/>
        <w:spacing w:after="0" w:line="299" w:lineRule="auto"/>
        <w:rPr>
          <w:sz w:val="20"/>
          <w:szCs w:val="20"/>
          <w:color w:val="auto"/>
        </w:rPr>
      </w:pPr>
      <w:r>
        <w:rPr>
          <w:rFonts w:ascii="Arial" w:cs="Arial" w:eastAsia="Arial" w:hAnsi="Arial"/>
          <w:sz w:val="16"/>
          <w:szCs w:val="16"/>
          <w:color w:val="auto"/>
        </w:rPr>
        <w:t>Notwithstanding anything in this Agreement to the contrary, if any payment or distribution Executive would receive pursuant to this Agreement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would (a) constitute a “parachute payment”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and (b)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either be (i) delivered in full or (ii) delivered as to such lesser extent which would result in no portion of such Payment being subject to the Excise Tax, whichever of the foregoing amounts, taking into account the applicable federal, state and local income and payroll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or, in the event such accounting firm is precluded from performing calculations hereunder, such other accounting firm of national reputation as may be determined by the Company, and reasonably acceptable to Executive,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 (1) reduction of cash payments; (2) cancellation of accelerated vesting of equity awards other than stock options (with the later vesting reduced first) (3) cancellation of accelerated vesting of stock options (with the later vesting reduced first) and (4) reduction of other benefits payable to Executive or any such other order determined by the Company that will not result in adverse tax consequences under Section 409A of the Code.</w:t>
      </w:r>
    </w:p>
    <w:p>
      <w:pPr>
        <w:spacing w:after="0" w:line="116" w:lineRule="exact"/>
        <w:rPr>
          <w:sz w:val="20"/>
          <w:szCs w:val="20"/>
          <w:color w:val="auto"/>
        </w:rPr>
      </w:pPr>
    </w:p>
    <w:p>
      <w:pPr>
        <w:ind w:left="980" w:hanging="648"/>
        <w:spacing w:after="0"/>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color w:val="auto"/>
        </w:rPr>
        <w:t>The following terms referred to in this Agreement shall have the following meanings:</w:t>
      </w:r>
    </w:p>
    <w:p>
      <w:pPr>
        <w:spacing w:after="0" w:line="171"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(i) any act of material misconduct or material dishonesty by Executive in the performance of his or her duties; (ii) any</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willful failure, gross neglect or refusal by Executive to attempt in good faith to perform his or her duties to the Company or to follow the lawful instructions of the Board (except as a result of physical or mental incapacity or illness) which is not promptly cured after written notice; (iii) Executive’s commission of any fraud or embezzlement against the Company (whether or not a misdemeanor); (iv) any material breach of any written agreement with the Company, which breach has not been cured by Executive (if curable) within thirty (30) days after written notice thereof to Executive by the Company;</w:t>
      </w:r>
    </w:p>
    <w:p>
      <w:pPr>
        <w:spacing w:after="0" w:line="1" w:lineRule="exact"/>
        <w:rPr>
          <w:sz w:val="20"/>
          <w:szCs w:val="20"/>
          <w:color w:val="auto"/>
        </w:rPr>
      </w:pPr>
    </w:p>
    <w:p>
      <w:pPr>
        <w:ind w:right="380" w:firstLine="8"/>
        <w:spacing w:after="0" w:line="295"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Executive’s being convicted of (or pleading guilty or nolo contendere to) any felony or misdemeanor involving theft, embezzlement, dishonesty or moral turpitude; and/or (vi) Executive’s failure to materially comply with the material policies of the Company in effect from time to time relating to conflicts of interest, ethics, codes of conduct, insider trading, or discrimination and harassment, or other breach of Executive’s fiduciary duties to the Company, which failure or breach is or could reasonably be expected to be materially injurious to the business or reputation of the Company.</w:t>
      </w:r>
    </w:p>
    <w:p>
      <w:pPr>
        <w:spacing w:after="0" w:line="107" w:lineRule="exact"/>
        <w:rPr>
          <w:rFonts w:ascii="Arial" w:cs="Arial" w:eastAsia="Arial" w:hAnsi="Arial"/>
          <w:sz w:val="16"/>
          <w:szCs w:val="16"/>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either:</w:t>
      </w:r>
    </w:p>
    <w:p>
      <w:pPr>
        <w:spacing w:after="0" w:line="171" w:lineRule="exact"/>
        <w:rPr>
          <w:rFonts w:ascii="Arial" w:cs="Arial" w:eastAsia="Arial" w:hAnsi="Arial"/>
          <w:sz w:val="18"/>
          <w:szCs w:val="18"/>
          <w:color w:val="auto"/>
        </w:rPr>
      </w:pPr>
    </w:p>
    <w:p>
      <w:pPr>
        <w:ind w:right="80" w:firstLine="810"/>
        <w:spacing w:after="0" w:line="289" w:lineRule="auto"/>
        <w:tabs>
          <w:tab w:leader="none" w:pos="1296" w:val="left"/>
        </w:tabs>
        <w:numPr>
          <w:ilvl w:val="2"/>
          <w:numId w:val="31"/>
        </w:numPr>
        <w:rPr>
          <w:rFonts w:ascii="Arial" w:cs="Arial" w:eastAsia="Arial" w:hAnsi="Arial"/>
          <w:sz w:val="16"/>
          <w:szCs w:val="16"/>
          <w:color w:val="auto"/>
        </w:rPr>
      </w:pPr>
      <w:r>
        <w:rPr>
          <w:rFonts w:ascii="Arial" w:cs="Arial" w:eastAsia="Arial" w:hAnsi="Arial"/>
          <w:sz w:val="16"/>
          <w:szCs w:val="16"/>
          <w:color w:val="auto"/>
        </w:rPr>
        <w:t xml:space="preserve">any “person” (as such term is defined in Section 3(a)(9)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as used in Sections 13(d)(3) and 14(d)(2) of the Exchange Act) is or becomes, after the Effective Date, a “beneficial owner” (as defined in Rule 13d-3 under the Exchange Act), directly or indirectly, of securities of the Company representing more than fifty percent (50%) of the combined voting power of the Company’s then outstanding securities eligible to vote for the election of the Board (the </w:t>
      </w:r>
      <w:r>
        <w:rPr>
          <w:rFonts w:ascii="Arial" w:cs="Arial" w:eastAsia="Arial" w:hAnsi="Arial"/>
          <w:sz w:val="16"/>
          <w:szCs w:val="16"/>
          <w:b w:val="1"/>
          <w:bCs w:val="1"/>
          <w:i w:val="1"/>
          <w:iCs w:val="1"/>
          <w:color w:val="auto"/>
        </w:rPr>
        <w:t>“Company Voting Securities”</w:t>
      </w:r>
      <w:r>
        <w:rPr>
          <w:rFonts w:ascii="Arial" w:cs="Arial" w:eastAsia="Arial" w:hAnsi="Arial"/>
          <w:sz w:val="16"/>
          <w:szCs w:val="16"/>
          <w:color w:val="auto"/>
        </w:rPr>
        <w:t>) or of substantially all of the Company’s assets; provided, however, that an event described in this clause (i) shall not be deemed to be a Change in Control if any of following becomes such a beneficial owner: (A) the Company or any majority-owned subsidiary (provided, that this exclusion applies solely to the ownership levels of the Company or the majority-owned subsidiary), (B) any tax-qualified, broad-based employee benefit plan sponsored or maintained by the Company or any</w:t>
      </w:r>
    </w:p>
    <w:p>
      <w:pPr>
        <w:spacing w:after="0" w:line="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majority-owned subsidiary, (C) any underwriter temporarily holding securities pursuant to an offering of such securities, or (D) any person pursuant to a Non-Qualifying Transaction (as defined in clause (ii)); or</w:t>
      </w:r>
    </w:p>
    <w:p>
      <w:pPr>
        <w:spacing w:after="0" w:line="116" w:lineRule="exact"/>
        <w:rPr>
          <w:sz w:val="20"/>
          <w:szCs w:val="20"/>
          <w:color w:val="auto"/>
        </w:rPr>
      </w:pPr>
    </w:p>
    <w:p>
      <w:pPr>
        <w:ind w:firstLine="760"/>
        <w:spacing w:after="0" w:line="285" w:lineRule="auto"/>
        <w:tabs>
          <w:tab w:leader="none" w:pos="134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xml:space="preserve">), unless immediately following such Business Combination: (A) more than fifty percent (50%) of the total voting power of (x) the corporation resulting from such Business Combination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 xml:space="preserve">), or (y) if applicable, the ultimate parent corporation that directly or indirectly has beneficial ownership of one hundred (100%) of the voting securities eligible to elect directors of the Surviving Corporation (the </w:t>
      </w:r>
      <w:r>
        <w:rPr>
          <w:rFonts w:ascii="Arial" w:cs="Arial" w:eastAsia="Arial" w:hAnsi="Arial"/>
          <w:sz w:val="16"/>
          <w:szCs w:val="16"/>
          <w:b w:val="1"/>
          <w:bCs w:val="1"/>
          <w:i w:val="1"/>
          <w:iCs w:val="1"/>
          <w:color w:val="auto"/>
        </w:rPr>
        <w:t>“Parent Corporation”</w:t>
      </w:r>
      <w:r>
        <w:rPr>
          <w:rFonts w:ascii="Arial" w:cs="Arial" w:eastAsia="Arial" w:hAnsi="Arial"/>
          <w:sz w:val="16"/>
          <w:szCs w:val="16"/>
          <w:color w:val="auto"/>
        </w:rPr>
        <w:t>),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more than fifty percent (50%)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members of the Board as of the date hereof or at the time of the</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Board’s approval of the execution of the initial agreement providing for such Business Combination (any Business Combination which satisfies all of the criteria specified in (A), (B) and (C) above shall be deemed to be a </w:t>
      </w:r>
      <w:r>
        <w:rPr>
          <w:rFonts w:ascii="Arial" w:cs="Arial" w:eastAsia="Arial" w:hAnsi="Arial"/>
          <w:sz w:val="18"/>
          <w:szCs w:val="18"/>
          <w:b w:val="1"/>
          <w:bCs w:val="1"/>
          <w:i w:val="1"/>
          <w:iCs w:val="1"/>
          <w:color w:val="auto"/>
        </w:rPr>
        <w:t>“Non-Qualifying Transaction”</w:t>
      </w:r>
      <w:r>
        <w:rPr>
          <w:rFonts w:ascii="Arial" w:cs="Arial" w:eastAsia="Arial" w:hAnsi="Arial"/>
          <w:sz w:val="18"/>
          <w:szCs w:val="18"/>
          <w:color w:val="auto"/>
        </w:rPr>
        <w:t>).</w:t>
      </w:r>
    </w:p>
    <w:p>
      <w:pPr>
        <w:spacing w:after="0" w:line="116" w:lineRule="exact"/>
        <w:rPr>
          <w:sz w:val="20"/>
          <w:szCs w:val="20"/>
          <w:color w:val="auto"/>
        </w:rPr>
      </w:pPr>
    </w:p>
    <w:p>
      <w:pPr>
        <w:ind w:right="800" w:firstLine="656"/>
        <w:spacing w:after="0" w:line="277" w:lineRule="auto"/>
        <w:tabs>
          <w:tab w:leader="none" w:pos="1293"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Period” </w:t>
      </w:r>
      <w:r>
        <w:rPr>
          <w:rFonts w:ascii="Arial" w:cs="Arial" w:eastAsia="Arial" w:hAnsi="Arial"/>
          <w:sz w:val="18"/>
          <w:szCs w:val="18"/>
          <w:color w:val="auto"/>
        </w:rPr>
        <w:t>means the period commencing 30 days prior to a Change in Control and ending on the 12-month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anniversary of such Change in Control.</w:t>
      </w:r>
    </w:p>
    <w:p>
      <w:pPr>
        <w:spacing w:after="0" w:line="116" w:lineRule="exact"/>
        <w:rPr>
          <w:rFonts w:ascii="Arial" w:cs="Arial" w:eastAsia="Arial" w:hAnsi="Arial"/>
          <w:sz w:val="18"/>
          <w:szCs w:val="18"/>
          <w:color w:val="auto"/>
        </w:rPr>
      </w:pPr>
    </w:p>
    <w:p>
      <w:pPr>
        <w:ind w:right="260" w:firstLine="656"/>
        <w:spacing w:after="0" w:line="277" w:lineRule="auto"/>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“Contemplation of a Change in Control” </w:t>
      </w:r>
      <w:r>
        <w:rPr>
          <w:rFonts w:ascii="Arial" w:cs="Arial" w:eastAsia="Arial" w:hAnsi="Arial"/>
          <w:sz w:val="18"/>
          <w:szCs w:val="18"/>
          <w:color w:val="auto"/>
        </w:rPr>
        <w:t>means a Covered Termination that occurs as a result of an action directed or requested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that directly or indirectly undertakes a transaction that constitutes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421" w:right="379" w:bottom="1440" w:gutter="0" w:footer="0" w:header="0"/>
        </w:sectPr>
      </w:pPr>
    </w:p>
    <w:bookmarkStart w:id="52" w:name="page53"/>
    <w:bookmarkEnd w:id="52"/>
    <w:p>
      <w:pPr>
        <w:ind w:right="100" w:firstLine="656"/>
        <w:spacing w:after="0" w:line="263" w:lineRule="auto"/>
        <w:tabs>
          <w:tab w:leader="none" w:pos="1293"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Termination” </w:t>
      </w:r>
      <w:r>
        <w:rPr>
          <w:rFonts w:ascii="Arial" w:cs="Arial" w:eastAsia="Arial" w:hAnsi="Arial"/>
          <w:sz w:val="18"/>
          <w:szCs w:val="18"/>
          <w:color w:val="auto"/>
        </w:rPr>
        <w:t>means Executive’s resignation for Good Reason or the termination of Executive’s employment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a Disability Termination or a termination for Cause that, in each case and to the extent necessary, constitutes a Separation from Service (as defined below).</w:t>
      </w:r>
    </w:p>
    <w:p>
      <w:pPr>
        <w:spacing w:after="0" w:line="129" w:lineRule="exact"/>
        <w:rPr>
          <w:rFonts w:ascii="Arial" w:cs="Arial" w:eastAsia="Arial" w:hAnsi="Arial"/>
          <w:sz w:val="18"/>
          <w:szCs w:val="18"/>
          <w:color w:val="auto"/>
        </w:rPr>
      </w:pPr>
    </w:p>
    <w:p>
      <w:pPr>
        <w:ind w:right="140" w:firstLine="656"/>
        <w:spacing w:after="0" w:line="277" w:lineRule="auto"/>
        <w:tabs>
          <w:tab w:leader="none" w:pos="1287"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Termination” </w:t>
      </w:r>
      <w:r>
        <w:rPr>
          <w:rFonts w:ascii="Arial" w:cs="Arial" w:eastAsia="Arial" w:hAnsi="Arial"/>
          <w:sz w:val="18"/>
          <w:szCs w:val="18"/>
          <w:color w:val="auto"/>
        </w:rPr>
        <w:t>means a termination of employment by the Company of the Executive after the Executive has been unable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in any 365 day period to perform his or her material duties because of physical or mental incapacity or illness.</w:t>
      </w:r>
    </w:p>
    <w:p>
      <w:pPr>
        <w:spacing w:after="0" w:line="116" w:lineRule="exact"/>
        <w:rPr>
          <w:rFonts w:ascii="Arial" w:cs="Arial" w:eastAsia="Arial" w:hAnsi="Arial"/>
          <w:sz w:val="18"/>
          <w:szCs w:val="18"/>
          <w:color w:val="auto"/>
        </w:rPr>
      </w:pPr>
    </w:p>
    <w:p>
      <w:pPr>
        <w:ind w:right="120" w:firstLine="656"/>
        <w:spacing w:after="0" w:line="291" w:lineRule="auto"/>
        <w:tabs>
          <w:tab w:leader="none" w:pos="1290" w:val="left"/>
        </w:tabs>
        <w:numPr>
          <w:ilvl w:val="1"/>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the occurrence, without Executive’s written consent, of any of the following: (i) a material diminution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base compensation, (ii) a material diminution in Executive’s job responsibilities, duties or authorities, or (iii) a material change of at least fifty</w:t>
      </w:r>
    </w:p>
    <w:p>
      <w:pPr>
        <w:ind w:right="20" w:firstLine="8"/>
        <w:spacing w:after="0" w:line="253"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miles in the geographic location at which Executive must regularly perform Executive’s service. Notwithstanding the foregoing, Executive shall not be deemed to have “Good Reason” unless: (x) the condition giving rise to such resignation continues more than thirty (30) days following Executive’s providing to the Company a written notice of detailing such condition, (y) such written notice is provided to the Company within ninety (90) days of the initial occurrence of such condition and (z) Executive’s resignation is effective within thirty (30) days following the expiration of the Company cure period pursuant to subclause (x).</w:t>
      </w:r>
    </w:p>
    <w:p>
      <w:pPr>
        <w:spacing w:after="0" w:line="136"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Date” </w:t>
      </w:r>
      <w:r>
        <w:rPr>
          <w:rFonts w:ascii="Arial" w:cs="Arial" w:eastAsia="Arial" w:hAnsi="Arial"/>
          <w:sz w:val="18"/>
          <w:szCs w:val="18"/>
          <w:color w:val="auto"/>
        </w:rPr>
        <w:t>means the date Executive experiences a Covered Termination.</w:t>
      </w:r>
    </w:p>
    <w:p>
      <w:pPr>
        <w:spacing w:after="0" w:line="167" w:lineRule="exact"/>
        <w:rPr>
          <w:sz w:val="20"/>
          <w:szCs w:val="20"/>
          <w:color w:val="auto"/>
        </w:rPr>
      </w:pPr>
    </w:p>
    <w:p>
      <w:pPr>
        <w:ind w:left="980" w:hanging="648"/>
        <w:spacing w:after="0"/>
        <w:tabs>
          <w:tab w:leader="none" w:pos="9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Successors.</w:t>
      </w:r>
    </w:p>
    <w:p>
      <w:pPr>
        <w:spacing w:after="0" w:line="175" w:lineRule="exact"/>
        <w:rPr>
          <w:sz w:val="20"/>
          <w:szCs w:val="20"/>
          <w:color w:val="auto"/>
        </w:rPr>
      </w:pPr>
    </w:p>
    <w:p>
      <w:pPr>
        <w:ind w:right="80" w:firstLine="324"/>
        <w:spacing w:after="0" w:line="319" w:lineRule="auto"/>
        <w:rPr>
          <w:sz w:val="20"/>
          <w:szCs w:val="20"/>
          <w:color w:val="auto"/>
        </w:rPr>
      </w:pPr>
      <w:r>
        <w:rPr>
          <w:rFonts w:ascii="Arial" w:cs="Arial" w:eastAsia="Arial" w:hAnsi="Arial"/>
          <w:sz w:val="15"/>
          <w:szCs w:val="15"/>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permitted assigns, personnel and legal representatives, executors, administrators, heirs, distributees, devisees, and legatees, as applicable. None</w:t>
      </w:r>
    </w:p>
    <w:p>
      <w:pPr>
        <w:spacing w:after="0" w:line="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of Executive’s rights or obligations may be assigned or transferred by Executive, other than Executive’s rights to payments hereunder, which may be transferred only by will or operation of law.</w:t>
      </w:r>
    </w:p>
    <w:p>
      <w:pPr>
        <w:spacing w:after="0" w:line="112" w:lineRule="exact"/>
        <w:rPr>
          <w:sz w:val="20"/>
          <w:szCs w:val="20"/>
          <w:color w:val="auto"/>
        </w:rPr>
      </w:pPr>
    </w:p>
    <w:p>
      <w:pPr>
        <w:ind w:left="960" w:hanging="628"/>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certified or registered mail, postage prepaid (or if it is sent through any other method agreed upon by the parties), as follows:</w:t>
      </w:r>
    </w:p>
    <w:p>
      <w:pPr>
        <w:spacing w:after="0" w:line="130" w:lineRule="exact"/>
        <w:rPr>
          <w:sz w:val="20"/>
          <w:szCs w:val="20"/>
          <w:color w:val="auto"/>
        </w:rPr>
      </w:pPr>
    </w:p>
    <w:p>
      <w:pPr>
        <w:ind w:left="1300" w:hanging="49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Inseego Corp.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Board of Directors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9710 Scranton Road,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238" w:lineRule="exact"/>
        <w:rPr>
          <w:sz w:val="20"/>
          <w:szCs w:val="20"/>
          <w:color w:val="auto"/>
        </w:rPr>
      </w:pPr>
    </w:p>
    <w:p>
      <w:pPr>
        <w:ind w:left="1300" w:hanging="540"/>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to Executive, at the address set forth in Executive’s personnel file with the Company; or</w:t>
      </w:r>
    </w:p>
    <w:p>
      <w:pPr>
        <w:spacing w:after="0" w:line="171" w:lineRule="exact"/>
        <w:rPr>
          <w:rFonts w:ascii="Arial" w:cs="Arial" w:eastAsia="Arial" w:hAnsi="Arial"/>
          <w:sz w:val="18"/>
          <w:szCs w:val="18"/>
          <w:color w:val="auto"/>
        </w:rPr>
      </w:pPr>
    </w:p>
    <w:p>
      <w:pPr>
        <w:ind w:left="1300" w:hanging="590"/>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at any other address as any party shall have specified by notice in writing to the other party.</w:t>
      </w:r>
    </w:p>
    <w:p>
      <w:pPr>
        <w:spacing w:after="0" w:line="167" w:lineRule="exact"/>
        <w:rPr>
          <w:rFonts w:ascii="Arial" w:cs="Arial" w:eastAsia="Arial" w:hAnsi="Arial"/>
          <w:sz w:val="18"/>
          <w:szCs w:val="18"/>
          <w:color w:val="auto"/>
        </w:rPr>
      </w:pPr>
    </w:p>
    <w:p>
      <w:pPr>
        <w:ind w:left="980" w:hanging="648"/>
        <w:spacing w:after="0"/>
        <w:tabs>
          <w:tab w:leader="none" w:pos="9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175"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Executive agrees that he or she shall not disparage, criticize or defame the Company, its affiliates and their respective affiliates, directors, officers, agents, partners, shareholders or employees, either publicly or privately, except in the reasonable good faith performance of his duties to the Company. Nothing in this Section 12 shall have application to any evidence, testimony or disclosure required by any court, arbitrator or government agency.</w:t>
      </w:r>
    </w:p>
    <w:p>
      <w:pPr>
        <w:spacing w:after="0" w:line="91" w:lineRule="exact"/>
        <w:rPr>
          <w:sz w:val="20"/>
          <w:szCs w:val="20"/>
          <w:color w:val="auto"/>
        </w:rPr>
      </w:pPr>
    </w:p>
    <w:p>
      <w:pPr>
        <w:ind w:left="980" w:hanging="648"/>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p>
    <w:p>
      <w:pPr>
        <w:spacing w:after="0" w:line="175"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The parties agree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in accordance with the rules of the American Arbitration</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21" w:right="339" w:bottom="1440" w:gutter="0" w:footer="0" w:header="0"/>
          <w:type w:val="continuous"/>
        </w:sectPr>
      </w:pPr>
    </w:p>
    <w:bookmarkStart w:id="53" w:name="page54"/>
    <w:bookmarkEnd w:id="53"/>
    <w:p>
      <w:pPr>
        <w:ind w:right="60"/>
        <w:spacing w:after="0" w:line="291" w:lineRule="auto"/>
        <w:rPr>
          <w:sz w:val="20"/>
          <w:szCs w:val="20"/>
          <w:color w:val="auto"/>
        </w:rPr>
      </w:pPr>
      <w:r>
        <w:rPr>
          <w:rFonts w:ascii="Arial" w:cs="Arial" w:eastAsia="Arial" w:hAnsi="Arial"/>
          <w:sz w:val="16"/>
          <w:szCs w:val="16"/>
          <w:color w:val="auto"/>
        </w:rPr>
        <w:t xml:space="preserve">Association in San Diego, California. </w:t>
      </w:r>
      <w:r>
        <w:rPr>
          <w:rFonts w:ascii="Arial" w:cs="Arial" w:eastAsia="Arial" w:hAnsi="Arial"/>
          <w:sz w:val="16"/>
          <w:szCs w:val="16"/>
          <w:b w:val="1"/>
          <w:bCs w:val="1"/>
          <w:color w:val="auto"/>
        </w:rPr>
        <w:t>This means that disputes will be decided by an arbitrator rather than a court or jury, and that both 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and the Company waive their respective rights to a court or jury trial, except to enforce the decision of the arbitrator. </w:t>
      </w:r>
      <w:r>
        <w:rPr>
          <w:rFonts w:ascii="Arial" w:cs="Arial" w:eastAsia="Arial" w:hAnsi="Arial"/>
          <w:sz w:val="16"/>
          <w:szCs w:val="16"/>
          <w:color w:val="auto"/>
        </w:rPr>
        <w:t>The parties understand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arbitrator’s decision will be final and exclusive, and cannot be appealed. Nothing in this Agreement is intended to prevent either Executive or the Company from obtaining injunctive relief in court to prevent irreparable harm pending the conclusion of any such arbitration. The Company and the Executive shall share in the arbitrator’s fees and expenses equally. The arbitrator shall have the power to award the prevailing party its attorneys’ fees and costs of arbitration (including the arbitrator’s fees paid by the arbitrator) except to the extent prohibited by applicable law. Notwithstanding the foregoing,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Executive and the Company each have the right to resolve any issue or dispute over intellectual property rights by Court action instead of arbitration.</w:t>
      </w:r>
    </w:p>
    <w:p>
      <w:pPr>
        <w:spacing w:after="0" w:line="179" w:lineRule="exact"/>
        <w:rPr>
          <w:sz w:val="20"/>
          <w:szCs w:val="20"/>
          <w:color w:val="auto"/>
        </w:rPr>
      </w:pPr>
    </w:p>
    <w:p>
      <w:pPr>
        <w:ind w:left="980" w:hanging="648"/>
        <w:spacing w:after="0"/>
        <w:tabs>
          <w:tab w:leader="none" w:pos="9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p>
    <w:p>
      <w:pPr>
        <w:spacing w:after="0" w:line="17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80" w:firstLine="810"/>
        <w:spacing w:after="0" w:line="259" w:lineRule="auto"/>
        <w:tabs>
          <w:tab w:leader="none" w:pos="1296"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Notwithstanding any provision to the contrary in this Agreement, no amount deemed deferred compensation subject to Section 409A of the Code shall be payable pursuant to Sections 3, 4 or 5 above unless Executive’s termination of employment constitutes a “separation from service” with the Company within the meaning of Section 409A of the Code and the Department of Treasury regulations and other guidance promulgated thereunder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right="100" w:firstLine="760"/>
        <w:spacing w:after="0" w:line="294" w:lineRule="auto"/>
        <w:tabs>
          <w:tab w:leader="none" w:pos="1296" w:val="left"/>
        </w:tabs>
        <w:numPr>
          <w:ilvl w:val="2"/>
          <w:numId w:val="42"/>
        </w:numPr>
        <w:rPr>
          <w:rFonts w:ascii="Arial" w:cs="Arial" w:eastAsia="Arial" w:hAnsi="Arial"/>
          <w:sz w:val="16"/>
          <w:szCs w:val="16"/>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 (B)(i) of the Code, such portion of Executive’s benefits shall not be provided to Executive prior to the earlier of (A) the expiration of the six (6)-month</w:t>
      </w:r>
    </w:p>
    <w:p>
      <w:pPr>
        <w:spacing w:after="0" w:line="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111" w:lineRule="exact"/>
        <w:rPr>
          <w:sz w:val="20"/>
          <w:szCs w:val="20"/>
          <w:color w:val="auto"/>
        </w:rPr>
      </w:pPr>
    </w:p>
    <w:p>
      <w:pPr>
        <w:ind w:right="20" w:firstLine="710"/>
        <w:spacing w:after="0" w:line="257"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Expense Reimbursements</w:t>
      </w:r>
      <w:r>
        <w:rPr>
          <w:rFonts w:ascii="Arial" w:cs="Arial" w:eastAsia="Arial" w:hAnsi="Arial"/>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33" w:lineRule="exact"/>
        <w:rPr>
          <w:rFonts w:ascii="Arial" w:cs="Arial" w:eastAsia="Arial" w:hAnsi="Arial"/>
          <w:sz w:val="18"/>
          <w:szCs w:val="18"/>
          <w:color w:val="auto"/>
        </w:rPr>
      </w:pPr>
    </w:p>
    <w:p>
      <w:pPr>
        <w:ind w:left="1300" w:hanging="58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71" w:lineRule="exact"/>
        <w:rPr>
          <w:rFonts w:ascii="Arial" w:cs="Arial" w:eastAsia="Arial" w:hAnsi="Arial"/>
          <w:sz w:val="18"/>
          <w:szCs w:val="18"/>
          <w:color w:val="auto"/>
        </w:rPr>
      </w:pPr>
    </w:p>
    <w:p>
      <w:pPr>
        <w:ind w:firstLine="770"/>
        <w:spacing w:after="0" w:line="294" w:lineRule="auto"/>
        <w:tabs>
          <w:tab w:leader="none" w:pos="129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(10) business days following the Termination Date, (B) if Executive fails to execute the Release of Claims on or prior to the Release Expiration Date (as defined below) or timely revokes his or her acceptance of the Release of Claims thereafter, Executive shall not</w:t>
      </w:r>
    </w:p>
    <w:p>
      <w:pPr>
        <w:spacing w:after="0" w:line="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be entitled to any payments or benefits otherwise conditioned on the Release of Claims, and (C) in any case where the Termination Date and the Release Expiration Date fall in two separate taxable years, any payments required to be made to Executive that are conditioned on the Release of Claims and are treated as nonqualified deferred compensation for purposes of Section 409A shall be made in the later taxable year. For purposes of this Section 14(a)(v), </w:t>
      </w:r>
      <w:r>
        <w:rPr>
          <w:rFonts w:ascii="Arial" w:cs="Arial" w:eastAsia="Arial" w:hAnsi="Arial"/>
          <w:sz w:val="18"/>
          <w:szCs w:val="18"/>
          <w:b w:val="1"/>
          <w:bCs w:val="1"/>
          <w:i w:val="1"/>
          <w:iCs w:val="1"/>
          <w:color w:val="auto"/>
        </w:rPr>
        <w:t xml:space="preserve">“Release Expiration Date” </w:t>
      </w:r>
      <w:r>
        <w:rPr>
          <w:rFonts w:ascii="Arial" w:cs="Arial" w:eastAsia="Arial" w:hAnsi="Arial"/>
          <w:sz w:val="18"/>
          <w:szCs w:val="18"/>
          <w:color w:val="auto"/>
        </w:rPr>
        <w:t>shall mean the date that is forty-five (45) days following the date upon which the Company timely delivers the Release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to Executive.</w:t>
      </w:r>
    </w:p>
    <w:p>
      <w:pPr>
        <w:spacing w:after="0" w:line="134" w:lineRule="exact"/>
        <w:rPr>
          <w:sz w:val="20"/>
          <w:szCs w:val="20"/>
          <w:color w:val="auto"/>
        </w:rPr>
      </w:pPr>
    </w:p>
    <w:p>
      <w:pPr>
        <w:ind w:firstLine="656"/>
        <w:spacing w:after="0" w:line="263" w:lineRule="auto"/>
        <w:tabs>
          <w:tab w:leader="none" w:pos="129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17" w:right="359" w:bottom="1440" w:gutter="0" w:footer="0" w:header="0"/>
        </w:sectPr>
      </w:pPr>
    </w:p>
    <w:bookmarkStart w:id="54" w:name="page55"/>
    <w:bookmarkEnd w:id="54"/>
    <w:p>
      <w:pPr>
        <w:ind w:right="200" w:firstLine="656"/>
        <w:spacing w:after="0" w:line="259" w:lineRule="auto"/>
        <w:tabs>
          <w:tab w:leader="none" w:pos="129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This Agreement may not be modified, amended, or terminated except by an instrument in writing, signed by Executive and a member of the Board or a Company officer designated by the Board. No waiver shall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32" w:lineRule="exact"/>
        <w:rPr>
          <w:rFonts w:ascii="Arial" w:cs="Arial" w:eastAsia="Arial" w:hAnsi="Arial"/>
          <w:sz w:val="18"/>
          <w:szCs w:val="18"/>
          <w:color w:val="auto"/>
        </w:rPr>
      </w:pPr>
    </w:p>
    <w:p>
      <w:pPr>
        <w:ind w:right="40" w:firstLine="656"/>
        <w:spacing w:after="0" w:line="254" w:lineRule="auto"/>
        <w:tabs>
          <w:tab w:leader="none" w:pos="129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terms of this Agreement, collectively with the Inventions, Disclosure, Confidentiality &amp; Proprietary Rights Agreement between the Company and Executive entered into on or about the date herewith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and the Indemnification Agreement, is intended by the Parties to be the final expression of their agreement with respect to the employment of Executive by the Company and supersede all prior understandings and agreements (but not the Confidentiality Agreement or the Indemnification Agreement), whether written or oral. The parties further intend that this Agreement, collectively with the Confidentiality Agreement, and the Indemnification Agreement, shall constitute the complete and exclusive statement of their terms and that no extrinsic evidence whatsoever may be introduced in any judicial, administrative, or other legal proceeding to vary the terms of this Agreement.</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shall be governed by the laws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California.</w:t>
      </w:r>
    </w:p>
    <w:p>
      <w:pPr>
        <w:spacing w:after="0" w:line="156" w:lineRule="exact"/>
        <w:rPr>
          <w:rFonts w:ascii="Arial" w:cs="Arial" w:eastAsia="Arial" w:hAnsi="Arial"/>
          <w:sz w:val="16"/>
          <w:szCs w:val="16"/>
          <w:color w:val="auto"/>
        </w:rPr>
      </w:pPr>
    </w:p>
    <w:p>
      <w:pPr>
        <w:ind w:right="780" w:firstLine="656"/>
        <w:spacing w:after="0" w:line="277" w:lineRule="auto"/>
        <w:tabs>
          <w:tab w:leader="none" w:pos="128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16" w:lineRule="exact"/>
        <w:rPr>
          <w:rFonts w:ascii="Arial" w:cs="Arial" w:eastAsia="Arial" w:hAnsi="Arial"/>
          <w:sz w:val="18"/>
          <w:szCs w:val="18"/>
          <w:color w:val="auto"/>
        </w:rPr>
      </w:pPr>
    </w:p>
    <w:p>
      <w:pPr>
        <w:ind w:right="40" w:firstLine="656"/>
        <w:spacing w:after="0" w:line="277" w:lineRule="auto"/>
        <w:tabs>
          <w:tab w:leader="none" w:pos="129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pacing w:after="0" w:line="11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INSEEGO CORP.</w:t>
      </w:r>
    </w:p>
    <w:p>
      <w:pPr>
        <w:sectPr>
          <w:pgSz w:w="11900" w:h="16838" w:orient="portrait"/>
          <w:cols w:equalWidth="0" w:num="1">
            <w:col w:w="11200"/>
          </w:cols>
          <w:pgMar w:left="320" w:top="1421" w:right="379" w:bottom="1440" w:gutter="0" w:footer="0" w:header="0"/>
        </w:sect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/s/ DAN MONDOR</w:t>
      </w:r>
    </w:p>
    <w:p>
      <w:pPr>
        <w:spacing w:after="0" w:line="200" w:lineRule="exact"/>
        <w:rPr>
          <w:sz w:val="20"/>
          <w:szCs w:val="20"/>
          <w:color w:val="auto"/>
        </w:rPr>
      </w:pPr>
    </w:p>
    <w:p>
      <w:pPr>
        <w:sectPr>
          <w:pgSz w:w="11900" w:h="16838" w:orient="portrait"/>
          <w:cols w:equalWidth="0" w:num="2">
            <w:col w:w="360" w:space="720"/>
            <w:col w:w="10120"/>
          </w:cols>
          <w:pgMar w:left="320" w:top="1421" w:right="37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Chairman and CEO</w:t>
      </w:r>
    </w:p>
    <w:p>
      <w:pPr>
        <w:spacing w:after="0" w:line="200" w:lineRule="exact"/>
        <w:rPr>
          <w:sz w:val="20"/>
          <w:szCs w:val="20"/>
          <w:color w:val="auto"/>
        </w:rPr>
      </w:pPr>
    </w:p>
    <w:p>
      <w:pPr>
        <w:sectPr>
          <w:pgSz w:w="11900" w:h="16838" w:orient="portrait"/>
          <w:cols w:equalWidth="0" w:num="2">
            <w:col w:w="400" w:space="640"/>
            <w:col w:w="10160"/>
          </w:cols>
          <w:pgMar w:left="320" w:top="1421" w:right="379" w:bottom="1440" w:gutter="0" w:footer="0" w:header="0"/>
          <w:type w:val="continuous"/>
        </w:sectPr>
      </w:pP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auto"/>
        </w:rPr>
        <w:t>August 17, 2020</w:t>
      </w:r>
    </w:p>
    <w:p>
      <w:pPr>
        <w:spacing w:after="0" w:line="200" w:lineRule="exact"/>
        <w:rPr>
          <w:sz w:val="20"/>
          <w:szCs w:val="20"/>
          <w:color w:val="auto"/>
        </w:rPr>
      </w:pPr>
    </w:p>
    <w:p>
      <w:pPr>
        <w:sectPr>
          <w:pgSz w:w="11900" w:h="16838" w:orient="portrait"/>
          <w:cols w:equalWidth="0" w:num="2">
            <w:col w:w="420" w:space="620"/>
            <w:col w:w="10160"/>
          </w:cols>
          <w:pgMar w:left="320" w:top="1421" w:right="379" w:bottom="1440" w:gutter="0" w:footer="0" w:header="0"/>
          <w:type w:val="continuous"/>
        </w:sectPr>
      </w:pP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20"/>
          <w:szCs w:val="20"/>
          <w:color w:val="auto"/>
        </w:rPr>
        <w:t>CRAIG LYNN FOSTER</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2"/>
          <w:szCs w:val="22"/>
          <w:color w:val="auto"/>
        </w:rPr>
        <w:t>Craig Lynn Foster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Craig Lynn Foster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Date: August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21" w:right="37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71" w:lineRule="exact"/>
        <w:rPr>
          <w:sz w:val="20"/>
          <w:szCs w:val="20"/>
          <w:color w:val="auto"/>
        </w:rPr>
      </w:pPr>
    </w:p>
    <w:p>
      <w:pPr>
        <w:ind w:left="680" w:hanging="18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060" w:right="160" w:hanging="230"/>
        <w:spacing w:after="0" w:line="224" w:lineRule="auto"/>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280" w:hanging="240"/>
        <w:spacing w:after="0" w:line="224" w:lineRule="auto"/>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440" w:hanging="230"/>
        <w:spacing w:after="0" w:line="289" w:lineRule="auto"/>
        <w:tabs>
          <w:tab w:leader="none" w:pos="10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240"/>
        <w:spacing w:after="0" w:line="224" w:lineRule="auto"/>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060" w:right="700" w:hanging="230"/>
        <w:spacing w:after="0" w:line="289" w:lineRule="auto"/>
        <w:tabs>
          <w:tab w:leader="none" w:pos="10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240"/>
        <w:spacing w:after="0" w:line="235" w:lineRule="auto"/>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L. Foster, certify that:</w:t>
      </w:r>
    </w:p>
    <w:p>
      <w:pPr>
        <w:spacing w:after="0" w:line="171" w:lineRule="exact"/>
        <w:rPr>
          <w:sz w:val="20"/>
          <w:szCs w:val="20"/>
          <w:color w:val="auto"/>
        </w:rPr>
      </w:pPr>
    </w:p>
    <w:p>
      <w:pPr>
        <w:ind w:left="680" w:hanging="186"/>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060" w:right="160" w:hanging="230"/>
        <w:spacing w:after="0" w:line="224"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280" w:hanging="240"/>
        <w:spacing w:after="0" w:line="224"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440" w:hanging="230"/>
        <w:spacing w:after="0" w:line="289" w:lineRule="auto"/>
        <w:tabs>
          <w:tab w:leader="none" w:pos="10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240"/>
        <w:spacing w:after="0" w:line="224"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060" w:right="700" w:hanging="230"/>
        <w:spacing w:after="0" w:line="289" w:lineRule="auto"/>
        <w:tabs>
          <w:tab w:leader="none" w:pos="10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240"/>
        <w:spacing w:after="0" w:line="235"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Craig L.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Craig L. Foster</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8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520" w:right="140" w:hanging="833"/>
        <w:spacing w:after="0" w:line="235" w:lineRule="auto"/>
        <w:tabs>
          <w:tab w:leader="none" w:pos="15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requirements of Section 13(a) or 15(d) of the Securities Exchange Act of 1934, as amended; and</w:t>
      </w:r>
    </w:p>
    <w:p>
      <w:pPr>
        <w:spacing w:after="0" w:line="229" w:lineRule="exact"/>
        <w:rPr>
          <w:rFonts w:ascii="Arial" w:cs="Arial" w:eastAsia="Arial" w:hAnsi="Arial"/>
          <w:sz w:val="18"/>
          <w:szCs w:val="18"/>
          <w:color w:val="auto"/>
        </w:rPr>
      </w:pPr>
    </w:p>
    <w:p>
      <w:pPr>
        <w:ind w:left="1480" w:right="160" w:hanging="833"/>
        <w:spacing w:after="0" w:line="235"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8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Craig L. Foster,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20" w:right="320" w:hanging="822"/>
        <w:spacing w:after="0" w:line="235" w:lineRule="auto"/>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requirements of Section 13(a) or 15(d) of the Securities Exchange Act of 1934, as amended; and</w:t>
      </w:r>
    </w:p>
    <w:p>
      <w:pPr>
        <w:spacing w:after="0" w:line="229" w:lineRule="exact"/>
        <w:rPr>
          <w:rFonts w:ascii="Arial" w:cs="Arial" w:eastAsia="Arial" w:hAnsi="Arial"/>
          <w:sz w:val="18"/>
          <w:szCs w:val="18"/>
          <w:color w:val="auto"/>
        </w:rPr>
      </w:pPr>
    </w:p>
    <w:p>
      <w:pPr>
        <w:ind w:left="1340" w:right="300" w:hanging="828"/>
        <w:spacing w:after="0" w:line="235" w:lineRule="auto"/>
        <w:tabs>
          <w:tab w:leader="none" w:pos="13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Craig L.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Craig L. Foster</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upperLetter"/>
      <w:start w:val="1"/>
    </w:lvl>
  </w:abstractNum>
  <w:abstractNum w:abstractNumId="7">
    <w:nsid w:val="836C40E"/>
    <w:multiLevelType w:val="hybridMultilevel"/>
    <w:lvl w:ilvl="0">
      <w:lvlJc w:val="left"/>
      <w:lvlText w:val="%1."/>
      <w:numFmt w:val="decimal"/>
      <w:start w:val="1"/>
    </w:lvl>
    <w:lvl w:ilvl="1">
      <w:lvlJc w:val="left"/>
      <w:lvlText w:val="(%2)"/>
      <w:numFmt w:val="upperLetter"/>
      <w:start w:val="1"/>
    </w:lvl>
  </w:abstractNum>
  <w:abstractNum w:abstractNumId="8">
    <w:nsid w:val="2901D82"/>
    <w:multiLevelType w:val="hybridMultilevel"/>
    <w:lvl w:ilvl="0">
      <w:lvlJc w:val="left"/>
      <w:lvlText w:val="%1"/>
      <w:numFmt w:val="decimal"/>
      <w:start w:val="1"/>
    </w:lvl>
    <w:lvl w:ilvl="1">
      <w:lvlJc w:val="left"/>
      <w:lvlText w:val="(%2)"/>
      <w:numFmt w:val="upperLetter"/>
      <w:start w:val="3"/>
    </w:lvl>
  </w:abstractNum>
  <w:abstractNum w:abstractNumId="9">
    <w:nsid w:val="3A95F874"/>
    <w:multiLevelType w:val="hybridMultilevel"/>
    <w:lvl w:ilvl="0">
      <w:lvlJc w:val="left"/>
      <w:lvlText w:val="%1."/>
      <w:numFmt w:val="decimal"/>
      <w:start w:val="3"/>
    </w:lvl>
    <w:lvl w:ilvl="1">
      <w:lvlJc w:val="left"/>
      <w:lvlText w:val="(%2)"/>
      <w:numFmt w:val="upperLetter"/>
      <w:start w:val="1"/>
    </w:lvl>
  </w:abstractNum>
  <w:abstractNum w:abstractNumId="10">
    <w:nsid w:val="8138641"/>
    <w:multiLevelType w:val="hybridMultilevel"/>
    <w:lvl w:ilvl="0">
      <w:lvlJc w:val="left"/>
      <w:lvlText w:val="(%1)"/>
      <w:numFmt w:val="upperLetter"/>
      <w:start w:val="2"/>
    </w:lvl>
    <w:lvl w:ilvl="1">
      <w:lvlJc w:val="left"/>
      <w:lvlText w:val="(%2)"/>
      <w:numFmt w:val="upperLetter"/>
      <w:start w:val="3"/>
    </w:lvl>
  </w:abstractNum>
  <w:abstractNum w:abstractNumId="11">
    <w:nsid w:val="1E7FF521"/>
    <w:multiLevelType w:val="hybridMultilevel"/>
    <w:lvl w:ilvl="0">
      <w:lvlJc w:val="left"/>
      <w:lvlText w:val="%1"/>
      <w:numFmt w:val="decimal"/>
      <w:start w:val="1"/>
    </w:lvl>
    <w:lvl w:ilvl="1">
      <w:lvlJc w:val="left"/>
      <w:lvlText w:val="(%2)"/>
      <w:numFmt w:val="upperLetter"/>
      <w:start w:val="6"/>
    </w:lvl>
  </w:abstractNum>
  <w:abstractNum w:abstractNumId="12">
    <w:nsid w:val="7C3DBD3D"/>
    <w:multiLevelType w:val="hybridMultilevel"/>
    <w:lvl w:ilvl="0">
      <w:lvlJc w:val="left"/>
      <w:lvlText w:val="%1."/>
      <w:numFmt w:val="decimal"/>
      <w:start w:val="4"/>
    </w:lvl>
    <w:lvl w:ilvl="1">
      <w:lvlJc w:val="left"/>
      <w:lvlText w:val="%2"/>
      <w:numFmt w:val="upperLetter"/>
      <w:start w:val="1"/>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1."/>
      <w:numFmt w:val="decimal"/>
      <w:start w:val="14"/>
    </w:lvl>
    <w:lvl w:ilvl="1">
      <w:lvlJc w:val="left"/>
      <w:lvlText w:val="(%2)"/>
      <w:numFmt w:val="upperLetter"/>
      <w:start w:val="1"/>
    </w:lvl>
  </w:abstractNum>
  <w:abstractNum w:abstractNumId="15">
    <w:nsid w:val="22221A70"/>
    <w:multiLevelType w:val="hybridMultilevel"/>
    <w:lvl w:ilvl="0">
      <w:lvlJc w:val="left"/>
      <w:lvlText w:val="%1"/>
      <w:numFmt w:val="decimal"/>
      <w:start w:val="1"/>
    </w:lvl>
    <w:lvl w:ilvl="1">
      <w:lvlJc w:val="left"/>
      <w:lvlText w:val="(%2)"/>
      <w:numFmt w:val="upperLetter"/>
      <w:start w:val="2"/>
    </w:lvl>
  </w:abstractNum>
  <w:abstractNum w:abstractNumId="16">
    <w:nsid w:val="4516DDE9"/>
    <w:multiLevelType w:val="hybridMultilevel"/>
    <w:lvl w:ilvl="0">
      <w:lvlJc w:val="left"/>
      <w:lvlText w:val="%1."/>
      <w:numFmt w:val="decimal"/>
      <w:start w:val="15"/>
    </w:lvl>
    <w:lvl w:ilvl="1">
      <w:lvlJc w:val="left"/>
      <w:lvlText w:val="%2"/>
      <w:numFmt w:val="upperLetter"/>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2"/>
    </w:lvl>
  </w:abstractNum>
  <w:abstractNum w:abstractNumId="19">
    <w:nsid w:val="419AC241"/>
    <w:multiLevelType w:val="hybridMultilevel"/>
    <w:lvl w:ilvl="0">
      <w:lvlJc w:val="left"/>
      <w:lvlText w:val="%1."/>
      <w:numFmt w:val="decimal"/>
      <w:start w:val="3"/>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2"/>
    </w:lvl>
  </w:abstractNum>
  <w:abstractNum w:abstractNumId="22">
    <w:nsid w:val="5072367"/>
    <w:multiLevelType w:val="hybridMultilevel"/>
    <w:lvl w:ilvl="0">
      <w:lvlJc w:val="left"/>
      <w:lvlText w:val="%1."/>
      <w:numFmt w:val="decimal"/>
      <w:start w:val="4"/>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decimal"/>
      <w:start w:val="5"/>
    </w:lvl>
  </w:abstractNum>
  <w:abstractNum w:abstractNumId="25">
    <w:nsid w:val="7724C67E"/>
    <w:multiLevelType w:val="hybridMultilevel"/>
    <w:lvl w:ilvl="0">
      <w:lvlJc w:val="left"/>
      <w:lvlText w:val="(%1)"/>
      <w:numFmt w:val="decimal"/>
      <w:start w:val="2"/>
    </w:lvl>
    <w:lvl w:ilvl="1">
      <w:lvlJc w:val="left"/>
      <w:lvlText w:val="%2."/>
      <w:numFmt w:val="decimal"/>
      <w:start w:val="6"/>
    </w:lvl>
  </w:abstractNum>
  <w:abstractNum w:abstractNumId="26">
    <w:nsid w:val="5C482A97"/>
    <w:multiLevelType w:val="hybridMultilevel"/>
    <w:lvl w:ilvl="0">
      <w:lvlJc w:val="left"/>
      <w:lvlText w:val="%1."/>
      <w:numFmt w:val="decimal"/>
      <w:start w:val="7"/>
    </w:lvl>
  </w:abstractNum>
  <w:abstractNum w:abstractNumId="27">
    <w:nsid w:val="2463B9EA"/>
    <w:multiLevelType w:val="hybridMultilevel"/>
    <w:lvl w:ilvl="0">
      <w:lvlJc w:val="left"/>
      <w:lvlText w:val="%1."/>
      <w:numFmt w:val="decimal"/>
      <w:start w:val="8"/>
    </w:lvl>
  </w:abstractNum>
  <w:abstractNum w:abstractNumId="28">
    <w:nsid w:val="5E884ADC"/>
    <w:multiLevelType w:val="hybridMultilevel"/>
    <w:lvl w:ilvl="0">
      <w:lvlJc w:val="left"/>
      <w:lvlText w:val="%1."/>
      <w:numFmt w:val="decimal"/>
      <w:start w:val="9"/>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22"/>
    </w:lvl>
    <w:lvl w:ilvl="1">
      <w:lvlJc w:val="left"/>
      <w:lvlText w:val="(%2)"/>
      <w:numFmt w:val="lowerLetter"/>
      <w:start w:val="2"/>
    </w:lvl>
    <w:lvl w:ilvl="2">
      <w:lvlJc w:val="left"/>
      <w:lvlText w:val="(%3)"/>
      <w:numFmt w:val="lowerLetter"/>
      <w:start w:val="9"/>
    </w:lvl>
  </w:abstractNum>
  <w:abstractNum w:abstractNumId="31">
    <w:nsid w:val="580BD78F"/>
    <w:multiLevelType w:val="hybridMultilevel"/>
    <w:lvl w:ilvl="0">
      <w:lvlJc w:val="left"/>
      <w:lvlText w:val="(%1)"/>
      <w:numFmt w:val="lowerRoman"/>
      <w:start w:val="2"/>
    </w:lvl>
  </w:abstractNum>
  <w:abstractNum w:abstractNumId="32">
    <w:nsid w:val="153EA438"/>
    <w:multiLevelType w:val="hybridMultilevel"/>
    <w:lvl w:ilvl="0">
      <w:lvlJc w:val="left"/>
      <w:lvlText w:val="(%1)"/>
      <w:numFmt w:val="lowerLetter"/>
      <w:start w:val="3"/>
    </w:lvl>
  </w:abstractNum>
  <w:abstractNum w:abstractNumId="33">
    <w:nsid w:val="3855585C"/>
    <w:multiLevelType w:val="hybridMultilevel"/>
    <w:lvl w:ilvl="0">
      <w:lvlJc w:val="left"/>
      <w:lvlText w:val="%1"/>
      <w:numFmt w:val="decimal"/>
      <w:start w:val="1"/>
    </w:lvl>
    <w:lvl w:ilvl="1">
      <w:lvlJc w:val="left"/>
      <w:lvlText w:val="(%2)"/>
      <w:numFmt w:val="lowerLetter"/>
      <w:start w:val="5"/>
    </w:lvl>
  </w:abstractNum>
  <w:abstractNum w:abstractNumId="34">
    <w:nsid w:val="70A64E2A"/>
    <w:multiLevelType w:val="hybridMultilevel"/>
    <w:lvl w:ilvl="0">
      <w:lvlJc w:val="left"/>
      <w:lvlText w:val="(%1)"/>
      <w:numFmt w:val="decimal"/>
      <w:start w:val="50"/>
    </w:lvl>
    <w:lvl w:ilvl="1">
      <w:lvlJc w:val="left"/>
      <w:lvlText w:val="(%2)"/>
      <w:numFmt w:val="lowerLetter"/>
      <w:start w:val="8"/>
    </w:lvl>
  </w:abstractNum>
  <w:abstractNum w:abstractNumId="35">
    <w:nsid w:val="6A2342EC"/>
    <w:multiLevelType w:val="hybridMultilevel"/>
    <w:lvl w:ilvl="0">
      <w:lvlJc w:val="left"/>
      <w:lvlText w:val="%1."/>
      <w:numFmt w:val="decimal"/>
      <w:start w:val="10"/>
    </w:lvl>
  </w:abstractNum>
  <w:abstractNum w:abstractNumId="36">
    <w:nsid w:val="2A487CB0"/>
    <w:multiLevelType w:val="hybridMultilevel"/>
    <w:lvl w:ilvl="0">
      <w:lvlJc w:val="left"/>
      <w:lvlText w:val="%1."/>
      <w:numFmt w:val="decimal"/>
      <w:start w:val="11"/>
    </w:lvl>
  </w:abstractNum>
  <w:abstractNum w:abstractNumId="37">
    <w:nsid w:val="1D4ED43B"/>
    <w:multiLevelType w:val="hybridMultilevel"/>
    <w:lvl w:ilvl="0">
      <w:lvlJc w:val="left"/>
      <w:lvlText w:val="(%1)"/>
      <w:numFmt w:val="lowerRoman"/>
      <w:start w:val="1"/>
    </w:lvl>
  </w:abstractNum>
  <w:abstractNum w:abstractNumId="38">
    <w:nsid w:val="725A06FB"/>
    <w:multiLevelType w:val="hybridMultilevel"/>
    <w:lvl w:ilvl="0">
      <w:lvlJc w:val="left"/>
      <w:lvlText w:val="%1"/>
      <w:numFmt w:val="decimal"/>
      <w:start w:val="1"/>
    </w:lvl>
    <w:lvl w:ilvl="1">
      <w:lvlJc w:val="left"/>
      <w:lvlText w:val="(%2)"/>
      <w:numFmt w:val="lowerRoman"/>
      <w:start w:val="2"/>
    </w:lvl>
  </w:abstractNum>
  <w:abstractNum w:abstractNumId="39">
    <w:nsid w:val="2CD89A32"/>
    <w:multiLevelType w:val="hybridMultilevel"/>
    <w:lvl w:ilvl="0">
      <w:lvlJc w:val="left"/>
      <w:lvlText w:val="%1."/>
      <w:numFmt w:val="decimal"/>
      <w:start w:val="12"/>
    </w:lvl>
    <w:lvl w:ilvl="1">
      <w:lvlJc w:val="left"/>
      <w:lvlText w:val="%2"/>
      <w:numFmt w:val="lowerRoman"/>
      <w:start w:val="1"/>
    </w:lvl>
  </w:abstractNum>
  <w:abstractNum w:abstractNumId="40">
    <w:nsid w:val="57E4CCAF"/>
    <w:multiLevelType w:val="hybridMultilevel"/>
    <w:lvl w:ilvl="0">
      <w:lvlJc w:val="left"/>
      <w:lvlText w:val="%1."/>
      <w:numFmt w:val="decimal"/>
      <w:start w:val="13"/>
    </w:lvl>
  </w:abstractNum>
  <w:abstractNum w:abstractNumId="41">
    <w:nsid w:val="7A6D8D3C"/>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2">
    <w:nsid w:val="4B588F54"/>
    <w:multiLevelType w:val="hybridMultilevel"/>
    <w:lvl w:ilvl="0">
      <w:lvlJc w:val="left"/>
      <w:lvlText w:val="(%1)"/>
      <w:numFmt w:val="lowerRoman"/>
      <w:start w:val="3"/>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lowerLetter"/>
      <w:start w:val="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
      <w:numFmt w:val="bullet"/>
      <w:start w:val="1"/>
    </w:lvl>
    <w:lvl w:ilvl="1">
      <w:lvlJc w:val="left"/>
      <w:lvlText w:val="•"/>
      <w:numFmt w:val="bullet"/>
      <w:start w:val="1"/>
    </w:lvl>
  </w:abstractNum>
  <w:abstractNum w:abstractNumId="48">
    <w:nsid w:val="684A481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jpe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3" Type="http://schemas.openxmlformats.org/officeDocument/2006/relationships/hyperlink" Target="http://www.sec.gov/Archives/edgar/data/1022652/000119312516763609/d261554dex31.htm" TargetMode="External"/><Relationship Id="rId54" Type="http://schemas.openxmlformats.org/officeDocument/2006/relationships/hyperlink" Target="http://www.sec.gov/Archives/edgar/data/1022652/000119312516763609/d261554dex32.htm" TargetMode="External"/><Relationship Id="rId55" Type="http://schemas.openxmlformats.org/officeDocument/2006/relationships/hyperlink" Target="http://www.sec.gov/Archives/edgar/data/1022652/000119312518015371/d525985dex31.htm" TargetMode="External"/><Relationship Id="rId56" Type="http://schemas.openxmlformats.org/officeDocument/2006/relationships/hyperlink" Target="http://www.sec.gov/Archives/edgar/data/1022652/000119312519219943/d792529dex31.htm" TargetMode="External"/><Relationship Id="rId57" Type="http://schemas.openxmlformats.org/officeDocument/2006/relationships/hyperlink" Target="http://www.sec.gov/Archives/edgar/data/1022652/000119312520067668/d824727dex31.htm" TargetMode="External"/><Relationship Id="rId58" Type="http://schemas.openxmlformats.org/officeDocument/2006/relationships/hyperlink" Target="https://www.sec.gov/Archives/edgar/data/0001022652/000168316820002356/inseego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2020-11-06T15:45:28Z</dcterms:created>
  <dcterms:modified xsi:type="dcterms:W3CDTF">2020-11-06T15:45:28Z</dcterms:modified>
</cp:coreProperties>
</file>