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16, 2026</w:t>
      </w:r>
    </w:p>
    <w:p>
      <w:pPr>
        <w:spacing w:after="0" w:line="3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INSEEGO CORP.</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240"/>
          </w:cols>
          <w:pgMar w:left="320" w:top="489" w:right="33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001-38358</w:t>
      </w:r>
    </w:p>
    <w:p>
      <w:pPr>
        <w:spacing w:after="0" w:line="3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81-3377646</w:t>
      </w:r>
    </w:p>
    <w:p>
      <w:pPr>
        <w:spacing w:after="0" w:line="3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680" w:space="720"/>
            <w:col w:w="3200"/>
          </w:cols>
          <w:pgMar w:left="320" w:top="489"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9710 Scranton Road, Suite 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(858) 812-3400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489" w:right="339" w:bottom="1440" w:gutter="0" w:footer="0" w:header="0"/>
          <w:type w:val="continuous"/>
        </w:sect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INSG</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9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type w:val="continuous"/>
        </w:sectPr>
      </w:pPr>
    </w:p>
    <w:bookmarkStart w:id="1" w:name="page2"/>
    <w:bookmarkEnd w:id="1"/>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16, 2026, Inseego Corp. (the “Company”) held an annual meeting of its stockholders (the “Annual Meeting”). Of the 16,240,613 shares of the Company’s common stock entitled to vote at the Annual Meeting, a total of 11,532,761 shares were represented at the Annual Meeting in person or by proxy. The voting results for each item of business properly presented at the Annual Meeting are set forth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Both of the persons nominated by the Company to serve as directors for a three-year term until the 2029 annual meeting of stockholders were elected with the following votes: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Nominee</w:t>
            </w:r>
          </w:p>
        </w:tc>
        <w:tc>
          <w:tcPr>
            <w:tcW w:w="29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Votes For</w:t>
            </w:r>
          </w:p>
        </w:tc>
        <w:tc>
          <w:tcPr>
            <w:tcW w:w="29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Votes Withheld</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9"/>
        </w:trPr>
        <w:tc>
          <w:tcPr>
            <w:tcW w:w="250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James B. Avery</w:t>
            </w:r>
          </w:p>
        </w:tc>
        <w:tc>
          <w:tcPr>
            <w:tcW w:w="440" w:type="dxa"/>
            <w:vAlign w:val="bottom"/>
            <w:tcBorders>
              <w:top w:val="single" w:sz="8" w:color="EEEEEE"/>
            </w:tcBorders>
            <w:shd w:val="clear" w:color="auto" w:fill="EEEEEE"/>
          </w:tcPr>
          <w:p>
            <w:pPr>
              <w:spacing w:after="0"/>
              <w:rPr>
                <w:sz w:val="18"/>
                <w:szCs w:val="18"/>
                <w:color w:val="auto"/>
              </w:rPr>
            </w:pPr>
          </w:p>
        </w:tc>
        <w:tc>
          <w:tcPr>
            <w:tcW w:w="2460" w:type="dxa"/>
            <w:vAlign w:val="bottom"/>
            <w:tcBorders>
              <w:top w:val="single" w:sz="8" w:color="auto"/>
            </w:tcBorders>
            <w:shd w:val="clear" w:color="auto" w:fill="EEEEEE"/>
          </w:tcPr>
          <w:p>
            <w:pPr>
              <w:ind w:left="880"/>
              <w:spacing w:after="0"/>
              <w:rPr>
                <w:sz w:val="20"/>
                <w:szCs w:val="20"/>
                <w:color w:val="auto"/>
              </w:rPr>
            </w:pPr>
            <w:r>
              <w:rPr>
                <w:rFonts w:ascii="Times New Roman" w:cs="Times New Roman" w:eastAsia="Times New Roman" w:hAnsi="Times New Roman"/>
                <w:sz w:val="18"/>
                <w:szCs w:val="18"/>
                <w:color w:val="auto"/>
              </w:rPr>
              <w:t>6,714,605</w:t>
            </w:r>
          </w:p>
        </w:tc>
        <w:tc>
          <w:tcPr>
            <w:tcW w:w="460" w:type="dxa"/>
            <w:vAlign w:val="bottom"/>
            <w:tcBorders>
              <w:top w:val="single" w:sz="8" w:color="EEEEEE"/>
            </w:tcBorders>
            <w:shd w:val="clear" w:color="auto" w:fill="EEEEEE"/>
          </w:tcPr>
          <w:p>
            <w:pPr>
              <w:spacing w:after="0"/>
              <w:rPr>
                <w:sz w:val="18"/>
                <w:szCs w:val="18"/>
                <w:color w:val="auto"/>
              </w:rPr>
            </w:pPr>
          </w:p>
        </w:tc>
        <w:tc>
          <w:tcPr>
            <w:tcW w:w="2460" w:type="dxa"/>
            <w:vAlign w:val="bottom"/>
            <w:tcBorders>
              <w:top w:val="single" w:sz="8" w:color="auto"/>
            </w:tcBorders>
            <w:shd w:val="clear" w:color="auto" w:fill="EEEEEE"/>
          </w:tcPr>
          <w:p>
            <w:pPr>
              <w:jc w:val="right"/>
              <w:ind w:right="850"/>
              <w:spacing w:after="0"/>
              <w:rPr>
                <w:sz w:val="20"/>
                <w:szCs w:val="20"/>
                <w:color w:val="auto"/>
              </w:rPr>
            </w:pPr>
            <w:r>
              <w:rPr>
                <w:rFonts w:ascii="Times New Roman" w:cs="Times New Roman" w:eastAsia="Times New Roman" w:hAnsi="Times New Roman"/>
                <w:sz w:val="18"/>
                <w:szCs w:val="18"/>
                <w:color w:val="auto"/>
              </w:rPr>
              <w:t>726,365</w:t>
            </w:r>
          </w:p>
        </w:tc>
        <w:tc>
          <w:tcPr>
            <w:tcW w:w="440" w:type="dxa"/>
            <w:vAlign w:val="bottom"/>
            <w:tcBorders>
              <w:top w:val="single" w:sz="8" w:color="EEEEEE"/>
            </w:tcBorders>
            <w:shd w:val="clear" w:color="auto" w:fill="EEEEEE"/>
          </w:tcPr>
          <w:p>
            <w:pPr>
              <w:spacing w:after="0"/>
              <w:rPr>
                <w:sz w:val="18"/>
                <w:szCs w:val="18"/>
                <w:color w:val="auto"/>
              </w:rPr>
            </w:pPr>
          </w:p>
        </w:tc>
        <w:tc>
          <w:tcPr>
            <w:tcW w:w="248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4,091,791</w:t>
            </w:r>
          </w:p>
        </w:tc>
      </w:tr>
      <w:tr>
        <w:trPr>
          <w:trHeight w:val="216"/>
        </w:trPr>
        <w:tc>
          <w:tcPr>
            <w:tcW w:w="2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2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Jeffrey Tuder</w:t>
            </w:r>
          </w:p>
        </w:tc>
        <w:tc>
          <w:tcPr>
            <w:tcW w:w="2460" w:type="dxa"/>
            <w:vAlign w:val="bottom"/>
            <w:shd w:val="clear" w:color="auto" w:fill="EEEEEE"/>
          </w:tcPr>
          <w:p>
            <w:pPr>
              <w:ind w:left="880"/>
              <w:spacing w:after="0"/>
              <w:rPr>
                <w:sz w:val="20"/>
                <w:szCs w:val="20"/>
                <w:color w:val="auto"/>
              </w:rPr>
            </w:pPr>
            <w:r>
              <w:rPr>
                <w:rFonts w:ascii="Times New Roman" w:cs="Times New Roman" w:eastAsia="Times New Roman" w:hAnsi="Times New Roman"/>
                <w:sz w:val="18"/>
                <w:szCs w:val="18"/>
                <w:color w:val="auto"/>
              </w:rPr>
              <w:t>6,331,622</w:t>
            </w:r>
          </w:p>
        </w:tc>
        <w:tc>
          <w:tcPr>
            <w:tcW w:w="460" w:type="dxa"/>
            <w:vAlign w:val="bottom"/>
            <w:shd w:val="clear" w:color="auto" w:fill="EEEEEE"/>
          </w:tcPr>
          <w:p>
            <w:pPr>
              <w:spacing w:after="0"/>
              <w:rPr>
                <w:sz w:val="18"/>
                <w:szCs w:val="18"/>
                <w:color w:val="auto"/>
              </w:rPr>
            </w:pPr>
          </w:p>
        </w:tc>
        <w:tc>
          <w:tcPr>
            <w:tcW w:w="2460" w:type="dxa"/>
            <w:vAlign w:val="bottom"/>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1,109,348</w:t>
            </w:r>
          </w:p>
        </w:tc>
        <w:tc>
          <w:tcPr>
            <w:tcW w:w="440" w:type="dxa"/>
            <w:vAlign w:val="bottom"/>
            <w:shd w:val="clear" w:color="auto" w:fill="EEEEEE"/>
          </w:tcPr>
          <w:p>
            <w:pPr>
              <w:spacing w:after="0"/>
              <w:rPr>
                <w:sz w:val="18"/>
                <w:szCs w:val="18"/>
                <w:color w:val="auto"/>
              </w:rPr>
            </w:pPr>
          </w:p>
        </w:tc>
        <w:tc>
          <w:tcPr>
            <w:tcW w:w="24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4,091,791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Ratification of Appointment of Independent Registered Public Accountants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proposal to ratify the appointment of CBIZ CPAs P.C. as the Company’s independent registered public accountants for the fiscal year ending December 31, 2026 was approved with the following vote: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Votes For</w:t>
            </w:r>
          </w:p>
        </w:tc>
        <w:tc>
          <w:tcPr>
            <w:tcW w:w="29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Votes Against</w:t>
            </w:r>
          </w:p>
        </w:tc>
        <w:tc>
          <w:tcPr>
            <w:tcW w:w="29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Abstentions</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16"/>
        </w:trPr>
        <w:tc>
          <w:tcPr>
            <w:tcW w:w="2500" w:type="dxa"/>
            <w:vAlign w:val="bottom"/>
            <w:tcBorders>
              <w:top w:val="single" w:sz="8" w:color="auto"/>
            </w:tcBorders>
            <w:shd w:val="clear" w:color="auto" w:fill="EEEEEE"/>
          </w:tcPr>
          <w:p>
            <w:pPr>
              <w:jc w:val="right"/>
              <w:ind w:right="750"/>
              <w:spacing w:after="0"/>
              <w:rPr>
                <w:sz w:val="20"/>
                <w:szCs w:val="20"/>
                <w:color w:val="auto"/>
              </w:rPr>
            </w:pPr>
            <w:r>
              <w:rPr>
                <w:rFonts w:ascii="Times New Roman" w:cs="Times New Roman" w:eastAsia="Times New Roman" w:hAnsi="Times New Roman"/>
                <w:sz w:val="18"/>
                <w:szCs w:val="18"/>
                <w:color w:val="auto"/>
              </w:rPr>
              <w:t>11,292,499</w:t>
            </w:r>
          </w:p>
        </w:tc>
        <w:tc>
          <w:tcPr>
            <w:tcW w:w="440" w:type="dxa"/>
            <w:vAlign w:val="bottom"/>
            <w:tcBorders>
              <w:top w:val="single" w:sz="8" w:color="EEEEEE"/>
            </w:tcBorders>
            <w:shd w:val="clear" w:color="auto" w:fill="EEEEEE"/>
          </w:tcPr>
          <w:p>
            <w:pPr>
              <w:spacing w:after="0"/>
              <w:rPr>
                <w:sz w:val="18"/>
                <w:szCs w:val="18"/>
                <w:color w:val="auto"/>
              </w:rPr>
            </w:pPr>
          </w:p>
        </w:tc>
        <w:tc>
          <w:tcPr>
            <w:tcW w:w="2460" w:type="dxa"/>
            <w:vAlign w:val="bottom"/>
            <w:tcBorders>
              <w:top w:val="single" w:sz="8" w:color="auto"/>
            </w:tcBorders>
            <w:shd w:val="clear" w:color="auto" w:fill="EEEEEE"/>
          </w:tcPr>
          <w:p>
            <w:pPr>
              <w:jc w:val="right"/>
              <w:ind w:right="850"/>
              <w:spacing w:after="0"/>
              <w:rPr>
                <w:sz w:val="20"/>
                <w:szCs w:val="20"/>
                <w:color w:val="auto"/>
              </w:rPr>
            </w:pPr>
            <w:r>
              <w:rPr>
                <w:rFonts w:ascii="Times New Roman" w:cs="Times New Roman" w:eastAsia="Times New Roman" w:hAnsi="Times New Roman"/>
                <w:sz w:val="18"/>
                <w:szCs w:val="18"/>
                <w:color w:val="auto"/>
              </w:rPr>
              <w:t>168,074</w:t>
            </w:r>
          </w:p>
        </w:tc>
        <w:tc>
          <w:tcPr>
            <w:tcW w:w="460" w:type="dxa"/>
            <w:vAlign w:val="bottom"/>
            <w:tcBorders>
              <w:top w:val="single" w:sz="8" w:color="EEEEEE"/>
            </w:tcBorders>
            <w:shd w:val="clear" w:color="auto" w:fill="EEEEEE"/>
          </w:tcPr>
          <w:p>
            <w:pPr>
              <w:spacing w:after="0"/>
              <w:rPr>
                <w:sz w:val="18"/>
                <w:szCs w:val="18"/>
                <w:color w:val="auto"/>
              </w:rPr>
            </w:pPr>
          </w:p>
        </w:tc>
        <w:tc>
          <w:tcPr>
            <w:tcW w:w="2460" w:type="dxa"/>
            <w:vAlign w:val="bottom"/>
            <w:tcBorders>
              <w:top w:val="single" w:sz="8" w:color="auto"/>
            </w:tcBorders>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rPr>
              <w:t>72,188</w:t>
            </w:r>
          </w:p>
        </w:tc>
        <w:tc>
          <w:tcPr>
            <w:tcW w:w="440" w:type="dxa"/>
            <w:vAlign w:val="bottom"/>
            <w:tcBorders>
              <w:top w:val="single" w:sz="8" w:color="EEEEEE"/>
            </w:tcBorders>
            <w:shd w:val="clear" w:color="auto" w:fill="EEEEEE"/>
          </w:tcPr>
          <w:p>
            <w:pPr>
              <w:spacing w:after="0"/>
              <w:rPr>
                <w:sz w:val="18"/>
                <w:szCs w:val="18"/>
                <w:color w:val="auto"/>
              </w:rPr>
            </w:pPr>
          </w:p>
        </w:tc>
        <w:tc>
          <w:tcPr>
            <w:tcW w:w="2480" w:type="dxa"/>
            <w:vAlign w:val="bottom"/>
            <w:tcBorders>
              <w:top w:val="single" w:sz="8" w:color="auto"/>
            </w:tcBorders>
            <w:shd w:val="clear" w:color="auto" w:fill="EEEEEE"/>
          </w:tcPr>
          <w:p>
            <w:pPr>
              <w:jc w:val="right"/>
              <w:ind w:right="111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 Advisory Vote on Executive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proposal to approve, on a non-binding advisory basis, the compensation paid to the Company’s named executive officers was approved with the following vote: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Votes For</w:t>
            </w:r>
          </w:p>
        </w:tc>
        <w:tc>
          <w:tcPr>
            <w:tcW w:w="29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Votes Against</w:t>
            </w:r>
          </w:p>
        </w:tc>
        <w:tc>
          <w:tcPr>
            <w:tcW w:w="29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Abstentions</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16"/>
        </w:trPr>
        <w:tc>
          <w:tcPr>
            <w:tcW w:w="2500" w:type="dxa"/>
            <w:vAlign w:val="bottom"/>
            <w:tcBorders>
              <w:top w:val="single" w:sz="8" w:color="auto"/>
            </w:tcBorders>
            <w:shd w:val="clear" w:color="auto" w:fill="EEEEEE"/>
          </w:tcPr>
          <w:p>
            <w:pPr>
              <w:ind w:left="900"/>
              <w:spacing w:after="0"/>
              <w:rPr>
                <w:sz w:val="20"/>
                <w:szCs w:val="20"/>
                <w:color w:val="auto"/>
              </w:rPr>
            </w:pPr>
            <w:r>
              <w:rPr>
                <w:rFonts w:ascii="Times New Roman" w:cs="Times New Roman" w:eastAsia="Times New Roman" w:hAnsi="Times New Roman"/>
                <w:sz w:val="18"/>
                <w:szCs w:val="18"/>
                <w:color w:val="auto"/>
              </w:rPr>
              <w:t>5,322,984</w:t>
            </w:r>
          </w:p>
        </w:tc>
        <w:tc>
          <w:tcPr>
            <w:tcW w:w="440" w:type="dxa"/>
            <w:vAlign w:val="bottom"/>
            <w:tcBorders>
              <w:top w:val="single" w:sz="8" w:color="EEEEEE"/>
            </w:tcBorders>
            <w:shd w:val="clear" w:color="auto" w:fill="EEEEEE"/>
          </w:tcPr>
          <w:p>
            <w:pPr>
              <w:spacing w:after="0"/>
              <w:rPr>
                <w:sz w:val="18"/>
                <w:szCs w:val="18"/>
                <w:color w:val="auto"/>
              </w:rPr>
            </w:pPr>
          </w:p>
        </w:tc>
        <w:tc>
          <w:tcPr>
            <w:tcW w:w="2460" w:type="dxa"/>
            <w:vAlign w:val="bottom"/>
            <w:tcBorders>
              <w:top w:val="single" w:sz="8" w:color="auto"/>
            </w:tcBorders>
            <w:shd w:val="clear" w:color="auto" w:fill="EEEEEE"/>
          </w:tcPr>
          <w:p>
            <w:pPr>
              <w:jc w:val="right"/>
              <w:ind w:right="770"/>
              <w:spacing w:after="0"/>
              <w:rPr>
                <w:sz w:val="20"/>
                <w:szCs w:val="20"/>
                <w:color w:val="auto"/>
              </w:rPr>
            </w:pPr>
            <w:r>
              <w:rPr>
                <w:rFonts w:ascii="Times New Roman" w:cs="Times New Roman" w:eastAsia="Times New Roman" w:hAnsi="Times New Roman"/>
                <w:sz w:val="18"/>
                <w:szCs w:val="18"/>
                <w:color w:val="auto"/>
              </w:rPr>
              <w:t>1,245,243</w:t>
            </w:r>
          </w:p>
        </w:tc>
        <w:tc>
          <w:tcPr>
            <w:tcW w:w="460" w:type="dxa"/>
            <w:vAlign w:val="bottom"/>
            <w:tcBorders>
              <w:top w:val="single" w:sz="8" w:color="EEEEEE"/>
            </w:tcBorders>
            <w:shd w:val="clear" w:color="auto" w:fill="EEEEEE"/>
          </w:tcPr>
          <w:p>
            <w:pPr>
              <w:spacing w:after="0"/>
              <w:rPr>
                <w:sz w:val="18"/>
                <w:szCs w:val="18"/>
                <w:color w:val="auto"/>
              </w:rPr>
            </w:pPr>
          </w:p>
        </w:tc>
        <w:tc>
          <w:tcPr>
            <w:tcW w:w="2460" w:type="dxa"/>
            <w:vAlign w:val="bottom"/>
            <w:tcBorders>
              <w:top w:val="single" w:sz="8" w:color="auto"/>
            </w:tcBorders>
            <w:shd w:val="clear" w:color="auto" w:fill="EEEEEE"/>
          </w:tcPr>
          <w:p>
            <w:pPr>
              <w:jc w:val="right"/>
              <w:ind w:right="850"/>
              <w:spacing w:after="0"/>
              <w:rPr>
                <w:sz w:val="20"/>
                <w:szCs w:val="20"/>
                <w:color w:val="auto"/>
              </w:rPr>
            </w:pPr>
            <w:r>
              <w:rPr>
                <w:rFonts w:ascii="Times New Roman" w:cs="Times New Roman" w:eastAsia="Times New Roman" w:hAnsi="Times New Roman"/>
                <w:sz w:val="18"/>
                <w:szCs w:val="18"/>
                <w:color w:val="auto"/>
              </w:rPr>
              <w:t>872,743</w:t>
            </w:r>
          </w:p>
        </w:tc>
        <w:tc>
          <w:tcPr>
            <w:tcW w:w="440" w:type="dxa"/>
            <w:vAlign w:val="bottom"/>
            <w:tcBorders>
              <w:top w:val="single" w:sz="8" w:color="EEEEEE"/>
            </w:tcBorders>
            <w:shd w:val="clear" w:color="auto" w:fill="EEEEEE"/>
          </w:tcPr>
          <w:p>
            <w:pPr>
              <w:spacing w:after="0"/>
              <w:rPr>
                <w:sz w:val="18"/>
                <w:szCs w:val="18"/>
                <w:color w:val="auto"/>
              </w:rPr>
            </w:pPr>
          </w:p>
        </w:tc>
        <w:tc>
          <w:tcPr>
            <w:tcW w:w="2480" w:type="dxa"/>
            <w:vAlign w:val="bottom"/>
            <w:tcBorders>
              <w:top w:val="single" w:sz="8" w:color="auto"/>
            </w:tcBorders>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4,091,791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32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INSEEGO CORP.</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73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Steven Gatoff</w:t>
            </w:r>
          </w:p>
        </w:tc>
      </w:tr>
      <w:tr>
        <w:trPr>
          <w:trHeight w:val="191"/>
        </w:trPr>
        <w:tc>
          <w:tcPr>
            <w:tcW w:w="36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7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Steven Gatoff</w:t>
            </w:r>
          </w:p>
        </w:tc>
      </w:tr>
      <w:tr>
        <w:trPr>
          <w:trHeight w:val="234"/>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2026-06-22T15:50:52Z</dcterms:created>
  <dcterms:modified xsi:type="dcterms:W3CDTF">2026-06-22T15:50:52Z</dcterms:modified>
</cp:coreProperties>
</file>