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4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473" w:type="dxa"/>
        <w:jc w:val="center"/>
        <w:tblInd w:w="0" w:type="dxa"/>
        <w:tblLayout w:type="fixed"/>
        <w:tblCellMar>
          <w:top w:w="28" w:type="dxa"/>
          <w:left w:w="28" w:type="dxa"/>
          <w:bottom w:w="28" w:type="dxa"/>
          <w:right w:w="28" w:type="dxa"/>
        </w:tblCellMar>
      </w:tblPr>
      <w:tblGrid>
        <w:gridCol w:w="446"/>
        <w:gridCol w:w="392"/>
        <w:gridCol w:w="393"/>
        <w:gridCol w:w="109"/>
        <w:gridCol w:w="109"/>
        <w:gridCol w:w="109"/>
        <w:gridCol w:w="267"/>
        <w:gridCol w:w="267"/>
        <w:gridCol w:w="381"/>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00" w:after="283"/>
              <w:jc w:val="center"/>
              <w:rPr>
                <w:rFonts w:ascii="Times New Roman;serif" w:hAnsi="Times New Roman;serif"/>
                <w:b/>
                <w:color w:val="000000"/>
                <w:sz w:val="36"/>
              </w:rPr>
            </w:pPr>
            <w:r>
              <w:rPr>
                <w:rFonts w:ascii="Times New Roman;serif" w:hAnsi="Times New Roman;serif"/>
                <w:b/>
                <w:color w:val="000000"/>
                <w:sz w:val="36"/>
              </w:rPr>
              <w:t>FORM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00" w:after="283"/>
              <w:jc w:val="center"/>
              <w:rPr>
                <w:rFonts w:ascii="Times New Roman;serif" w:hAnsi="Times New Roman;serif"/>
                <w:b/>
                <w:color w:val="000000"/>
                <w:sz w:val="36"/>
              </w:rPr>
            </w:pPr>
            <w:r>
              <w:rPr>
                <w:rFonts w:ascii="Times New Roman;serif" w:hAnsi="Times New Roman;serif"/>
                <w:b/>
                <w:color w:val="000000"/>
                <w:sz w:val="36"/>
              </w:rPr>
              <w:t>10-Q</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w:t>
      </w:r>
      <w:r>
        <w:rPr>
          <w:color w:val="000000"/>
        </w:rPr>
        <w:t xml:space="preserve">  </w:t>
      </w:r>
      <w:r>
        <w:rPr>
          <w:color w:val="000000"/>
          <w:u w:val="single"/>
        </w:rPr>
        <w:t>                     </w:t>
      </w:r>
      <w:r>
        <w:rPr>
          <w:color w:val="000000"/>
        </w:rPr>
        <w:t xml:space="preserve">   </w:t>
      </w:r>
      <w:r>
        <w:rPr>
          <w:rFonts w:ascii="Times New Roman;serif" w:hAnsi="Times New Roman;serif"/>
          <w:b/>
          <w:color w:val="000000"/>
          <w:sz w:val="20"/>
        </w:rPr>
        <w:t>to</w:t>
      </w:r>
      <w:r>
        <w:rPr>
          <w:color w:val="000000"/>
        </w:rPr>
        <w:t xml:space="preserve"> </w:t>
      </w:r>
      <w:r>
        <w:rPr>
          <w:color w:val="000000"/>
          <w:u w:val="single"/>
        </w:rPr>
        <w:t>                   </w:t>
      </w:r>
      <w:r>
        <w:rPr>
          <w:color w:val="000000"/>
        </w:rPr>
        <w:t> </w:t>
      </w:r>
      <w:r>
        <w:rPr>
          <w:rFonts w:ascii="Times New Roman;serif" w:hAnsi="Times New Roman;serif"/>
          <w:b w:val="false"/>
          <w:color w:val="000000"/>
          <w:sz w:val="20"/>
        </w:rPr>
        <w:t>.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001-38358 </w:t>
      </w:r>
    </w:p>
    <w:tbl>
      <w:tblPr>
        <w:tblW w:w="4256" w:type="dxa"/>
        <w:jc w:val="center"/>
        <w:tblInd w:w="0" w:type="dxa"/>
        <w:tblLayout w:type="fixed"/>
        <w:tblCellMar>
          <w:top w:w="28" w:type="dxa"/>
          <w:left w:w="28" w:type="dxa"/>
          <w:bottom w:w="28" w:type="dxa"/>
          <w:right w:w="28" w:type="dxa"/>
        </w:tblCellMar>
      </w:tblPr>
      <w:tblGrid>
        <w:gridCol w:w="124"/>
        <w:gridCol w:w="109"/>
        <w:gridCol w:w="109"/>
        <w:gridCol w:w="1146"/>
        <w:gridCol w:w="1146"/>
        <w:gridCol w:w="1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center"/>
              <w:rPr>
                <w:rFonts w:ascii="Times New Roman;serif" w:hAnsi="Times New Roman;serif"/>
                <w:b/>
                <w:color w:val="000000"/>
                <w:sz w:val="36"/>
              </w:rPr>
            </w:pPr>
            <w:r>
              <w:rPr>
                <w:rFonts w:ascii="Times New Roman;serif" w:hAnsi="Times New Roman;serif"/>
                <w:b/>
                <w:color w:val="000000"/>
                <w:sz w:val="36"/>
              </w:rPr>
              <w:t>INSEEGO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c>
      </w:tr>
    </w:tbl>
    <w:tbl>
      <w:tblPr>
        <w:tblW w:w="4822" w:type="dxa"/>
        <w:jc w:val="left"/>
        <w:tblInd w:w="0" w:type="dxa"/>
        <w:tblLayout w:type="fixed"/>
        <w:tblCellMar>
          <w:top w:w="28" w:type="dxa"/>
          <w:left w:w="28" w:type="dxa"/>
          <w:bottom w:w="28" w:type="dxa"/>
          <w:right w:w="28" w:type="dxa"/>
        </w:tblCellMar>
      </w:tblPr>
      <w:tblGrid>
        <w:gridCol w:w="555"/>
        <w:gridCol w:w="488"/>
        <w:gridCol w:w="488"/>
        <w:gridCol w:w="488"/>
        <w:gridCol w:w="488"/>
        <w:gridCol w:w="504"/>
        <w:gridCol w:w="109"/>
        <w:gridCol w:w="109"/>
        <w:gridCol w:w="109"/>
        <w:gridCol w:w="433"/>
        <w:gridCol w:w="433"/>
        <w:gridCol w:w="618"/>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81-3377646</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9710 Scranton Road, Suite 200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San Diego,</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92121</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(858) 812-3400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INSG</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w:t>
      </w:r>
      <w:r>
        <w:rPr>
          <w:rFonts w:ascii="Times New Roman;serif" w:hAnsi="Times New Roman;serif"/>
          <w:b w:val="false"/>
          <w:color w:val="000000"/>
          <w:sz w:val="18"/>
        </w:rPr>
        <w:t>(as defined in Rule 12b-2 of the Exchange Act)</w:t>
      </w:r>
      <w:r>
        <w:rPr>
          <w:rFonts w:ascii="Times New Roman;serif" w:hAnsi="Times New Roman;serif"/>
          <w:b w:val="false"/>
          <w:color w:val="000000"/>
          <w:sz w:val="20"/>
        </w:rPr>
        <w:t xml:space="preserve">.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October 30, 2025, was 15,327,475.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566" w:type="dxa"/>
        <w:jc w:val="center"/>
        <w:tblInd w:w="0" w:type="dxa"/>
        <w:tblLayout w:type="fixed"/>
        <w:tblCellMar>
          <w:top w:w="28" w:type="dxa"/>
          <w:left w:w="28" w:type="dxa"/>
          <w:bottom w:w="28" w:type="dxa"/>
          <w:right w:w="28" w:type="dxa"/>
        </w:tblCellMar>
      </w:tblPr>
      <w:tblGrid>
        <w:gridCol w:w="612"/>
        <w:gridCol w:w="539"/>
        <w:gridCol w:w="539"/>
        <w:gridCol w:w="2447"/>
        <w:gridCol w:w="2447"/>
        <w:gridCol w:w="2471"/>
        <w:gridCol w:w="149"/>
        <w:gridCol w:w="149"/>
        <w:gridCol w:w="213"/>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w:t>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100" w:after="100"/>
              <w:jc w:val="left"/>
              <w:rPr/>
            </w:pPr>
            <w:hyperlink w:anchor="id96a2849732947f0834bd86cd7e6a5f8_13">
              <w:r>
                <w:rPr>
                  <w:rStyle w:val="InternetLink"/>
                  <w:rFonts w:ascii="Times New Roman;serif" w:hAnsi="Times New Roman;serif"/>
                  <w:b w:val="false"/>
                  <w:strike w:val="false"/>
                  <w:dstrike w:val="false"/>
                  <w:color w:val="0000FF"/>
                  <w:sz w:val="20"/>
                  <w:u w:val="none"/>
                  <w:effect w:val="none"/>
                </w:rPr>
                <w:t>PART I—FINANCIAL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3">
              <w:r>
                <w:rPr>
                  <w:rStyle w:val="InternetLink"/>
                  <w:rFonts w:ascii="Times New Roman;serif" w:hAnsi="Times New Roman;serif"/>
                  <w:b w:val="false"/>
                  <w:strike w:val="false"/>
                  <w:dstrike w:val="false"/>
                  <w:color w:val="0000FF"/>
                  <w:sz w:val="20"/>
                  <w:u w:val="none"/>
                  <w:effect w:val="non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3">
              <w:r>
                <w:rPr>
                  <w:rStyle w:val="InternetLink"/>
                  <w:rFonts w:ascii="Times New Roman;serif" w:hAnsi="Times New Roman;serif"/>
                  <w:b w:val="false"/>
                  <w:strike w:val="false"/>
                  <w:dstrike w:val="false"/>
                  <w:color w:val="0000FF"/>
                  <w:sz w:val="20"/>
                  <w:u w:val="none"/>
                  <w:effect w:val="none"/>
                </w:rPr>
                <w:t>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3">
              <w:r>
                <w:rPr>
                  <w:rStyle w:val="InternetLink"/>
                  <w:rFonts w:ascii="Times New Roman;serif" w:hAnsi="Times New Roman;serif"/>
                  <w:b w:val="false"/>
                  <w:strike w:val="false"/>
                  <w:dstrike w:val="false"/>
                  <w:color w:val="0000FF"/>
                  <w:sz w:val="20"/>
                  <w:u w:val="none"/>
                  <w:effect w:val="none"/>
                </w:rPr>
                <w:t>Condensed Consolidated Balance Sheets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3">
              <w:r>
                <w:rPr>
                  <w:rStyle w:val="InternetLink"/>
                  <w:rFonts w:ascii="Times New Roman;serif" w:hAnsi="Times New Roman;serif"/>
                  <w:b w:val="false"/>
                  <w:strike w:val="false"/>
                  <w:dstrike w:val="false"/>
                  <w:color w:val="0000FF"/>
                  <w:sz w:val="20"/>
                  <w:u w:val="none"/>
                  <w:effect w:val="none"/>
                </w:rPr>
                <w:t>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6">
              <w:r>
                <w:rPr>
                  <w:rStyle w:val="InternetLink"/>
                  <w:rFonts w:ascii="Times New Roman;serif" w:hAnsi="Times New Roman;serif"/>
                  <w:b w:val="false"/>
                  <w:strike w:val="false"/>
                  <w:dstrike w:val="false"/>
                  <w:color w:val="0000FF"/>
                  <w:sz w:val="20"/>
                  <w:u w:val="none"/>
                  <w:effect w:val="none"/>
                </w:rPr>
                <w:t>Condensed Consolidated Statements of Operations and Comprehensive Loss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6">
              <w:r>
                <w:rPr>
                  <w:rStyle w:val="InternetLink"/>
                  <w:rFonts w:ascii="Times New Roman;serif" w:hAnsi="Times New Roman;serif"/>
                  <w:b w:val="false"/>
                  <w:strike w:val="false"/>
                  <w:dstrike w:val="false"/>
                  <w:color w:val="0000FF"/>
                  <w:sz w:val="20"/>
                  <w:u w:val="none"/>
                  <w:effect w:val="none"/>
                </w:rPr>
                <w:t>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25">
              <w:r>
                <w:rPr>
                  <w:rStyle w:val="InternetLink"/>
                  <w:rFonts w:ascii="Times New Roman;serif" w:hAnsi="Times New Roman;serif"/>
                  <w:b w:val="false"/>
                  <w:strike w:val="false"/>
                  <w:dstrike w:val="false"/>
                  <w:color w:val="0000FF"/>
                  <w:sz w:val="20"/>
                  <w:u w:val="none"/>
                  <w:effect w:val="none"/>
                </w:rPr>
                <w:t>Condensed Consolidated Statements of Stockholders’ Deficit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25">
              <w:r>
                <w:rPr>
                  <w:rStyle w:val="InternetLink"/>
                  <w:rFonts w:ascii="Times New Roman;serif" w:hAnsi="Times New Roman;serif"/>
                  <w:b w:val="false"/>
                  <w:strike w:val="false"/>
                  <w:dstrike w:val="false"/>
                  <w:color w:val="0000FF"/>
                  <w:sz w:val="20"/>
                  <w:u w:val="none"/>
                  <w:effect w:val="none"/>
                </w:rPr>
                <w:t>7</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rPr>
            </w:pPr>
            <w:r>
              <w:rPr>
                <w:rFonts w:ascii="Times New Roman;serif" w:hAnsi="Times New Roman;serif"/>
                <w:b w:val="false"/>
                <w:color w:val="0000FF"/>
                <w:sz w:val="20"/>
              </w:rPr>
              <w:t>Condensed Consolidated Statements of Cash Flows (Unaudited)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28">
              <w:r>
                <w:rPr>
                  <w:rStyle w:val="InternetLink"/>
                  <w:rFonts w:ascii="Times New Roman;serif" w:hAnsi="Times New Roman;serif"/>
                  <w:b w:val="false"/>
                  <w:strike w:val="false"/>
                  <w:dstrike w:val="false"/>
                  <w:color w:val="0000FF"/>
                  <w:sz w:val="20"/>
                  <w:u w:val="none"/>
                  <w:effect w:val="none"/>
                </w:rPr>
                <w:t>8</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31">
              <w:r>
                <w:rPr>
                  <w:rStyle w:val="InternetLink"/>
                  <w:rFonts w:ascii="Times New Roman;serif" w:hAnsi="Times New Roman;serif"/>
                  <w:b w:val="false"/>
                  <w:strike w:val="false"/>
                  <w:dstrike w:val="false"/>
                  <w:color w:val="0000FF"/>
                  <w:sz w:val="20"/>
                  <w:u w:val="none"/>
                  <w:effect w:val="none"/>
                </w:rPr>
                <w:t>Notes to Condensed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31">
              <w:r>
                <w:rPr>
                  <w:rStyle w:val="InternetLink"/>
                  <w:rFonts w:ascii="Times New Roman;serif" w:hAnsi="Times New Roman;serif"/>
                  <w:b w:val="false"/>
                  <w:strike w:val="false"/>
                  <w:dstrike w:val="false"/>
                  <w:color w:val="0000FF"/>
                  <w:sz w:val="20"/>
                  <w:u w:val="none"/>
                  <w:effect w:val="none"/>
                </w:rPr>
                <w:t>9</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080"/>
              <w:jc w:val="left"/>
              <w:rPr/>
            </w:pPr>
            <w:hyperlink w:anchor="id96a2849732947f0834bd86cd7e6a5f8_94">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94">
              <w:r>
                <w:rPr>
                  <w:rStyle w:val="InternetLink"/>
                  <w:rFonts w:ascii="Times New Roman;serif" w:hAnsi="Times New Roman;serif"/>
                  <w:b w:val="false"/>
                  <w:strike w:val="false"/>
                  <w:dstrike w:val="false"/>
                  <w:color w:val="0000FF"/>
                  <w:sz w:val="20"/>
                  <w:u w:val="none"/>
                  <w:effect w:val="none"/>
                </w:rPr>
                <w:t>25</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06">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06">
              <w:r>
                <w:rPr>
                  <w:rStyle w:val="InternetLink"/>
                  <w:rFonts w:ascii="Times New Roman;serif" w:hAnsi="Times New Roman;serif"/>
                  <w:b w:val="false"/>
                  <w:strike w:val="false"/>
                  <w:dstrike w:val="false"/>
                  <w:color w:val="0000FF"/>
                  <w:sz w:val="20"/>
                  <w:u w:val="none"/>
                  <w:effect w:val="none"/>
                </w:rPr>
                <w:t>36</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09">
              <w:r>
                <w:rPr>
                  <w:rStyle w:val="InternetLink"/>
                  <w:rFonts w:ascii="Times New Roman;serif" w:hAnsi="Times New Roman;serif"/>
                  <w:b w:val="false"/>
                  <w:strike w:val="false"/>
                  <w:dstrike w:val="false"/>
                  <w:color w:val="0000FF"/>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09">
              <w:r>
                <w:rPr>
                  <w:rStyle w:val="InternetLink"/>
                  <w:rFonts w:ascii="Times New Roman;serif" w:hAnsi="Times New Roman;serif"/>
                  <w:b w:val="false"/>
                  <w:strike w:val="false"/>
                  <w:dstrike w:val="false"/>
                  <w:color w:val="0000FF"/>
                  <w:sz w:val="20"/>
                  <w:u w:val="none"/>
                  <w:effect w:val="none"/>
                </w:rPr>
                <w:t>36</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12">
              <w:r>
                <w:rPr>
                  <w:rStyle w:val="InternetLink"/>
                  <w:rFonts w:ascii="Times New Roman;serif" w:hAnsi="Times New Roman;serif"/>
                  <w:b w:val="false"/>
                  <w:strike w:val="false"/>
                  <w:dstrike w:val="false"/>
                  <w:color w:val="0000FF"/>
                  <w:sz w:val="20"/>
                  <w:u w:val="none"/>
                  <w:effect w:val="none"/>
                </w:rPr>
                <w:t>PART II—OTHER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15">
              <w:r>
                <w:rPr>
                  <w:rStyle w:val="InternetLink"/>
                  <w:rFonts w:ascii="Times New Roman;serif" w:hAnsi="Times New Roman;serif"/>
                  <w:b w:val="false"/>
                  <w:strike w:val="false"/>
                  <w:dstrike w:val="false"/>
                  <w:color w:val="0000FF"/>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15">
              <w:r>
                <w:rPr>
                  <w:rStyle w:val="InternetLink"/>
                  <w:rFonts w:ascii="Times New Roman;serif" w:hAnsi="Times New Roman;serif"/>
                  <w:b w:val="false"/>
                  <w:strike w:val="false"/>
                  <w:dstrike w:val="false"/>
                  <w:color w:val="0000FF"/>
                  <w:sz w:val="20"/>
                  <w:u w:val="none"/>
                  <w:effect w:val="none"/>
                </w:rPr>
                <w:t>38</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18">
              <w:r>
                <w:rPr>
                  <w:rStyle w:val="InternetLink"/>
                  <w:rFonts w:ascii="Times New Roman;serif" w:hAnsi="Times New Roman;serif"/>
                  <w:b w:val="false"/>
                  <w:strike w:val="false"/>
                  <w:dstrike w:val="false"/>
                  <w:color w:val="0000FF"/>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18">
              <w:r>
                <w:rPr>
                  <w:rStyle w:val="InternetLink"/>
                  <w:rFonts w:ascii="Times New Roman;serif" w:hAnsi="Times New Roman;serif"/>
                  <w:b w:val="false"/>
                  <w:strike w:val="false"/>
                  <w:dstrike w:val="false"/>
                  <w:color w:val="0000FF"/>
                  <w:sz w:val="20"/>
                  <w:u w:val="none"/>
                  <w:effect w:val="none"/>
                </w:rPr>
                <w:t>38</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21">
              <w:r>
                <w:rPr>
                  <w:rStyle w:val="InternetLink"/>
                  <w:rFonts w:ascii="Times New Roman;serif" w:hAnsi="Times New Roman;serif"/>
                  <w:b w:val="false"/>
                  <w:strike w:val="false"/>
                  <w:dstrike w:val="false"/>
                  <w:color w:val="0000FF"/>
                  <w:sz w:val="20"/>
                  <w:u w:val="none"/>
                  <w:effect w:val="non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21">
              <w:r>
                <w:rPr>
                  <w:rStyle w:val="InternetLink"/>
                  <w:rFonts w:ascii="Times New Roman;serif" w:hAnsi="Times New Roman;serif"/>
                  <w:b w:val="false"/>
                  <w:strike w:val="false"/>
                  <w:dstrike w:val="false"/>
                  <w:color w:val="0000FF"/>
                  <w:sz w:val="20"/>
                  <w:u w:val="none"/>
                  <w:effect w:val="none"/>
                </w:rPr>
                <w:t>38</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24">
              <w:r>
                <w:rPr>
                  <w:rStyle w:val="InternetLink"/>
                  <w:rFonts w:ascii="Times New Roman;serif" w:hAnsi="Times New Roman;serif"/>
                  <w:b w:val="false"/>
                  <w:strike w:val="false"/>
                  <w:dstrike w:val="false"/>
                  <w:color w:val="0000FF"/>
                  <w:sz w:val="20"/>
                  <w:u w:val="none"/>
                  <w:effect w:val="non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24">
              <w:r>
                <w:rPr>
                  <w:rStyle w:val="InternetLink"/>
                  <w:rFonts w:ascii="Times New Roman;serif" w:hAnsi="Times New Roman;serif"/>
                  <w:b w:val="false"/>
                  <w:strike w:val="false"/>
                  <w:dstrike w:val="false"/>
                  <w:color w:val="0000FF"/>
                  <w:sz w:val="20"/>
                  <w:u w:val="none"/>
                  <w:effect w:val="none"/>
                </w:rPr>
                <w:t>38</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27">
              <w:r>
                <w:rPr>
                  <w:rStyle w:val="InternetLink"/>
                  <w:rFonts w:ascii="Times New Roman;serif" w:hAnsi="Times New Roman;serif"/>
                  <w:b w:val="false"/>
                  <w:strike w:val="false"/>
                  <w:dstrike w:val="false"/>
                  <w:color w:val="0000FF"/>
                  <w:sz w:val="20"/>
                  <w:u w:val="none"/>
                  <w:effect w:val="non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27">
              <w:r>
                <w:rPr>
                  <w:rStyle w:val="InternetLink"/>
                  <w:rFonts w:ascii="Times New Roman;serif" w:hAnsi="Times New Roman;serif"/>
                  <w:b w:val="false"/>
                  <w:strike w:val="false"/>
                  <w:dstrike w:val="false"/>
                  <w:color w:val="0000FF"/>
                  <w:sz w:val="20"/>
                  <w:u w:val="none"/>
                  <w:effect w:val="none"/>
                </w:rPr>
                <w:t>38</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30">
              <w:r>
                <w:rPr>
                  <w:rStyle w:val="InternetLink"/>
                  <w:rFonts w:ascii="Times New Roman;serif" w:hAnsi="Times New Roman;serif"/>
                  <w:b w:val="false"/>
                  <w:strike w:val="false"/>
                  <w:dstrike w:val="false"/>
                  <w:color w:val="0000FF"/>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30">
              <w:r>
                <w:rPr>
                  <w:rStyle w:val="InternetLink"/>
                  <w:rFonts w:ascii="Times New Roman;serif" w:hAnsi="Times New Roman;serif"/>
                  <w:b w:val="false"/>
                  <w:strike w:val="false"/>
                  <w:dstrike w:val="false"/>
                  <w:color w:val="0000FF"/>
                  <w:sz w:val="20"/>
                  <w:u w:val="none"/>
                  <w:effect w:val="none"/>
                </w:rPr>
                <w:t>38</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33">
              <w:r>
                <w:rPr>
                  <w:rStyle w:val="InternetLink"/>
                  <w:rFonts w:ascii="Times New Roman;serif" w:hAnsi="Times New Roman;serif"/>
                  <w:b w:val="false"/>
                  <w:strike w:val="false"/>
                  <w:dstrike w:val="false"/>
                  <w:color w:val="0000FF"/>
                  <w:sz w:val="20"/>
                  <w:u w:val="none"/>
                  <w:effect w:val="non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33">
              <w:r>
                <w:rPr>
                  <w:rStyle w:val="InternetLink"/>
                  <w:rFonts w:ascii="Times New Roman;serif" w:hAnsi="Times New Roman;serif"/>
                  <w:b w:val="false"/>
                  <w:strike w:val="false"/>
                  <w:dstrike w:val="false"/>
                  <w:color w:val="0000FF"/>
                  <w:sz w:val="20"/>
                  <w:u w:val="none"/>
                  <w:effect w:val="none"/>
                </w:rPr>
                <w:t>39</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96a2849732947f0834bd86cd7e6a5f8_136">
              <w:r>
                <w:rPr>
                  <w:rStyle w:val="InternetLink"/>
                  <w:rFonts w:ascii="Times New Roman;serif" w:hAnsi="Times New Roman;serif"/>
                  <w:b w:val="false"/>
                  <w:strike w:val="false"/>
                  <w:dstrike w:val="false"/>
                  <w:color w:val="0000FF"/>
                  <w:sz w:val="20"/>
                  <w:u w:val="none"/>
                  <w:effect w:val="non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2849732947f0834bd86cd7e6a5f8_136">
              <w:r>
                <w:rPr>
                  <w:rStyle w:val="InternetLink"/>
                  <w:rFonts w:ascii="Times New Roman;serif" w:hAnsi="Times New Roman;serif"/>
                  <w:b w:val="false"/>
                  <w:strike w:val="false"/>
                  <w:dstrike w:val="false"/>
                  <w:color w:val="0000FF"/>
                  <w:sz w:val="20"/>
                  <w:u w:val="none"/>
                  <w:effect w:val="non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lineRule="auto" w:line="288" w:before="100" w:after="100"/>
        <w:jc w:val="left"/>
        <w:rPr/>
      </w:pPr>
      <w:r>
        <w:rPr>
          <w:rFonts w:ascii="Times New Roman;serif" w:hAnsi="Times New Roman;serif"/>
          <w:b/>
          <w:color w:val="000000"/>
          <w:sz w:val="20"/>
        </w:rPr>
        <w:t>Item 1.     </w:t>
      </w:r>
      <w:r>
        <w:rPr>
          <w:rFonts w:ascii="Times New Roman;serif" w:hAnsi="Times New Roman;serif"/>
          <w:b/>
          <w:i/>
          <w:color w:val="000000"/>
          <w:sz w:val="20"/>
        </w:rPr>
        <w:t>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par value, share and per share data)</w:t>
      </w:r>
    </w:p>
    <w:tbl>
      <w:tblPr>
        <w:tblW w:w="10205" w:type="dxa"/>
        <w:jc w:val="left"/>
        <w:tblInd w:w="0" w:type="dxa"/>
        <w:tblLayout w:type="fixed"/>
        <w:tblCellMar>
          <w:top w:w="28" w:type="dxa"/>
          <w:left w:w="28" w:type="dxa"/>
          <w:bottom w:w="28" w:type="dxa"/>
          <w:right w:w="28" w:type="dxa"/>
        </w:tblCellMar>
      </w:tblPr>
      <w:tblGrid>
        <w:gridCol w:w="3115"/>
        <w:gridCol w:w="2278"/>
        <w:gridCol w:w="2286"/>
        <w:gridCol w:w="235"/>
        <w:gridCol w:w="775"/>
        <w:gridCol w:w="131"/>
        <w:gridCol w:w="109"/>
        <w:gridCol w:w="109"/>
        <w:gridCol w:w="109"/>
        <w:gridCol w:w="207"/>
        <w:gridCol w:w="684"/>
        <w:gridCol w:w="167"/>
      </w:tblGrid>
      <w:tr>
        <w:trPr/>
        <w:tc>
          <w:tcPr>
            <w:tcW w:w="3115"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Accounts receivable, net of allowance for expected credit losses of $176 and $123, respectively</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72,900 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 of $29,423 and $28,897, respectively</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Intangible assets, net of accumulated amortization of $37,098 and $33,558, respectively</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85,813 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Convertible Notes, net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63,471 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Senior Secured Notes, net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93,531 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112,857 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2,000,000 shares authorized:</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39,500 shares designated, 25,000 shares issued and outstanding as of both September 30, 2025 and December 31, 2024 (aggregate liquidation preference of $41,043 as of September 30, 2025)</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$0.001; 150,000,000 shares authorized, 15,212,522 and 14,990,712 shares issued and outstanding as of September 30, 2025 and December 31, 2024, respectively</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899,808 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892,534 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(907,906)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(905,625)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85,813 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77"/>
        <w:gridCol w:w="1457"/>
        <w:gridCol w:w="1463"/>
        <w:gridCol w:w="223"/>
        <w:gridCol w:w="738"/>
        <w:gridCol w:w="109"/>
        <w:gridCol w:w="109"/>
        <w:gridCol w:w="109"/>
        <w:gridCol w:w="109"/>
        <w:gridCol w:w="223"/>
        <w:gridCol w:w="738"/>
        <w:gridCol w:w="109"/>
        <w:gridCol w:w="109"/>
        <w:gridCol w:w="109"/>
        <w:gridCol w:w="109"/>
        <w:gridCol w:w="223"/>
        <w:gridCol w:w="738"/>
        <w:gridCol w:w="109"/>
        <w:gridCol w:w="109"/>
        <w:gridCol w:w="109"/>
        <w:gridCol w:w="109"/>
        <w:gridCol w:w="223"/>
        <w:gridCol w:w="738"/>
        <w:gridCol w:w="156"/>
      </w:tblGrid>
      <w:tr>
        <w:trPr/>
        <w:tc>
          <w:tcPr>
            <w:tcW w:w="197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Mobile solutions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wireless access solutions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revolving credit facility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restructurings,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income tax provision (benefit) of $—, $266, $400 and $674, respectively)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dividends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attributable to common stockholders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 share data:</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per share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earnings (loss) per share*</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computation of net earnings (loss) per share</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12,336,503 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12,036,989 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13,218,293 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12,036,989 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*rounding may impact summation of amounts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firstLine="72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330" w:type="dxa"/>
        <w:jc w:val="left"/>
        <w:tblInd w:w="0" w:type="dxa"/>
        <w:tblLayout w:type="fixed"/>
        <w:tblCellMar>
          <w:top w:w="28" w:type="dxa"/>
          <w:left w:w="28" w:type="dxa"/>
          <w:bottom w:w="28" w:type="dxa"/>
          <w:right w:w="28" w:type="dxa"/>
        </w:tblCellMar>
      </w:tblPr>
      <w:tblGrid>
        <w:gridCol w:w="630"/>
        <w:gridCol w:w="225"/>
        <w:gridCol w:w="226"/>
        <w:gridCol w:w="203"/>
        <w:gridCol w:w="203"/>
        <w:gridCol w:w="171"/>
        <w:gridCol w:w="109"/>
        <w:gridCol w:w="109"/>
        <w:gridCol w:w="109"/>
        <w:gridCol w:w="196"/>
        <w:gridCol w:w="406"/>
        <w:gridCol w:w="109"/>
        <w:gridCol w:w="109"/>
        <w:gridCol w:w="109"/>
        <w:gridCol w:w="109"/>
        <w:gridCol w:w="323"/>
        <w:gridCol w:w="323"/>
        <w:gridCol w:w="171"/>
        <w:gridCol w:w="109"/>
        <w:gridCol w:w="109"/>
        <w:gridCol w:w="109"/>
        <w:gridCol w:w="196"/>
        <w:gridCol w:w="331"/>
        <w:gridCol w:w="109"/>
        <w:gridCol w:w="109"/>
        <w:gridCol w:w="109"/>
        <w:gridCol w:w="109"/>
        <w:gridCol w:w="196"/>
        <w:gridCol w:w="736"/>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 xml:space="preserve">Comprehensive (Loss)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2024</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11,910 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816,002 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(912,357)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(101,763)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warrants in connection with debt restructurings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debt restructurings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2024</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2025</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(907,906)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 Adjusted retroactively for reverse stock split that occurred on January 24, 2024, see Note 1</w:t>
      </w:r>
    </w:p>
    <w:p>
      <w:pPr>
        <w:pStyle w:val="TextBody"/>
        <w:bidi w:val="0"/>
        <w:spacing w:before="10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330" w:type="dxa"/>
        <w:jc w:val="left"/>
        <w:tblInd w:w="0" w:type="dxa"/>
        <w:tblLayout w:type="fixed"/>
        <w:tblCellMar>
          <w:top w:w="28" w:type="dxa"/>
          <w:left w:w="28" w:type="dxa"/>
          <w:bottom w:w="28" w:type="dxa"/>
          <w:right w:w="28" w:type="dxa"/>
        </w:tblCellMar>
      </w:tblPr>
      <w:tblGrid>
        <w:gridCol w:w="630"/>
        <w:gridCol w:w="225"/>
        <w:gridCol w:w="226"/>
        <w:gridCol w:w="203"/>
        <w:gridCol w:w="203"/>
        <w:gridCol w:w="171"/>
        <w:gridCol w:w="109"/>
        <w:gridCol w:w="109"/>
        <w:gridCol w:w="109"/>
        <w:gridCol w:w="196"/>
        <w:gridCol w:w="406"/>
        <w:gridCol w:w="109"/>
        <w:gridCol w:w="109"/>
        <w:gridCol w:w="109"/>
        <w:gridCol w:w="109"/>
        <w:gridCol w:w="323"/>
        <w:gridCol w:w="323"/>
        <w:gridCol w:w="171"/>
        <w:gridCol w:w="109"/>
        <w:gridCol w:w="109"/>
        <w:gridCol w:w="109"/>
        <w:gridCol w:w="196"/>
        <w:gridCol w:w="331"/>
        <w:gridCol w:w="109"/>
        <w:gridCol w:w="109"/>
        <w:gridCol w:w="109"/>
        <w:gridCol w:w="109"/>
        <w:gridCol w:w="196"/>
        <w:gridCol w:w="736"/>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2023</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11,879 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810,138 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(906,928)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(5,327)</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(102,105)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warrants in connection with debt restructurings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debt restructurings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2024</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2025</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(907,906)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 Adjusted retroactively for reverse stock split that occurred on January 24, 2024, see Note 1</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ind w:left="0" w:right="0" w:hanging="9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ind w:left="0" w:right="0" w:hanging="9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ind w:left="0" w:right="0" w:hanging="90"/>
        <w:jc w:val="center"/>
        <w:rPr>
          <w:rFonts w:ascii="Times New Roman;serif" w:hAnsi="Times New Roman;serif"/>
          <w:b/>
          <w:color w:val="000000"/>
          <w:sz w:val="18"/>
        </w:rPr>
      </w:pPr>
      <w:r>
        <w:rPr>
          <w:rFonts w:ascii="Times New Roman;serif" w:hAnsi="Times New Roman;serif"/>
          <w:b/>
          <w:color w:val="000000"/>
          <w:sz w:val="18"/>
        </w:rPr>
        <w:t>(Unaudited)</w:t>
      </w:r>
    </w:p>
    <w:tbl>
      <w:tblPr>
        <w:tblW w:w="8393" w:type="dxa"/>
        <w:jc w:val="center"/>
        <w:tblInd w:w="0" w:type="dxa"/>
        <w:tblLayout w:type="fixed"/>
        <w:tblCellMar>
          <w:top w:w="28" w:type="dxa"/>
          <w:left w:w="28" w:type="dxa"/>
          <w:bottom w:w="28" w:type="dxa"/>
          <w:right w:w="28" w:type="dxa"/>
        </w:tblCellMar>
      </w:tblPr>
      <w:tblGrid>
        <w:gridCol w:w="2217"/>
        <w:gridCol w:w="1943"/>
        <w:gridCol w:w="1959"/>
        <w:gridCol w:w="196"/>
        <w:gridCol w:w="646"/>
        <w:gridCol w:w="109"/>
        <w:gridCol w:w="109"/>
        <w:gridCol w:w="109"/>
        <w:gridCol w:w="109"/>
        <w:gridCol w:w="196"/>
        <w:gridCol w:w="646"/>
        <w:gridCol w:w="154"/>
      </w:tblGrid>
      <w:tr>
        <w:trPr/>
        <w:tc>
          <w:tcPr>
            <w:tcW w:w="2217"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operating activities: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provided by (used in)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Loss from discontinued operations,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on extinguishment of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debt restructurings,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expected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capitalized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excess and obsolete 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early lease termination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debt discount (premium) and debt issuance costs,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operating lease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cash flows from continuing operations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cash provided by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Additions to capitalized software development costs and purchases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Investing cash flows from continuing operations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related to repayments of 2025 Convertible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issuance of short-term loan and warrants, net of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repayments on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Repayments on short-term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stock option exercises and employee stock purchase plan, net of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Financing cash flows from continuing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Financing cash flows from discontinued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cash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 of exchange rates on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increase (decrease) in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Supplemental disclosures of cash flow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during the year for:</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Supplemental disclosures of 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 expenditures financed through accounts payable or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 value issued in exchange for 2025 Convertible Notes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Right-of-use assets obtained in exchange for operating leases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90"/>
        <w:jc w:val="left"/>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Business and Significant Accounting Policies</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(“Financial Statements”) have been prepared by Inseego Corp. (the “Company”, “we”, “us” or “our”) in accordance with accounting principles generally accepted in the U.S. (“GAAP”) and applicable rules and regulations of the Securities and Exchange Commission (“SEC”) regarding interim financial reporting. The Financial Statements include the accounts of the Company and its consolidated subsidiaries. All significant intercompany balances and transactions have been eliminated in consolidation. These Financial Statements should be read in conjunction with the audited consolidated financial statements and notes as of and for the year ended December 31, 2024, included in the Company's Annual Report on Form 10-K for the year ended December 31, 2024 (the “Form 10-K”).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balance sheet as of December 31, 2024 was derived from the audited consolidated financial statements as of that date, but does not include all disclosures required by GAAP. In management’s opinion, the accompanying Financial Statements reflect all normal recurring adjustments necessary for their fair presentation. Other than described below, there have been no changes to the Company’s significant accounting policies described in the Form 10-K that have had a material impact on the Company’s Financial Statements. The results of operations for the interim periods presented are not necessarily indicative of results to be expected for any other interim period or for the year as a whole. </w:t>
      </w:r>
    </w:p>
    <w:p>
      <w:pPr>
        <w:pStyle w:val="TextBody"/>
        <w:bidi w:val="0"/>
        <w:spacing w:lineRule="auto" w:line="276" w:before="180" w:after="180"/>
        <w:ind w:left="0" w:right="0" w:firstLine="45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Divestiture of the Telematics Business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On November 27, 2024, the Company completed the previously announced sale of its telematics solutions business, which has operations in the United Kingdom, Europe, Australia and New Zealand (the “Telematics Business”). The sale of the Telematics Business was completed pursuant to the Share Purchase Agreement, which was entered into on September 16, 2024 with Light Sabre SPV Limited (the “Purchase Agreement”). Pursuant to the terms of the Purchase Agreement, Ctrack Holdings (the “Purchaser”), as assignee of Light Sabre SPV Limited, acquired the entire issued share capital of the Company’s Inseego International Holdings Limited subsidiary for</w:t>
      </w:r>
      <w:r>
        <w:rPr>
          <w:color w:val="000000"/>
          <w:shd w:fill="FFFFFF" w:val="clear"/>
        </w:rPr>
        <w:t xml:space="preserve"> </w:t>
      </w:r>
      <w:r>
        <w:rPr>
          <w:rFonts w:ascii="Times New Roman;serif" w:hAnsi="Times New Roman;serif"/>
          <w:b w:val="false"/>
          <w:color w:val="000000"/>
          <w:sz w:val="20"/>
          <w:shd w:fill="FFFFFF" w:val="clear"/>
        </w:rPr>
        <w:t xml:space="preserve">$52.0 million </w:t>
      </w:r>
      <w:r>
        <w:rPr>
          <w:rFonts w:ascii="Times New Roman;serif" w:hAnsi="Times New Roman;serif"/>
          <w:b w:val="false"/>
          <w:color w:val="000000"/>
          <w:sz w:val="20"/>
        </w:rPr>
        <w:t xml:space="preserve">in an all-cash transaction (the “Sale Transaction”). The Purchase Agreement provided for a working capital adjustment, which was determined in December 2024 and funded in January 2025, resulting in an increase to the initial purchase consideration of </w:t>
      </w:r>
      <w:r>
        <w:rPr>
          <w:rFonts w:ascii="Times New Roman;serif" w:hAnsi="Times New Roman;serif"/>
          <w:b w:val="false"/>
          <w:color w:val="000000"/>
          <w:sz w:val="20"/>
          <w:shd w:fill="FFFFFF" w:val="clear"/>
        </w:rPr>
        <w:t>$0.7 million</w:t>
      </w:r>
      <w:r>
        <w:rPr>
          <w:color w:val="000000"/>
        </w:rPr>
        <w:t xml:space="preserve"> </w:t>
      </w:r>
      <w:r>
        <w:rPr>
          <w:rFonts w:ascii="Times New Roman;serif" w:hAnsi="Times New Roman;serif"/>
          <w:b w:val="false"/>
          <w:color w:val="000000"/>
          <w:sz w:val="20"/>
        </w:rPr>
        <w:t>as a result of changes in closing working capital and net debt.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accordance with the authoritative guidance for discontinued operations (Accounting Standards Codification (“ASC”) 205-20), the Company determined that the Telematics Business met the held-for sale and discontinued operations accounting criteria at the end of the third quarter of 2024. Accordingly, within these consolidated financial statements, the assets and liabilities associated with the Telematics Business disposal group prior to its sale have been classified as held for sale within the Condensed Consolidated Balance Sheets and its operations and cash flows have been classified as discontinued operations within the Condensed Consolidated Statements of Operations and Comprehensive Income and Condensed Consolidated Statements of Cash Flows.</w:t>
      </w:r>
    </w:p>
    <w:p>
      <w:pPr>
        <w:pStyle w:val="TextBody"/>
        <w:bidi w:val="0"/>
        <w:spacing w:lineRule="auto" w:line="276" w:before="180" w:after="180"/>
        <w:ind w:left="0" w:right="0" w:firstLine="45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2 – Discontinued Operations and Held for Sale</w:t>
      </w:r>
      <w:r>
        <w:rPr>
          <w:color w:val="000000"/>
        </w:rPr>
        <w:t xml:space="preserve"> </w:t>
      </w:r>
      <w:r>
        <w:rPr>
          <w:rFonts w:ascii="Times New Roman;serif" w:hAnsi="Times New Roman;serif"/>
          <w:b w:val="false"/>
          <w:color w:val="000000"/>
          <w:sz w:val="20"/>
        </w:rPr>
        <w:t>for additional information regarding the Telematics Business, including the assets and liabilities divested and income from discontinued operations. Unless otherwise noted, disclosures within these remaining Notes to Condensed Consolidated Financial Statements relate solely to the Company's continuing operations.</w:t>
      </w:r>
    </w:p>
    <w:p>
      <w:pPr>
        <w:pStyle w:val="TextBody"/>
        <w:bidi w:val="0"/>
        <w:spacing w:lineRule="auto" w:line="276" w:before="180" w:after="180"/>
        <w:ind w:left="0" w:right="0" w:firstLine="45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Held for Sale and Discontinued Operations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classifies assets and liabilities to be sold (disposal group) as held for sale in the period when all of the applicable criteria are met, including: (i) management commits to a plan to sell, (ii) the disposal group is available to sell in its present condition, (iii) there is an active program to locate a buyer, (iv) the disposal group is being actively marketed at a reasonable price in relation to its fair value, (v) significant changes to the plan to sell are unlikely, and (vi) the sale of the disposal group is generally probable of being completed within one year. Management performs an assessment at least quarterly or when events or changes in business circumstances indicate that a change in classification may be necessary.</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held for sale are presented separately within the Condensed Consolidated Balance Sheets with any adjustments necessary to measure the disposal group at the lower of its carrying value or fair value less costs to sell. Depreciation of property, plant and equipment and amortization of intangible and right-of-use assets are not recorded while these assets are classified as held for sale. For each period the disposal group remains classified as held for sale,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jc w:val="both"/>
        <w:rPr>
          <w:rFonts w:ascii="Times New Roman;serif" w:hAnsi="Times New Roman;serif"/>
          <w:b w:val="false"/>
          <w:color w:val="000000"/>
          <w:sz w:val="20"/>
        </w:rPr>
      </w:pPr>
      <w:r>
        <w:rPr>
          <w:rFonts w:ascii="Times New Roman;serif" w:hAnsi="Times New Roman;serif"/>
          <w:b w:val="false"/>
          <w:color w:val="000000"/>
          <w:sz w:val="20"/>
        </w:rPr>
        <w:t>recoverability is reassessed and any necessary adjustments are made to its carrying value. No impairment upon classification as held for sale was recorded during the year ended December 31, 2024.</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reports the results of operations of a business as discontinued operations if a disposal represents a strategic shift that will have a major effect on its operations and financial results. The results of discontinued operations are reported as Income from discontinued operations, net of tax in the Condensed Consolidated Statements of Operations and Comprehensive Income for the current and prior periods commencing in the period in which the held for sale criteria are met. Income from discontinued operations, net of tax includes direct costs attributable to the divested business and excludes any cost allocations associated with any shared or corporate functions unless otherwise dedicated to the divested business. Income from discontinued operations, net of tax will include any gain or loss recognized upon disposition or from adjustment of the carrying amount to fair value less costs to sell while classified as held for sale.</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Transactions between the businesses held for sale and businesses held for use that are expected to continue after the disposal are not eliminated in order to appropriately reflect the continuing operations as well as the activity to be disposed of. Interest costs are included as a component of Income from discontinued operations, net of tax for debt specifically attributable to the discontinued operation or debt that is obligated to be repaid in connection with the completion of the divestiture. Activity within comprehensive income directly associated with a divested business is not realized as a component of Income from discontinued operations, net of tax until completion of the sale or disposition.</w:t>
      </w:r>
    </w:p>
    <w:p>
      <w:pPr>
        <w:pStyle w:val="TextBody"/>
        <w:bidi w:val="0"/>
        <w:spacing w:lineRule="auto" w:line="276" w:before="18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24, 2024, the Company completed a 1-for-10 reverse stock split of its issued and outstanding common stock (the “Reverse Stock Split”). As a result of the Reverse Stock Split, each share of common stock issued and outstanding immediately prior to January 24th was automatically converted into one-tenth (1/10) of a share of common stock. The Reverse Stock Split affected all common stockholders uniformly and did not alter any stockholder's percentage interest in the Company's equity, except to the extent that the Reverse Stock Split would result in a stockholder owning a fractional share. No fractional shares were issued in connection with the Reverse Stock Split. Stockholders who otherwise would be entitled to receive a fractional share instead were entitled to receive cash in lieu of such fractional share.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Reverse Stock Split did not change the par value of the common stock or the authorized number of shares of common stock. All outstanding convertible notes entitling their holders to purchase or obtain or convert into shares of our common stock were adjusted, as required by the terms of these securities.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 common share and per-share amounts in this Form 10-Q have been retroactively restated to reflect the effect of the Reverse Stock Split. </w:t>
      </w:r>
    </w:p>
    <w:p>
      <w:pPr>
        <w:pStyle w:val="TextBody"/>
        <w:bidi w:val="0"/>
        <w:spacing w:lineRule="auto" w:line="276" w:before="180" w:after="180"/>
        <w:ind w:left="0" w:right="0" w:firstLine="45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Segment Information</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The Company has one reportable segment.</w:t>
      </w:r>
      <w:r>
        <w:rPr>
          <w:color w:val="000000"/>
        </w:rPr>
        <w:t xml:space="preserve"> </w:t>
      </w:r>
      <w:r>
        <w:rPr>
          <w:rFonts w:ascii="Times New Roman;serif" w:hAnsi="Times New Roman;serif"/>
          <w:b w:val="false"/>
          <w:color w:val="000000"/>
          <w:sz w:val="20"/>
        </w:rPr>
        <w:t>The Company’s Executive Chairman, who was the Company’s Chief Operating Decision Maker (“CODM”) as of December 31, 2024, left the Company in February 2025, at which point, the Company’s CODM became its Chief Executive Officer (“CEO”). Neither of these CODMs manage any part of the Company separately, and the allocation of resources and assessment of performance is based solely on the Company’s consolidated operations and financial results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See </w:t>
      </w:r>
      <w:r>
        <w:rPr>
          <w:rFonts w:ascii="Times New Roman;serif" w:hAnsi="Times New Roman;serif"/>
          <w:b w:val="false"/>
          <w:i/>
          <w:color w:val="000000"/>
          <w:sz w:val="20"/>
        </w:rPr>
        <w:t>Note 9 – Segment, Geographic, and Concentrations of Risk Information</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accrued liabilities related to our contract manufacturers, valuation of tangible and intangible long-lived assets, valuation of goodwill, valuation of derivatives, accruals relating to litigation, income taxes and share-based compensation expense.</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amounts recorded in the prior period consolidated financial statements have been reclassified to conform to the current period financial statement presentation. These reclassifications had no effect on previously reported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Not Yet Adopted </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In July 2025, the Financial Accounting Standards Board (“FASB”) issued Accounting Standard Update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xml:space="preserve">. ASU 2025-05 provides a practical expedient related to the estimation of expected credit losses for current accounts receivable and current contract assets that arise from transactions accounted for under Accounting Standards Codification </w:t>
      </w:r>
      <w:r>
        <w:rPr>
          <w:rFonts w:ascii="Times New Roman;serif" w:hAnsi="Times New Roman;serif"/>
          <w:b w:val="false"/>
          <w:i/>
          <w:color w:val="000000"/>
          <w:sz w:val="20"/>
        </w:rPr>
        <w:t>Topic 606: Revenue from Contracts with Customers</w:t>
      </w:r>
      <w:r>
        <w:rPr>
          <w:rFonts w:ascii="Times New Roman;serif" w:hAnsi="Times New Roman;serif"/>
          <w:b w:val="false"/>
          <w:color w:val="000000"/>
          <w:sz w:val="20"/>
        </w:rPr>
        <w:t>. The practical expedient permits an entity to assume that current conditions as of the balance sheet date do not change for the remaining life of the current accounts receivable and current contract assets. This ASU is effective for fiscal years beginning after December 15, 2025 on a prospective basis, and for interim periods within fiscal years beginning after December 15, 2025, with early adoption permitted. The Company is currently evaluating the impact of the adoption of this pronouncement on its consolidated financial statements.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updates the recognition and capitalization framework to reflect current software 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amendments in ASU 2025-06 are effective for annual periods beginning after December 15, 2027, and interim periods within those annual periods, which for the Company would be the fiscal first quarter ending February 28, 2029. Early adoption is permitted as of the beginning of an annual reporting period. The Company is currently evaluating the impact of adopting this ASU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2. Discontinued Operations and Held for Sale</w:t>
      </w:r>
    </w:p>
    <w:p>
      <w:pPr>
        <w:pStyle w:val="TextBody"/>
        <w:bidi w:val="0"/>
        <w:spacing w:lineRule="auto" w:line="276" w:before="180" w:after="180"/>
        <w:ind w:left="0" w:right="0" w:firstLine="450"/>
        <w:jc w:val="both"/>
        <w:rPr/>
      </w:pPr>
      <w:r>
        <w:rPr>
          <w:rFonts w:ascii="Times New Roman;serif" w:hAnsi="Times New Roman;serif"/>
          <w:b w:val="false"/>
          <w:color w:val="000000"/>
          <w:sz w:val="20"/>
        </w:rPr>
        <w:t xml:space="preserve">As noted in </w:t>
      </w:r>
      <w:r>
        <w:rPr>
          <w:rFonts w:ascii="Times New Roman;serif" w:hAnsi="Times New Roman;serif"/>
          <w:b w:val="false"/>
          <w:i/>
          <w:color w:val="000000"/>
          <w:sz w:val="20"/>
        </w:rPr>
        <w:t>Note 1 – Nature of Business and Significant Accounting Policies</w:t>
      </w:r>
      <w:r>
        <w:rPr>
          <w:rFonts w:ascii="Times New Roman;serif" w:hAnsi="Times New Roman;serif"/>
          <w:b w:val="false"/>
          <w:color w:val="000000"/>
          <w:sz w:val="20"/>
        </w:rPr>
        <w:t xml:space="preserve">, on </w:t>
      </w:r>
      <w:r>
        <w:rPr>
          <w:rFonts w:ascii="Times New Roman;serif" w:hAnsi="Times New Roman;serif"/>
          <w:b w:val="false"/>
          <w:color w:val="000000"/>
          <w:sz w:val="20"/>
          <w:shd w:fill="FFFFFF" w:val="clear"/>
        </w:rPr>
        <w:t>September 16, 2024</w:t>
      </w:r>
      <w:r>
        <w:rPr>
          <w:rFonts w:ascii="Times New Roman;serif" w:hAnsi="Times New Roman;serif"/>
          <w:b w:val="false"/>
          <w:color w:val="000000"/>
          <w:sz w:val="20"/>
        </w:rPr>
        <w:t xml:space="preserve">, the Company entered into the </w:t>
      </w:r>
      <w:r>
        <w:rPr>
          <w:rFonts w:ascii="Times New Roman;serif" w:hAnsi="Times New Roman;serif"/>
          <w:b w:val="false"/>
          <w:color w:val="000000"/>
          <w:sz w:val="20"/>
          <w:shd w:fill="FFFFFF" w:val="clear"/>
        </w:rPr>
        <w:t>Purchase Agreement</w:t>
      </w:r>
      <w:r>
        <w:rPr>
          <w:color w:val="000000"/>
        </w:rPr>
        <w:t xml:space="preserve"> </w:t>
      </w:r>
      <w:r>
        <w:rPr>
          <w:rFonts w:ascii="Times New Roman;serif" w:hAnsi="Times New Roman;serif"/>
          <w:b w:val="false"/>
          <w:color w:val="000000"/>
          <w:sz w:val="20"/>
        </w:rPr>
        <w:t>to sell its Telematics Business. On November 27, 2024, the Company completed the sale of its Telematics Business.</w:t>
      </w:r>
    </w:p>
    <w:p>
      <w:pPr>
        <w:pStyle w:val="TextBody"/>
        <w:bidi w:val="0"/>
        <w:spacing w:lineRule="auto" w:line="268" w:before="0" w:after="0"/>
        <w:ind w:left="0" w:right="0" w:firstLine="450"/>
        <w:jc w:val="left"/>
        <w:rPr/>
      </w:pPr>
      <w:r>
        <w:rPr>
          <w:rFonts w:ascii="Times New Roman;serif" w:hAnsi="Times New Roman;serif"/>
          <w:b w:val="false"/>
          <w:color w:val="000000"/>
          <w:sz w:val="20"/>
        </w:rPr>
        <w:t xml:space="preserve">The operating results of the discontinued operations only reflect revenues and expenses that are directly attributable to the Telematics Business. The following table summarizes Income from discontinued operations, net of tax included in the Condensed Consolidated Statements of Operations and Comprehensive Income for the three and nine </w:t>
      </w:r>
      <w:r>
        <w:rPr>
          <w:rFonts w:ascii="Times New Roman;serif" w:hAnsi="Times New Roman;serif"/>
          <w:b w:val="false"/>
          <w:color w:val="000000"/>
          <w:sz w:val="20"/>
          <w:shd w:fill="FFFFFF" w:val="clear"/>
        </w:rPr>
        <w:t>months end</w:t>
      </w:r>
      <w:r>
        <w:rPr>
          <w:rFonts w:ascii="Times New Roman;serif" w:hAnsi="Times New Roman;serif"/>
          <w:b w:val="false"/>
          <w:color w:val="000000"/>
          <w:sz w:val="20"/>
        </w:rPr>
        <w:t>ed September 30, 2025 and 2024 (in thousands):</w:t>
      </w:r>
    </w:p>
    <w:tbl>
      <w:tblPr>
        <w:tblW w:w="8564" w:type="dxa"/>
        <w:jc w:val="left"/>
        <w:tblInd w:w="0" w:type="dxa"/>
        <w:tblLayout w:type="fixed"/>
        <w:tblCellMar>
          <w:top w:w="28" w:type="dxa"/>
          <w:left w:w="28" w:type="dxa"/>
          <w:bottom w:w="28" w:type="dxa"/>
          <w:right w:w="28" w:type="dxa"/>
        </w:tblCellMar>
      </w:tblPr>
      <w:tblGrid>
        <w:gridCol w:w="1524"/>
        <w:gridCol w:w="1342"/>
        <w:gridCol w:w="1348"/>
        <w:gridCol w:w="196"/>
        <w:gridCol w:w="406"/>
        <w:gridCol w:w="109"/>
        <w:gridCol w:w="109"/>
        <w:gridCol w:w="109"/>
        <w:gridCol w:w="109"/>
        <w:gridCol w:w="196"/>
        <w:gridCol w:w="556"/>
        <w:gridCol w:w="109"/>
        <w:gridCol w:w="109"/>
        <w:gridCol w:w="109"/>
        <w:gridCol w:w="109"/>
        <w:gridCol w:w="196"/>
        <w:gridCol w:w="496"/>
        <w:gridCol w:w="109"/>
        <w:gridCol w:w="109"/>
        <w:gridCol w:w="109"/>
        <w:gridCol w:w="109"/>
        <w:gridCol w:w="196"/>
        <w:gridCol w:w="64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 cost of revenues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from discontinued operations</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from discontinued operations</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before income taxes</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Income taxes related to discontinued operations in the nine months ended September 30, 2025 relate to the deregistration process for the Company’s remaining subsidiaries in South Africa, which do not have operations. As the sale of the Telematics Business was completed on November 27, 2024, there were no assets or liabilities held for sale as of either September 30, 2025 or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18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3. Financial Statement Details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w:t>
      </w:r>
    </w:p>
    <w:tbl>
      <w:tblPr>
        <w:tblW w:w="4932" w:type="dxa"/>
        <w:jc w:val="left"/>
        <w:tblInd w:w="0" w:type="dxa"/>
        <w:tblLayout w:type="fixed"/>
        <w:tblCellMar>
          <w:top w:w="28" w:type="dxa"/>
          <w:left w:w="28" w:type="dxa"/>
          <w:bottom w:w="28" w:type="dxa"/>
          <w:right w:w="28" w:type="dxa"/>
        </w:tblCellMar>
      </w:tblPr>
      <w:tblGrid>
        <w:gridCol w:w="841"/>
        <w:gridCol w:w="739"/>
        <w:gridCol w:w="745"/>
        <w:gridCol w:w="259"/>
        <w:gridCol w:w="736"/>
        <w:gridCol w:w="145"/>
        <w:gridCol w:w="109"/>
        <w:gridCol w:w="109"/>
        <w:gridCol w:w="109"/>
        <w:gridCol w:w="224"/>
        <w:gridCol w:w="740"/>
        <w:gridCol w:w="17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components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Prepaid expenses and other</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consists of the following (in thousands):</w:t>
      </w:r>
    </w:p>
    <w:tbl>
      <w:tblPr>
        <w:tblW w:w="5159" w:type="dxa"/>
        <w:jc w:val="left"/>
        <w:tblInd w:w="0" w:type="dxa"/>
        <w:tblLayout w:type="fixed"/>
        <w:tblCellMar>
          <w:top w:w="28" w:type="dxa"/>
          <w:left w:w="28" w:type="dxa"/>
          <w:bottom w:w="28" w:type="dxa"/>
          <w:right w:w="28" w:type="dxa"/>
        </w:tblCellMar>
      </w:tblPr>
      <w:tblGrid>
        <w:gridCol w:w="884"/>
        <w:gridCol w:w="779"/>
        <w:gridCol w:w="781"/>
        <w:gridCol w:w="259"/>
        <w:gridCol w:w="736"/>
        <w:gridCol w:w="145"/>
        <w:gridCol w:w="109"/>
        <w:gridCol w:w="109"/>
        <w:gridCol w:w="109"/>
        <w:gridCol w:w="249"/>
        <w:gridCol w:w="707"/>
        <w:gridCol w:w="138"/>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vMerge w:val="continue"/>
            <w:tcBorders/>
            <w:tcMar>
              <w:top w:w="0" w:type="dxa"/>
              <w:left w:w="0" w:type="dxa"/>
              <w:bottom w:w="0" w:type="dxa"/>
              <w:right w:w="0" w:type="dxa"/>
            </w:tcMar>
            <w:vAlign w:val="center"/>
          </w:tcPr>
          <w:p>
            <w:pPr>
              <w:pStyle w:val="Normal"/>
              <w:bidi w:val="0"/>
              <w:jc w:val="left"/>
              <w:rPr/>
            </w:pPr>
            <w:r>
              <w:rPr/>
            </w:r>
          </w:p>
        </w:tc>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Rebate receivables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Software licenses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prepaid expenses and other</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Accrued expenses and other current liabilities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6282" w:type="dxa"/>
        <w:jc w:val="left"/>
        <w:tblInd w:w="0" w:type="dxa"/>
        <w:tblLayout w:type="fixed"/>
        <w:tblCellMar>
          <w:top w:w="28" w:type="dxa"/>
          <w:left w:w="28" w:type="dxa"/>
          <w:bottom w:w="28" w:type="dxa"/>
          <w:right w:w="28" w:type="dxa"/>
        </w:tblCellMar>
      </w:tblPr>
      <w:tblGrid>
        <w:gridCol w:w="1332"/>
        <w:gridCol w:w="1169"/>
        <w:gridCol w:w="1174"/>
        <w:gridCol w:w="235"/>
        <w:gridCol w:w="775"/>
        <w:gridCol w:w="130"/>
        <w:gridCol w:w="109"/>
        <w:gridCol w:w="109"/>
        <w:gridCol w:w="109"/>
        <w:gridCol w:w="224"/>
        <w:gridCol w:w="740"/>
        <w:gridCol w:w="176"/>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related expenses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contract manufacturing liabilities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current liabilities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Other long-term liabilities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consist of the following (in thousands):</w:t>
      </w:r>
    </w:p>
    <w:tbl>
      <w:tblPr>
        <w:tblW w:w="4901" w:type="dxa"/>
        <w:jc w:val="left"/>
        <w:tblInd w:w="0" w:type="dxa"/>
        <w:tblLayout w:type="fixed"/>
        <w:tblCellMar>
          <w:top w:w="28" w:type="dxa"/>
          <w:left w:w="28" w:type="dxa"/>
          <w:bottom w:w="28" w:type="dxa"/>
          <w:right w:w="28" w:type="dxa"/>
        </w:tblCellMar>
      </w:tblPr>
      <w:tblGrid>
        <w:gridCol w:w="830"/>
        <w:gridCol w:w="730"/>
        <w:gridCol w:w="735"/>
        <w:gridCol w:w="259"/>
        <w:gridCol w:w="736"/>
        <w:gridCol w:w="145"/>
        <w:gridCol w:w="109"/>
        <w:gridCol w:w="109"/>
        <w:gridCol w:w="109"/>
        <w:gridCol w:w="246"/>
        <w:gridCol w:w="700"/>
        <w:gridCol w:w="193"/>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deferred revenue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September 30, 2025, of the $4.5 million long-term deferred revenue balance, $3.7 million relates to performance obligations expected to be satisfied between one and two years, and $0.8 million relates to performance obligations expected to be satisfied between two and three years from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4. Fair Value Measurements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the financial assets and liabilities measured on a recurring basis and indicates the fair value hierarchy utilized to determine such fair value (in thousands):</w:t>
      </w:r>
    </w:p>
    <w:tbl>
      <w:tblPr>
        <w:tblW w:w="5646" w:type="dxa"/>
        <w:jc w:val="left"/>
        <w:tblInd w:w="0" w:type="dxa"/>
        <w:tblLayout w:type="fixed"/>
        <w:tblCellMar>
          <w:top w:w="28" w:type="dxa"/>
          <w:left w:w="28" w:type="dxa"/>
          <w:bottom w:w="28" w:type="dxa"/>
          <w:right w:w="28" w:type="dxa"/>
        </w:tblCellMar>
      </w:tblPr>
      <w:tblGrid>
        <w:gridCol w:w="607"/>
        <w:gridCol w:w="533"/>
        <w:gridCol w:w="539"/>
        <w:gridCol w:w="323"/>
        <w:gridCol w:w="323"/>
        <w:gridCol w:w="166"/>
        <w:gridCol w:w="109"/>
        <w:gridCol w:w="109"/>
        <w:gridCol w:w="109"/>
        <w:gridCol w:w="323"/>
        <w:gridCol w:w="323"/>
        <w:gridCol w:w="211"/>
        <w:gridCol w:w="109"/>
        <w:gridCol w:w="109"/>
        <w:gridCol w:w="109"/>
        <w:gridCol w:w="210"/>
        <w:gridCol w:w="210"/>
        <w:gridCol w:w="211"/>
        <w:gridCol w:w="109"/>
        <w:gridCol w:w="109"/>
        <w:gridCol w:w="109"/>
        <w:gridCol w:w="203"/>
        <w:gridCol w:w="203"/>
        <w:gridCol w:w="280"/>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 transfers between levels occurred during the three or nine months ended September 30, 2025 or September 30, 2024.</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The Company also had an interest make-whole payment derivative liability on its 2025 Convertible Notes (as defined in </w:t>
      </w:r>
      <w:r>
        <w:rPr>
          <w:rFonts w:ascii="Times New Roman;serif" w:hAnsi="Times New Roman;serif"/>
          <w:b w:val="false"/>
          <w:i/>
          <w:color w:val="000000"/>
          <w:sz w:val="20"/>
        </w:rPr>
        <w:t>Note 5 – Debt</w:t>
      </w:r>
      <w:r>
        <w:rPr>
          <w:rFonts w:ascii="Times New Roman;serif" w:hAnsi="Times New Roman;serif"/>
          <w:b w:val="false"/>
          <w:color w:val="000000"/>
          <w:sz w:val="20"/>
        </w:rPr>
        <w:t>) that was measured at fair value on a recurring basis prior to the maturity and full repayment of the 2025 Convertible Notes on May 1, 2025. The fair value of that liability was zero as of December 31, 2024. The interest make-whole payment derivative liability was a Level 3 instrument and was valued using a Monte Carlo model.</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and 2024, there were no conversions of the 2025 Convertible Notes into shares of the Company’s common stock. There were also no changes in the fair value of the interest make-whole liability during the nine months ended September 30, 2025 or September 30, 2024.</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Other Financial Instruments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The carrying values of the Company’s other financial assets and liabilities approximate their fair values because of their short-term nature, with the exception of the 2029 Senior Secured Notes (as defined in </w:t>
      </w:r>
      <w:r>
        <w:rPr>
          <w:rFonts w:ascii="Times New Roman;serif" w:hAnsi="Times New Roman;serif"/>
          <w:b w:val="false"/>
          <w:i/>
          <w:color w:val="000000"/>
          <w:sz w:val="20"/>
        </w:rPr>
        <w:t>Note 5 – Debt</w:t>
      </w:r>
      <w:r>
        <w:rPr>
          <w:rFonts w:ascii="Times New Roman;serif" w:hAnsi="Times New Roman;serif"/>
          <w:b w:val="false"/>
          <w:color w:val="000000"/>
          <w:sz w:val="20"/>
        </w:rPr>
        <w:t>) and 2025 Convertible Notes. The 2029 Senior Secured Notes and 2025 Convertible Notes are carried at amortized cost, with the 2025 Convertible notes being adjusted for changes in fair value of the embedded interest make-whole payment derivative.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Debt</w:t>
      </w:r>
    </w:p>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Working Capital Facility</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5, 2025, the Company entered into a Credit and Security Agreement (the “Working Capital Facility Agreement”) with BMO Bank N.A. (“BMO”) that provides up to a maximum $15.0 million secured asset-backed revolving credit facility (the “Working Capital Facility”). The facility matures on August 5, 2028 and contains certain financial and non-financial covenants. The Company was in compliance with all covenants under the Working Capital Facility Agreement as of September 30, 2025.</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Obligations under the Working Capital Facility are secured by a continuing security interest in substantially all property of Inseego Corp. and certain of its subsidiaries, subject to customary exclusions. Availability under the Working Capital Facility is determined monthly as the excess of a borrowing base (“Borrowing Base”), comprised of a percentage of eligible accounts receivable and eligible inventory, over the total loans outstanding under the Working Capital Facility. If the aggregate outstanding amount of the Working Capital Facility exceeds the Borrowing Base at any time, the excess amount shall be payable on demand by BMO.</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Priority of the obligations of the Company with respect to the Working Capital Facility is senior to the priority of the obligations of the Company with respect to the 2029 Senior Secured Notes on the assets of the Company which constitute current assets and junior to the priority to the obligations of the company with respect to the 2029 Senior Secured Notes on the assets of which company which are not current assets, as set forth in the Working Capital Facility Agreement. The Working Capital Facility contains customary events of default, including a cross-default and cross-payment default for certain indebtedness in an aggregate principal amount in excess of $1.0 million and a cross-default for certain termination events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68" w:before="180" w:after="180"/>
        <w:jc w:val="left"/>
        <w:rPr>
          <w:rFonts w:ascii="Times New Roman;serif" w:hAnsi="Times New Roman;serif"/>
          <w:b w:val="false"/>
          <w:color w:val="000000"/>
          <w:sz w:val="20"/>
        </w:rPr>
      </w:pPr>
      <w:r>
        <w:rPr>
          <w:rFonts w:ascii="Times New Roman;serif" w:hAnsi="Times New Roman;serif"/>
          <w:b w:val="false"/>
          <w:color w:val="000000"/>
          <w:sz w:val="20"/>
        </w:rPr>
        <w:t>Swap Contracts with a termination value (determined in accordance with the terms of the Working Capital Facility Agreement) in excess of $1.0 million, as set forth in the Working Capital Facility Agreement.</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Loans made under the Working Capital Facility bear interest at a Term Secured Overnight Financing Rate (“SOFR”), as defined in the Working Capital Facility Agreement, plus an applicable margin ranging from 1.00-2.50%, subject to certain exceptions. Interest on loans made under the Working Capital Facility are paid in cash, in arrears, on a semi-annual basis. </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conjunction with the Working Capital Facility Agreement, the Company incurred $0.2 million of debt issuance costs that were recorded to prepaid expenses and other current assets and are being amortized to interest expense over the term of the facility. As of September 30, 2025, outstanding borrowings and availability to borrow under the Working Capital Facility were $0.0 million and $14.5 million, respectively.</w:t>
      </w:r>
    </w:p>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2029 Senior Secured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6, 2024, the Company issued to multiple noteholders approximately $40.9 million in principal amount of new senior secured notes due in 2029 (the “2029 Senior Secured Notes”). The 2029 Senior Secured Notes bear interest at 9.0% per annum, to be paid in cash, in arrears, on a semi-annual basis, and have a maturity date of May 1, 2029. The Company may, subject to certain provisions, issue additional principal amounts of the 2029 Senior Secured Notes with the same terms as the notes issued on November 6, 2024, with the exception of the first date on which interest expense begins to accrue.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2029 Senior Secured Notes are secured by a first priority lien on substantially all of the Company’s assets. The Company may redeem all or part of the 2029 Senior Secured Notes at any time prior to May 1, 2029 at a redemption price equal to 100% of the principal amount of the 2029 Senior Secured Notes to be redeemed, plus the present value of the sum of all required interest payments from such redemption date through May 1, 2029 at such redemption date, plus accrued and unpaid interest on such 2029 Senior Secured Notes to, but excluding, the redemption date.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September 30, 2025, $40.9 million of principal of the 2029 Senior Secured Notes was outstanding, $31.8 million of which was held by related parties.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2029 Senior Secured Notes, net consists of the following (in thousands):</w:t>
      </w:r>
    </w:p>
    <w:tbl>
      <w:tblPr>
        <w:tblW w:w="5068" w:type="dxa"/>
        <w:jc w:val="left"/>
        <w:tblInd w:w="0" w:type="dxa"/>
        <w:tblLayout w:type="fixed"/>
        <w:tblCellMar>
          <w:top w:w="28" w:type="dxa"/>
          <w:left w:w="28" w:type="dxa"/>
          <w:bottom w:w="28" w:type="dxa"/>
          <w:right w:w="28" w:type="dxa"/>
        </w:tblCellMar>
      </w:tblPr>
      <w:tblGrid>
        <w:gridCol w:w="891"/>
        <w:gridCol w:w="782"/>
        <w:gridCol w:w="787"/>
        <w:gridCol w:w="235"/>
        <w:gridCol w:w="775"/>
        <w:gridCol w:w="131"/>
        <w:gridCol w:w="109"/>
        <w:gridCol w:w="109"/>
        <w:gridCol w:w="109"/>
        <w:gridCol w:w="224"/>
        <w:gridCol w:w="740"/>
        <w:gridCol w:w="176"/>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gross amount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unamortized debt premium</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issuance costs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2025 Convertible Notes </w:t>
      </w:r>
    </w:p>
    <w:p>
      <w:pPr>
        <w:pStyle w:val="TextBody"/>
        <w:bidi w:val="0"/>
        <w:spacing w:lineRule="auto" w:line="276"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2020, the Company completed both a registered public offering and a privately negotiated exchange agreement that resulted in the issuance of 3.25% convertible senior notes due in 2025 (the “2025 Convertible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2025 Convertible Notes matured on May 1, 2025. The 2025 Convertible Notes were senior unsecured obligations of the Company and bore interest at an annual rate of 3.25%, which was payable semi-annually in arrears on May 1 and November 1 of each year.</w:t>
      </w:r>
    </w:p>
    <w:p>
      <w:pPr>
        <w:pStyle w:val="TextBody"/>
        <w:bidi w:val="0"/>
        <w:spacing w:lineRule="auto" w:line="276" w:before="18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Repurchases and Exchanges of 2025 Convertible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Throughout the year ended December 31, 2024, the Company entered into a series of repurchase and exchange agreements with various holders of the Company’s 2025 Convertible Notes, some of whom were considered related parties of the Company. In summary, as a result of these repurchase and exchange agreements, the Company exchanged $146.9 million of outstanding principal of the 2025 Convertible Notes in exchange for $33.8 million of cash, $40.9 million of principal of the 2029 Senior Secured Notes, 2.9 million shares of the Company’s common stock, and warrants to purchase an aggregate of approximately 2.5 million shares of the Company’s common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2024, $14.9 million of principal amount of the 2025 Convertible Notes was outstanding, none of which was held by related parties. The remaining 2025 Convertible Notes matured on May 1, 2025, at which time all outstanding principal of $14.9 million and related accrued interest was repaid.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2025 Convertible Notes as of December 31, 2024 consisted of the following (in thousands):</w:t>
      </w:r>
    </w:p>
    <w:tbl>
      <w:tblPr>
        <w:tblW w:w="4035" w:type="dxa"/>
        <w:jc w:val="left"/>
        <w:tblInd w:w="0" w:type="dxa"/>
        <w:tblLayout w:type="fixed"/>
        <w:tblCellMar>
          <w:top w:w="28" w:type="dxa"/>
          <w:left w:w="28" w:type="dxa"/>
          <w:bottom w:w="28" w:type="dxa"/>
          <w:right w:w="28" w:type="dxa"/>
        </w:tblCellMar>
      </w:tblPr>
      <w:tblGrid>
        <w:gridCol w:w="891"/>
        <w:gridCol w:w="783"/>
        <w:gridCol w:w="786"/>
        <w:gridCol w:w="109"/>
        <w:gridCol w:w="109"/>
        <w:gridCol w:w="225"/>
        <w:gridCol w:w="744"/>
        <w:gridCol w:w="125"/>
        <w:gridCol w:w="10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14,949 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unamortized debt discount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Prior Credit Facility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2022, the Company entered into a Loan and Security Agreement (as subsequently amended, the “Credit Agreement”), by and among Siena Lending Group LLC, as lender (“Lender”), Inseego Wireless, Inc., a Delaware corporation (“Inseego Wireless”), a subsidiary of the Company, and Inseego North America LLC, an Oregon limited liability company and indirect subsidiary of the Company, as borrowers (together with Inseego Wireless, the “Borrowers”), and the Company, as guarantor (together with the Borrowers, the “Prior Credit Facility Parties”).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Credit Agreement established a secured asset-backed revolving credit facility which was comprised of a maximum $50 million revolving credit facility (“Prior Credit Facility”), with a minimum borrowing amount for interest calculations of $4.5 million upon execution of the Credit Agreement. Availability under the Prior Credit Facility was determined monthly by a borrowing base comprised of a percentage of eligible accounts receivable and eligible inventory of the Borrowers. Outstanding amounts exceeding the borrowing base were to be repaid immediately. The Borrowers’ obligations under the Credit Agreement were guaranteed by the Company. The Prior Credit Facility Parties’ obligations under the Credit Agreement were secured by a continuing security interest in all property of each Prior Credit Facility Party, subject to certain Excluded Collateral (as defined in the Credit Agreement).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2, 2023, (1) two related parties, South Ocean Funding, LLC and North Sound Ventures, LP (collectively, the “Prior Credit Facility Participants”) collectively purchased a $4.0 million last-out subordinated participation interest in the Credit Agreement (the “Prior Credit Facility Participation Interest”) from the Lender, and (2) the Borrowers entered into an amendment to the Credit Agreement which increased the borrowing base under the Prior Credit Facility by $4.0 million, increased the minimum borrowing amount for interest calculations to $8.5 million, and modified certain covenants. In connection with the purchase of the Prior Credit Facility Participation Interest, we agreed to pay the Prior Credit Facility Participants an aggregate exit fee (the “Exit Fee”) ranging from 7.5% to 12.5% of the amount of the Prior Credit Facility Participation Interest, payable upon the earlier to occur of (a) the maturity date of the Prior Credit Facility, (b) termination of the Lender’s commitment to make revolving loans prior to the scheduled maturity date of the Prior Credit Facility, and (c) the early redemption of the Prior Credit Facility Participation Interest, as applicable. Further, the purchase of the Prior Credit Facility Participation Interest granted an option for the Prior Credit Facility Participants to purchase the subject revolving loan or to redeem its Prior Credit Facility Participation Interest under certain circumstances. The Prior Credit Facility Participants are each affiliates of beneficial holders of greater than five percent of our outstanding common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Effective April 18, 2024, the Company exercised its right to voluntarily pay-off and terminate the Prior Credit Facility.</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Interest Expense, Summary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total interest expense, annualized effective interest rate, and interest expense related to related parties, if applicable, for each of the debt instruments detailed above (in thousands, except for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7364" w:type="dxa"/>
        <w:jc w:val="left"/>
        <w:tblInd w:w="0" w:type="dxa"/>
        <w:tblLayout w:type="fixed"/>
        <w:tblCellMar>
          <w:top w:w="28" w:type="dxa"/>
          <w:left w:w="28" w:type="dxa"/>
          <w:bottom w:w="28" w:type="dxa"/>
          <w:right w:w="28" w:type="dxa"/>
        </w:tblCellMar>
      </w:tblPr>
      <w:tblGrid>
        <w:gridCol w:w="1095"/>
        <w:gridCol w:w="963"/>
        <w:gridCol w:w="971"/>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2029 Senior Secured Notes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discount/(premium)</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Working Capital Facility</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 Convertible Notes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discount/(premium)</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Loan</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discount/premium</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Prior Credit Facility</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exit fee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interest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annualized effective interest rates, including the impact of non-cash interest expense, for the 2029 Senior Secured Notes and 2025 Convertible Notes for the nine months ended September 30, 2025 was 8.5% and 4.2%, respectively. The annualized effective interest rates, including the impact of non-cash interest expense, for the 2025 Convertible Notes, Short-Term Loan, and Prior Credit Facility for the nine months ended September 30, 2024 was 4.2%, 112.5% and 36.1%,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Share-based Compensation</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 xml:space="preserve">During the nine months ended September 30, 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w:t>
      </w:r>
      <w:r>
        <w:rPr>
          <w:rFonts w:ascii="Times New Roman;serif" w:hAnsi="Times New Roman;serif"/>
          <w:b w:val="false"/>
          <w:color w:val="000000"/>
          <w:sz w:val="20"/>
        </w:rPr>
        <w:t>shares of common stock may be issued upon the exercise of stock options, in</w:t>
      </w:r>
      <w:r>
        <w:rPr>
          <w:color w:val="000000"/>
          <w:shd w:fill="FFFFFF" w:val="clear"/>
        </w:rPr>
        <w:t xml:space="preserve"> </w:t>
      </w:r>
      <w:r>
        <w:rPr>
          <w:rFonts w:ascii="Times New Roman;serif" w:hAnsi="Times New Roman;serif"/>
          <w:b w:val="false"/>
          <w:color w:val="000000"/>
          <w:sz w:val="20"/>
          <w:shd w:fill="FFFFFF" w:val="clear"/>
        </w:rPr>
        <w:t>the form of restricted stock, or in settlement of restricted stock units (“RSUs”) or other awards, including awards with alternative vesting schedules such as performance-based criteria.</w:t>
      </w:r>
      <w:r>
        <w:rPr>
          <w:color w:val="000000"/>
        </w:rPr>
        <w:t xml:space="preserve"> </w:t>
      </w:r>
      <w:r>
        <w:rPr>
          <w:rFonts w:ascii="Times New Roman;serif" w:hAnsi="Times New Roman;serif"/>
          <w:b w:val="false"/>
          <w:color w:val="000000"/>
          <w:sz w:val="20"/>
        </w:rPr>
        <w:t xml:space="preserve">The 2018 Plan authorizes 5,775,308 shares, of which 2,069,777 remain available for future grants as of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 xml:space="preserve">The following table presents total share-based compensation expense within each functional line item on the condensed consolidated statements of operations for the </w:t>
      </w:r>
      <w:r>
        <w:rPr>
          <w:rFonts w:ascii="Times New Roman;serif" w:hAnsi="Times New Roman;serif"/>
          <w:b w:val="false"/>
          <w:color w:val="000000"/>
          <w:sz w:val="20"/>
        </w:rPr>
        <w:t xml:space="preserve">three and nine </w:t>
      </w:r>
      <w:r>
        <w:rPr>
          <w:rFonts w:ascii="Times New Roman;serif" w:hAnsi="Times New Roman;serif"/>
          <w:b w:val="false"/>
          <w:color w:val="000000"/>
          <w:sz w:val="20"/>
          <w:shd w:fill="FFFFFF" w:val="clear"/>
        </w:rPr>
        <w:t>months end</w:t>
      </w:r>
      <w:r>
        <w:rPr>
          <w:rFonts w:ascii="Times New Roman;serif" w:hAnsi="Times New Roman;serif"/>
          <w:b w:val="false"/>
          <w:color w:val="000000"/>
          <w:sz w:val="20"/>
        </w:rPr>
        <w:t>ed September 30, 2025 and 2024 (in thousands):</w:t>
      </w:r>
    </w:p>
    <w:tbl>
      <w:tblPr>
        <w:tblW w:w="7979" w:type="dxa"/>
        <w:jc w:val="center"/>
        <w:tblInd w:w="0" w:type="dxa"/>
        <w:tblLayout w:type="fixed"/>
        <w:tblCellMar>
          <w:top w:w="28" w:type="dxa"/>
          <w:left w:w="28" w:type="dxa"/>
          <w:bottom w:w="28" w:type="dxa"/>
          <w:right w:w="28" w:type="dxa"/>
        </w:tblCellMar>
      </w:tblPr>
      <w:tblGrid>
        <w:gridCol w:w="1272"/>
        <w:gridCol w:w="1116"/>
        <w:gridCol w:w="1121"/>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of the Board of Directors determines eligibility, vesting schedules and exercise prices for stock options granted. The Company generally uses the Black-Scholes option pricing model to estimate the fair value of its stock options, which generally only include time-based vesting requirements. Stock options generally have a term of ten years and vest over a three to four-year period.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for the nine months ended September 30, 2025:</w:t>
      </w:r>
    </w:p>
    <w:tbl>
      <w:tblPr>
        <w:tblW w:w="4364" w:type="dxa"/>
        <w:jc w:val="left"/>
        <w:tblInd w:w="0" w:type="dxa"/>
        <w:tblLayout w:type="fixed"/>
        <w:tblCellMar>
          <w:top w:w="28" w:type="dxa"/>
          <w:left w:w="28" w:type="dxa"/>
          <w:bottom w:w="28" w:type="dxa"/>
          <w:right w:w="28" w:type="dxa"/>
        </w:tblCellMar>
      </w:tblPr>
      <w:tblGrid>
        <w:gridCol w:w="973"/>
        <w:gridCol w:w="854"/>
        <w:gridCol w:w="858"/>
        <w:gridCol w:w="435"/>
        <w:gridCol w:w="436"/>
        <w:gridCol w:w="109"/>
        <w:gridCol w:w="109"/>
        <w:gridCol w:w="109"/>
        <w:gridCol w:w="109"/>
        <w:gridCol w:w="109"/>
        <w:gridCol w:w="109"/>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2024</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September 30, 2025</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 September 30, 2025</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144,061 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color w:val="000000"/>
          <w:sz w:val="20"/>
        </w:rPr>
        <w:t>During the nine months ended September 30, 2025, the Company granted stock options to the CEO in connection with his hiring</w:t>
      </w:r>
      <w:r>
        <w:rPr>
          <w:color w:val="000000"/>
          <w:shd w:fill="FFFFFF" w:val="clear"/>
        </w:rPr>
        <w:t xml:space="preserve"> </w:t>
      </w:r>
      <w:r>
        <w:rPr>
          <w:rFonts w:ascii="Times New Roman;serif" w:hAnsi="Times New Roman;serif"/>
          <w:b w:val="false"/>
          <w:color w:val="000000"/>
          <w:sz w:val="20"/>
          <w:shd w:fill="FFFFFF" w:val="clear"/>
        </w:rPr>
        <w:t xml:space="preserve">on January 6, 2025. These stock options contain a requirement that in order to be exercisable, the Company’s closing stock price must exceed the exercise price of the awards for 20 of the 30 trading-days immediately prior to the requested exercise date. The Company granted a total of 850,000 of these options to the CEO at a weighted average exercise price of $18.46. The total grant-date fair value of the options was </w:t>
      </w:r>
      <w:r>
        <w:rPr>
          <w:rFonts w:ascii="Times New Roman;serif" w:hAnsi="Times New Roman;serif"/>
          <w:b w:val="false"/>
          <w:color w:val="000000"/>
          <w:sz w:val="20"/>
        </w:rPr>
        <w:t>$6.7 million and will be expensed over the four-year vesting term of the awards.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options granted to the Company’s CEO were valued using a Monte Carlo simulation model. The following table details the key assumptions utilized in the Monte Carlo simulation model used to calculate the grant-date fair value of the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3330" w:type="dxa"/>
        <w:jc w:val="left"/>
        <w:tblInd w:w="0" w:type="dxa"/>
        <w:tblLayout w:type="fixed"/>
        <w:tblCellMar>
          <w:top w:w="28" w:type="dxa"/>
          <w:left w:w="28" w:type="dxa"/>
          <w:bottom w:w="28" w:type="dxa"/>
          <w:right w:w="28" w:type="dxa"/>
        </w:tblCellMar>
      </w:tblPr>
      <w:tblGrid>
        <w:gridCol w:w="707"/>
        <w:gridCol w:w="620"/>
        <w:gridCol w:w="623"/>
        <w:gridCol w:w="257"/>
        <w:gridCol w:w="729"/>
        <w:gridCol w:w="39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January 6, 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date stock price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Simulation term (years)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September 30, 2025, total unrecognized compensation expense related to stock options was $6.7 million, which is expected to be recognized over a weighted-average period of 3.37 years.</w:t>
      </w:r>
    </w:p>
    <w:p>
      <w:pPr>
        <w:pStyle w:val="TextBody"/>
        <w:bidi w:val="0"/>
        <w:spacing w:lineRule="auto" w:line="27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76"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activity for the nine months ended September 30, 2025:</w:t>
      </w:r>
    </w:p>
    <w:tbl>
      <w:tblPr>
        <w:tblW w:w="3665" w:type="dxa"/>
        <w:jc w:val="left"/>
        <w:tblInd w:w="0" w:type="dxa"/>
        <w:tblLayout w:type="fixed"/>
        <w:tblCellMar>
          <w:top w:w="28" w:type="dxa"/>
          <w:left w:w="28" w:type="dxa"/>
          <w:bottom w:w="28" w:type="dxa"/>
          <w:right w:w="28" w:type="dxa"/>
        </w:tblCellMar>
      </w:tblPr>
      <w:tblGrid>
        <w:gridCol w:w="956"/>
        <w:gridCol w:w="840"/>
        <w:gridCol w:w="844"/>
        <w:gridCol w:w="435"/>
        <w:gridCol w:w="43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December 31, 2024</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1,111,841 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September 30, 2025</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1,369,044 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During the nine months ended September 30, 2025, the Company granted RSUs to the CEO in connection with his hiring on January 6, 2025. The Company granted the CEO 124,347 RSUs that contain a time-based vesting requirement (“Time-based CEO RSUs”) with a total grant-date fair value of $1.4 million that vest over four years. The Company also granted the CEO </w:t>
      </w:r>
      <w:r>
        <w:rPr>
          <w:rFonts w:ascii="Times New Roman;serif" w:hAnsi="Times New Roman;serif"/>
          <w:b w:val="false"/>
          <w:color w:val="000000"/>
          <w:sz w:val="20"/>
          <w:shd w:fill="FFFFFF" w:val="clear"/>
        </w:rPr>
        <w:t xml:space="preserve">RSUs that contain a market-based vesting condition in addition to a time-based vesting requirement (“Market-based CEO RSUs”). The Company granted 167,910 of these Market-based CEO RSUs with a total grant-date fair value of </w:t>
      </w:r>
      <w:r>
        <w:rPr>
          <w:rFonts w:ascii="Times New Roman;serif" w:hAnsi="Times New Roman;serif"/>
          <w:b w:val="false"/>
          <w:color w:val="000000"/>
          <w:sz w:val="20"/>
        </w:rPr>
        <w:t>$3.2 million that will be expensed over the three-year vesting term of the awards. The actual number of shares to be issued upon completion of the time-based vesting requirement of the Market-based CEO RSUs is dependent upon the Company’s share price performance relative to the total shareholder return of Russell Microcap Index (“rTSR”) over the vesting period, ranging from 0% to 200% of the number of market-based RSUs granted. The following table details the key assumptions utilized in the Monte Carlo simulation model used to calculate the grant-date fair value of the Market-based CEO RSUs:</w:t>
      </w:r>
    </w:p>
    <w:tbl>
      <w:tblPr>
        <w:tblW w:w="3330" w:type="dxa"/>
        <w:jc w:val="left"/>
        <w:tblInd w:w="0" w:type="dxa"/>
        <w:tblLayout w:type="fixed"/>
        <w:tblCellMar>
          <w:top w:w="28" w:type="dxa"/>
          <w:left w:w="28" w:type="dxa"/>
          <w:bottom w:w="28" w:type="dxa"/>
          <w:right w:w="28" w:type="dxa"/>
        </w:tblCellMar>
      </w:tblPr>
      <w:tblGrid>
        <w:gridCol w:w="707"/>
        <w:gridCol w:w="620"/>
        <w:gridCol w:w="623"/>
        <w:gridCol w:w="257"/>
        <w:gridCol w:w="729"/>
        <w:gridCol w:w="39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January 6, 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date stock price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Simulation term (years)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105.63 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Correlation coefficient</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0.3741</w:t>
            </w:r>
          </w:p>
        </w:tc>
      </w:tr>
    </w:tbl>
    <w:p>
      <w:pPr>
        <w:pStyle w:val="TextBody"/>
        <w:bidi w:val="0"/>
        <w:spacing w:lineRule="auto" w:line="276" w:before="180" w:after="180"/>
        <w:ind w:left="0" w:right="0" w:firstLine="450"/>
        <w:jc w:val="left"/>
        <w:rPr/>
      </w:pPr>
      <w:r>
        <w:rPr>
          <w:rFonts w:ascii="Times New Roman;serif" w:hAnsi="Times New Roman;serif"/>
          <w:b w:val="false"/>
          <w:color w:val="000000"/>
          <w:sz w:val="20"/>
        </w:rPr>
        <w:t>At September 30, 2025, total unrecognized compensation expense related</w:t>
      </w:r>
      <w:r>
        <w:rPr>
          <w:color w:val="000000"/>
          <w:shd w:fill="FFFFFF" w:val="clear"/>
        </w:rPr>
        <w:t xml:space="preserve"> </w:t>
      </w:r>
      <w:r>
        <w:rPr>
          <w:rFonts w:ascii="Times New Roman;serif" w:hAnsi="Times New Roman;serif"/>
          <w:b w:val="false"/>
          <w:color w:val="000000"/>
          <w:sz w:val="20"/>
          <w:shd w:fill="FFFFFF" w:val="clear"/>
        </w:rPr>
        <w:t>to RSUs, including the RS</w:t>
      </w:r>
      <w:r>
        <w:rPr>
          <w:rFonts w:ascii="Times New Roman;serif" w:hAnsi="Times New Roman;serif"/>
          <w:b w:val="false"/>
          <w:color w:val="000000"/>
          <w:sz w:val="20"/>
        </w:rPr>
        <w:t>Us with a market based condition discussed above, was $10.9 million, which is expected to be recognized over a weighted-average period of 2.92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 Earnings (Loss) per Share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(loss) per share (“EPS”) excludes dilution and is computed by dividing net loss attributable to common stockholders by the weighted-average number of common shares outstanding for the period. Diluted EPS reflects the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dilution that could occur if securities or other contracts to issue common stock were exercised or converted into common stock using the treasury stock method. Potentially dilutive securities (consisting primarily of the 2025 Convertible Notes calculated using the if-converted method and warrants, stock options and RSUs calculated using the treasury stock method) are excluded from the diluted EPS computation in loss periods and when their effect would be anti-dilutive.</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The calculation of basic and diluted EPS was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1957"/>
        <w:gridCol w:w="1722"/>
        <w:gridCol w:w="1730"/>
        <w:gridCol w:w="264"/>
        <w:gridCol w:w="772"/>
        <w:gridCol w:w="148"/>
        <w:gridCol w:w="109"/>
        <w:gridCol w:w="109"/>
        <w:gridCol w:w="109"/>
        <w:gridCol w:w="412"/>
        <w:gridCol w:w="412"/>
        <w:gridCol w:w="414"/>
        <w:gridCol w:w="109"/>
        <w:gridCol w:w="109"/>
        <w:gridCol w:w="109"/>
        <w:gridCol w:w="400"/>
        <w:gridCol w:w="1001"/>
        <w:gridCol w:w="319"/>
      </w:tblGrid>
      <w:tr>
        <w:trPr/>
        <w:tc>
          <w:tcPr>
            <w:tcW w:w="1957"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Income/(Loss)</w:t>
              <w:b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b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Per-Share Amount**</w:t>
            </w:r>
          </w:p>
        </w:tc>
      </w:tr>
      <w:tr>
        <w:trPr/>
        <w:tc>
          <w:tcPr>
            <w:tcW w:w="5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For the three months ended September 30, 2025</w:t>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EPS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15,142 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 xml:space="preserve">Diluted EPS </w:t>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Income (loss) from continuing operations attributable to common stockholders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Effect of dilutive stock options and unvested restricted stock </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Diluted EPS from continuing operations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15,522 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Income from discontinued operations, net of tax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Effect of dilutive stock options and unvested restricted stock </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Diluted EPS from discontinued operations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15,522 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Effect of dilutive stock options and unvested restricted stock </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Diluted EPS from net income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15,522 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For the three months ended September 30, 2024</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EPS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12,337 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EPS</w:t>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2025 Convertible Notes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EPS from continuing operations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13,218 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2025 Convertible Notes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EPS from discontinued operations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13,218 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2025 Convertible Notes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EPS from net income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13,218 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For the nine months ended September 30, 2025</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EPS</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103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w:t>
            </w:r>
          </w:p>
        </w:tc>
        <w:tc>
          <w:tcPr>
            <w:tcW w:w="1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8906" w:type="dxa"/>
        <w:jc w:val="left"/>
        <w:tblInd w:w="0" w:type="dxa"/>
        <w:tblLayout w:type="fixed"/>
        <w:tblCellMar>
          <w:top w:w="28" w:type="dxa"/>
          <w:left w:w="28" w:type="dxa"/>
          <w:bottom w:w="28" w:type="dxa"/>
          <w:right w:w="28" w:type="dxa"/>
        </w:tblCellMar>
      </w:tblPr>
      <w:tblGrid>
        <w:gridCol w:w="2055"/>
        <w:gridCol w:w="1805"/>
        <w:gridCol w:w="1810"/>
        <w:gridCol w:w="196"/>
        <w:gridCol w:w="631"/>
        <w:gridCol w:w="109"/>
        <w:gridCol w:w="109"/>
        <w:gridCol w:w="109"/>
        <w:gridCol w:w="109"/>
        <w:gridCol w:w="323"/>
        <w:gridCol w:w="323"/>
        <w:gridCol w:w="109"/>
        <w:gridCol w:w="109"/>
        <w:gridCol w:w="109"/>
        <w:gridCol w:w="109"/>
        <w:gridCol w:w="196"/>
        <w:gridCol w:w="541"/>
        <w:gridCol w:w="154"/>
      </w:tblGrid>
      <w:tr>
        <w:trPr/>
        <w:tc>
          <w:tcPr>
            <w:tcW w:w="205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For the nine months ended September 30, 2024</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EPS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attributable to common stockholders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common stockholders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60"/>
        <w:jc w:val="left"/>
        <w:rPr>
          <w:rFonts w:ascii="Times New Roman;serif" w:hAnsi="Times New Roman;serif"/>
          <w:b w:val="false"/>
          <w:color w:val="000000"/>
          <w:sz w:val="16"/>
        </w:rPr>
      </w:pPr>
      <w:r>
        <w:rPr>
          <w:rFonts w:ascii="Times New Roman;serif" w:hAnsi="Times New Roman;serif"/>
          <w:b w:val="false"/>
          <w:color w:val="000000"/>
          <w:sz w:val="16"/>
        </w:rPr>
        <w:t>(*) Adjusted retroactively for reverse stock split that occurred on January 24, 2024, see Note 1.</w:t>
      </w:r>
    </w:p>
    <w:p>
      <w:pPr>
        <w:pStyle w:val="TextBody"/>
        <w:bidi w:val="0"/>
        <w:spacing w:lineRule="auto" w:line="276" w:before="60" w:after="60"/>
        <w:jc w:val="left"/>
        <w:rPr>
          <w:rFonts w:ascii="Times New Roman;serif" w:hAnsi="Times New Roman;serif"/>
          <w:b w:val="false"/>
          <w:color w:val="000000"/>
          <w:sz w:val="16"/>
        </w:rPr>
      </w:pPr>
      <w:r>
        <w:rPr>
          <w:rFonts w:ascii="Times New Roman;serif" w:hAnsi="Times New Roman;serif"/>
          <w:b w:val="false"/>
          <w:color w:val="000000"/>
          <w:sz w:val="16"/>
        </w:rPr>
        <w:t>(**) Rounding may affect summation.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outstanding anti-dilutive potential shares of common stock that have been excluded from diluted net loss per share attributable to common stockholders because their inclusion would have been anti-dilutive as of September 30, 2025 and 2024 (in thousands): </w:t>
      </w:r>
    </w:p>
    <w:tbl>
      <w:tblPr>
        <w:tblW w:w="4299" w:type="dxa"/>
        <w:jc w:val="left"/>
        <w:tblInd w:w="0" w:type="dxa"/>
        <w:tblLayout w:type="fixed"/>
        <w:tblCellMar>
          <w:top w:w="28" w:type="dxa"/>
          <w:left w:w="28" w:type="dxa"/>
          <w:bottom w:w="28" w:type="dxa"/>
          <w:right w:w="28" w:type="dxa"/>
        </w:tblCellMar>
      </w:tblPr>
      <w:tblGrid>
        <w:gridCol w:w="819"/>
        <w:gridCol w:w="720"/>
        <w:gridCol w:w="725"/>
        <w:gridCol w:w="278"/>
        <w:gridCol w:w="278"/>
        <w:gridCol w:w="170"/>
        <w:gridCol w:w="170"/>
        <w:gridCol w:w="170"/>
        <w:gridCol w:w="170"/>
        <w:gridCol w:w="278"/>
        <w:gridCol w:w="278"/>
        <w:gridCol w:w="24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Convertible Notes*</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warrants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erif" w:hAnsi="Times New Roman;serif"/>
          <w:b w:val="false"/>
          <w:color w:val="000000"/>
          <w:sz w:val="16"/>
        </w:rPr>
      </w:pPr>
      <w:r>
        <w:rPr>
          <w:rFonts w:ascii="Times New Roman;serif" w:hAnsi="Times New Roman;serif"/>
          <w:b w:val="false"/>
          <w:color w:val="000000"/>
          <w:sz w:val="16"/>
        </w:rPr>
        <w:t>(*) The impact of the non-qualified stock options and restricted stock units were included in the computation of diluted EPS for the three months ended September 30, 2025 as it was dilutive for the period. The impact of the 2025 Convertible Notes was included in the computation of diluted EPS for the three months ended September 30, 2024 as it was dilutive for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8. Stockholders' Equity (Deficit)</w:t>
      </w:r>
    </w:p>
    <w:p>
      <w:pPr>
        <w:pStyle w:val="TextBody"/>
        <w:bidi w:val="0"/>
        <w:spacing w:lineRule="auto" w:line="276" w:before="18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76" w:before="180" w:after="180"/>
        <w:ind w:left="0" w:right="0" w:firstLine="450"/>
        <w:jc w:val="both"/>
        <w:rPr/>
      </w:pPr>
      <w:r>
        <w:rPr>
          <w:rFonts w:ascii="Times New Roman;serif" w:hAnsi="Times New Roman;serif"/>
          <w:b w:val="false"/>
          <w:color w:val="000000"/>
          <w:sz w:val="20"/>
        </w:rPr>
        <w:t xml:space="preserve">In connection with various debt restructuring agreements entered into during the year ended December 31, 2024, the Company issued warrants to purchase an aggregate of 3.0 million shares of the Company’s common stock, including the warrants noted in </w:t>
      </w:r>
      <w:r>
        <w:rPr>
          <w:rFonts w:ascii="Times New Roman;serif" w:hAnsi="Times New Roman;serif"/>
          <w:b w:val="false"/>
          <w:i/>
          <w:color w:val="000000"/>
          <w:sz w:val="20"/>
        </w:rPr>
        <w:t>Note 5 – Debt</w:t>
      </w:r>
      <w:r>
        <w:rPr>
          <w:rFonts w:ascii="Times New Roman;serif" w:hAnsi="Times New Roman;serif"/>
          <w:b w:val="false"/>
          <w:color w:val="000000"/>
          <w:sz w:val="20"/>
        </w:rPr>
        <w:t>. The warrants expire four years from their date of issuance and are exercisable on a cash basis at any time before their expiration dates. The warrants are subject to adjustment for stock splits, reverse stock splits, stock dividends and similar transactions and contain customary registration rights with respect to the shares of common stock issuable upon exercise of the warrants. The warrants issued during the year ended December 31, 2024 are the only outstanding warrants as of both September 30, 2025 and December 31, 2024. As of September 30, 2025, none of the warrants had been exercised.</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number and exercise price of the warrants issued and outstanding as of September 30, 2025 are as follows:</w:t>
      </w:r>
    </w:p>
    <w:tbl>
      <w:tblPr>
        <w:tblW w:w="6683" w:type="dxa"/>
        <w:jc w:val="left"/>
        <w:tblInd w:w="0" w:type="dxa"/>
        <w:tblLayout w:type="fixed"/>
        <w:tblCellMar>
          <w:top w:w="28" w:type="dxa"/>
          <w:left w:w="28" w:type="dxa"/>
          <w:bottom w:w="28" w:type="dxa"/>
          <w:right w:w="28" w:type="dxa"/>
        </w:tblCellMar>
      </w:tblPr>
      <w:tblGrid>
        <w:gridCol w:w="528"/>
        <w:gridCol w:w="462"/>
        <w:gridCol w:w="465"/>
        <w:gridCol w:w="109"/>
        <w:gridCol w:w="109"/>
        <w:gridCol w:w="109"/>
        <w:gridCol w:w="1138"/>
        <w:gridCol w:w="1138"/>
        <w:gridCol w:w="1143"/>
        <w:gridCol w:w="109"/>
        <w:gridCol w:w="109"/>
        <w:gridCol w:w="109"/>
        <w:gridCol w:w="250"/>
        <w:gridCol w:w="709"/>
        <w:gridCol w:w="196"/>
      </w:tblGrid>
      <w:tr>
        <w:trPr/>
        <w:tc>
          <w:tcPr>
            <w:tcW w:w="52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to Purchase with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236,074 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88,534 </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24,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20,646 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180,000 </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1,543,363 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29,687 </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370,000 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3,018,304 </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a total of 2,000,000 shares of preferred stock authorized for issuance at a par value of $0.001 per share, 150,000 of which have been designated Series D Preferred Stock and 39,500 of which have been designated Series E Preferred Stock. As of September 30, 2025 and December 31, 2024, the Company had 25,000 shares of Series E preferred stock issued and outstanding. Dividends declared, but not paid, related to the Series E Preferred Stock resulted in $16.0 million and $13.4 million of dividends accrued, approximating $641.72 and $535.71 per preferred share, as of September 30, 2025 and December 31, 2024, respectively. The aggregate liquidation preference of the issued and outstanding shares of Series E Preferred Stock as of September 30, 2025 was $41.0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9. Segment, Geographic, and Concentrations of Risk Information</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As previously detailed in </w:t>
      </w:r>
      <w:r>
        <w:rPr>
          <w:rFonts w:ascii="Times New Roman;serif" w:hAnsi="Times New Roman;serif"/>
          <w:b w:val="false"/>
          <w:i/>
          <w:color w:val="000000"/>
          <w:sz w:val="20"/>
        </w:rPr>
        <w:t>Note 1 – Nature of Business and Significant Accounting Policies</w:t>
      </w:r>
      <w:r>
        <w:rPr>
          <w:rFonts w:ascii="Times New Roman;serif" w:hAnsi="Times New Roman;serif"/>
          <w:b w:val="false"/>
          <w:color w:val="000000"/>
          <w:sz w:val="20"/>
        </w:rPr>
        <w:t xml:space="preserve">, the Company operates as </w:t>
      </w:r>
      <w:r>
        <w:rPr>
          <w:rFonts w:ascii="Times New Roman;serif" w:hAnsi="Times New Roman;serif"/>
          <w:b w:val="false"/>
          <w:color w:val="000000"/>
          <w:sz w:val="20"/>
          <w:shd w:fill="FFFFFF" w:val="clear"/>
        </w:rPr>
        <w:t>one</w:t>
      </w:r>
      <w:r>
        <w:rPr>
          <w:color w:val="000000"/>
        </w:rPr>
        <w:t xml:space="preserve"> </w:t>
      </w:r>
      <w:r>
        <w:rPr>
          <w:rFonts w:ascii="Times New Roman;serif" w:hAnsi="Times New Roman;serif"/>
          <w:b w:val="false"/>
          <w:color w:val="000000"/>
          <w:sz w:val="20"/>
        </w:rPr>
        <w:t xml:space="preserve">reportable segment. As of September 30, 2025, the Company’s CODM was its CEO. The Company’s CODM does not manage any part of the Company separately, and the allocation of resources and assessment of performance is based solely on the Company’s consolidated operations and financial results. The accounting policies of our single reportable segment are the same as those described in </w:t>
      </w:r>
      <w:r>
        <w:rPr>
          <w:rFonts w:ascii="Times New Roman;serif" w:hAnsi="Times New Roman;serif"/>
          <w:b w:val="false"/>
          <w:i/>
          <w:color w:val="000000"/>
          <w:sz w:val="20"/>
        </w:rPr>
        <w:t>Note 1 – Nature of Business and Significant Accounting Policies</w:t>
      </w:r>
      <w:r>
        <w:rPr>
          <w:rFonts w:ascii="Times New Roman;serif" w:hAnsi="Times New Roman;serif"/>
          <w:b w:val="false"/>
          <w:color w:val="000000"/>
          <w:sz w:val="20"/>
        </w:rPr>
        <w: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CODM uses net income (loss) in evaluating the performance of our single reportable segment and determining how to allocate resources of the Company as a whole, including investing in our products, services and customers. As the Company only has one reportable segment, the measure of segment assets is reported on the balance sheet as total consolidated assets.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revenues, significant expenses and other segment items regularly provided to the CODM: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205" w:type="dxa"/>
        <w:jc w:val="left"/>
        <w:tblInd w:w="0" w:type="dxa"/>
        <w:tblLayout w:type="fixed"/>
        <w:tblCellMar>
          <w:top w:w="28" w:type="dxa"/>
          <w:left w:w="28" w:type="dxa"/>
          <w:bottom w:w="28" w:type="dxa"/>
          <w:right w:w="28" w:type="dxa"/>
        </w:tblCellMar>
      </w:tblPr>
      <w:tblGrid>
        <w:gridCol w:w="1766"/>
        <w:gridCol w:w="1430"/>
        <w:gridCol w:w="1436"/>
        <w:gridCol w:w="217"/>
        <w:gridCol w:w="718"/>
        <w:gridCol w:w="121"/>
        <w:gridCol w:w="121"/>
        <w:gridCol w:w="121"/>
        <w:gridCol w:w="121"/>
        <w:gridCol w:w="217"/>
        <w:gridCol w:w="718"/>
        <w:gridCol w:w="121"/>
        <w:gridCol w:w="121"/>
        <w:gridCol w:w="121"/>
        <w:gridCol w:w="121"/>
        <w:gridCol w:w="217"/>
        <w:gridCol w:w="818"/>
        <w:gridCol w:w="121"/>
        <w:gridCol w:w="121"/>
        <w:gridCol w:w="121"/>
        <w:gridCol w:w="121"/>
        <w:gridCol w:w="217"/>
        <w:gridCol w:w="818"/>
        <w:gridCol w:w="181"/>
      </w:tblGrid>
      <w:tr>
        <w:trPr/>
        <w:tc>
          <w:tcPr>
            <w:tcW w:w="1766"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cost of revenues</w:t>
            </w:r>
            <w:r>
              <w:rPr>
                <w:color w:val="000000"/>
              </w:rPr>
              <w:t xml:space="preserve"> </w:t>
            </w:r>
            <w:r>
              <w:rPr>
                <w:rFonts w:ascii="Times New Roman;serif" w:hAnsi="Times New Roman;serif"/>
                <w:b w:val="false"/>
                <w:color w:val="000000"/>
                <w:sz w:val="12"/>
              </w:rPr>
              <w:t>(1)</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research and development</w:t>
            </w:r>
            <w:r>
              <w:rPr>
                <w:color w:val="000000"/>
              </w:rPr>
              <w:t xml:space="preserve"> </w:t>
            </w:r>
            <w:r>
              <w:rPr>
                <w:rFonts w:ascii="Times New Roman;serif" w:hAnsi="Times New Roman;serif"/>
                <w:b w:val="false"/>
                <w:color w:val="000000"/>
                <w:sz w:val="12"/>
              </w:rPr>
              <w:t>(2)</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sales and marketing</w:t>
            </w:r>
            <w:r>
              <w:rPr>
                <w:color w:val="000000"/>
              </w:rPr>
              <w:t xml:space="preserve"> </w:t>
            </w:r>
            <w:r>
              <w:rPr>
                <w:rFonts w:ascii="Times New Roman;serif" w:hAnsi="Times New Roman;serif"/>
                <w:b w:val="false"/>
                <w:color w:val="000000"/>
                <w:sz w:val="12"/>
              </w:rPr>
              <w:t>(2)</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general and administrative</w:t>
            </w:r>
            <w:r>
              <w:rPr>
                <w:color w:val="000000"/>
              </w:rPr>
              <w:t xml:space="preserve"> </w:t>
            </w:r>
            <w:r>
              <w:rPr>
                <w:rFonts w:ascii="Times New Roman;serif" w:hAnsi="Times New Roman;serif"/>
                <w:b w:val="false"/>
                <w:color w:val="000000"/>
                <w:sz w:val="12"/>
              </w:rPr>
              <w:t>(3)</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depreciation and amortization</w:t>
            </w:r>
            <w:r>
              <w:rPr>
                <w:color w:val="000000"/>
              </w:rPr>
              <w:t xml:space="preserve"> </w:t>
            </w:r>
            <w:r>
              <w:rPr>
                <w:rFonts w:ascii="Times New Roman;serif" w:hAnsi="Times New Roman;serif"/>
                <w:b w:val="false"/>
                <w:color w:val="000000"/>
                <w:sz w:val="12"/>
              </w:rPr>
              <w:t>(4)</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Capitalizable software development expenditures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expenditures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 assets related to business combinations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 impairment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lease termination</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restructuring costs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restructurings, net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revolving credit facility</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net income (loss)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profit or loss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 (loss)</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5,138 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(1) Excludes any share-based compensation expense.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(2) Excludes any depreciation and amortization or share-based compensation expense.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(3) Excludes any depreciation and amortization, share-based compensation expense, right-of-use asset impairments, gain on early lease terminations, or debt restructuring costs.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(4) Excludes amortization of purchased intangible assets.</w:t>
            </w:r>
          </w:p>
        </w:tc>
      </w:tr>
    </w:tbl>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lineRule="auto" w:line="276"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revenues by geographic region based on shipping destination (in thousands):</w:t>
      </w:r>
    </w:p>
    <w:tbl>
      <w:tblPr>
        <w:tblW w:w="7710" w:type="dxa"/>
        <w:jc w:val="left"/>
        <w:tblInd w:w="0" w:type="dxa"/>
        <w:tblLayout w:type="fixed"/>
        <w:tblCellMar>
          <w:top w:w="28" w:type="dxa"/>
          <w:left w:w="28" w:type="dxa"/>
          <w:bottom w:w="28" w:type="dxa"/>
          <w:right w:w="28" w:type="dxa"/>
        </w:tblCellMar>
      </w:tblPr>
      <w:tblGrid>
        <w:gridCol w:w="978"/>
        <w:gridCol w:w="857"/>
        <w:gridCol w:w="865"/>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 and Canada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137,356 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(including United Kingdom)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long-term assets are located within the United States.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two customers accounted for 71.6% and 23.6% of revenues, respectively. For the three months ended September 30, 2024, two customers accounted for 38.6% and 36.7% of revenues, respectively.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two customers accounted for 63.9% and 26.9% of revenues, respectively. For the nine months ended September 30, 2024, two customers accounted for 43.3% and 31.9% of revenues, respectively.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two customers accounted for 82.2% and 12.9% of accounts receivable, net, respectively. As of December 31, 2024, three customers accounted for 33.6%, 22.8%, and 18.8% of accounts receivable, net, respectively. </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Concentrations in the Available Sources of Supply of Materials and Product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services use hardware and software from various third parties, some of which are procured from sole-source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In addition, many of our suppliers are located outside of the United States and therefore can be impacted by additional government regulations, such as import tariffs.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10. Commitments and Contingencies</w:t>
      </w:r>
    </w:p>
    <w:p>
      <w:pPr>
        <w:pStyle w:val="TextBody"/>
        <w:bidi w:val="0"/>
        <w:spacing w:lineRule="auto" w:line="276" w:before="100" w:after="283"/>
        <w:jc w:val="left"/>
        <w:rPr>
          <w:rFonts w:ascii="Times New Roman;serif" w:hAnsi="Times New Roman;serif"/>
          <w:b w:val="false"/>
          <w:i/>
          <w:color w:val="000000"/>
          <w:sz w:val="20"/>
        </w:rPr>
      </w:pPr>
      <w:r>
        <w:rPr>
          <w:rFonts w:ascii="Times New Roman;serif" w:hAnsi="Times New Roman;serif"/>
          <w:b w:val="false"/>
          <w:i/>
          <w:color w:val="000000"/>
          <w:sz w:val="20"/>
        </w:rPr>
        <w:t>Noncancellable Purchase Obligations</w:t>
      </w:r>
    </w:p>
    <w:p>
      <w:pPr>
        <w:pStyle w:val="TextBody"/>
        <w:bidi w:val="0"/>
        <w:spacing w:lineRule="auto" w:line="276"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typically enters into commitments with its contract manufacturers that require future purchases of goods or services in the three to four quarters following the balance sheet date. Such commitments are noncancellable (“noncancellable purchase obligations”). As of September 30, 2025, future payments under these noncancellable purchase obligations were approximately $110.2 million. </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Legal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 </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Indemnification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Note 11. Income Taxes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for both periods consisted primarily of foreign income taxes at certain of the Company’s international entities and state taxes for its U.S.-based entities. The Company’s income tax expense differs from the expected expense based on statutory rates primarily due to full valuation allowances at all of its U.S.-based entities and to state tax expense adjustments related to final returns filed for the 2024 tax year.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which, among other things, provided a permanent extension of certain tax measures initially established under the 2017 Tax Cuts and Jobs Act, which were set to expire at the end of 2025, and modified tax legislation affecting bonus depreciation rules and the tax treatment of research and development expenses and interest deductions. Specifically, the OBBBA provides for 100% bonus depreciation and eliminates the requirement under Internal Revenue Code Section 174 to capitalize and amortize U.S. based research and experimental expenditures over five years, making these expenditures fully deductible in the period incurred beginning after 2024. The Company currently does not expect the OBBBA to have a material impact to our effective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76" w:before="100" w:after="283"/>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dependence on a small number of customers for a substantial portion of our revenues;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compete in the market for wireless broadband data access products, wireless modem products, and telematics products and services;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successfully develop and introduce new products and services;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pace of 5G wireless network rollouts globally and their adoption by customers;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attract new customers and retain existing customers;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dependence on wireless telecommunication operators delivering acceptable wireless services;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develop sales channels and to onboard and execute successfully with channel partners;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develop and expand into new markets;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properly manage the growth of our business to avoid significant strains on our management and operations and disruptions to our business;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reliance on contract manufacturers and third parties to manufacture our products;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contract manufacturers’ ability to secure necessary supply to build our devices;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increases in costs, disruption of supply and/or the shortage of semiconductors or other key components of our products;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accurately forecast customer demand and order the manufacture and timely delivery of sufficient product quantities;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reliance on sole source suppliers for some products and devices used in our solutions;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be cost competitive while meeting time-to-market requirements for our customers;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meet the product performance needs of our customers in mobile broadband and fixed wireless access markets;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make successful investments in research and development;</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introduce and sell new products that comply with current and evolving industry standards and government regulations such as the evolving 5G New Radio (“5G NR”) price and performance standards;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mitigate the impact of tariffs or other government-imposed sanctions;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continuing impact of uncertain global economic conditions on the demand for our products; and</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impact of geopolitical instability on our business.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make payments on or to refinance our indebtedness;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outcome of any pending or future litigation, including intellectual property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continued ability to license necessary third-party technology for the development and sale of our solutions;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introduction of new products that could contain errors or defects;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hire, retain and manage qualified personnel to maintain and expand our business.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conducting business abroad, including foreign currency risks;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impact of high rates of inflation and rising interest rates;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infringement claims with respect to intellectual property contained in our solutions.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2024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 </w:t>
      </w:r>
    </w:p>
    <w:p>
      <w:pPr>
        <w:pStyle w:val="TextBody"/>
        <w:bidi w:val="0"/>
        <w:spacing w:lineRule="auto" w:line="276" w:before="180" w:after="283"/>
        <w:jc w:val="left"/>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76" w:before="180" w:after="180"/>
        <w:ind w:left="0" w:right="0" w:firstLine="450"/>
        <w:jc w:val="left"/>
        <w:rPr>
          <w:color w:val="000000"/>
        </w:rPr>
      </w:pPr>
      <w:r>
        <w:rPr>
          <w:color w:val="000000"/>
        </w:rPr>
        <w:t>“</w:t>
      </w:r>
      <w:r>
        <w:rPr>
          <w:rFonts w:ascii="Times New Roman;serif" w:hAnsi="Times New Roman;serif"/>
          <w:b w:val="false"/>
          <w:color w:val="000000"/>
          <w:sz w:val="20"/>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2024, contained in our Form 10-K.</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Inseego is a leader in the design and development of cloud-managed wireless wide area network (“WAN”) and intelligent edge solutions. Our 5G WAN portfolio is comprised of secure and high-performance mobile broadband and fixed wireless access (“FWA”) solutions with associated cloud solutions for real time WAN visibility, monitoring, automation and control with centralized orchestration of network functions. These devices are specifically built for the carrier, enterprise and small and medium business (“SMB”) market segments with a focus on performance, scalability, quality and enterprise grade security. We also provide a wireless subscriber management SaaS solution for carriers’ management of their government and complex enterprise customer subscriptions.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5G products and associated cloud solutions are designed and developed in the U.S. and are used in mission-critical applications requiring the highest levels of security and zero unscheduled downtime. These products support applications such as business broadband for both mobile and fixed use cases, enterprise networking and software-defined wide area network (“SD-WAN”) failover management.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Inseego is at the forefront of providing high speed broadband through state-of-the-art 5G products and services to keep enterprise and SMB customers seamlessly connected. With multiple first-to-market innovations through several generations of 4G and 5G technologies, Inseego has been advancing wireless WAN technology and driving industry transformations for over 30 years.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16, 2024, the Company and its subsidiary Inseego SA (Pty) Ltd (“Seller”) entered into a Share Purchase Agreement (the “Purchase Agreement”) with Light Sabre SPV Limited (which subsequently novated its benefits and obligations under the Purchase Agreement to Ctrack Holdings (the “Purchaser”)), pursuant to which Inseego agreed to sell to the Purchaser the entire issued share capital of the Company’s Inseego International Holdings Limited subsidiary in exchange for approximately $52 million in cash, subject to certain adjustments. Upon completion of the sale, which occurred on November 27, 2024, the Purchaser acquired the Company’s telematics solutions business (the “Telematics Business”), which had operations in the United Kingdom, the European Union, Australia and New Zealand.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decision to divest its Telematics Business was based on a review of the strategic fit of the business with the Company’s North American-centric 5G wireless solutions business and the Company’s previously stated goal to continue to significantly de-leverage its capital structure. The sale of the Telematics Business further supports the Company’s streamlining of its focus and resources on what it believes to be the strongest growth opportunities around its core product offerings.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results of operations and cash flows related to the divested Telematics Business have been classified as discontinued operations within the Condensed Consolidated Statements of Operations and Comprehensive Income and Condensed Consolidated Statements of Cash Flows for all periods presented within the consolidated financial statements included in Part I, Item 1 of this Quarterly Report on Form 10-Q. All discussion below relates to the Company’s continuing operations only, which excludes any results related to the divested Telematics Business, unless noted otherwise.</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Our Sources of Revenue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classify our revenues from the sale of our products and services into two categories: Product Revenue, which consists of our Mobile Solutions and Fixed Wireless Access Solutions, and Services and Other. A description of each of the revenue classifications is as follows:</w:t>
      </w:r>
    </w:p>
    <w:p>
      <w:pPr>
        <w:pStyle w:val="TextBody"/>
        <w:bidi w:val="0"/>
        <w:spacing w:lineRule="auto" w:line="276" w:before="0" w:after="0"/>
        <w:jc w:val="left"/>
        <w:rPr/>
      </w:pPr>
      <w:r>
        <w:rPr>
          <w:rFonts w:ascii="Times New Roman;serif" w:hAnsi="Times New Roman;serif"/>
          <w:b w:val="false"/>
          <w:i/>
          <w:color w:val="000000"/>
          <w:sz w:val="20"/>
        </w:rPr>
        <w:t>Mobile solutions</w:t>
      </w:r>
      <w:r>
        <w:rPr>
          <w:rFonts w:ascii="Times New Roman;serif" w:hAnsi="Times New Roman;serif"/>
          <w:b w:val="false"/>
          <w:color w:val="000000"/>
          <w:sz w:val="20"/>
        </w:rPr>
        <w:t>: Our mobile broadband devices, sold under the MiFi brand, are actively used by millions of end users to provide secure and convenient high-speed access to corporate, public and personal information through the Internet and enterprise networks. Our mobile portfolio is supported by our cloud offering, Inseego Connect for device management, whose revenues are included in</w:t>
      </w:r>
      <w:r>
        <w:rPr>
          <w:color w:val="000000"/>
        </w:rPr>
        <w:t xml:space="preserve"> </w:t>
      </w:r>
      <w:r>
        <w:rPr>
          <w:rFonts w:ascii="Times New Roman;serif" w:hAnsi="Times New Roman;serif"/>
          <w:b w:val="false"/>
          <w:i/>
          <w:color w:val="000000"/>
          <w:sz w:val="20"/>
        </w:rPr>
        <w:t>Services and Other</w:t>
      </w:r>
      <w:r>
        <w:rPr>
          <w:color w:val="000000"/>
        </w:rPr>
        <w:t xml:space="preserve"> </w:t>
      </w:r>
      <w:r>
        <w:rPr>
          <w:rFonts w:ascii="Times New Roman;serif" w:hAnsi="Times New Roman;serif"/>
          <w:b w:val="false"/>
          <w:color w:val="000000"/>
          <w:sz w:val="20"/>
        </w:rPr>
        <w:t>below. Our Mobile Solutions customer base is primarily comprised of mobile operators. These mobile operators include Verizon Wireless, T-Mobile and U.S. Cellular in the United States, Rogers and Telus in Canada, and various companies in other vertical markets.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Fixed wireless access solutions</w:t>
      </w:r>
      <w:r>
        <w:rPr>
          <w:rFonts w:ascii="Times New Roman;serif" w:hAnsi="Times New Roman;serif"/>
          <w:b w:val="false"/>
          <w:color w:val="000000"/>
          <w:sz w:val="20"/>
        </w:rPr>
        <w:t xml:space="preserve">: Our fixed wireless access solutions are deployed by enterprise and SMB customers for their distributed sites and employees as a fully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0" w:after="0"/>
        <w:jc w:val="left"/>
        <w:rPr/>
      </w:pP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 xml:space="preserve">below. These devices, sold under the Wavemaker brands, are sold by mobile operators such as T-Mobile, U.S. Cellular and Verizon Wireless along with distribution and channel partners.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Software services and other</w:t>
      </w:r>
      <w:r>
        <w:rPr>
          <w:rFonts w:ascii="Times New Roman;serif" w:hAnsi="Times New Roman;serif"/>
          <w:b w:val="false"/>
          <w:color w:val="000000"/>
          <w:sz w:val="20"/>
        </w:rPr>
        <w:t xml:space="preserve">: A substantial majority of our software services and other revenue comes from providing a SaaS wireless subscriber management solution (Inseego Subscribe) for carrier’s management of their government and complex enterprise customer subscriptions. Services and Other revenue also includes the Company’s above mentioned Inseego Connect offering. We also categorize non-recurring engineering services we provide to our customers as </w:t>
      </w:r>
      <w:r>
        <w:rPr>
          <w:rFonts w:ascii="Times New Roman;serif" w:hAnsi="Times New Roman;serif"/>
          <w:b w:val="false"/>
          <w:i/>
          <w:color w:val="000000"/>
          <w:sz w:val="20"/>
        </w:rPr>
        <w:t xml:space="preserve">Software </w:t>
      </w:r>
      <w:r>
        <w:rPr>
          <w:rFonts w:ascii="Times New Roman;serif" w:hAnsi="Times New Roman;serif"/>
          <w:b w:val="false"/>
          <w:color w:val="000000"/>
          <w:sz w:val="20"/>
        </w:rPr>
        <w:t>s</w:t>
      </w:r>
      <w:r>
        <w:rPr>
          <w:rFonts w:ascii="Times New Roman;serif" w:hAnsi="Times New Roman;serif"/>
          <w:b w:val="false"/>
          <w:i/>
          <w:color w:val="000000"/>
          <w:sz w:val="20"/>
        </w:rPr>
        <w:t>ervices and other</w:t>
      </w:r>
      <w:r>
        <w:rPr>
          <w:color w:val="000000"/>
        </w:rPr>
        <w:t xml:space="preserve"> </w:t>
      </w:r>
      <w:r>
        <w:rPr>
          <w:rFonts w:ascii="Times New Roman;serif" w:hAnsi="Times New Roman;serif"/>
          <w:b w:val="false"/>
          <w:color w:val="000000"/>
          <w:sz w:val="20"/>
        </w:rPr>
        <w:t>revenue.</w:t>
      </w:r>
    </w:p>
    <w:p>
      <w:pPr>
        <w:pStyle w:val="TextBody"/>
        <w:bidi w:val="0"/>
        <w:spacing w:lineRule="auto" w:line="276" w:before="18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Business Segment Reporting</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 xml:space="preserve">The Company has one reportable segment. The Company’s Chief Executive Officer (“CEO”), who is also the Chief Operating Decision Maker, does not manage any part of the Company separately, and the allocation of resources and assessment of performance are based solely on the Company’s consolidated operations and financial results. </w:t>
      </w:r>
      <w:r>
        <w:rPr>
          <w:rFonts w:ascii="Times New Roman;serif" w:hAnsi="Times New Roman;serif"/>
          <w:b w:val="false"/>
          <w:color w:val="000000"/>
          <w:sz w:val="20"/>
        </w:rPr>
        <w:t>As such, our operations constitute a single operating segment and one reportable segment.</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prepare our condensed consolidated financial statements in accordance with GAAP. The preparation of these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We base our estimates on historical experience and other assumptions that we believe are reasonable under the circumstances. Our actual results could differ significantly from these estimates under different assumptions and conditions.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compared to the critical accounting estimates discussed in the Form 10-K.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Three Months Ended September 30, 2025 Compared to Three Months Ended September 30, 2024 </w:t>
      </w:r>
    </w:p>
    <w:p>
      <w:pPr>
        <w:pStyle w:val="TextBody"/>
        <w:bidi w:val="0"/>
        <w:spacing w:lineRule="auto" w:line="276" w:before="180" w:after="180"/>
        <w:ind w:left="0" w:right="0" w:firstLine="450"/>
        <w:jc w:val="left"/>
        <w:rPr/>
      </w:pPr>
      <w:r>
        <w:rPr>
          <w:rFonts w:ascii="Times New Roman;serif" w:hAnsi="Times New Roman;serif"/>
          <w:b/>
          <w:i/>
          <w:color w:val="000000"/>
          <w:sz w:val="20"/>
        </w:rPr>
        <w:t>Revenues</w:t>
      </w:r>
      <w:r>
        <w:rPr>
          <w:rFonts w:ascii="Times New Roman;serif" w:hAnsi="Times New Roman;serif"/>
          <w:b w:val="false"/>
          <w:color w:val="000000"/>
          <w:sz w:val="20"/>
        </w:rPr>
        <w:t xml:space="preserve">. Revenues for the three months ended September 30, 2025 were $45.9 million, compared to $54.0 million for the same period in 2024.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revenues by our two categories (in thousands):</w:t>
      </w:r>
    </w:p>
    <w:tbl>
      <w:tblPr>
        <w:tblW w:w="7090" w:type="dxa"/>
        <w:jc w:val="left"/>
        <w:tblInd w:w="0" w:type="dxa"/>
        <w:tblLayout w:type="fixed"/>
        <w:tblCellMar>
          <w:top w:w="28" w:type="dxa"/>
          <w:left w:w="28" w:type="dxa"/>
          <w:bottom w:w="28" w:type="dxa"/>
          <w:right w:w="28" w:type="dxa"/>
        </w:tblCellMar>
      </w:tblPr>
      <w:tblGrid>
        <w:gridCol w:w="847"/>
        <w:gridCol w:w="746"/>
        <w:gridCol w:w="747"/>
        <w:gridCol w:w="196"/>
        <w:gridCol w:w="646"/>
        <w:gridCol w:w="109"/>
        <w:gridCol w:w="109"/>
        <w:gridCol w:w="109"/>
        <w:gridCol w:w="109"/>
        <w:gridCol w:w="196"/>
        <w:gridCol w:w="646"/>
        <w:gridCol w:w="109"/>
        <w:gridCol w:w="109"/>
        <w:gridCol w:w="109"/>
        <w:gridCol w:w="109"/>
        <w:gridCol w:w="196"/>
        <w:gridCol w:w="721"/>
        <w:gridCol w:w="109"/>
        <w:gridCol w:w="109"/>
        <w:gridCol w:w="109"/>
        <w:gridCol w:w="109"/>
        <w:gridCol w:w="269"/>
        <w:gridCol w:w="271"/>
        <w:gridCol w:w="301"/>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Mobile solutions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wireless access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i/>
          <w:color w:val="000000"/>
          <w:sz w:val="20"/>
        </w:rPr>
        <w:t>Mobile solutions.</w:t>
      </w:r>
      <w:r>
        <w:rPr>
          <w:color w:val="000000"/>
        </w:rPr>
        <w:t xml:space="preserve"> </w:t>
      </w:r>
      <w:r>
        <w:rPr>
          <w:rFonts w:ascii="Times New Roman;serif" w:hAnsi="Times New Roman;serif"/>
          <w:b w:val="false"/>
          <w:color w:val="000000"/>
          <w:sz w:val="20"/>
        </w:rPr>
        <w:t xml:space="preserve">The $16.2 million decrease in mobile solutions revenues is primarily due to decreased sales with one of our carrier partners due to significant promotional activity in the prior period. </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Fixed wireless access solutions.</w:t>
      </w:r>
      <w:r>
        <w:rPr>
          <w:color w:val="000000"/>
        </w:rPr>
        <w:t xml:space="preserve"> </w:t>
      </w:r>
      <w:r>
        <w:rPr>
          <w:rFonts w:ascii="Times New Roman;serif" w:hAnsi="Times New Roman;serif"/>
          <w:b w:val="false"/>
          <w:color w:val="000000"/>
          <w:sz w:val="20"/>
        </w:rPr>
        <w:t>The $7.9 million increase in fixed wireless access solutions revenues is primarily due to the launch of our current generation indoor FWA solution that began selling in the second quarter of 2025.</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Software services and other </w:t>
      </w:r>
      <w:r>
        <w:rPr>
          <w:rFonts w:ascii="Times New Roman;serif" w:hAnsi="Times New Roman;serif"/>
          <w:b w:val="false"/>
          <w:color w:val="000000"/>
          <w:sz w:val="20"/>
        </w:rPr>
        <w:t>The $0.2 million increase in software services and other revenues is primarily due to increased revenue from Inseego Connect, partially offset by non-recurring engineering revenue generated in the prior period for which there was no equivalent during the current period.</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Cost of revenues. </w:t>
      </w:r>
      <w:r>
        <w:rPr>
          <w:rFonts w:ascii="Times New Roman;serif" w:hAnsi="Times New Roman;serif"/>
          <w:b w:val="false"/>
          <w:color w:val="000000"/>
          <w:sz w:val="20"/>
        </w:rPr>
        <w:t xml:space="preserve">Cost of revenues for the three months ended September 30, 2025 was $26.8 million, or 58.4% of revenues, compared to $35.2 million, or 65.2% of revenues, for the same period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cost of revenues by category (in thousands):</w:t>
      </w:r>
    </w:p>
    <w:tbl>
      <w:tblPr>
        <w:tblW w:w="6744" w:type="dxa"/>
        <w:jc w:val="left"/>
        <w:tblInd w:w="0" w:type="dxa"/>
        <w:tblLayout w:type="fixed"/>
        <w:tblCellMar>
          <w:top w:w="28" w:type="dxa"/>
          <w:left w:w="28" w:type="dxa"/>
          <w:bottom w:w="28" w:type="dxa"/>
          <w:right w:w="28" w:type="dxa"/>
        </w:tblCellMar>
      </w:tblPr>
      <w:tblGrid>
        <w:gridCol w:w="754"/>
        <w:gridCol w:w="664"/>
        <w:gridCol w:w="666"/>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69"/>
        <w:gridCol w:w="271"/>
        <w:gridCol w:w="3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i/>
          <w:color w:val="000000"/>
          <w:sz w:val="20"/>
        </w:rPr>
        <w:t>Product.</w:t>
      </w:r>
      <w:r>
        <w:rPr>
          <w:color w:val="000000"/>
        </w:rPr>
        <w:t xml:space="preserve"> </w:t>
      </w:r>
      <w:r>
        <w:rPr>
          <w:rFonts w:ascii="Times New Roman;serif" w:hAnsi="Times New Roman;serif"/>
          <w:b w:val="false"/>
          <w:color w:val="000000"/>
          <w:sz w:val="20"/>
        </w:rPr>
        <w:t xml:space="preserve">The $8.3 million decrease in product cost of revenues is primarily due to decreased product revenues and an increased proportion of higher margin FWA products in comparison to lower margin mobile products. </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The $0.1 million decrease in software services and other cost of revenues is primarily due to decreased outside service costs related to Inseego Subscribe revenues and decreased non-recurring engineering revenues and the related costs of performing those services.</w:t>
      </w:r>
    </w:p>
    <w:p>
      <w:pPr>
        <w:pStyle w:val="TextBody"/>
        <w:bidi w:val="0"/>
        <w:spacing w:lineRule="auto" w:line="276" w:before="180" w:after="180"/>
        <w:ind w:left="0" w:right="0" w:firstLine="450"/>
        <w:jc w:val="left"/>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Gross profit for the three months ended September 30, 2025 was $19.1 million, or a gross margin of 41.6%, compared to $18.8 million, or a gross margin of 34.8%, for the same period in 2024. The increase in both gross profit and gross margin is primarily due to an increased proportion of higher margin service and FWA revenues as a percentage of total revenues.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Operating costs and expenses. </w:t>
      </w:r>
      <w:r>
        <w:rPr>
          <w:rFonts w:ascii="Times New Roman;serif" w:hAnsi="Times New Roman;serif"/>
          <w:b w:val="false"/>
          <w:color w:val="000000"/>
          <w:sz w:val="20"/>
        </w:rPr>
        <w:t>The following table summarizes operating costs and expenses (in thousands):</w:t>
      </w:r>
    </w:p>
    <w:tbl>
      <w:tblPr>
        <w:tblW w:w="7543" w:type="dxa"/>
        <w:jc w:val="left"/>
        <w:tblInd w:w="0" w:type="dxa"/>
        <w:tblLayout w:type="fixed"/>
        <w:tblCellMar>
          <w:top w:w="28" w:type="dxa"/>
          <w:left w:w="28" w:type="dxa"/>
          <w:bottom w:w="28" w:type="dxa"/>
          <w:right w:w="28" w:type="dxa"/>
        </w:tblCellMar>
      </w:tblPr>
      <w:tblGrid>
        <w:gridCol w:w="928"/>
        <w:gridCol w:w="817"/>
        <w:gridCol w:w="819"/>
        <w:gridCol w:w="236"/>
        <w:gridCol w:w="778"/>
        <w:gridCol w:w="131"/>
        <w:gridCol w:w="131"/>
        <w:gridCol w:w="131"/>
        <w:gridCol w:w="131"/>
        <w:gridCol w:w="236"/>
        <w:gridCol w:w="778"/>
        <w:gridCol w:w="131"/>
        <w:gridCol w:w="109"/>
        <w:gridCol w:w="109"/>
        <w:gridCol w:w="109"/>
        <w:gridCol w:w="196"/>
        <w:gridCol w:w="496"/>
        <w:gridCol w:w="109"/>
        <w:gridCol w:w="109"/>
        <w:gridCol w:w="109"/>
        <w:gridCol w:w="109"/>
        <w:gridCol w:w="268"/>
        <w:gridCol w:w="272"/>
        <w:gridCol w:w="30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costs and expenses</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4,878 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i/>
          <w:color w:val="000000"/>
          <w:sz w:val="20"/>
        </w:rPr>
        <w:t>Research and development expenses.</w:t>
      </w:r>
      <w:r>
        <w:rPr>
          <w:color w:val="000000"/>
        </w:rPr>
        <w:t xml:space="preserve"> </w:t>
      </w:r>
      <w:r>
        <w:rPr>
          <w:rFonts w:ascii="Times New Roman;serif" w:hAnsi="Times New Roman;serif"/>
          <w:b w:val="false"/>
          <w:color w:val="000000"/>
          <w:sz w:val="20"/>
        </w:rPr>
        <w:t xml:space="preserve">Research and development expenses for the three months ended September 30, 2025 were $4.9 million, or 10.6% of revenues, compared to $5.2 million, or 9.6% of revenues, for the same period in 2024. The decrease in research and development expenses was primarily due to more research and development projects that were capitalizable during the three months ended September 30, 2025, which resulted in a lower percentage of research and development costs being recorded as operating expenses, and decreased annual incentive bonus accruals, partially offset by increased outside services costs related to the Company’s increased development efforts for its next line of products. </w:t>
      </w:r>
    </w:p>
    <w:p>
      <w:pPr>
        <w:pStyle w:val="TextBody"/>
        <w:bidi w:val="0"/>
        <w:spacing w:lineRule="auto" w:line="276" w:before="180" w:after="180"/>
        <w:ind w:left="0" w:right="0" w:firstLine="450"/>
        <w:jc w:val="left"/>
        <w:rPr/>
      </w:pPr>
      <w:r>
        <w:rPr>
          <w:rFonts w:ascii="Times New Roman;serif" w:hAnsi="Times New Roman;serif"/>
          <w:b/>
          <w:i/>
          <w:color w:val="000000"/>
          <w:sz w:val="20"/>
        </w:rPr>
        <w:t>Sales and marketing expenses.</w:t>
      </w:r>
      <w:r>
        <w:rPr>
          <w:color w:val="000000"/>
        </w:rPr>
        <w:t xml:space="preserve"> </w:t>
      </w:r>
      <w:r>
        <w:rPr>
          <w:rFonts w:ascii="Times New Roman;serif" w:hAnsi="Times New Roman;serif"/>
          <w:b w:val="false"/>
          <w:color w:val="000000"/>
          <w:sz w:val="20"/>
        </w:rPr>
        <w:t>Sales and marketing expenses for the three months ended September 30, 2025 were $4.2 million, or 9.1% of revenues, compared to $4.1 million, or 7.6% of revenues, for the same period in 2024. The increase in sales and marketing expenses was primarily due to increased compensation costs due to increased headcount, partially offset by decreased sales commissions, as a result of lower sales, and decreased annual incentive bonus accruals.</w:t>
      </w:r>
    </w:p>
    <w:p>
      <w:pPr>
        <w:pStyle w:val="TextBody"/>
        <w:bidi w:val="0"/>
        <w:spacing w:lineRule="auto" w:line="276" w:before="180" w:after="180"/>
        <w:ind w:left="0" w:right="0" w:firstLine="450"/>
        <w:jc w:val="left"/>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General and administrative expenses for the three months ended September 30, 2025 were $5.7 million, or 12.4% of revenues, compared to $4.8 million, or 8.9% of revenues, for the same period in 2024. The increase in general and administrative expense was primarily due to an increase in share-based compensation expense related to awards issued to the Company’s CEO who was hired in January 2025 and an increase in compensation costs due to increased headcount, partially offset by a gain on early lease termination recorded during the three months ended September 30, 2025.</w:t>
      </w:r>
    </w:p>
    <w:p>
      <w:pPr>
        <w:pStyle w:val="TextBody"/>
        <w:bidi w:val="0"/>
        <w:spacing w:lineRule="auto" w:line="276" w:before="180" w:after="180"/>
        <w:ind w:left="0" w:right="0" w:firstLine="450"/>
        <w:jc w:val="left"/>
        <w:rPr/>
      </w:pPr>
      <w:r>
        <w:rPr>
          <w:rFonts w:ascii="Times New Roman;serif" w:hAnsi="Times New Roman;serif"/>
          <w:b/>
          <w:i/>
          <w:color w:val="000000"/>
          <w:sz w:val="20"/>
        </w:rPr>
        <w:t>Depreciation and amortization expenses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Depreciation and amortization expenses for the three months ended September 30, 2025 were $2.2 million, or 4.7% of revenues, compared to $3.2 million, or 5.8% of revenues, for the same period in 2024. The decrease in depreciation and amortization expenses was primarily due to the capitalized costs on the Company’s next generation of software intended for sale being capitalized but not amortizable until future quarters when they go to market and the ending of useful life of certain amortizable purchased intangibles.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Impairment of capitalized software. </w:t>
      </w:r>
      <w:r>
        <w:rPr>
          <w:rFonts w:ascii="Times New Roman;serif" w:hAnsi="Times New Roman;serif"/>
          <w:b w:val="false"/>
          <w:color w:val="000000"/>
          <w:sz w:val="20"/>
        </w:rPr>
        <w:t xml:space="preserve">For the three months ended September 30, 2025 and 2024, we recorded impairments of $0.0 million and $0.5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Other (expense) income. </w:t>
      </w:r>
      <w:r>
        <w:rPr>
          <w:rFonts w:ascii="Times New Roman;serif" w:hAnsi="Times New Roman;serif"/>
          <w:b w:val="false"/>
          <w:color w:val="000000"/>
          <w:sz w:val="20"/>
        </w:rPr>
        <w:t>The following table summarizes other (expense) income (in thousands):</w:t>
      </w:r>
    </w:p>
    <w:tbl>
      <w:tblPr>
        <w:tblW w:w="7466" w:type="dxa"/>
        <w:jc w:val="left"/>
        <w:tblInd w:w="0" w:type="dxa"/>
        <w:tblLayout w:type="fixed"/>
        <w:tblCellMar>
          <w:top w:w="28" w:type="dxa"/>
          <w:left w:w="28" w:type="dxa"/>
          <w:bottom w:w="28" w:type="dxa"/>
          <w:right w:w="28" w:type="dxa"/>
        </w:tblCellMar>
      </w:tblPr>
      <w:tblGrid>
        <w:gridCol w:w="851"/>
        <w:gridCol w:w="750"/>
        <w:gridCol w:w="753"/>
        <w:gridCol w:w="255"/>
        <w:gridCol w:w="645"/>
        <w:gridCol w:w="141"/>
        <w:gridCol w:w="141"/>
        <w:gridCol w:w="141"/>
        <w:gridCol w:w="141"/>
        <w:gridCol w:w="255"/>
        <w:gridCol w:w="821"/>
        <w:gridCol w:w="141"/>
        <w:gridCol w:w="109"/>
        <w:gridCol w:w="109"/>
        <w:gridCol w:w="109"/>
        <w:gridCol w:w="196"/>
        <w:gridCol w:w="631"/>
        <w:gridCol w:w="109"/>
        <w:gridCol w:w="109"/>
        <w:gridCol w:w="109"/>
        <w:gridCol w:w="109"/>
        <w:gridCol w:w="269"/>
        <w:gridCol w:w="271"/>
        <w:gridCol w:w="301"/>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restructurings, net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180"/>
        <w:jc w:val="left"/>
        <w:rPr>
          <w:rFonts w:ascii="Times New Roman;serif" w:hAnsi="Times New Roman;serif"/>
          <w:b w:val="false"/>
          <w:i/>
          <w:color w:val="000000"/>
          <w:sz w:val="16"/>
        </w:rPr>
      </w:pPr>
      <w:r>
        <w:rPr>
          <w:rFonts w:ascii="Times New Roman;serif" w:hAnsi="Times New Roman;serif"/>
          <w:b w:val="false"/>
          <w:i/>
          <w:color w:val="000000"/>
          <w:sz w:val="16"/>
        </w:rPr>
        <w:t>* Percentage not meaningful</w:t>
      </w:r>
    </w:p>
    <w:p>
      <w:pPr>
        <w:pStyle w:val="TextBody"/>
        <w:bidi w:val="0"/>
        <w:spacing w:lineRule="auto" w:line="276" w:before="180" w:after="180"/>
        <w:ind w:left="0" w:right="0" w:firstLine="450"/>
        <w:jc w:val="left"/>
        <w:rPr/>
      </w:pPr>
      <w:r>
        <w:rPr>
          <w:rFonts w:ascii="Times New Roman;serif" w:hAnsi="Times New Roman;serif"/>
          <w:b/>
          <w:i/>
          <w:color w:val="000000"/>
          <w:sz w:val="20"/>
        </w:rPr>
        <w:t>Interest expense.</w:t>
      </w:r>
      <w:r>
        <w:rPr>
          <w:color w:val="000000"/>
        </w:rPr>
        <w:t xml:space="preserve"> </w:t>
      </w:r>
      <w:r>
        <w:rPr>
          <w:rFonts w:ascii="Times New Roman;serif" w:hAnsi="Times New Roman;serif"/>
          <w:b w:val="false"/>
          <w:color w:val="000000"/>
          <w:sz w:val="20"/>
        </w:rPr>
        <w:t>The $4.8 million decrease in interest expense for the three months ended September 30, 2025 over the same period in 2024 was primarily a result the Company’s various repurchases and exchanges of the 2025 Convertible Notes (as defined below) that occurred during 2024 and the full repayment of the remaining Notes on May 1, 2025, resulting in lower coupon interest, partially offset by interest expense on the Company’s 2029 Senior Secured Notes (as defined below) that were issued in the fourth quarter of 2024.</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Gain on debt restructurings, net. </w:t>
      </w:r>
      <w:r>
        <w:rPr>
          <w:rFonts w:ascii="Times New Roman;serif" w:hAnsi="Times New Roman;serif"/>
          <w:b w:val="false"/>
          <w:color w:val="000000"/>
          <w:sz w:val="20"/>
        </w:rPr>
        <w:t>The $12.4 million net gain on debt restructurings for the three months ended September 30, 2024 is a result of the Company’s various 2025 Convertible Notes restructurings completed during 2024 as part of our overall capital structure management efforts.</w:t>
      </w:r>
    </w:p>
    <w:p>
      <w:pPr>
        <w:pStyle w:val="TextBody"/>
        <w:bidi w:val="0"/>
        <w:spacing w:lineRule="auto" w:line="276" w:before="180" w:after="180"/>
        <w:ind w:left="0" w:right="0" w:firstLine="450"/>
        <w:jc w:val="left"/>
        <w:rPr/>
      </w:pPr>
      <w:r>
        <w:rPr>
          <w:rFonts w:ascii="Times New Roman;serif" w:hAnsi="Times New Roman;serif"/>
          <w:b/>
          <w:i/>
          <w:color w:val="000000"/>
          <w:sz w:val="20"/>
        </w:rPr>
        <w:t>Other income (expense), net.</w:t>
      </w:r>
      <w:r>
        <w:rPr>
          <w:color w:val="000000"/>
        </w:rPr>
        <w:t xml:space="preserve"> </w:t>
      </w:r>
      <w:r>
        <w:rPr>
          <w:rFonts w:ascii="Times New Roman;serif" w:hAnsi="Times New Roman;serif"/>
          <w:b w:val="false"/>
          <w:color w:val="000000"/>
          <w:sz w:val="20"/>
        </w:rPr>
        <w:t>Other income (expense), net for the three months ended September 30, 2025 and 2024 was $0.1 million and $(0.1) million, respectively. The increase in other income, net was primarily due to interest income earned on money market fund accounts that the Company began investing in during the first quarter of 2025.</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Income tax provision (benefit). </w:t>
      </w:r>
      <w:r>
        <w:rPr>
          <w:rFonts w:ascii="Times New Roman;serif" w:hAnsi="Times New Roman;serif"/>
          <w:b w:val="false"/>
          <w:color w:val="000000"/>
          <w:sz w:val="20"/>
        </w:rPr>
        <w:t>Income tax provision (benefit) was less than $0.1 million for both the three months ended September 30, 2025 and 2024.</w:t>
      </w:r>
    </w:p>
    <w:p>
      <w:pPr>
        <w:pStyle w:val="TextBody"/>
        <w:bidi w:val="0"/>
        <w:spacing w:lineRule="auto" w:line="268" w:before="0" w:after="0"/>
        <w:ind w:left="0" w:right="0" w:firstLine="450"/>
        <w:jc w:val="left"/>
        <w:rPr/>
      </w:pPr>
      <w:r>
        <w:rPr>
          <w:rFonts w:ascii="Times New Roman;serif" w:hAnsi="Times New Roman;serif"/>
          <w:b/>
          <w:i/>
          <w:color w:val="000000"/>
          <w:sz w:val="20"/>
        </w:rPr>
        <w:t xml:space="preserve">Income (Loss) from discontinued operations, net of tax. </w:t>
      </w:r>
      <w:r>
        <w:rPr>
          <w:rFonts w:ascii="Times New Roman;serif" w:hAnsi="Times New Roman;serif"/>
          <w:b w:val="false"/>
          <w:color w:val="000000"/>
          <w:sz w:val="20"/>
        </w:rPr>
        <w:t>Income (loss) from discontinued operations, net of tax for the three months ended September 30, 2024 was $1.4 million. There was no income (loss) from discontinued operations during the three months ended September 30, 2025 as the Telematics Business was sold in November 2024.</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erif" w:hAnsi="Times New Roman;serif"/>
          <w:b/>
          <w:i/>
          <w:color w:val="000000"/>
          <w:sz w:val="20"/>
        </w:rPr>
        <w:t xml:space="preserve">Preferred stock dividends. </w:t>
      </w:r>
      <w:r>
        <w:rPr>
          <w:rFonts w:ascii="Times New Roman;serif" w:hAnsi="Times New Roman;serif"/>
          <w:b w:val="false"/>
          <w:color w:val="000000"/>
          <w:sz w:val="20"/>
        </w:rPr>
        <w:t>During the three months ended September 30, 2025 and 2024, we recorded dividends of $0.9 million and $0.8 million, respectively, on our Series 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68" w:before="180" w:after="180"/>
        <w:ind w:left="0" w:right="0" w:firstLine="450"/>
        <w:jc w:val="left"/>
        <w:rPr>
          <w:rFonts w:ascii="Times New Roman;serif" w:hAnsi="Times New Roman;serif"/>
          <w:b/>
          <w:color w:val="000000"/>
          <w:sz w:val="20"/>
        </w:rPr>
      </w:pPr>
      <w:r>
        <w:rPr>
          <w:rFonts w:ascii="Times New Roman;serif" w:hAnsi="Times New Roman;serif"/>
          <w:b/>
          <w:color w:val="000000"/>
          <w:sz w:val="20"/>
        </w:rPr>
        <w:t>Nine Months Ended September 30, 2025 Compared to Nine Months Ended September 30, 2024</w:t>
      </w:r>
    </w:p>
    <w:p>
      <w:pPr>
        <w:pStyle w:val="TextBody"/>
        <w:bidi w:val="0"/>
        <w:spacing w:lineRule="auto" w:line="276" w:before="180" w:after="180"/>
        <w:ind w:left="0" w:right="0" w:firstLine="450"/>
        <w:jc w:val="left"/>
        <w:rPr/>
      </w:pPr>
      <w:r>
        <w:rPr>
          <w:rFonts w:ascii="Times New Roman;serif" w:hAnsi="Times New Roman;serif"/>
          <w:b/>
          <w:i/>
          <w:color w:val="000000"/>
          <w:sz w:val="20"/>
        </w:rPr>
        <w:t>Revenues</w:t>
      </w:r>
      <w:r>
        <w:rPr>
          <w:rFonts w:ascii="Times New Roman;serif" w:hAnsi="Times New Roman;serif"/>
          <w:b w:val="false"/>
          <w:color w:val="000000"/>
          <w:sz w:val="20"/>
        </w:rPr>
        <w:t xml:space="preserve">. Revenues for the nine months ended September 30, 2025 were $117.8 million, compared to $143.2 million for the same period in 2024.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revenues by our two product categories (in thousands):</w:t>
      </w:r>
    </w:p>
    <w:tbl>
      <w:tblPr>
        <w:tblW w:w="7270" w:type="dxa"/>
        <w:jc w:val="left"/>
        <w:tblInd w:w="0" w:type="dxa"/>
        <w:tblLayout w:type="fixed"/>
        <w:tblCellMar>
          <w:top w:w="28" w:type="dxa"/>
          <w:left w:w="28" w:type="dxa"/>
          <w:bottom w:w="28" w:type="dxa"/>
          <w:right w:w="28" w:type="dxa"/>
        </w:tblCellMar>
      </w:tblPr>
      <w:tblGrid>
        <w:gridCol w:w="847"/>
        <w:gridCol w:w="746"/>
        <w:gridCol w:w="747"/>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301"/>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Mobile solutions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wireless access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left"/>
        <w:rPr/>
      </w:pPr>
      <w:r>
        <w:rPr>
          <w:rFonts w:ascii="Times New Roman;serif" w:hAnsi="Times New Roman;serif"/>
          <w:b w:val="false"/>
          <w:i/>
          <w:color w:val="000000"/>
          <w:sz w:val="20"/>
        </w:rPr>
        <w:t>Mobile solutions.</w:t>
      </w:r>
      <w:r>
        <w:rPr>
          <w:color w:val="000000"/>
        </w:rPr>
        <w:t xml:space="preserve"> </w:t>
      </w:r>
      <w:r>
        <w:rPr>
          <w:rFonts w:ascii="Times New Roman;serif" w:hAnsi="Times New Roman;serif"/>
          <w:b w:val="false"/>
          <w:color w:val="000000"/>
          <w:sz w:val="20"/>
        </w:rPr>
        <w:t xml:space="preserve">The $25.9 million decrease in mobile solutions revenues is primarily due to decreased sales with one of our carrier partners due to significant promotional activity in the prior period. </w:t>
      </w:r>
    </w:p>
    <w:p>
      <w:pPr>
        <w:pStyle w:val="TextBody"/>
        <w:bidi w:val="0"/>
        <w:spacing w:lineRule="auto" w:line="268" w:before="180" w:after="180"/>
        <w:ind w:left="0" w:right="0" w:firstLine="450"/>
        <w:jc w:val="left"/>
        <w:rPr/>
      </w:pPr>
      <w:r>
        <w:rPr>
          <w:rFonts w:ascii="Times New Roman;serif" w:hAnsi="Times New Roman;serif"/>
          <w:b w:val="false"/>
          <w:i/>
          <w:color w:val="000000"/>
          <w:sz w:val="20"/>
        </w:rPr>
        <w:t>Fixed wireless access solutions.</w:t>
      </w:r>
      <w:r>
        <w:rPr>
          <w:color w:val="000000"/>
        </w:rPr>
        <w:t xml:space="preserve"> </w:t>
      </w:r>
      <w:r>
        <w:rPr>
          <w:rFonts w:ascii="Times New Roman;serif" w:hAnsi="Times New Roman;serif"/>
          <w:b w:val="false"/>
          <w:color w:val="000000"/>
          <w:sz w:val="20"/>
        </w:rPr>
        <w:t xml:space="preserve">The $3.2 million decrease in fixed wireless access solutions revenues is primarily due to decreased sales with one of our carrier partners during the first three months of 2025 as we transitioned to our next generation of fixed wireless access products that launched during the second quarter of 2025 combined with decreased sales in our channel program. </w:t>
      </w:r>
    </w:p>
    <w:p>
      <w:pPr>
        <w:pStyle w:val="TextBody"/>
        <w:bidi w:val="0"/>
        <w:spacing w:lineRule="auto" w:line="268" w:before="180" w:after="180"/>
        <w:ind w:left="0" w:right="0" w:firstLine="450"/>
        <w:jc w:val="left"/>
        <w:rPr/>
      </w:pPr>
      <w:r>
        <w:rPr>
          <w:rFonts w:ascii="Times New Roman;serif" w:hAnsi="Times New Roman;serif"/>
          <w:b w:val="false"/>
          <w:i/>
          <w:color w:val="000000"/>
          <w:sz w:val="20"/>
        </w:rPr>
        <w:t xml:space="preserve">Software services and other </w:t>
      </w:r>
      <w:r>
        <w:rPr>
          <w:rFonts w:ascii="Times New Roman;serif" w:hAnsi="Times New Roman;serif"/>
          <w:b w:val="false"/>
          <w:color w:val="000000"/>
          <w:sz w:val="20"/>
        </w:rPr>
        <w:t xml:space="preserve">The $3.7 million increase in software services and other revenues is primarily due to increased Inseego Subscribe revenues related to the terms of a two-year service contract renewal with a major customer that was executed in April 2024. </w:t>
      </w:r>
    </w:p>
    <w:p>
      <w:pPr>
        <w:pStyle w:val="TextBody"/>
        <w:bidi w:val="0"/>
        <w:spacing w:lineRule="auto" w:line="268" w:before="180" w:after="180"/>
        <w:ind w:left="0" w:right="0" w:firstLine="450"/>
        <w:jc w:val="left"/>
        <w:rPr/>
      </w:pPr>
      <w:r>
        <w:rPr>
          <w:rFonts w:ascii="Times New Roman;serif" w:hAnsi="Times New Roman;serif"/>
          <w:b/>
          <w:i/>
          <w:color w:val="000000"/>
          <w:sz w:val="20"/>
        </w:rPr>
        <w:t xml:space="preserve">Cost of revenues. </w:t>
      </w:r>
      <w:r>
        <w:rPr>
          <w:rFonts w:ascii="Times New Roman;serif" w:hAnsi="Times New Roman;serif"/>
          <w:b w:val="false"/>
          <w:color w:val="000000"/>
          <w:sz w:val="20"/>
        </w:rPr>
        <w:t xml:space="preserve">Cost of revenues for the nine months ended September 30, 2025 was $67.2 million, or 57.1% of revenues, compared to $92.3 million, or 64.5% of revenues, for the same period in 2024. </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cost of revenues by category (in thousands):</w:t>
      </w:r>
    </w:p>
    <w:tbl>
      <w:tblPr>
        <w:tblW w:w="6834" w:type="dxa"/>
        <w:jc w:val="left"/>
        <w:tblInd w:w="0" w:type="dxa"/>
        <w:tblLayout w:type="fixed"/>
        <w:tblCellMar>
          <w:top w:w="28" w:type="dxa"/>
          <w:left w:w="28" w:type="dxa"/>
          <w:bottom w:w="28" w:type="dxa"/>
          <w:right w:w="28" w:type="dxa"/>
        </w:tblCellMar>
      </w:tblPr>
      <w:tblGrid>
        <w:gridCol w:w="754"/>
        <w:gridCol w:w="664"/>
        <w:gridCol w:w="666"/>
        <w:gridCol w:w="196"/>
        <w:gridCol w:w="646"/>
        <w:gridCol w:w="109"/>
        <w:gridCol w:w="109"/>
        <w:gridCol w:w="109"/>
        <w:gridCol w:w="109"/>
        <w:gridCol w:w="196"/>
        <w:gridCol w:w="646"/>
        <w:gridCol w:w="109"/>
        <w:gridCol w:w="109"/>
        <w:gridCol w:w="109"/>
        <w:gridCol w:w="109"/>
        <w:gridCol w:w="196"/>
        <w:gridCol w:w="721"/>
        <w:gridCol w:w="109"/>
        <w:gridCol w:w="109"/>
        <w:gridCol w:w="109"/>
        <w:gridCol w:w="109"/>
        <w:gridCol w:w="269"/>
        <w:gridCol w:w="271"/>
        <w:gridCol w:w="3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left"/>
        <w:rPr/>
      </w:pPr>
      <w:r>
        <w:rPr>
          <w:rFonts w:ascii="Times New Roman;serif" w:hAnsi="Times New Roman;serif"/>
          <w:b w:val="false"/>
          <w:i/>
          <w:color w:val="000000"/>
          <w:sz w:val="20"/>
        </w:rPr>
        <w:t>Product.</w:t>
      </w:r>
      <w:r>
        <w:rPr>
          <w:color w:val="000000"/>
        </w:rPr>
        <w:t xml:space="preserve"> </w:t>
      </w:r>
      <w:r>
        <w:rPr>
          <w:rFonts w:ascii="Times New Roman;serif" w:hAnsi="Times New Roman;serif"/>
          <w:b w:val="false"/>
          <w:color w:val="000000"/>
          <w:sz w:val="20"/>
        </w:rPr>
        <w:t xml:space="preserve">The $23.8 million decrease in product cost of revenues is primarily due to decreased product revenues, partially offset by an increased proportion of higher cost FWA products in comparison to lower cost mobile products. </w:t>
      </w:r>
    </w:p>
    <w:p>
      <w:pPr>
        <w:pStyle w:val="TextBody"/>
        <w:bidi w:val="0"/>
        <w:spacing w:lineRule="auto" w:line="268" w:before="180" w:after="180"/>
        <w:ind w:left="0" w:right="0" w:firstLine="450"/>
        <w:jc w:val="left"/>
        <w:rPr/>
      </w:pP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The $1.3 million decrease in software services and other cost of revenues is primarily due to decreased outside service costs related to Inseego Subscribe revenues, decreased annual incentive bonus accruals, and decreased non-recurring engineering revenues and the related costs of performing those services.</w:t>
      </w:r>
    </w:p>
    <w:p>
      <w:pPr>
        <w:pStyle w:val="TextBody"/>
        <w:bidi w:val="0"/>
        <w:spacing w:lineRule="auto" w:line="268" w:before="180" w:after="180"/>
        <w:ind w:left="0" w:right="0" w:firstLine="450"/>
        <w:jc w:val="left"/>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Gross profit for the nine months ended September 30, 2025 was $50.6 million, or a gross margin of 42.9%, compared to $50.9 million, or a gross margin of 35.5%, for the same period in 2024. The decrease in gross profit is primarily due to decreased product revenues, partially offset by increased Inseego Subscribe service revenues. The increase in gross margin is primarily due to a increased proportion of higher margin service revenues as a percentage of total revenues.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Operating costs and expenses. </w:t>
      </w:r>
      <w:r>
        <w:rPr>
          <w:rFonts w:ascii="Times New Roman;serif" w:hAnsi="Times New Roman;serif"/>
          <w:b w:val="false"/>
          <w:color w:val="000000"/>
          <w:sz w:val="20"/>
        </w:rPr>
        <w:t>The following table summarizes operating costs and expenses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ind w:left="0" w:right="0" w:firstLine="450"/>
        <w:jc w:val="left"/>
        <w:rPr/>
      </w:pPr>
      <w:r>
        <w:rPr/>
      </w:r>
    </w:p>
    <w:tbl>
      <w:tblPr>
        <w:tblW w:w="7224" w:type="dxa"/>
        <w:jc w:val="left"/>
        <w:tblInd w:w="0" w:type="dxa"/>
        <w:tblLayout w:type="fixed"/>
        <w:tblCellMar>
          <w:top w:w="28" w:type="dxa"/>
          <w:left w:w="28" w:type="dxa"/>
          <w:bottom w:w="28" w:type="dxa"/>
          <w:right w:w="28" w:type="dxa"/>
        </w:tblCellMar>
      </w:tblPr>
      <w:tblGrid>
        <w:gridCol w:w="928"/>
        <w:gridCol w:w="817"/>
        <w:gridCol w:w="819"/>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68"/>
        <w:gridCol w:w="272"/>
        <w:gridCol w:w="30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costs and expenses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450"/>
        <w:jc w:val="left"/>
        <w:rPr/>
      </w:pPr>
      <w:r>
        <w:rPr>
          <w:rFonts w:ascii="Times New Roman;serif" w:hAnsi="Times New Roman;serif"/>
          <w:b/>
          <w:i/>
          <w:color w:val="000000"/>
          <w:sz w:val="20"/>
        </w:rPr>
        <w:t>Research and development expenses.</w:t>
      </w:r>
      <w:r>
        <w:rPr>
          <w:color w:val="000000"/>
        </w:rPr>
        <w:t xml:space="preserve"> </w:t>
      </w:r>
      <w:r>
        <w:rPr>
          <w:rFonts w:ascii="Times New Roman;serif" w:hAnsi="Times New Roman;serif"/>
          <w:b w:val="false"/>
          <w:color w:val="000000"/>
          <w:sz w:val="20"/>
        </w:rPr>
        <w:t xml:space="preserve">Research and development expenses for the nine months ended September 30, 2025 were $14.2 million, or 12.1% of revenues, compared to $15.0 million, or 10.5% of revenues, for the same period in 2024. The decrease in research and development expenses was primarily due to more research and development projects that were capitalizable during the nine months ended September 30, 2025, which resulted in a lower percentage of research and development costs being recorded as operating expenses, and decreased annual incentive bonus accruals, partially offset by increased compensation costs related to increased headcount, increased prototype and certification costs, and outside services costs related to the Company’s increased development efforts for its next line of products. </w:t>
      </w:r>
    </w:p>
    <w:p>
      <w:pPr>
        <w:pStyle w:val="TextBody"/>
        <w:bidi w:val="0"/>
        <w:spacing w:lineRule="auto" w:line="268" w:before="180" w:after="180"/>
        <w:ind w:left="0" w:right="0" w:firstLine="450"/>
        <w:jc w:val="left"/>
        <w:rPr/>
      </w:pPr>
      <w:r>
        <w:rPr>
          <w:rFonts w:ascii="Times New Roman;serif" w:hAnsi="Times New Roman;serif"/>
          <w:b/>
          <w:i/>
          <w:color w:val="000000"/>
          <w:sz w:val="20"/>
        </w:rPr>
        <w:t>Sales and marketing expenses.</w:t>
      </w:r>
      <w:r>
        <w:rPr>
          <w:color w:val="000000"/>
        </w:rPr>
        <w:t xml:space="preserve"> </w:t>
      </w:r>
      <w:r>
        <w:rPr>
          <w:rFonts w:ascii="Times New Roman;serif" w:hAnsi="Times New Roman;serif"/>
          <w:b w:val="false"/>
          <w:color w:val="000000"/>
          <w:sz w:val="20"/>
        </w:rPr>
        <w:t>Sales and marketing expenses for the nine months ended September 30, 2025 were $12.1 million, or 10.3% of revenues, compared to $12.2 million, or 8.5% of revenues, for the same period in 2024. The decrease in sales and marketing expenses was primarily due to decreased sales commissions as a result of lower sales and decreased annual incentive bonus accruals, partially offset by increased sales personnel-related compensation costs as a result of an increase in overall sales headcount.</w:t>
      </w:r>
    </w:p>
    <w:p>
      <w:pPr>
        <w:pStyle w:val="TextBody"/>
        <w:bidi w:val="0"/>
        <w:spacing w:lineRule="auto" w:line="268" w:before="180" w:after="180"/>
        <w:ind w:left="0" w:right="0" w:firstLine="450"/>
        <w:jc w:val="left"/>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General and administrative expenses for the nine months ended September 30, 2025 were $14.9 million, or 12.6% of revenues, compared to $12.7 million, or 8.9% of revenues, for the same period in 2024. The increase in general and administrative expense was primarily due to an increase in share-based compensation expense related to awards issued to the Company’s CEO who was hired in January 2025, partially offset by a gain on early lease termination recorded during the nine months ended September 30, 2025.</w:t>
      </w:r>
    </w:p>
    <w:p>
      <w:pPr>
        <w:pStyle w:val="TextBody"/>
        <w:bidi w:val="0"/>
        <w:spacing w:lineRule="auto" w:line="276" w:before="180" w:after="180"/>
        <w:ind w:left="0" w:right="0" w:firstLine="450"/>
        <w:jc w:val="left"/>
        <w:rPr/>
      </w:pPr>
      <w:r>
        <w:rPr>
          <w:rFonts w:ascii="Times New Roman;serif" w:hAnsi="Times New Roman;serif"/>
          <w:b/>
          <w:i/>
          <w:color w:val="000000"/>
          <w:sz w:val="20"/>
        </w:rPr>
        <w:t>Depreciation and amortization expenses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Depreciation and amortization expenses for the nine months ended September 30, 2025 were $6.0 million, or 5.1% of revenues, compared to $10.1 million, or 7.1% of revenues, for the same period in 2024. The decrease in depreciation and amortization expenses was primarily due to the capitalized costs on the Company’s next generation of software intended for sale being capitalized but not amortizable during all or most of the nine months ended September 30, 2025 and the ending of the useful life of certain amortizable purchased intangibles.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Impairment of capitalized software. </w:t>
      </w:r>
      <w:r>
        <w:rPr>
          <w:rFonts w:ascii="Times New Roman;serif" w:hAnsi="Times New Roman;serif"/>
          <w:b w:val="false"/>
          <w:color w:val="000000"/>
          <w:sz w:val="20"/>
        </w:rPr>
        <w:t>For the nine months ended September 30, 2025 and 2024, we recorded impairments of $0.4 million and $0.9 million, respectively.</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Other (expense) income. </w:t>
      </w:r>
      <w:r>
        <w:rPr>
          <w:rFonts w:ascii="Times New Roman;serif" w:hAnsi="Times New Roman;serif"/>
          <w:b w:val="false"/>
          <w:color w:val="000000"/>
          <w:sz w:val="20"/>
        </w:rPr>
        <w:t>The following table summarizes other (expense) income (in thousands):</w:t>
      </w:r>
    </w:p>
    <w:tbl>
      <w:tblPr>
        <w:tblW w:w="8173" w:type="dxa"/>
        <w:jc w:val="left"/>
        <w:tblInd w:w="0" w:type="dxa"/>
        <w:tblLayout w:type="fixed"/>
        <w:tblCellMar>
          <w:top w:w="28" w:type="dxa"/>
          <w:left w:w="28" w:type="dxa"/>
          <w:bottom w:w="28" w:type="dxa"/>
          <w:right w:w="28" w:type="dxa"/>
        </w:tblCellMar>
      </w:tblPr>
      <w:tblGrid>
        <w:gridCol w:w="1334"/>
        <w:gridCol w:w="1176"/>
        <w:gridCol w:w="1180"/>
        <w:gridCol w:w="196"/>
        <w:gridCol w:w="631"/>
        <w:gridCol w:w="109"/>
        <w:gridCol w:w="109"/>
        <w:gridCol w:w="109"/>
        <w:gridCol w:w="109"/>
        <w:gridCol w:w="196"/>
        <w:gridCol w:w="631"/>
        <w:gridCol w:w="109"/>
        <w:gridCol w:w="109"/>
        <w:gridCol w:w="109"/>
        <w:gridCol w:w="109"/>
        <w:gridCol w:w="196"/>
        <w:gridCol w:w="631"/>
        <w:gridCol w:w="109"/>
        <w:gridCol w:w="109"/>
        <w:gridCol w:w="109"/>
        <w:gridCol w:w="109"/>
        <w:gridCol w:w="269"/>
        <w:gridCol w:w="271"/>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restructurings,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180"/>
        <w:jc w:val="left"/>
        <w:rPr>
          <w:rFonts w:ascii="Times New Roman;serif" w:hAnsi="Times New Roman;serif"/>
          <w:b w:val="false"/>
          <w:i/>
          <w:color w:val="000000"/>
          <w:sz w:val="16"/>
        </w:rPr>
      </w:pPr>
      <w:r>
        <w:rPr>
          <w:rFonts w:ascii="Times New Roman;serif" w:hAnsi="Times New Roman;serif"/>
          <w:b w:val="false"/>
          <w:i/>
          <w:color w:val="000000"/>
          <w:sz w:val="16"/>
        </w:rPr>
        <w:t>* Percentage not meaningful</w:t>
      </w:r>
    </w:p>
    <w:p>
      <w:pPr>
        <w:pStyle w:val="TextBody"/>
        <w:bidi w:val="0"/>
        <w:spacing w:lineRule="auto" w:line="276" w:before="180" w:after="180"/>
        <w:ind w:left="0" w:right="0" w:firstLine="450"/>
        <w:jc w:val="left"/>
        <w:rPr/>
      </w:pPr>
      <w:r>
        <w:rPr>
          <w:rFonts w:ascii="Times New Roman;serif" w:hAnsi="Times New Roman;serif"/>
          <w:b/>
          <w:i/>
          <w:color w:val="000000"/>
          <w:sz w:val="20"/>
        </w:rPr>
        <w:t>Interest expense.</w:t>
      </w:r>
      <w:r>
        <w:rPr>
          <w:color w:val="000000"/>
        </w:rPr>
        <w:t xml:space="preserve"> </w:t>
      </w:r>
      <w:r>
        <w:rPr>
          <w:rFonts w:ascii="Times New Roman;serif" w:hAnsi="Times New Roman;serif"/>
          <w:b w:val="false"/>
          <w:color w:val="000000"/>
          <w:sz w:val="20"/>
        </w:rPr>
        <w:t>The $6.8 million decrease in interest expense for the nine months ended September 30, 2025 over the same period in 2024 was primarily a result the Company’s various repurchases and exchanges of the 2025 Convertible Notes (as defined below) that occurred during 2024 and the full repayment of the remaining Notes on May 1, 2025, resulting in lower coupon interest, partially offset by interest expense on the Company’s 2029 Senior Secured Notes (as defined below) that were issued in the fourth quarter of 2024.</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Loss on extinguishment of revolving credit facility. </w:t>
      </w:r>
      <w:r>
        <w:rPr>
          <w:rFonts w:ascii="Times New Roman;serif" w:hAnsi="Times New Roman;serif"/>
          <w:b w:val="false"/>
          <w:color w:val="000000"/>
          <w:sz w:val="20"/>
        </w:rPr>
        <w:t>The $0.8 million loss on extinguishment of revolving credit facility for the nine months ended September 30, 2024 relates to the terminations of the Company’s Prior Credit Facility in April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Gain on debt restructurings, net. </w:t>
      </w:r>
      <w:r>
        <w:rPr>
          <w:rFonts w:ascii="Times New Roman;serif" w:hAnsi="Times New Roman;serif"/>
          <w:b w:val="false"/>
          <w:color w:val="000000"/>
          <w:sz w:val="20"/>
        </w:rPr>
        <w:t>The $13.7 million net gain on troubled debt restructurings for the nine months ended September 30, 2024 is a result of the Company’s various 2025 Convertible Notes restructurings completed during 2024 as part of our overall capital structure management efforts.</w:t>
      </w:r>
    </w:p>
    <w:p>
      <w:pPr>
        <w:pStyle w:val="TextBody"/>
        <w:bidi w:val="0"/>
        <w:spacing w:lineRule="auto" w:line="276" w:before="180" w:after="180"/>
        <w:ind w:left="0" w:right="0" w:firstLine="450"/>
        <w:jc w:val="left"/>
        <w:rPr/>
      </w:pPr>
      <w:r>
        <w:rPr>
          <w:rFonts w:ascii="Times New Roman;serif" w:hAnsi="Times New Roman;serif"/>
          <w:b/>
          <w:i/>
          <w:color w:val="000000"/>
          <w:sz w:val="20"/>
        </w:rPr>
        <w:t>Other income (expense), net.</w:t>
      </w:r>
      <w:r>
        <w:rPr>
          <w:color w:val="000000"/>
        </w:rPr>
        <w:t xml:space="preserve"> </w:t>
      </w:r>
      <w:r>
        <w:rPr>
          <w:rFonts w:ascii="Times New Roman;serif" w:hAnsi="Times New Roman;serif"/>
          <w:b w:val="false"/>
          <w:color w:val="000000"/>
          <w:sz w:val="20"/>
        </w:rPr>
        <w:t>Other income (expense), net for the nine months ended September 30, 2025 and 2024 was $0.6 million and $(0.9) million, respectively. The increase in other income, net was primarily due to interest income earned on money market fund accounts that the Company began investing in during the first quarter of 2025 and a decrease in consulting and legal fees that were incurred during 2024 related to the preliminary stages of the Company’s capital structure management efforts.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Income tax provision (benefit). </w:t>
      </w:r>
      <w:r>
        <w:rPr>
          <w:rFonts w:ascii="Times New Roman;serif" w:hAnsi="Times New Roman;serif"/>
          <w:b w:val="false"/>
          <w:color w:val="000000"/>
          <w:sz w:val="20"/>
        </w:rPr>
        <w:t>Income tax provision (benefit) for the nine months ended September 30, 2025 and 2024 was a provision of $0.0 million and $0.2 million, respectively.</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Income (loss) from discontinued operations, net of tax. </w:t>
      </w:r>
      <w:r>
        <w:rPr>
          <w:rFonts w:ascii="Times New Roman;serif" w:hAnsi="Times New Roman;serif"/>
          <w:b w:val="false"/>
          <w:color w:val="000000"/>
          <w:sz w:val="20"/>
        </w:rPr>
        <w:t>Income (loss) from discontinued operations, net of tax for the nine months ended September 30, 2025 and 2024 was $(0.4) million and $3.0 million, respectively. The change in income (loss) from discontinued operations is due to the sale of the Telematics Business in November 2024.</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Preferred stock dividends. </w:t>
      </w:r>
      <w:r>
        <w:rPr>
          <w:rFonts w:ascii="Times New Roman;serif" w:hAnsi="Times New Roman;serif"/>
          <w:b w:val="false"/>
          <w:color w:val="000000"/>
          <w:sz w:val="20"/>
        </w:rPr>
        <w:t>During the nine months ended September 30, 2025 and 2024, we recorded dividends of $2.7 million and $2.4 million, respectively, on our Series 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available cash and cash equivalents totaling $14.6 million and maintained positive working capital of $13.1 million. The Company had negative cash outflows from operations of $4.8 million for the nine months ended September 30, 2025, but this was largely due to timing of cash receipts on accounts receivable balances and the payout of the Company’s annual bonuses that were fully accrued for at December 31, 2024. </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5, 2025, the Company entered into a Credit and Security Agreement (the “Working Capital Facility Agreement”) with BMO Bank N.A. (“BMO”) that provides up to a maximum $15.0 million secured asset-backed revolving credit facility (the “Working Capital Facility”). The facility matures on August 5, 2028 and contains certain financial and non-financial covenants. The Company was in compliance with all covenants under the Working Capital Facility Agreement as of September 30, 2025.</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Obligations under the Working Capital Facility are secured by a continuing security interest in substantially all property of Inseego Corp. and certain of its subsidiaries, subject to customary exclusions. Availability under the Working Capital Facility is determined monthly as the excess of a borrowing base (“Borrowing Base”), comprised of a percentage of eligible accounts receivable and eligible inventory, over the total loans outstanding under the Working Capital Facility. If the aggregate outstanding amount of the Working Capital Facility exceeds the Borrowing Base at any time, the excess amount shall be payable on demand by BMO.</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Loans made under the Working Capital Facility bear interest at a Term Secured Overnight Financing Rate (“SOFR”), as defined in the Working Capital Facility Agreement, plus an applicable margin ranging from 1.00-2.50%, subject to certain exceptions. Interest on loans made under the Working Capital Facility are paid in cash, in arrears, on a semi-annual basis. </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outstanding borrowings and availability to borrow under the Working Capital Facility were $0.0 million and $14.5 million, respectively.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3.25% convertible notes due in 2025 (the “2025 Convertible Notes”) had a principal balance of $14.9 million as of December 31, 2024 and matured on May 1, 2025, at which time all outstanding principal and related accrued interest was paid-off in full. The Company’s 9.0% senior secured notes due in 2029 (the “2029 Senior Secured Notes”) had a principal balance of $40.9 million as of September 30, 2025 and mature on May 1, 2029.</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the Company’s liquidity and financial results had several positive developments in 2025, the Company has a history of operating and net losses and overall usage of cash from operating and investing activities. The Company’s ability to maintain profitable operations and continue to generate positive cash flows is dependent upon achieving a level and mix of revenues adequate to support its evolving cost structure. In order to effect the restructuring or refinancing of the Company’s obligations, or if events or circumstances occur such that the Company does not meet its operating plan as 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liquidity could be compromised if there is any interruption in our business operations, a material failure to satisfy our contractual commitments, a failure to retain our key existing customers or a failure to generate revenue from new or existing products. If additional funds are raised by the issuance of equity securities, or in connection with any additional debt restructurings or refinancing, Company’s stockholders could experience significant dilution of their ownership interests and securities issued may have rights senior to those of the holders of the Company’s common stock.</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 and Commitments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our material contractual obligations consisted of the following: </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September 30, 2025, our future payments under these noncancellable purchase obligations were approximately $110.2 million.</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 xml:space="preserve">$40.9 million in outstanding borrowings under the 2029 Senior Secured Notes; see Part I Item 1, </w:t>
      </w:r>
      <w:r>
        <w:rPr>
          <w:rFonts w:ascii="Times New Roman;serif" w:hAnsi="Times New Roman;serif"/>
          <w:b w:val="false"/>
          <w:i/>
          <w:color w:val="000000"/>
          <w:sz w:val="20"/>
        </w:rPr>
        <w:t>Note 5 – Debt</w:t>
      </w:r>
      <w:r>
        <w:rPr>
          <w:rFonts w:ascii="Times New Roman;serif" w:hAnsi="Times New Roman;serif"/>
          <w:b w:val="false"/>
          <w:color w:val="000000"/>
          <w:sz w:val="20"/>
        </w:rPr>
        <w:t>; and</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Operating lease liabilities that are included on our consolidated balance sheet.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material changes in our other contractual obligations, other than the full repayment upon maturity of the 2025 Convertible Notes, during the three or nine months ended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Historical Cash Flows</w:t>
      </w:r>
    </w:p>
    <w:p>
      <w:pPr>
        <w:pStyle w:val="TextBody"/>
        <w:bidi w:val="0"/>
        <w:spacing w:lineRule="auto" w:line="276" w:before="180" w:after="180"/>
        <w:ind w:left="0" w:right="0" w:firstLine="495"/>
        <w:jc w:val="left"/>
        <w:rPr/>
      </w:pPr>
      <w:r>
        <w:rPr>
          <w:rFonts w:ascii="Times New Roman;serif" w:hAnsi="Times New Roman;serif"/>
          <w:b w:val="false"/>
          <w:color w:val="000000"/>
          <w:sz w:val="20"/>
        </w:rPr>
        <w:t>The following table summarizes our unaudited condensed consolidated statements of cash flows for the periods indicated (in thousands):</w:t>
      </w:r>
      <w:r>
        <w:rPr>
          <w:color w:val="000000"/>
        </w:rPr>
        <w:t> </w:t>
      </w:r>
    </w:p>
    <w:tbl>
      <w:tblPr>
        <w:tblW w:w="6369" w:type="dxa"/>
        <w:jc w:val="left"/>
        <w:tblInd w:w="0" w:type="dxa"/>
        <w:tblLayout w:type="fixed"/>
        <w:tblCellMar>
          <w:top w:w="28" w:type="dxa"/>
          <w:left w:w="28" w:type="dxa"/>
          <w:bottom w:w="28" w:type="dxa"/>
          <w:right w:w="28" w:type="dxa"/>
        </w:tblCellMar>
      </w:tblPr>
      <w:tblGrid>
        <w:gridCol w:w="1481"/>
        <w:gridCol w:w="1303"/>
        <w:gridCol w:w="1311"/>
        <w:gridCol w:w="196"/>
        <w:gridCol w:w="646"/>
        <w:gridCol w:w="109"/>
        <w:gridCol w:w="109"/>
        <w:gridCol w:w="109"/>
        <w:gridCol w:w="109"/>
        <w:gridCol w:w="196"/>
        <w:gridCol w:w="646"/>
        <w:gridCol w:w="154"/>
      </w:tblGrid>
      <w:tr>
        <w:trPr/>
        <w:tc>
          <w:tcPr>
            <w:tcW w:w="14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cash flows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nine months ended September 30, 2025 is primarily comprised of a $0.8 million net loss from continuing operations during the period and net cash used for working capital of $16.3 million, which was largely due to timing of cash receipts on accounts receivable balances and the payout of the Company’s annual bonuses that were fully accrued for at December 31, 2024, partially offset by non-cash charges, including depreciation and amortization of $6.1 million and share-based compensation expense of $5.1 million.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nine months ended September 30, 2024 is comprised of cash flows from continuing operations of $40.7 million and cash flows from discontinued operations of $7.0 million. The cash inflows from continuing operations were primarily related to net cash provided by working capital of $32.7 million, partially offset by a net loss from continuing operations of $2.1 million that was offset by net non-cash charges, including depreciating and amortization of $10.2 million, amortization of debt discount and debt issuance costs of $4.4 million, share-based compensation expense of $2.7 million, and a gain on debt restructurings, net of $13.7 million.</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nine months ended September 30, 2025 is primarily comprised of $6.1 million of cash outflows related to the development of software in support of our products and services.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nine months ended September 30, 2024 is primarily comprised of $3.6 million of cash outflows related to the development of software in support of our products and services.</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nine months ended September 30, 2025 is primarily comprised of the repayment of the remaining $14.9 million 2025 Convertible Notes principal balance, partially offset by $0.3 million of cash received from exercises of stock options.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nine months ended September 30, 2024 is comprised of cash outflows of $33.8 million from the repurchase of a portion of our convertible notes and $4.9 million from the termination and repayment of our Prior Credit Facility, partially offset by net cash inflows of $5.9 million from the issuance and partial repayment of our short-term loan and common stock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ind w:left="0" w:right="0" w:hanging="108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Our revenue, earnings, cash flows, receivables, and payables are subject to fluctuations due to changes in foreign currency exchange rates.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2029 Senior Secured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only fixed-rate borrowings, made under the 2029 Senior Secured Notes, had an outstanding principal balance of $40.9 million as of September 30, 2025. We record all fixed-rate borrowings at amortized cost and therefore, any changes in interest rates do not impact the values that we report for these senior notes on our consolidated financial statements. As of September 30, 2025 and December 31, 2024, we had no variable-rate borrowings.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Working Capital Facility</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We have been exposed to interest rate risk associated with fluctuations in interest rates on our Working Capital Facility. As of September 30, 2025, assuming our Working Capital Facility was fully drawn up to the $15.0 million borrowing base, a 1% change in interest rates would result in a </w:t>
      </w:r>
      <w:r>
        <w:rPr>
          <w:rFonts w:ascii="Times New Roman;serif" w:hAnsi="Times New Roman;serif"/>
          <w:b w:val="false"/>
          <w:color w:val="000000"/>
          <w:sz w:val="20"/>
          <w:shd w:fill="FFFFFF" w:val="clear"/>
        </w:rPr>
        <w:t>$0.2 million</w:t>
      </w:r>
      <w:r>
        <w:rPr>
          <w:color w:val="000000"/>
        </w:rPr>
        <w:t xml:space="preserve"> </w:t>
      </w:r>
      <w:r>
        <w:rPr>
          <w:rFonts w:ascii="Times New Roman;serif" w:hAnsi="Times New Roman;serif"/>
          <w:b w:val="false"/>
          <w:color w:val="000000"/>
          <w:sz w:val="20"/>
        </w:rPr>
        <w:t>change in annualized interest expense.</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76"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Currency Risk</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and cash flows are subject to fluctuations due to changes in foreign currency exchange rates. A majority of our revenue is denominated in U.S. Dollars. However, as we have operations in foreign countries,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pStyle w:val="TextBody"/>
        <w:bidi w:val="0"/>
        <w:spacing w:lineRule="auto" w:line="276" w:before="180" w:after="180"/>
        <w:ind w:left="0" w:right="0" w:firstLine="450"/>
        <w:jc w:val="left"/>
        <w:rPr/>
      </w:pP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 the nine months ended September 30, 2025, sales denominated in foreign currencies were approximately 0.3% of total revenue. Our results of operations and cash flows are, therefore, subject to fluctuations due to changes in foreign currency exchange rates and may be adversely affected in the future due to changes in foreign exchange rates. These foreign currencies primarily consist of the South African Rand, British Pound, Euro, Canadian Dollar, and Australian Dollar. For the nine months ended September 30, 2025, a hypothetical 10% change in these foreign currencies would have increased or decreased our revenue by less than </w:t>
      </w:r>
      <w:r>
        <w:rPr>
          <w:rFonts w:ascii="Times New Roman;serif" w:hAnsi="Times New Roman;serif"/>
          <w:b w:val="false"/>
          <w:color w:val="000000"/>
          <w:sz w:val="20"/>
          <w:shd w:fill="FFFFFF" w:val="clear"/>
        </w:rPr>
        <w:t>$0.1 million</w:t>
      </w:r>
      <w:r>
        <w:rPr>
          <w:rFonts w:ascii="Times New Roman;serif" w:hAnsi="Times New Roman;serif"/>
          <w:b w:val="false"/>
          <w:color w:val="000000"/>
          <w:sz w:val="20"/>
        </w:rPr>
        <w:t>. Actual gains and losses in the future may differ materially from the hypothetical gains and losses discussed above based on changes in the timing and amount of foreign currency exchange rate movements.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08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 13a-15(e) and 15d-15(e) promulgated under the Exchange Act, that are designed to ensure that information required to be disclosed in our reports to the SEC are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2025, the end of the period covered by this report. Based on the foregoing, our principal executive officer and principal financial officer concluded that our disclosure controls and procedures were effective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and 15d-15(f) promulgated under the Exchange Act, during the quarter ended September 30, 2025,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283"/>
        <w:ind w:left="0" w:right="0" w:hanging="1080"/>
        <w:jc w:val="left"/>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 xml:space="preserve">Legal Proceedings. </w:t>
      </w:r>
    </w:p>
    <w:p>
      <w:pPr>
        <w:pStyle w:val="TextBody"/>
        <w:bidi w:val="0"/>
        <w:spacing w:lineRule="auto" w:line="276"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hanging="1080"/>
        <w:jc w:val="left"/>
        <w:rPr/>
      </w:pPr>
      <w:r>
        <w:rPr>
          <w:rFonts w:ascii="Times New Roman;serif" w:hAnsi="Times New Roman;serif"/>
          <w:b/>
          <w:color w:val="000000"/>
          <w:sz w:val="20"/>
        </w:rPr>
        <w:t>Item  1A.</w:t>
      </w:r>
      <w:r>
        <w:rPr>
          <w:color w:val="000000"/>
        </w:rPr>
        <w:t>    </w:t>
      </w:r>
      <w:r>
        <w:rPr>
          <w:rFonts w:ascii="Times New Roman;serif" w:hAnsi="Times New Roman;serif"/>
          <w:b/>
          <w:i/>
          <w:color w:val="000000"/>
          <w:sz w:val="20"/>
        </w:rPr>
        <w:t xml:space="preserve">Risk Factors. </w:t>
      </w:r>
    </w:p>
    <w:p>
      <w:pPr>
        <w:pStyle w:val="TextBody"/>
        <w:bidi w:val="0"/>
        <w:spacing w:lineRule="auto" w:line="276"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than the amended and additional risk factors set forth below, there were no material changes to the risk factors disclosed in Part I, Item 1A, Risk Factors of the Form 10-K, which was filed with the Securities and Exchange Commission on February 19, 2025. Any of the risks discussed in such report, as well as additional risks and uncertainties not currently known to us or that we currently deem immaterial, could materially and adversely affect our results of operations, financial condition or prospects.</w:t>
      </w:r>
    </w:p>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Tariffs and other trade restrictions may have an adverse impact on our business, operations and financial results.</w:t>
      </w:r>
    </w:p>
    <w:p>
      <w:pPr>
        <w:pStyle w:val="TextBody"/>
        <w:bidi w:val="0"/>
        <w:spacing w:lineRule="auto" w:line="276" w:before="120" w:after="12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source materials from, and manufacture products in, foreign countries, including countries in Asia, and we also sell products in foreign countries. As a result, the price and availability of our products is susceptible to international trade risks and other international conditions. For example, any economic and political uncertainty caused by the tariffs imposed on goods from other countries by the current administration of the United States, and any corresponding tariffs or currency devaluations from other countries in response, may negatively impact demand and/or increase the cost for certain of our products. Furthermore, the imposition of additional tariffs, duties, border adjustment taxes or other trade restrictions by the United States could result in the adoption of additional or increased tariffs or other trade restrictions by other countries. Tariffs may in the future increase our cost of materials and may cause us to increase prices to our customers, which we believe may reduce demand for our products. Our price increases may not be sufficient to fully offset the impact of tariffs and may result in lowering our margin on products sold. In sum, if the United States Government increases or implements additional tariffs, or if additional tariffs or trade restrictions are implemented by other countries, the resulting trade barriers could have a significant adverse impact on our suppliers, our customers and on our business. The volatility and unpredictability of international trade policies and conditions add further complexity to our operations, making it challenging to forecast and plan effectively. We are not able to predict future trade policy of the United States or of any foreign countries in which we operate or purchase goods, or the terms of any trade agreements or their impact on our business. The adoption and expansion of trade restrictions and tariffs, quotas and embargoes, the occurrence or threat of a trade war or other governmental action related to tariffs or trade agreements or policies, has the potential to adversely impact demand for our products, our costs, our customers, our suppliers and the world and U.S. economies, which in turn could have a material adverse effect on our business,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pPr>
      <w:r>
        <w:rPr>
          <w:rFonts w:ascii="Times New Roman;serif" w:hAnsi="Times New Roman;serif"/>
          <w:b/>
          <w:color w:val="000000"/>
          <w:sz w:val="20"/>
        </w:rPr>
        <w:t>Item  3.</w:t>
      </w:r>
      <w:r>
        <w:rPr>
          <w:color w:val="000000"/>
        </w:rPr>
        <w:t>    </w:t>
      </w:r>
      <w:r>
        <w:rPr>
          <w:rFonts w:ascii="Times New Roman;serif" w:hAnsi="Times New Roman;serif"/>
          <w:b/>
          <w:i/>
          <w:color w:val="000000"/>
          <w:sz w:val="20"/>
        </w:rPr>
        <w:t xml:space="preserve">Defaults Upon Senior Securities.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erif" w:hAnsi="Times New Roman;serif"/>
          <w:b/>
          <w:color w:val="000000"/>
          <w:sz w:val="20"/>
        </w:rPr>
        <w:t>Item 4.</w:t>
      </w:r>
      <w:r>
        <w:rPr>
          <w:color w:val="000000"/>
        </w:rPr>
        <w:t>    </w:t>
      </w:r>
      <w:r>
        <w:rPr>
          <w:rFonts w:ascii="Times New Roman;serif" w:hAnsi="Times New Roman;serif"/>
          <w:b/>
          <w:i/>
          <w:color w:val="000000"/>
          <w:sz w:val="20"/>
        </w:rPr>
        <w:t xml:space="preserve">Mine Safety Disclosures.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erif" w:hAnsi="Times New Roman;serif"/>
          <w:b/>
          <w:color w:val="000000"/>
          <w:sz w:val="20"/>
        </w:rPr>
        <w:t>Item 5.     </w:t>
      </w:r>
      <w:r>
        <w:rPr>
          <w:rFonts w:ascii="Times New Roman;serif" w:hAnsi="Times New Roman;serif"/>
          <w:b/>
          <w:i/>
          <w:color w:val="000000"/>
          <w:sz w:val="20"/>
        </w:rPr>
        <w:t xml:space="preserve">Other Information. </w:t>
      </w:r>
    </w:p>
    <w:p>
      <w:pPr>
        <w:pStyle w:val="TextBody"/>
        <w:bidi w:val="0"/>
        <w:spacing w:lineRule="auto" w:line="26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81"/>
        <w:gridCol w:w="246"/>
        <w:gridCol w:w="249"/>
        <w:gridCol w:w="109"/>
        <w:gridCol w:w="109"/>
        <w:gridCol w:w="109"/>
        <w:gridCol w:w="2382"/>
        <w:gridCol w:w="2315"/>
        <w:gridCol w:w="2338"/>
        <w:gridCol w:w="250"/>
        <w:gridCol w:w="190"/>
        <w:gridCol w:w="176"/>
        <w:gridCol w:w="250"/>
        <w:gridCol w:w="250"/>
        <w:gridCol w:w="183"/>
        <w:gridCol w:w="269"/>
        <w:gridCol w:w="215"/>
        <w:gridCol w:w="284"/>
      </w:tblGrid>
      <w:tr>
        <w:trPr/>
        <w:tc>
          <w:tcPr>
            <w:tcW w:w="2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Incorporated by Reference to:</w:t>
            </w:r>
          </w:p>
        </w:tc>
      </w:tr>
      <w:tr>
        <w:trPr/>
        <w:tc>
          <w:tcPr>
            <w:tcW w:w="7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6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pPr>
            <w:hyperlink r:id="rId2">
              <w:r>
                <w:rPr>
                  <w:rStyle w:val="InternetLink"/>
                  <w:rFonts w:ascii="Times New Roman;serif" w:hAnsi="Times New Roman;serif"/>
                  <w:b w:val="false"/>
                  <w:color w:val="0000FF"/>
                  <w:sz w:val="20"/>
                  <w:u w:val="single"/>
                </w:rPr>
                <w:t>Amended and Restated Certificate of Incorporation.</w:t>
              </w:r>
            </w:hyperlink>
          </w:p>
        </w:tc>
        <w:tc>
          <w:tcPr>
            <w:tcW w:w="6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11/9/2016</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pPr>
            <w:hyperlink r:id="rId3">
              <w:r>
                <w:rPr>
                  <w:rStyle w:val="InternetLink"/>
                  <w:rFonts w:ascii="Times New Roman;serif" w:hAnsi="Times New Roman;serif"/>
                  <w:b w:val="false"/>
                  <w:color w:val="0000FF"/>
                  <w:sz w:val="20"/>
                  <w:u w:val="single"/>
                </w:rPr>
                <w:t>Amended and Restated Bylaws.</w:t>
              </w:r>
            </w:hyperlink>
          </w:p>
        </w:tc>
        <w:tc>
          <w:tcPr>
            <w:tcW w:w="61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683"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768"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5/9/2025</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Designation of Series E Fixed-Rate Cumulative Perpetual Preferred Stock.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8/13/2019</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Certificate of Designation of Series E Fixed-Rate Cumulative Perpetual Preferred Stock.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3/10/2020</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of Certificate of Incorporation of Inseego Corp., dated January 23, 2024.</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1/23/2024</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erif" w:hAnsi="Times New Roman;serif"/>
                  <w:b w:val="false"/>
                  <w:color w:val="000080"/>
                  <w:sz w:val="20"/>
                  <w:u w:val="single"/>
                </w:rPr>
                <w:t>Credit and Security Agreement, dated August 5, 202</w:t>
              </w:r>
            </w:hyperlink>
            <w:hyperlink r:id="rId8">
              <w:r>
                <w:rPr>
                  <w:rStyle w:val="InternetLink"/>
                  <w:rFonts w:ascii="Times New Roman;serif" w:hAnsi="Times New Roman;serif"/>
                  <w:b w:val="false"/>
                  <w:color w:val="000080"/>
                  <w:sz w:val="20"/>
                  <w:u w:val="single"/>
                </w:rPr>
                <w:t>5</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8/7/2025</w:t>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50930ex311.htm">
              <w:r>
                <w:rPr>
                  <w:rStyle w:val="InternetLink"/>
                  <w:rFonts w:ascii="Times New Roman;serif" w:hAnsi="Times New Roman;serif"/>
                  <w:b w:val="false"/>
                  <w:color w:val="0000FF"/>
                  <w:sz w:val="20"/>
                  <w:u w:val="single"/>
                </w:rPr>
                <w:t>Certification of our Principal Executive Officer adopted pursuant to Section 302 of the Sarbanes-Oxley Act of 2002.</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50930ex312.htm">
              <w:r>
                <w:rPr>
                  <w:rStyle w:val="InternetLink"/>
                  <w:rFonts w:ascii="Times New Roman;serif" w:hAnsi="Times New Roman;serif"/>
                  <w:b w:val="false"/>
                  <w:color w:val="0000FF"/>
                  <w:sz w:val="20"/>
                  <w:u w:val="single"/>
                </w:rPr>
                <w:t>Certification of our Principal Financial Officer adopted pursuant to Section 302 of the Sarbanes-Oxley Act of 2002.</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50930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50930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186"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5"/>
        <w:gridCol w:w="135"/>
        <w:gridCol w:w="135"/>
        <w:gridCol w:w="135"/>
        <w:gridCol w:w="135"/>
        <w:gridCol w:w="135"/>
        <w:gridCol w:w="570"/>
        <w:gridCol w:w="570"/>
        <w:gridCol w:w="81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Inseego Corp.</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JUHO SARVIKAS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Juho Sarvikas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w:t>
            </w:r>
          </w:p>
        </w:tc>
      </w:tr>
    </w:tbl>
    <w:p>
      <w:pPr>
        <w:pStyle w:val="TextBody"/>
        <w:bidi w:val="0"/>
        <w:spacing w:lineRule="auto" w:line="288" w:before="0" w:after="0"/>
        <w:jc w:val="left"/>
        <w:rPr>
          <w:color w:val="000000"/>
        </w:rPr>
      </w:pPr>
      <w:r>
        <w:rPr>
          <w:color w:val="000000"/>
        </w:rPr>
        <w:t> </w:t>
      </w:r>
    </w:p>
    <w:tbl>
      <w:tblPr>
        <w:tblW w:w="3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
        <w:gridCol w:w="134"/>
        <w:gridCol w:w="136"/>
        <w:gridCol w:w="109"/>
        <w:gridCol w:w="109"/>
        <w:gridCol w:w="109"/>
        <w:gridCol w:w="570"/>
        <w:gridCol w:w="570"/>
        <w:gridCol w:w="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STEVEN GATOFF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Steven Gatoff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b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60" w:after="6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Juho Sarvikas, certify that:</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Inseego Corp.;</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6, 2025 </w:t>
      </w:r>
    </w:p>
    <w:tbl>
      <w:tblPr>
        <w:tblW w:w="2444" w:type="dxa"/>
        <w:jc w:val="center"/>
        <w:tblInd w:w="0" w:type="dxa"/>
        <w:tblLayout w:type="fixed"/>
        <w:tblCellMar>
          <w:top w:w="28" w:type="dxa"/>
          <w:left w:w="28" w:type="dxa"/>
          <w:bottom w:w="28" w:type="dxa"/>
          <w:right w:w="28" w:type="dxa"/>
        </w:tblCellMar>
      </w:tblPr>
      <w:tblGrid>
        <w:gridCol w:w="783"/>
        <w:gridCol w:w="687"/>
        <w:gridCol w:w="97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Juho Sarvikas</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color w:val="000000"/>
                <w:sz w:val="20"/>
              </w:rPr>
            </w:pPr>
            <w:r>
              <w:rPr>
                <w:rFonts w:ascii="Times New Roman;serif" w:hAnsi="Times New Roman;serif"/>
                <w:b/>
                <w:color w:val="000000"/>
                <w:sz w:val="20"/>
              </w:rPr>
              <w:t>Juho Sarvikas</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60" w:after="6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Steven Gatoff, certify that:</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Inseego Corp.;</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6, 2025 </w:t>
      </w:r>
    </w:p>
    <w:tbl>
      <w:tblPr>
        <w:tblW w:w="2430" w:type="dxa"/>
        <w:jc w:val="center"/>
        <w:tblInd w:w="0" w:type="dxa"/>
        <w:tblLayout w:type="fixed"/>
        <w:tblCellMar>
          <w:top w:w="28" w:type="dxa"/>
          <w:left w:w="28" w:type="dxa"/>
          <w:bottom w:w="28" w:type="dxa"/>
          <w:right w:w="28" w:type="dxa"/>
        </w:tblCellMar>
      </w:tblPr>
      <w:tblGrid>
        <w:gridCol w:w="778"/>
        <w:gridCol w:w="682"/>
        <w:gridCol w:w="970"/>
      </w:tblGrid>
      <w:tr>
        <w:trPr/>
        <w:tc>
          <w:tcPr>
            <w:tcW w:w="7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60"/>
              <w:jc w:val="left"/>
              <w:rPr>
                <w:rFonts w:ascii="Times New Roman;serif" w:hAnsi="Times New Roman;serif"/>
                <w:b/>
                <w:color w:val="000000"/>
                <w:sz w:val="20"/>
              </w:rPr>
            </w:pPr>
            <w:r>
              <w:rPr>
                <w:rFonts w:ascii="Times New Roman;serif" w:hAnsi="Times New Roman;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80" w:after="6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80" w:after="6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80" w:after="6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80" w:after="20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140"/>
        <w:jc w:val="left"/>
        <w:rPr>
          <w:rFonts w:ascii="Times New Roman;serif" w:hAnsi="Times New Roman;serif"/>
          <w:b w:val="false"/>
          <w:color w:val="000000"/>
          <w:sz w:val="20"/>
        </w:rPr>
      </w:pPr>
      <w:r>
        <w:rPr>
          <w:rFonts w:ascii="Times New Roman;serif" w:hAnsi="Times New Roman;serif"/>
          <w:b w:val="false"/>
          <w:color w:val="000000"/>
          <w:sz w:val="20"/>
        </w:rPr>
        <w:t>I, Juho Sarvikas, Chief Executive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September 30, 2025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6, 2025 </w:t>
      </w:r>
    </w:p>
    <w:tbl>
      <w:tblPr>
        <w:tblW w:w="2444" w:type="dxa"/>
        <w:jc w:val="center"/>
        <w:tblInd w:w="0" w:type="dxa"/>
        <w:tblLayout w:type="fixed"/>
        <w:tblCellMar>
          <w:top w:w="28" w:type="dxa"/>
          <w:left w:w="28" w:type="dxa"/>
          <w:bottom w:w="28" w:type="dxa"/>
          <w:right w:w="28" w:type="dxa"/>
        </w:tblCellMar>
      </w:tblPr>
      <w:tblGrid>
        <w:gridCol w:w="783"/>
        <w:gridCol w:w="687"/>
        <w:gridCol w:w="97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Juho Sarvikas</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Juho Sarvikas</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60" w:after="140"/>
        <w:jc w:val="left"/>
        <w:rPr>
          <w:rFonts w:ascii="Times New Roman;serif" w:hAnsi="Times New Roman;serif"/>
          <w:b w:val="false"/>
          <w:color w:val="000000"/>
          <w:sz w:val="20"/>
        </w:rPr>
      </w:pPr>
      <w:r>
        <w:rPr>
          <w:rFonts w:ascii="Times New Roman;serif" w:hAnsi="Times New Roman;serif"/>
          <w:b w:val="false"/>
          <w:color w:val="000000"/>
          <w:sz w:val="20"/>
        </w:rPr>
        <w:t>I, Steven Gatoff, Chief Financial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September 30, 2025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6, 2025 </w:t>
      </w:r>
    </w:p>
    <w:tbl>
      <w:tblPr>
        <w:tblW w:w="2430" w:type="dxa"/>
        <w:jc w:val="center"/>
        <w:tblInd w:w="0" w:type="dxa"/>
        <w:tblLayout w:type="fixed"/>
        <w:tblCellMar>
          <w:top w:w="28" w:type="dxa"/>
          <w:left w:w="28" w:type="dxa"/>
          <w:bottom w:w="28" w:type="dxa"/>
          <w:right w:w="28" w:type="dxa"/>
        </w:tblCellMar>
      </w:tblPr>
      <w:tblGrid>
        <w:gridCol w:w="778"/>
        <w:gridCol w:w="682"/>
        <w:gridCol w:w="970"/>
      </w:tblGrid>
      <w:tr>
        <w:trPr/>
        <w:tc>
          <w:tcPr>
            <w:tcW w:w="7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0"/>
              <w:jc w:val="left"/>
              <w:rPr>
                <w:rFonts w:ascii="Times New Roman;serif" w:hAnsi="Times New Roman;serif"/>
                <w:b/>
                <w:color w:val="000000"/>
                <w:sz w:val="20"/>
              </w:rPr>
            </w:pPr>
            <w:r>
              <w:rPr>
                <w:rFonts w:ascii="Times New Roman;serif" w:hAnsi="Times New Roman;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p>
            <w:pPr>
              <w:pStyle w:val="TableContents"/>
              <w:bidi w:val="0"/>
              <w:spacing w:lineRule="auto" w:line="288"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2652/000119312516763609/d261554dex31.htm" TargetMode="External"/><Relationship Id="rId3" Type="http://schemas.openxmlformats.org/officeDocument/2006/relationships/hyperlink" Target="https://www.sec.gov/Archives/edgar/data/1022652/000102265225000012/insg20250331ex32-amendedan.htm" TargetMode="External"/><Relationship Id="rId4" Type="http://schemas.openxmlformats.org/officeDocument/2006/relationships/hyperlink" Target="https://www.sec.gov/Archives/edgar/data/1022652/000119312519219943/d792529dex31.htm" TargetMode="External"/><Relationship Id="rId5" Type="http://schemas.openxmlformats.org/officeDocument/2006/relationships/hyperlink" Target="https://www.sec.gov/Archives/edgar/data/1022652/000119312520067668/d824727dex31.htm" TargetMode="External"/><Relationship Id="rId6" Type="http://schemas.openxmlformats.org/officeDocument/2006/relationships/hyperlink" Target="https://www.sec.gov/Archives/edgar/data/1022652/000168316824000396/inseego_ex0301.htm" TargetMode="External"/><Relationship Id="rId7" Type="http://schemas.openxmlformats.org/officeDocument/2006/relationships/hyperlink" Target="https://www.sec.gov/Archives/edgar/data/1022652/000168316825005754/inseego_ex1001.htm" TargetMode="External"/><Relationship Id="rId8" Type="http://schemas.openxmlformats.org/officeDocument/2006/relationships/hyperlink" Target="https://www.sec.gov/Archives/edgar/data/1022652/000168316825005754/inseego_ex10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18526</Words>
  <Characters>104243</Characters>
  <CharactersWithSpaces>121558</CharactersWithSpaces>
  <Paragraphs>2769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