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Mulhern George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INSEEGO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9710 SCRANTON ROAD,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INSEEGO CORP.</w:t>
              </w:r>
            </w:hyperlink>
            <w:r>
              <w:rPr/>
              <w:t xml:space="preserve"> [ </w:t>
            </w:r>
            <w:r>
              <w:rPr>
                <w:rFonts w:ascii="Times;serif" w:hAnsi="Times;serif"/>
                <w:color w:val="0000FF"/>
                <w:sz w:val="24"/>
                <w:shd w:fill="FFFFFF" w:val="clear"/>
              </w:rPr>
              <w:t>INSG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57"/>
        <w:gridCol w:w="505"/>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5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2,036</w:t>
            </w:r>
          </w:p>
        </w:tc>
        <w:tc>
          <w:tcPr>
            <w:tcW w:w="5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r>
              <w:rPr/>
              <w:t xml:space="preserve"> </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33,014</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that settle for shares of common stock on a 1-for-1 basis, and that are fully vested upon grant. These RSUs represent shares the reporting person elected to receive as compensation in lieu of cash pursuant to the Issuer's 2018 Omnibus Incentive Compensation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Frances Wong,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7163" TargetMode="External"/><Relationship Id="rId5" Type="http://schemas.openxmlformats.org/officeDocument/2006/relationships/hyperlink" Target="http://www.sec.gov/cgi-bin/browse-edgar?action=getcompany&amp;CIK=00010226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3303</Characters>
  <CharactersWithSpaces>3853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