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Bukhari Syed Nabeel Anwar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INSEEGO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9710 SCRANTON ROAD,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INSEEGO CORP.</w:t>
              </w:r>
            </w:hyperlink>
            <w:r>
              <w:rPr/>
              <w:t xml:space="preserve"> [ </w:t>
            </w:r>
            <w:r>
              <w:rPr>
                <w:rFonts w:ascii="Times;serif" w:hAnsi="Times;serif"/>
                <w:color w:val="0000FF"/>
                <w:sz w:val="24"/>
                <w:shd w:fill="FFFFFF" w:val="clear"/>
              </w:rPr>
              <w:t>INSG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34"/>
        <w:gridCol w:w="501"/>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5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19,654</w:t>
            </w:r>
          </w:p>
        </w:tc>
        <w:tc>
          <w:tcPr>
            <w:tcW w:w="5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28,533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to the Reporting Person in connection with the Company's annual equity compensation program for non-employee direc-tors, consistent with prior annual director grants and pursuant to the Company's approved equity incentive plan. Each RSU represents a contingent right to receive one share of the Company's common stock upon vesting. The RSUs are scheduled to vest on July 29, 2027, subject to the Reporting Person's continued service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Frances Wong,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5813" TargetMode="External"/><Relationship Id="rId5" Type="http://schemas.openxmlformats.org/officeDocument/2006/relationships/hyperlink" Target="http://www.sec.gov/cgi-bin/browse-edgar?action=getcompany&amp;CIK=00010226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3520</Characters>
  <CharactersWithSpaces>4095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