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920" w:right="1960" w:hanging="3912"/>
        <w:spacing w:after="0" w:line="441"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2006</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7"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to</w:t>
            </w:r>
          </w:p>
        </w:tc>
        <w:tc>
          <w:tcPr>
            <w:tcW w:w="8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397"/>
        </w:trPr>
        <w:tc>
          <w:tcPr>
            <w:tcW w:w="4100" w:type="dxa"/>
            <w:vAlign w:val="bottom"/>
            <w:gridSpan w:val="4"/>
          </w:tcPr>
          <w:p>
            <w:pPr>
              <w:ind w:left="780"/>
              <w:spacing w:after="0"/>
              <w:rPr>
                <w:sz w:val="20"/>
                <w:szCs w:val="20"/>
                <w:color w:val="auto"/>
              </w:rPr>
            </w:pPr>
            <w:r>
              <w:rPr>
                <w:rFonts w:ascii="Arial" w:cs="Arial" w:eastAsia="Arial" w:hAnsi="Arial"/>
                <w:sz w:val="18"/>
                <w:szCs w:val="18"/>
                <w:color w:val="auto"/>
              </w:rPr>
              <w:t>Commission file number: 000-31659</w:t>
            </w:r>
          </w:p>
        </w:tc>
        <w:tc>
          <w:tcPr>
            <w:tcW w:w="60" w:type="dxa"/>
            <w:vAlign w:val="bottom"/>
          </w:tcPr>
          <w:p>
            <w:pPr>
              <w:spacing w:after="0"/>
              <w:rPr>
                <w:sz w:val="24"/>
                <w:szCs w:val="24"/>
                <w:color w:val="auto"/>
              </w:rPr>
            </w:pPr>
          </w:p>
        </w:tc>
      </w:tr>
    </w:tbl>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NOVATEL WIRELESS,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40"/>
          </w:cols>
          <w:pgMar w:left="240" w:top="584" w:right="31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86-0824673</w:t>
      </w:r>
    </w:p>
    <w:p>
      <w:pPr>
        <w:spacing w:after="0" w:line="47" w:lineRule="exact"/>
        <w:rPr>
          <w:sz w:val="24"/>
          <w:szCs w:val="24"/>
          <w:color w:val="auto"/>
        </w:rPr>
      </w:pPr>
    </w:p>
    <w:p>
      <w:pPr>
        <w:sectPr>
          <w:pgSz w:w="11900" w:h="16838" w:orient="portrait"/>
          <w:cols w:equalWidth="0" w:num="2">
            <w:col w:w="7540" w:space="720"/>
            <w:col w:w="3080"/>
          </w:cols>
          <w:pgMar w:left="240" w:top="584" w:right="319" w:bottom="1440" w:gutter="0" w:footer="0" w:header="0"/>
          <w:type w:val="continuous"/>
        </w:sectPr>
      </w:pPr>
    </w:p>
    <w:p>
      <w:pPr>
        <w:jc w:val="center"/>
        <w:ind w:right="1720"/>
        <w:spacing w:after="0"/>
        <w:rPr>
          <w:sz w:val="20"/>
          <w:szCs w:val="20"/>
          <w:color w:val="auto"/>
        </w:rPr>
      </w:pPr>
      <w:r>
        <w:rPr>
          <w:rFonts w:ascii="Arial" w:cs="Arial" w:eastAsia="Arial" w:hAnsi="Arial"/>
          <w:sz w:val="14"/>
          <w:szCs w:val="14"/>
          <w:b w:val="1"/>
          <w:bCs w:val="1"/>
          <w:color w:val="auto"/>
        </w:rPr>
        <w:t>(State or other jurisdiction</w:t>
      </w:r>
    </w:p>
    <w:p>
      <w:pPr>
        <w:jc w:val="center"/>
        <w:ind w:right="172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40" w:space="720"/>
            <w:col w:w="3180"/>
          </w:cols>
          <w:pgMar w:left="240" w:top="584" w:right="319" w:bottom="1440" w:gutter="0" w:footer="0" w:header="0"/>
          <w:type w:val="continuous"/>
        </w:sectPr>
      </w:pP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9645 Scranton Road, Suite 205, San Diego, CA 92121</w:t>
      </w:r>
    </w:p>
    <w:p>
      <w:pPr>
        <w:spacing w:after="0" w:line="5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340"/>
          </w:cols>
          <w:pgMar w:left="240" w:top="584" w:right="319" w:bottom="1440" w:gutter="0" w:footer="0" w:header="0"/>
          <w:type w:val="continuous"/>
        </w:sectPr>
      </w:pP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177"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ind w:right="-7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860"/>
        <w:spacing w:after="0" w:line="207" w:lineRule="exact"/>
        <w:tabs>
          <w:tab w:leader="none" w:pos="5000" w:val="left"/>
          <w:tab w:leader="none" w:pos="67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Registrant’s common stock outstanding as of November 3, 2006 was 29,970,232.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type w:val="continuous"/>
        </w:sectPr>
      </w:pPr>
    </w:p>
    <w:bookmarkStart w:id="1" w:name="page2"/>
    <w:bookmarkEnd w:id="1"/>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should carefully review and consider the various disclosures in this report regarding factors that could cause actual results to differ materially from anticipated results, including those factors under the caption “Risks Related to Our Business” of this Form 10-Q.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“Novatel Wireless,” the Novatel Wireless logo, “Merlin,” “MobiLink,” “Freedom Box,” “Expedite,” “Ovation” and “Conversa” are trademarks of Novatel Wireless, Inc. Other trademarks, trade names or service marks used in this report are the property of their owners.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jc w:val="center"/>
              <w:ind w:left="1512"/>
              <w:spacing w:after="0"/>
              <w:rPr>
                <w:sz w:val="20"/>
                <w:szCs w:val="20"/>
                <w:color w:val="auto"/>
              </w:rPr>
            </w:pPr>
            <w:r>
              <w:rPr>
                <w:rFonts w:ascii="Arial" w:cs="Arial" w:eastAsia="Arial" w:hAnsi="Arial"/>
                <w:sz w:val="18"/>
                <w:szCs w:val="18"/>
                <w:b w:val="1"/>
                <w:bCs w:val="1"/>
                <w:color w:val="auto"/>
                <w:w w:val="99"/>
              </w:rPr>
              <w:t>PART I – FINANCIAL INFORMATION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40" w:type="dxa"/>
            <w:vAlign w:val="bottom"/>
          </w:tcPr>
          <w:p>
            <w:pPr>
              <w:jc w:val="center"/>
              <w:ind w:left="1492"/>
              <w:spacing w:after="0"/>
              <w:rPr>
                <w:sz w:val="20"/>
                <w:szCs w:val="20"/>
                <w:color w:val="auto"/>
              </w:rPr>
            </w:pPr>
            <w:r>
              <w:rPr>
                <w:rFonts w:ascii="Arial" w:cs="Arial" w:eastAsia="Arial" w:hAnsi="Arial"/>
                <w:sz w:val="18"/>
                <w:szCs w:val="18"/>
                <w:b w:val="1"/>
                <w:bCs w:val="1"/>
                <w:color w:val="auto"/>
                <w:w w:val="96"/>
              </w:rPr>
              <w:t>NOVATEL WIRELESS, INC.</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40" w:type="dxa"/>
            <w:vAlign w:val="bottom"/>
          </w:tcPr>
          <w:p>
            <w:pPr>
              <w:jc w:val="center"/>
              <w:ind w:left="1512"/>
              <w:spacing w:after="0"/>
              <w:rPr>
                <w:sz w:val="20"/>
                <w:szCs w:val="20"/>
                <w:color w:val="auto"/>
              </w:rPr>
            </w:pPr>
            <w:r>
              <w:rPr>
                <w:rFonts w:ascii="Arial" w:cs="Arial" w:eastAsia="Arial" w:hAnsi="Arial"/>
                <w:sz w:val="18"/>
                <w:szCs w:val="18"/>
                <w:b w:val="1"/>
                <w:bCs w:val="1"/>
                <w:color w:val="auto"/>
                <w:w w:val="96"/>
              </w:rPr>
              <w:t>CONSOLIDATED BALANCE SHEETS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40" w:type="dxa"/>
            <w:vAlign w:val="bottom"/>
          </w:tcPr>
          <w:p>
            <w:pPr>
              <w:jc w:val="center"/>
              <w:ind w:left="1492"/>
              <w:spacing w:after="0"/>
              <w:rPr>
                <w:sz w:val="20"/>
                <w:szCs w:val="20"/>
                <w:color w:val="auto"/>
              </w:rPr>
            </w:pPr>
            <w:r>
              <w:rPr>
                <w:rFonts w:ascii="Arial" w:cs="Arial" w:eastAsia="Arial" w:hAnsi="Arial"/>
                <w:sz w:val="18"/>
                <w:szCs w:val="18"/>
                <w:b w:val="1"/>
                <w:bCs w:val="1"/>
                <w:color w:val="auto"/>
                <w:w w:val="87"/>
              </w:rPr>
              <w:t>(In thousands, except per share data)</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jc w:val="center"/>
              <w:ind w:left="1492"/>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jc w:val="center"/>
              <w:ind w:right="932"/>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45,231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$97 in 2006 and $96 in 2005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17,120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15,419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2,748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170,831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vMerge w:val="restart"/>
          </w:tcPr>
          <w:p>
            <w:pPr>
              <w:jc w:val="center"/>
              <w:ind w:right="932"/>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28,329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41,988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par value $0.001, 2,000 shares authorized and none outstanding</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w w:val="96"/>
              </w:rPr>
              <w:t>Common stock, par value $0.001, 50,000 shares authorized, 29,710 and 29,326 shares issued and outstanding at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September 30, 2006 and December 31, 2005, respectively</w:t>
            </w: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353,346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(224,490)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(222,344)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4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170,831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5"/>
        </w:trPr>
        <w:tc>
          <w:tcPr>
            <w:tcW w:w="8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Arial" w:cs="Arial" w:eastAsia="Arial" w:hAnsi="Arial"/>
                <w:sz w:val="14"/>
                <w:szCs w:val="14"/>
                <w:b w:val="1"/>
                <w:bCs w:val="1"/>
                <w:color w:val="auto"/>
                <w:w w:val="96"/>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3"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55,143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42,129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140,956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28,991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13,138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8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 and expense,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5"/>
              </w:rPr>
              <w:t>Weighted average shares used in computation of basic and diluted net income (loss) per common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29,186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29,672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30,333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write down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Share based compensation expense</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7,399</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Deferred tax benefit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Increase (decrease) in cash resulting from changes in:</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(11,038)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(43,939)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Maturities/sales of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51,542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36,653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33,712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period for: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2006 and for the three and nine months ended September 30, 2006 and 2005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2005. The results of operations for the interim periods presented are not necessarily indicative of results to be expected for any other interim period or for the year as a whole.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 Certain reclassifications have been made to amounts included in the prior period’s financial statements to conform to the current year presentation.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allowance for excess and obsolete inventory, useful lives of long-lived assets, valuation of intangible and long-lived assets, provision for warranty and price protection costs, estimated royalty costs, deferred tax asset valuation allowance, foreign currency translation, and the use of option pricing models to establish values of equity instruments.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 Plans</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Company’s amended and restated 1997 employee stock option plan (the “1997 Plan”) for employees authorizes the granting of options for up to 800,000 shares of the Company’s common stock. Generally, options issued under the 1997 Plan were granted at prices equal to at least 100% of the fair value of the stock on the date of grant, expire not later than ten years from the date of grant and vest ratably and annually over a four-year period following the date of grant. From time to time, as approved by the Company’s Board of Directors, options with differing vesting terms have also been granted. The 1997 Plan provides that any shares issued come from the Company’s authorized but unissued or reacquired common stock. In September, 2000 the Company suspended making any further grants pursuant to the 1997 Plan and contributed the remaining shares then reserved for issuance under such plan to the 2000 Stock Incentive Plan (the “2000 Plan”).</w:t>
      </w:r>
    </w:p>
    <w:p>
      <w:pPr>
        <w:spacing w:after="0" w:line="147" w:lineRule="exact"/>
        <w:rPr>
          <w:sz w:val="20"/>
          <w:szCs w:val="20"/>
          <w:color w:val="auto"/>
        </w:rPr>
      </w:pPr>
    </w:p>
    <w:p>
      <w:pPr>
        <w:ind w:right="320" w:firstLine="456"/>
        <w:spacing w:after="0" w:line="303" w:lineRule="auto"/>
        <w:rPr>
          <w:sz w:val="20"/>
          <w:szCs w:val="20"/>
          <w:color w:val="auto"/>
        </w:rPr>
      </w:pPr>
      <w:r>
        <w:rPr>
          <w:rFonts w:ascii="Arial" w:cs="Arial" w:eastAsia="Arial" w:hAnsi="Arial"/>
          <w:sz w:val="15"/>
          <w:szCs w:val="15"/>
          <w:color w:val="auto"/>
        </w:rPr>
        <w:t>In July 2000, the Company’s Board of Directors approved and in September 2000, the Company’s stockholders approved the 2000 Plan authorizing the granting of options, restricted stock and stock appreciation rights for up to 1,100,000 shares of the Company’s common stock, including the 800,000 shares authorized under the 1997 Plan, plus an automatic annual increase, to be added on the first day of each fiscal year beginning in 2001, equal to the lesser of</w:t>
      </w:r>
    </w:p>
    <w:p>
      <w:pPr>
        <w:spacing w:after="0" w:line="1" w:lineRule="exact"/>
        <w:rPr>
          <w:sz w:val="20"/>
          <w:szCs w:val="20"/>
          <w:color w:val="auto"/>
        </w:rPr>
      </w:pPr>
    </w:p>
    <w:p>
      <w:pPr>
        <w:jc w:val="both"/>
        <w:ind w:firstLine="8"/>
        <w:spacing w:after="0" w:line="320" w:lineRule="auto"/>
        <w:tabs>
          <w:tab w:leader="none" w:pos="239" w:val="left"/>
        </w:tabs>
        <w:numPr>
          <w:ilvl w:val="0"/>
          <w:numId w:val="4"/>
        </w:numPr>
        <w:rPr>
          <w:rFonts w:ascii="Arial" w:cs="Arial" w:eastAsia="Arial" w:hAnsi="Arial"/>
          <w:sz w:val="15"/>
          <w:szCs w:val="15"/>
          <w:color w:val="auto"/>
        </w:rPr>
      </w:pPr>
      <w:r>
        <w:rPr>
          <w:rFonts w:ascii="Arial" w:cs="Arial" w:eastAsia="Arial" w:hAnsi="Arial"/>
          <w:sz w:val="15"/>
          <w:szCs w:val="15"/>
          <w:color w:val="auto"/>
        </w:rPr>
        <w:t>3.0% of the outstanding shares on the last day of the prior fiscal year, (b) 100,000 shares, or (c) such lesser number of shares as may determined by the Board in its sole discretion (the automatic annual increase was eliminated effective in 2006 as described further below). The Company implemented the 2000 Plan upon the effective date of the Company’s initial public offering in November 2000. The Compensation Committee of the Company’s Board of Directors administers the 2000 Plan. Options granted under the 2000 Plan typically vest ratably over either a three or a four year period and have a contractual term of 10 years.</w:t>
      </w:r>
    </w:p>
    <w:p>
      <w:pPr>
        <w:spacing w:after="0" w:line="10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June 2003, the stockholders of the Company approved the amendment of the 2000 Plan to increase the number of shares reserved for issuance under the plan by 4,222,743 shares of the Company’s common stock. In June 2004, the stockholders of the Company approved the amendment of the 2000 Plan to increase the number of shares reserved for issuance under the plan by an additional 2,000,000 shares of the Company’s common stock.</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July 2005, the stockholders of the Company approved the amendment of the 2000 Plan to increase the number of shares reserved for issuance under the plan by 1,500,000 shares of the Company’s common stock and eliminated a provision from the plan that provides for the automatic annual increase in the number of shares reserved for issuance effective in 2006. The Company’s stockholders also voted to remove a provision from the 2000 Plan that permitted the repricing of the exercise prices with respect to stock options or stock appreciation rights.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 Purchase Plan</w:t>
      </w:r>
    </w:p>
    <w:p>
      <w:pPr>
        <w:spacing w:after="0" w:line="171"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In July 2000, the Company’s Board of Directors approved the 2000 Employee Stock Purchase Plan (“ESPP”) and in September 2000, the Company’s stockholders approved the ESPP. The Company implemented the ESPP in 2001 following the completion of the initial public offering in November 2000. The ESPP, subject to certain limitations, permits eligible employees of the Company to purchase common stock, at a price equal to 85.0% of the lower of the fair market value on the first day of the offering period or the last day of each six-month purchase period, through payroll deductions of up to 10.0% of their annual compensation. The ESPP provides for the issuance of up to 100,000 shares of common stock, plus an automatic annual increase, to be added on the first day of each fiscal year beginning in 2001, equal to the lesser of (a) 0.5% of the outstanding shares on the last day of the prior fiscal year, (b) 18,000 shares, or (c) such lesser number of shares as may be determined by the Board in its sole discretion. During 2004, the stockholders approved an amendment to the ESPP which increased the number of shares reserved for future issuance under the ESPP by 80,000 shares. If purchases of stock through the plan deplete this supply, the Company will limit, suspend or discontinue purchases under the plan until additional shares of stock are available.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has granted incentive stock options to employees, and restricted stock and non-qualified stock options to employees and non-employee members of the Board of Directors. The Company also has an employee stock purchase plan for all eligible employees. On January 1, 2006, the Company adopted Statement of Financial Accounting Standard (“SFAS”) No. 123(R), Share-Based Payment, which requires the measurement and recognition of compensation expense for all share-based payment awards made to employees and directors including stock option grants, non-vested stock grants, and purchases of stock made pursuant to the Company’s ESPP based on estimated fair values. SFAS No. 123(R) supersedes the Company’s previous accounting under Accounting Principles Board Opinion (“APB”) No. 25, Accounting for Stock Issued to Employees. In March 2005, the SEC issued Staff Accounting Bulletin (“SAB”) No. 107, and the Company has applied the provisions of SAB No. 107 in its adoption of SFAS No. 123(R).</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adopted SFAS No. 123(R) using the modified prospective transition method of recognition of compensation expense related to share-based payments, which requires the application of the accounting standard as of January 1, 2006. In accordance with the modified prospective transition method, the Company’s unaudited Consolidated Financial Statements for the three and nine months ended September 30, 2005 have not been restated to reflect, and do not include, the impact of SFAS No. 123(R).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SFAS No. 123(R) requires companies to estimate the fair value of share-based payment option awards on the date of grant using an option-pricing model. The value of the awards that are ultimately expected to vest are recognized as compensation expense over the requisite service periods using the straight-line method. Prior to the adoption of SFAS No. 123(R), the Company accounted for share-based awards to employees and directors using the intrinsic value method in accordance with APB No. 25 as allowed under SFAS No. 123, Accounting for Stock-Based Compensation. Under the intrinsic value method, share-based compensation expense was only recognized by the Company if the exercise price of the grant was less than the fair market value of the underlying stock at the date of grant. No stock-based compensation expense was recorded by the Company in 2005.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120"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September 30, 2006, total unrecognized share-based compensation cost related to unvested stock options was $11.9 million, which is expected to be recognized over a weighted average period of approximately 14 months. As of September 30, 2006, total unrecognized share-based compensation cost related to restricted stock was $2.0 million, which is expected to be recognized over a weighted average period of approximately 16 months. As of September 30, 2006, total unrecognized ESPP compensation cost related to ESPP share purchases was approximately $600,000, which is expected to be recognized over a weighted average period of approximately six months. The Company has included the following amounts for share-based compensation cost, including the cost related to the ESPP, in the accompanying unaudited Consolidated Statements of Operations for the three and nine months ended September 30, 2006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8000" w:type="dxa"/>
            <w:vAlign w:val="bottom"/>
          </w:tcPr>
          <w:p>
            <w:pPr>
              <w:spacing w:after="0"/>
              <w:rPr>
                <w:sz w:val="14"/>
                <w:szCs w:val="14"/>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September 30, 2006</w:t>
            </w:r>
          </w:p>
        </w:tc>
        <w:tc>
          <w:tcPr>
            <w:tcW w:w="10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598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531</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1,468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2,746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Tax effect on stock-based compensation</w:t>
            </w:r>
          </w:p>
        </w:tc>
        <w:tc>
          <w:tcPr>
            <w:tcW w:w="460" w:type="dxa"/>
            <w:vAlign w:val="bottom"/>
          </w:tcPr>
          <w:p>
            <w:pPr>
              <w:spacing w:after="0"/>
              <w:rPr>
                <w:sz w:val="18"/>
                <w:szCs w:val="18"/>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(856)</w:t>
            </w:r>
          </w:p>
        </w:tc>
        <w:tc>
          <w:tcPr>
            <w:tcW w:w="3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loss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1,890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0.06</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44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0.06</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Share-based compensation expense recognized during the three and nine months ended September 30, 2006 included (1) compensation expense for awards granted prior to, but not yet fully vested as of January 1, 2006, and (2) compensation expense for the share-based payment awards granted subsequent to December 31, 2005, based on the grant date fair values estimated in accordance with the provisions of SFAS No. 123 and SFAS No. 123(R), respectively. The Company has historically disclosed and currently recognizes share-based compensation expense using the straight-line method. SFAS No. 123(R) requires forfeitures to be estimated at the time of grant and revised, if necessary, in subsequent periods if actual forfeitures differ from those estimates. In the Company’s pro forma disclosures required under SFAS No. 123 for the periods prior to 2006, the Company accounted for forfeitures as they occurred. The Company has historically and continues to estimate the fair value of share based option awards using the Black-Scholes option-pricing model.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Cost under SFAS No. 123</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January 1, 2006, the Company disclosed compensation cost in accordance with SFAS No. 123. The provisions of SFAS No. 123 required the Company to disclose the assumptions used in calculating the fair value pro forma expense. Had compensation expense for the plans been determined based on the fair value of the options at the grant dates for awards under the plans consistent with SFAS No. 123, the Company’s net income for the three and nine months ended September 30, 2005 would have been as follows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2005</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2005</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9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Share-based compensation, as reported</w:t>
            </w:r>
          </w:p>
        </w:tc>
        <w:tc>
          <w:tcPr>
            <w:tcW w:w="420" w:type="dxa"/>
            <w:vAlign w:val="bottom"/>
          </w:tcPr>
          <w:p>
            <w:pPr>
              <w:spacing w:after="0"/>
              <w:rPr>
                <w:sz w:val="18"/>
                <w:szCs w:val="18"/>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determined under fair value based method for all awards (net of</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tax benefits)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(2,882)</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9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 as reported</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Diluted net earnings per share, as reported</w:t>
            </w: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94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 SFAS No. 123 adjusted</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Diluted net earnings per share, SFAS No. 123 adjusted</w:t>
            </w: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94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Pro forma disclosures for the three and nine months ended September 30, 2006 are not presented because the compensation expense is recorded in the unaudited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1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estimate compensation expense which would have been recognized under SFAS No. 123 for the three and nine months ended September 30, 2005 and the compensation cost that was recognized under SFAS No. 123(R) for the three and nine months ended September 30, 2006, the Company used the Black-Scholes option-pricing model with the following weighted-average assumptions for equity awards granted: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240" w:type="dxa"/>
            <w:vAlign w:val="bottom"/>
          </w:tcPr>
          <w:p>
            <w:pPr>
              <w:spacing w:after="0"/>
              <w:rPr>
                <w:sz w:val="14"/>
                <w:szCs w:val="14"/>
                <w:color w:val="auto"/>
              </w:rPr>
            </w:pPr>
          </w:p>
        </w:tc>
        <w:tc>
          <w:tcPr>
            <w:tcW w:w="22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2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ESPP</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ESPP</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Expected Term:</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4.8 years</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 years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5.5 years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years</w:t>
            </w:r>
          </w:p>
        </w:tc>
      </w:tr>
      <w:tr>
        <w:trPr>
          <w:trHeight w:val="222"/>
        </w:trPr>
        <w:tc>
          <w:tcPr>
            <w:tcW w:w="7240" w:type="dxa"/>
            <w:vAlign w:val="bottom"/>
          </w:tcPr>
          <w:p>
            <w:pPr>
              <w:ind w:left="440"/>
              <w:spacing w:after="0"/>
              <w:rPr>
                <w:sz w:val="20"/>
                <w:szCs w:val="20"/>
                <w:color w:val="auto"/>
              </w:rPr>
            </w:pPr>
            <w:r>
              <w:rPr>
                <w:rFonts w:ascii="Arial" w:cs="Arial" w:eastAsia="Arial" w:hAnsi="Arial"/>
                <w:sz w:val="18"/>
                <w:szCs w:val="18"/>
                <w:color w:val="auto"/>
              </w:rPr>
              <w:t>ESPP</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15 months</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15 months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15 months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 months</w:t>
            </w: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risk-free interest rate is based on the implied yield available on U.S. Treasury issues with an equivalent remaining term. The Company has not paid dividends in the past and currently does not plan to pay any dividends in the foreseeable future. The expected volatility is based on an average of historical and implied volatility of the Company’s stock for the related expected life. The expected term of options granted is estimated using the average of the vesting date and the contractual term and projected and historical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Activity and pricing information regarding all options to purchase shares of common stock are summarized as follows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Options</w:t>
            </w: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2005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2006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2006</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September 30, 2006</w:t>
            </w: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3,750</w:t>
            </w: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$ 14.11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During the three and nine months ended September 30, 2006, the total pre-tax intrinsic value of options exercised to purchase common stock was approximately $200,000 and $2.1 million, respectively, and the weighted average fair value of options to purchase common stock that were granted was $6.58 and $6.64 per share, respectively. During the three and nine months ended September 30, 2005, the total pre-tax intrinsic value of options exercised to purchase common stock was approximately $700,000 and $2.5 million, respectively, and the weighted average fair value of options to purchase common stock that were granted was $6.16 and $6.38 per share, respectively.</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three and nine months ended September 30, 2006, cash flows generated from share-based compensation arrangements amounted to $77,000 and $778,000, respectively, for the purchase of shares upon exercise of options. The Company issues new shares upon exercise of options to purchase common stock or purchases made through the ESPP.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information regarding options outstanding for all plans as of September 30, 2006, is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4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6"/>
              </w:rPr>
              <w:t>Number</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55"/>
        </w:trPr>
        <w:tc>
          <w:tcPr>
            <w:tcW w:w="61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3"/>
                <w:szCs w:val="13"/>
                <w:color w:val="auto"/>
              </w:rPr>
            </w:pPr>
          </w:p>
        </w:tc>
        <w:tc>
          <w:tcPr>
            <w:tcW w:w="11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1"/>
              </w:rPr>
              <w:t>Life (yrs.)</w:t>
            </w:r>
          </w:p>
        </w:tc>
        <w:tc>
          <w:tcPr>
            <w:tcW w:w="120" w:type="dxa"/>
            <w:vAlign w:val="bottom"/>
          </w:tcPr>
          <w:p>
            <w:pPr>
              <w:spacing w:after="0"/>
              <w:rPr>
                <w:sz w:val="13"/>
                <w:szCs w:val="13"/>
                <w:color w:val="auto"/>
              </w:rPr>
            </w:pPr>
          </w:p>
        </w:tc>
        <w:tc>
          <w:tcPr>
            <w:tcW w:w="44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3"/>
                <w:szCs w:val="13"/>
                <w:color w:val="auto"/>
              </w:rPr>
            </w:pPr>
          </w:p>
        </w:tc>
        <w:tc>
          <w:tcPr>
            <w:tcW w:w="6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2"/>
              </w:rPr>
              <w:t>Exercisable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$0.95 – 2.65</w:t>
            </w: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$3.90 – 11.04</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1,493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$11.26 – 15.15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$15.30 – 16.27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902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$16.50 – 193.13</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27.02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5,578</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7,887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7.86</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aggregate intrinsic value in the table above is based on the Company’s closing stock price of $9.63 per share as of the last business day of the three months ended September 30, 2006, which amount would have been received by the optionees had all options been exercised on that date.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17, 2006, the Compensation Committee of the Board of Directors, pursuant to the 2000 Plan, granted 222,000 shares of market-based restricted stock to executives at a fair value of $10.61 per share. The restricted stock awards vest in one-third increments based on closing per share stock price achievement of $13.26, $15.92 and $18.57 for 10 consecutive trading days, but no more than 50% of the shares are permitted to vest earlier than May 1, 2007. If the stock price levels are not achieved, these shares will become fully vested on May 17, 2011 assuming continued employment or other qualifying service for the Company through such date. The Company has estimated the aggregate fair value of this award at approximately $2.4 million which is being amortized and recorded as compensation expense over a period of eight months for the first $800,000 of the compensation expense, 17 months for the next $800,000 of the compensation expense and 28 months for the final $800,000 of the compensation expense. The vesting term for each increment was calculated using a Monte Carlo valuation model using the following assumptions: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Volatility</w:t>
            </w:r>
          </w:p>
        </w:tc>
        <w:tc>
          <w:tcPr>
            <w:tcW w:w="41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4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17, 2006, the Company also awarded 7,500 shares of restricted stock to each of the 5 non-employee directors (for a total of 37,500 shares) at a fair value of $10.61 per share. 2,500 shares of each grant vests annually each May 17, commencing in 2007, so long as the director is serving on such date. The Company has estimated the aggregate fair value of these awards to the non-employee directors at approximately $400,000, which is being amortized to compensation expense ratably over a three year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for the three months ended September 30, 2006 is presented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259,500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Forfeited</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2006</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259,500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total fair value of restricted stock vested during the three months ended September 30, 2006 was approximately $530,000 and the related tax benefit realized was approximately $196,000.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3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December 29, 2005, the Company’s Board of Directors approved the acceleration of vesting of certain unvested stock options granted to our non-executive officer employees under our stock option plans that had an exercise price greater than $18.78 per share. Options held by executive officers and non-employee directors were not included in the acceleration. As a result, previously unvested options to purchase approximately 550,000 shares of our common stock became fully vested and immediately exercisable on such date.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acceleration of vesting enabled the Company to eliminate the recognition in our Consolidated Statements of Operations of the compensation expense associated with these “out of the money” stock options in future periods, upon our adoption of SFAS No. 123(R) on January 1, 2006. Had the options not been accelerated, the unamortized fair value-based compensation expense for these options at January 1, 2006, would have been recorded in 2006 through 2008, under vesting schedules in place prior to the acceleration, and would have been approximately $6.9 million, net of estimated forfeitures.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 Purchase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46,031 and 33,068 shares issued pursuant to the ESPP during the three months ended September 30, 2006 and 2005,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Accounting Requirements.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July 2006, the Financial Accounting Standards Board issued FASB Interpretation No. 48 (FIN No. 48) “Accounting for Uncertainty in Income Taxes” which prescribes a recognition threshold and measurement process for recording in the financial statements uncertain tax positions taken or expected to be taken in a tax return. Additionally, FIN No. 48 provides guidance on the derecognition, classification, accounting in interim periods and disclosure requirements for uncertain tax positions. The accounting provisions of FIN No. 48 will be effective for the Company beginning January 1, 2007. The Company is in the process of determining the effect, if any, the adoption of FIN No. 48 will have on its financial statements.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2006, the SEC issued Staff Accounting Bulletin No. 108 (SAB No. 108), “Considering the Effects of Prior Year Misstatements when Quantifying Misstatements in Current Year Financial Statements” to address diversity in practice in quantifying financial statement misstatements. SAB No. 108 requires the quantification of misstatements based on their impact to both the balance sheet and the income statement to determine materiality. The guidance provides for a one-time cumulative effect adjustment to correct for misstatements for errors that were not deemed material under a company’s prior approach but are material under the SAB No. 108 approach. SAB No. 108 is effective for the fiscal year ending December 31, 2006. The Company is in the process of determining the effect, if any, the adoption of SAB No. 108 will have on its financial statements.</w:t>
      </w:r>
    </w:p>
    <w:p>
      <w:pPr>
        <w:spacing w:after="0" w:line="236" w:lineRule="exact"/>
        <w:rPr>
          <w:sz w:val="20"/>
          <w:szCs w:val="20"/>
          <w:color w:val="auto"/>
        </w:rPr>
      </w:pPr>
    </w:p>
    <w:p>
      <w:pPr>
        <w:jc w:val="both"/>
        <w:ind w:left="460" w:right="9360" w:hanging="452"/>
        <w:spacing w:after="0" w:line="473" w:lineRule="auto"/>
        <w:tabs>
          <w:tab w:leader="none" w:pos="44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i w:val="1"/>
          <w:iCs w:val="1"/>
          <w:color w:val="auto"/>
        </w:rPr>
        <w:t>Marketable Securities</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September 30, 2006, unrealized losses of $43,000 are included in accumulated other comprehensive loss. The Company’s portfolio of available-for-sale securities by contractual maturity consists of the following as of September 30,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Maturity</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$ 10,743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Asset backed</w:t>
            </w: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2,754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debentures/bonds</w:t>
            </w: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Commercial paper</w:t>
            </w:r>
          </w:p>
        </w:tc>
        <w:tc>
          <w:tcPr>
            <w:tcW w:w="92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1 or less</w:t>
            </w:r>
          </w:p>
        </w:tc>
        <w:tc>
          <w:tcPr>
            <w:tcW w:w="620" w:type="dxa"/>
            <w:vAlign w:val="bottom"/>
          </w:tcPr>
          <w:p>
            <w:pPr>
              <w:jc w:val="right"/>
              <w:spacing w:after="0"/>
              <w:rPr>
                <w:sz w:val="20"/>
                <w:szCs w:val="20"/>
                <w:color w:val="auto"/>
              </w:rPr>
            </w:pPr>
            <w:r>
              <w:rPr>
                <w:rFonts w:ascii="Arial" w:cs="Arial" w:eastAsia="Arial" w:hAnsi="Arial"/>
                <w:sz w:val="18"/>
                <w:szCs w:val="18"/>
                <w:color w:val="auto"/>
              </w:rPr>
              <w:t>1,189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5"/>
              </w:rPr>
              <w:t>1 or less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Total short-term marketable securities</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45,271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45,231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debentures/bonds/preferred</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 to 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Total long-term marketable securities</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$ 46,448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$ 46,405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September 30, 2006,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September 30, 2006 represent a temporary condition and will not result in realized losses on sale or maturity of the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0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2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price protection and sales returns allowance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December 29, 2005, the Company entered into a two-year $25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(8.75% at September 30, 2006). The Credit Agreement further contains certain customary restrictive financial and operating 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September 30, 2006, the Company had no outstanding balance under the Credit Agreement and was in compliance with all covenants of the Credit Agreement.</w:t>
      </w:r>
    </w:p>
    <w:p>
      <w:pPr>
        <w:spacing w:after="0" w:line="236" w:lineRule="exact"/>
        <w:rPr>
          <w:sz w:val="20"/>
          <w:szCs w:val="20"/>
          <w:color w:val="auto"/>
        </w:rPr>
      </w:pPr>
    </w:p>
    <w:p>
      <w:pPr>
        <w:ind w:left="460" w:right="7240" w:hanging="452"/>
        <w:spacing w:after="0" w:line="369" w:lineRule="auto"/>
        <w:tabs>
          <w:tab w:leader="none" w:pos="44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and Europe. The amount of the Company’s assets in the United States, Canada, and Europe as of September 30, 2006 were $150.2 million, $20.6 million, and zero, respectively, and as of December 31, 2005 were $166.5 million, $9.6 million, and zero, respectively.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nine months ended September 30, 2006, approximately 29% of revenues were derived from international customers (Europe/Middle East/Africa 27%, Asia/Australia 2%) as compared to approximately 65% of revenues derived from international customers (Europe/Middle East/Africa 62%, Asia/Australia 3%), for the nine months ended September 30, 2005.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Concentrations of Risk</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Substantially all of the Company’s revenues are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significant portion of the Company’s revenue is derived from a small number of customers. Two customers accounted for 39.7% and 18.0% of revenues for the nine months ended September 30, 2006. Three customers accounted for 22.6%, 15.1%, and 10.6% of revenues for the nine months ended September 30, 2005.</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2 third-party manufacturers. If a third-party manufacturer were to experience delays, disruptions, capacity constraints or quality control problems in its manufacturing operations, product shipments to the Company’s customers could be delayed or its customers could consequently elect to cancel the underlying product purchase order, which would negatively impact the Company’s revenues.</w:t>
      </w:r>
    </w:p>
    <w:p>
      <w:pPr>
        <w:spacing w:after="0" w:line="2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Basic earnings (loss)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and restricted stock using the treasury stock method) are excluded from the diluted EPS computation in loss periods and when their exercise price is greater than the market price as their effect would be anti-dilutive.</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three and nine months ended September 30, 2006 and 2005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Three Months Ended</w:t>
            </w: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29,672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29,186</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29,532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Options</w:t>
            </w:r>
          </w:p>
        </w:tc>
        <w:tc>
          <w:tcPr>
            <w:tcW w:w="5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29,672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30,333</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29,532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Weighted average options and warrants to purchase a total of 3,236,534 and 4,353,127 shares of common stock for the three and nine months ended September 30, 2006, respectively, and 2,033,305 and 1,714,877 shares of common stock for the three and nine months ended September 30, 2005, respectively, were outstanding but not included in the computation of diluted earnings per share as their effect was anti-dilutive.</w:t>
      </w:r>
    </w:p>
    <w:p>
      <w:pPr>
        <w:spacing w:after="0" w:line="222" w:lineRule="exact"/>
        <w:rPr>
          <w:sz w:val="20"/>
          <w:szCs w:val="20"/>
          <w:color w:val="auto"/>
        </w:rPr>
      </w:pPr>
    </w:p>
    <w:p>
      <w:pPr>
        <w:ind w:left="460" w:right="8480" w:hanging="452"/>
        <w:spacing w:after="0" w:line="369" w:lineRule="auto"/>
        <w:tabs>
          <w:tab w:leader="none" w:pos="44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4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license agreements which commit it to royalty payments generally based on a percentage of the sales price of its products using certain technologies. The Company recognizes royalty obligations in accordance with the terms of the respective royalty agreements. The Company has also accrued for royalty costs in cases where it does not have agreements by using its current best estimate of its royalty obligation. These estimates are based on various market data information and other relevant information. If the Company enters into such agreements, or when additional market data becomes available, it will revise its estimates accordingly, if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 counsel, the Company currently believes that liabilities arising from or sums paid in settlement of these existing matters would not have a material adverse effect on the consolidated results of operations or financial position.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quarterly report, as well as the audited consolidated financial statements and accompanying notes and Management’s Discussion and Analysis of Financial Condition and Results of Operations for the year ended December 31, 2005 contained in our 2005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includes 3G wireless PC card and ExpressCard modems, embedded modems, communications software and Fixed Mobile Convergence solutions for wireless network operators, infrastructure providers, distributors, OEMs and vertical markets worldwide. Through the integration of our hardware and software, our products are designed to operate on a majority of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 of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a significant customer;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in demand for CDMA, EV-DO, UMTS and HSDPA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began shipping our first 3G products in December 2003. We have shipped 21 new 3G products since then and anticipate introducing additional</w:t>
      </w:r>
    </w:p>
    <w:p>
      <w:pPr>
        <w:spacing w:after="0" w:line="3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3G products in future periods. We continue to develop and maintain strategic relationships with wireless and computing industry leaders like Siemens, Alcatel, Dell, Panasonic, Qualcomm, Sony, Sprint PCS, Toshiba,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 For example, we are partnered with both Alcatel and Siemens on the roll-out of HSDPA technology.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and Inventec Appliance Corporation. In addition, we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outsource certain distribution and fulfillment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allowances for excess and obsolete inventory. Inventory adjustments are impacted primarily by demand for our products, which is influenced by the factors discussed above. During the three months ended September 30, 2006, we recorded a provision for excess and obsolete inventory in the amount of approximately $600,000. We expect to continue to outsource our manufacturing operations, and as our business grows we expect our manufacturing activity to increase.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right="120" w:firstLine="456"/>
        <w:spacing w:after="0" w:line="318"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Operating Expenses. </w:t>
      </w:r>
      <w:r>
        <w:rPr>
          <w:rFonts w:ascii="Arial" w:cs="Arial" w:eastAsia="Arial" w:hAnsi="Arial"/>
          <w:sz w:val="15"/>
          <w:szCs w:val="15"/>
          <w:color w:val="auto"/>
        </w:rPr>
        <w:t>Many of our products target wireless operators and other customers in Europe, North America and Asia. If these markets continue to</w:t>
      </w:r>
      <w:r>
        <w:rPr>
          <w:rFonts w:ascii="Arial" w:cs="Arial" w:eastAsia="Arial" w:hAnsi="Arial"/>
          <w:sz w:val="15"/>
          <w:szCs w:val="15"/>
          <w:i w:val="1"/>
          <w:iCs w:val="1"/>
          <w:color w:val="auto"/>
        </w:rPr>
        <w:t xml:space="preserve"> </w:t>
      </w:r>
      <w:r>
        <w:rPr>
          <w:rFonts w:ascii="Arial" w:cs="Arial" w:eastAsia="Arial" w:hAnsi="Arial"/>
          <w:sz w:val="15"/>
          <w:szCs w:val="15"/>
          <w:color w:val="auto"/>
        </w:rPr>
        <w:t>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markets. In addition, the accounting for stock options requires us to use the fair value method to account for all stock-based compensation pursuant to Statement of Financial Accounting Standard, (“SFAS, No. 123(R)”), which significantly increased our operating expenses in the three and nine months ended September 30,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Significant estimates include revenue recognition, allowance for doubtful accounts receivable, allowance for excess and obsolete inventory, provisions for warranty and price protection costs, useful lives of long-lived assets, valuation of intangible and long-lived assets, estimates for costs recorded in royalty accruals, deferred tax asset valuation allowance, foreign currency translation, foreign exchange forward contracts, and the use of option pricing models to establish values of equity instruments.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 customers and distributors.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sales is recognized upon the latest of transfer of title or shipment of the product to the customer. For product sales with acceptance provisions, revenue is recognized at such time that the acceptance provisions are satisfied.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generally accepted accounting principles to selected revenue recognition issues.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2003, we amended a joint development agreement containing multiple elements with one of our customers including development services and product shipments. Accordingly, we separated the deliverables into units of accounting and allocated arrangement consideration to these deliverables in accordance with the provisions of Emerging Issues Task Force, or EITF, Issue No. 00-21, “Accounting for Revenue Arrangements with Multiple Deliverables.” In accordance with EITF Issue No. 00-21, $6.2 million in cash payments received in 2003 was deferred and was being recognized as revenue when products were shipped or as development services were performed. During 2004, we recognized approximately $5.7 million of this deferred revenue and the remaining $531,000 was recognized during the first quarter of 2005.</w:t>
      </w:r>
    </w:p>
    <w:p>
      <w:pPr>
        <w:spacing w:after="0" w:line="144"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 inability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collect from our customers.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Write down of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write-downs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right="40"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Warranty Costs. </w:t>
      </w:r>
      <w:r>
        <w:rPr>
          <w:rFonts w:ascii="Arial" w:cs="Arial" w:eastAsia="Arial" w:hAnsi="Arial"/>
          <w:sz w:val="16"/>
          <w:szCs w:val="16"/>
          <w:color w:val="auto"/>
        </w:rPr>
        <w:t>We accrue warranty costs based on estimates of future warranty related repairs or rework of products. Our warranty policy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one-year to three-year coverage for products following the date of purchase. Our policy is to accrue the estimated cost of warranty coverage at the time the sale is recorded. In estimating our future warranty obligations we consider various relevant factors, including the historical frequency of claims and the cost to replace or repair products under warranty. We have not experienced significant variances in the past between our estimated and actual warranty. Future warranty expenses could be materially different, depending on the quality of our product design and manufacturing.</w:t>
      </w:r>
    </w:p>
    <w:p>
      <w:pPr>
        <w:spacing w:after="0" w:line="11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are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Royalty Costs. </w:t>
      </w:r>
      <w:r>
        <w:rPr>
          <w:rFonts w:ascii="Arial" w:cs="Arial" w:eastAsia="Arial" w:hAnsi="Arial"/>
          <w:sz w:val="16"/>
          <w:szCs w:val="16"/>
          <w:color w:val="auto"/>
        </w:rPr>
        <w:t>We have intellectual property license agreements which generally require us to make royalty payments based on a percentage of the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if additional market data becomes available, we will revise our estimates, if necessary.</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recognize federal, state and foreign current tax liabilities or assets based on our estimate of taxes payable to or refundable by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accordance with SFAS No. 123(R), we recognize tax benefits upon expensing certain share-based awards associated with our share-based compensation plans, including nonqualified stock options and restricted stock, but under current accounting standards we cannot currently recognize a tax benefit for those share-based compensation expenses associated with incentive stock options and employee stock purchase plan shares (qualified stock options). For qualified stock options that vest after our adoption of SFAS No. 123(R), we recognize a tax benefit only in the period when disqualifying dispositions of the underlying stock occur, and for qualified stock options that vested prior to our adoption of SFAS No. 123(R), the tax benefit realized upon exercise is recorded directly to additional paid-in capital.</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November 10, 2005, the FASB issued FASB Staff Position No. SFAS 123(R)-3, “Transition Election Related to Accounting for Tax Effects of Share-Based Payment Awards” (“FSP 123(R)-3”). The alternative transition method includes simplified methods to establish the beginning balance of the additional paid-in capital pool (“APIC pool”) related to the tax effects of employee share-based compensation, and to determine the subsequent impact on the APIC pool and Consolidated Statements of Cash Flows of the tax effects of employee share-based compensation awards that are outstanding upon adoption of SFAS 123(R). The Company has until November 2006 to make a one-time election to adopt the transition method described in FSP 123(R)-3. The Company is currently evaluating FSP 123(R)-3; however, the one-time election is not expected to affect operating income.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jc w:val="both"/>
        <w:ind w:right="18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Foreign Currency Translation. </w:t>
      </w:r>
      <w:r>
        <w:rPr>
          <w:rFonts w:ascii="Arial" w:cs="Arial" w:eastAsia="Arial" w:hAnsi="Arial"/>
          <w:sz w:val="16"/>
          <w:szCs w:val="16"/>
          <w:color w:val="auto"/>
        </w:rPr>
        <w:t>The functional currency of our principal foreign subsidiary is the U.S. dollar. Assets and liabilities denominated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are translated using the exchange rate in effect at the relevant balance sheet date. Revenues and expenses are translated using average exchange rates during the year. Translation adjustments are recorded in the Consolidated Statements of Operations.</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Foreign Exchange Forward Contracts. </w:t>
      </w:r>
      <w:r>
        <w:rPr>
          <w:rFonts w:ascii="Arial" w:cs="Arial" w:eastAsia="Arial" w:hAnsi="Arial"/>
          <w:sz w:val="18"/>
          <w:szCs w:val="18"/>
          <w:color w:val="auto"/>
        </w:rPr>
        <w:t>We use foreign exchange forward contracts to hedge the economic exposure associated with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denominated in Euros. Our forward contracts do not qualify as accounting hedges under SFAS No. 133, “Accounting for Derivative Instruments and Hedging Activities”. We mark-to-market the forward contracts and include unrealized gains and losses in the current period as a component of other income and expense, net. As of September 30, 2006, the total amount of outstanding forward contracts amounted to approximately 8.0 million Euros, or approximately $10 million.</w:t>
      </w:r>
    </w:p>
    <w:p>
      <w:pPr>
        <w:spacing w:after="0" w:line="14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i w:val="1"/>
          <w:iCs w:val="1"/>
          <w:color w:val="auto"/>
        </w:rPr>
        <w:t xml:space="preserve">Share-based Compensation. </w:t>
      </w:r>
      <w:r>
        <w:rPr>
          <w:rFonts w:ascii="Arial" w:cs="Arial" w:eastAsia="Arial" w:hAnsi="Arial"/>
          <w:sz w:val="15"/>
          <w:szCs w:val="15"/>
          <w:color w:val="auto"/>
        </w:rPr>
        <w:t>We grant stock options and restricted stock to our employees and non-employee directors under our current stock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w:t>
      </w:r>
    </w:p>
    <w:p>
      <w:pPr>
        <w:spacing w:after="0" w:line="1" w:lineRule="exact"/>
        <w:rPr>
          <w:sz w:val="20"/>
          <w:szCs w:val="20"/>
          <w:color w:val="auto"/>
        </w:rPr>
      </w:pPr>
    </w:p>
    <w:p>
      <w:pPr>
        <w:ind w:right="40" w:firstLine="8"/>
        <w:spacing w:after="0" w:line="281" w:lineRule="auto"/>
        <w:tabs>
          <w:tab w:leader="none" w:pos="2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equity instruments of the enterprise or (b) liabilities that are based on the fair value of the enterprise’s equity instruments or that may be settled by the issuance of such equity instruments. As a result of this new accounting requirement, our consolidated financial statements for the three and nine months ended September 30, 2006 include compensation expense as calculated per the provisions of SFAS No. 123(R). In adopting SFAS No. 123(R), we elected to use the modified prospective transition method, thus our consolidated financial statements for periods prior to January 1, 2006 do not include any impact of SFAS</w:t>
      </w:r>
    </w:p>
    <w:p>
      <w:pPr>
        <w:spacing w:after="0" w:line="2" w:lineRule="exact"/>
        <w:rPr>
          <w:rFonts w:ascii="Arial" w:cs="Arial" w:eastAsia="Arial" w:hAnsi="Arial"/>
          <w:sz w:val="16"/>
          <w:szCs w:val="16"/>
          <w:color w:val="auto"/>
        </w:rPr>
      </w:pPr>
    </w:p>
    <w:p>
      <w:pPr>
        <w:ind w:right="100"/>
        <w:spacing w:after="0" w:line="292" w:lineRule="auto"/>
        <w:rPr>
          <w:rFonts w:ascii="Arial" w:cs="Arial" w:eastAsia="Arial" w:hAnsi="Arial"/>
          <w:sz w:val="16"/>
          <w:szCs w:val="16"/>
          <w:color w:val="auto"/>
        </w:rPr>
      </w:pPr>
      <w:r>
        <w:rPr>
          <w:rFonts w:ascii="Arial" w:cs="Arial" w:eastAsia="Arial" w:hAnsi="Arial"/>
          <w:sz w:val="16"/>
          <w:szCs w:val="16"/>
          <w:color w:val="auto"/>
        </w:rPr>
        <w:t>No. 123(R). We also elected to attribute the value of share-based compensation to expense using the straight-line method for awards granted after December 31, 2005 upon our adoption of SFAS No. 123(R). Share-based compensation expense for awards outstanding as of December 31, 2005 are being recognized over the remaining service period using the compensation expense calculated according to the pro forma disclosure provisions under SFAS No. 123, which uses the straight-line expense recognition method for those awards with a graded vesting schedule. Share-based compensation expense related to stock options, our ESPP and restricted stock was $2.7 million and $7.4 million before taxes for the three and nine months ended September 30, 2006, respectively.</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adoption of SFAS No. 123(R) on January 1, 2006, we elected to value our share-based payment option awards using the Black-Scholes option pricing model as we had under the pro forma provisions of SFAS No. 123.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average of the vesting date and the contractual term and projected and historical experience.</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 In our pro forma information required under SFAS No. 123 for periods prior to January 1, 2006, we accounted for forfeitures as they occurred.</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 In addition, as the guidance by regulators for SFAS No. 123(R) is relatively new, the application of these principles may be subject to further interpretation and refinement over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2006 Compared to Three Months Ended September 30, 2005</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September 30, 2006 increased $13.0 million, or 30.9%, to $55.1 million compared to $42.1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2005. The overall increase in revenue is primarily attributable to an increase in product sales related to increased demand for our EV-DO PC Cards, EV-DO and HSDPA embedded modules, and EV-DO Fixed Mobile Convergence products. The overall increase in EV-DO product sales for the three months ended September 30, 2006 compared to 2005 was approximately $23.6 million. Conversely, our UMTS / HSDPA product sales decreased by approximately $10.6 million during the three months ended September 30, 2006 compared to the same period in 2005. The overall decrease in our UMTS / HSDPA product sales were partially offset by an increase in sales of our HSDPA embedded modules.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three months ended September 30, 2006 increased $11.8 million, or 40.7%, to $40.8 million compared to $29.0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2005. The increase in cost of revenue was primarily related to an increase in product costs of $9.4 million due to the increase in product sales as discussed above, and additional costs incurred for new products introduced during the period. The remaining increase in cost of revenue primarily consists of an increase in royalty costs for intellectual property licenses of approximately $1.9 million due to the increase in product sales, freight and distribution costs of approximately $500,000 due primarily to the additional volume of products shipped as compared to the same period in 2005. In addition, cost of revenue was negatively impacted by the adoption of SFAS No. 123(R) with approximately $100,000 of share-based compensation expense recognized during the three months ended September 30, 2006.</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September 30, 2006 increased by $1.2 million, or 9.2%, to $14.3 million compared to $13.1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2005. The increase was primarily attributable to the increase in product sales as discussed above. Gross margin as a percent of revenue decreased to 26.0% for the three months ended September 30, 2006 compared to 31.2% for same period in 2005. The decrease in gross margin as a percentage of revenue was attributable to additional costs incurred for new products introduced during the period, recognition of SFAS No. 123(R) share-based compensation expense, and sales of products with lower margins in 2006 as compared to 2005 as discussed above.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2006 increased $3.5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67.3%, to $8.7 million compared to $5.2 million for the same period in 2005. The increase was primarily attributable to an increase in salary and related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$1.9 million which included share-based compensation of approximately $600,000 in connection with the adoption of SFAS No. 123(R).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increases consist of approximately $1.2 in consulting fees and services, and approximately $400,000 related to an increase in depreciation and amortization costs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2006 as compared to the same period in 2005.</w:t>
      </w:r>
    </w:p>
    <w:p>
      <w:pPr>
        <w:spacing w:after="0" w:line="165"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2006 increased approximately $1.8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94.7%, to $3.7 million compared to approximately $1.9 million for the same period in 2005. The increase was primarily a result of an increase in sales and marketing efforts which included hiring additional personnel during 2006 resulting in increased salary and related expenses of approximately $1.1 million, including share-based compensation of approximately $500,000 in connection with the adoption of SFAS No. 123(R). In addition to the increases in personnel, product marketing and advertising expenses increased by approximately $700,000 during the three months ended September 30, 2006 as compared to the same period in 2005.</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2006 increased approximately $1.8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94.7%, to $3.7 million compared to $1.9 million for the same period in 2005. The increase was primarily attributable to an increase in salary and related expenses of approximately $1.8 million, including share-based compensation of approximately $1.5 million in connection with the adoption of SFAS No. 123(R). Leasehold and associated expenses also increased by approximately $300,000, offset by a decrease in our allowance for bad debts of approximately $300,000 during the three months ended September 30, 2006 compared to the same period in 2005.</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(expense) increased by approximately $20,000 for the three months ended September 30, 2006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2005 primarily due to the increase in our marketable securities interest income in 2006 as compared to the same period in 2005.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an income tax benefit of approximately $400,000 in the third quarter of 2006 compared to an income tax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approximately $900,000 in the third quarter of 2005. The income tax benefit and related deferred tax asset recorded during the third quarter of 2006 was based on our expected annualized effective tax rate and we anticipate utilizing this deferred tax asset during the remainder of 2006. Income taxes represent estimated federal, foreign, and state taxes for the three months ended September 30, 2006 and 2005. The effective tax rate for the three months ended September 30, 2006 was approximately 33%. The difference between the federal and state statutory combined rate of 40% and our effective tax rate for 2006 is primarily due to the decrease in our estimated 2006 tax rate to 64% during the third quarter as compared to our initial estimated 2006 tax rate of 73%. As a result of this change, the tax benefit recorded during the third quarter was impacted by this estimate revision. The income tax benefit of approximately $900,000 for the three months ended September 30, 2005 consists of federal and state taxes at our estimated effective tax rate of 35% offset by a revision of our valuation allowance on specific U.S. deferred tax assets of approximately $2.4 million. The difference between the federal and state statutory rate of 40% and our effective tax rate for 2005 is due primarily to research and development credits generated in 2005 and a low effective state tax rate.</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No tax benefit associated with total share-based compensation was recorded during the three months ended September 30, 2006. The impact of share-based compensation permanent items resulted in an increase of 31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2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three months ended September 30, 2006, we reported a net loss of approximately $900,000 which includes non-cash share-based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expense of approximately $1.9 million after tax, as compared to net income of $5.5 million for the same period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2006 Compared to Nine Months Ended September 30, 2005</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nine months ended September 30, 2006 increased $27.9 million, or 24.7%, to $141.0 million compared to $113.1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2005. The overall increase in revenue is primarily attributable to an increase in product sales of approximately $28.4 million. The increase in product sales includes additional demand for our EV-DO PC Cards, EV-DO and HSDPA embedded modules, and EV-DO Fixed Mobile Convergence products. The overall increase in EV-DO product sales for the nine months ended September 30, 2006 compared to 2005 was approximately $54.4 million. Our UMTS / HSDPA product sales decreased by approximately $26.3 million during the nine months ended September 30, 2006 compared to the same period in 2005. The overall decrease in our UMTS / HSDPA product sales were partially offset by an increase in sales of our HSDPA embedded modules. There was no revenue recognized from development services during the nine months ended September 30, 2006 compared to approximately $500,000 for the same period in 2005.</w:t>
      </w:r>
    </w:p>
    <w:p>
      <w:pPr>
        <w:spacing w:after="0" w:line="118"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b w:val="1"/>
          <w:bCs w:val="1"/>
          <w:i w:val="1"/>
          <w:iCs w:val="1"/>
          <w:color w:val="auto"/>
        </w:rPr>
        <w:t xml:space="preserve">Cost of revenue. </w:t>
      </w:r>
      <w:r>
        <w:rPr>
          <w:rFonts w:ascii="Arial" w:cs="Arial" w:eastAsia="Arial" w:hAnsi="Arial"/>
          <w:sz w:val="15"/>
          <w:szCs w:val="15"/>
          <w:color w:val="auto"/>
        </w:rPr>
        <w:t>Cost of revenue for the nine months ended September 30, 2006 increased $28.8 million, or 37.2%, to $106.2 million compared to $77.4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2005. The increase in cost of revenue was primarily related to an increase in product cost of $23.9 million due to the increase in product sales as discussed above. In addition, freight and distribution costs increased by approximately $1.8 million due to the additional volume of products shipped as compared to the same period in 2005. The remaining increase in costs of revenue primarily consist of royalty costs for intellectual property licenses of approximately $1.5 million, manufacturing overhead costs of approximately $1.2 million and an increase of approximately $400,000 related to the additional write downs of excess and obsolete inventory during the nine months ended September 30, 2006 as compared to the same period in 2005. In addition, cost of revenue was negatively impacted by approximately $300,000 of share-based compensation expense recorded during the nine months ended September 30, 2006.</w:t>
      </w:r>
    </w:p>
    <w:p>
      <w:pPr>
        <w:spacing w:after="0" w:line="10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nine months ended September 30, 2006 decreased by approximately $800,000, or 2.2% to $34.8 million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$35.6 million for the same period in 2005. The decrease was primarily attributable to the increase in the costs of revenue as discussed above. Gross margin as a percent of revenue decreased to 24.7% for the nine months ended September 30, 2006 compared to 31.5% for the same period in 2005. The decrease in gross margin as a percentage of revenue was attributable to additional costs incurred for new products introduced during the period, recognition of SFAS No. 123(R) share-based compensation expense, and sales of products with lower margins in 2006 as compared to 2005 as discussed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right="200" w:firstLine="456"/>
        <w:spacing w:after="0" w:line="318"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Research and development expenses. </w:t>
      </w:r>
      <w:r>
        <w:rPr>
          <w:rFonts w:ascii="Arial" w:cs="Arial" w:eastAsia="Arial" w:hAnsi="Arial"/>
          <w:sz w:val="15"/>
          <w:szCs w:val="15"/>
          <w:color w:val="auto"/>
        </w:rPr>
        <w:t>Research and development expenses for the nine months ended September 30, 2006 increased $9.3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70.5% to $22.5 million compared to $13.2 million for the same period in 2005. The increase was primarily attributable to an increase in salary and related expenses of approximately $5.6 million which included share-based compensation of $1.7 million. Other increases consist of approximately $2.1 million in consulting fees and services, $1.0 million in depreciation expense for capital equipment procured to support increased product development activities, and approximately $600,000 related to an increase in facilities overhead cost charged to research and development in 2006 as compared to the same period in 2005.</w:t>
      </w:r>
    </w:p>
    <w:p>
      <w:pPr>
        <w:spacing w:after="0" w:line="10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 xml:space="preserve">Sales and marketing expenses. </w:t>
      </w:r>
      <w:r>
        <w:rPr>
          <w:rFonts w:ascii="Arial" w:cs="Arial" w:eastAsia="Arial" w:hAnsi="Arial"/>
          <w:sz w:val="15"/>
          <w:szCs w:val="15"/>
          <w:color w:val="auto"/>
        </w:rPr>
        <w:t>Sales and marketing expenses for the nine months ended September 30, 2006 increased approximately $4.7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90.4%, to $9.9 million compared to approximately $5.2 million for the same period in 2005. The increase was primarily a result of an increase in sales and marketing efforts which included hiring new personnel during the nine months ended September 30, 2006, primarily to expand our European sales team resulting in increased salary and related expenses of approximately $3.0 million, including share-based compensation of approximately $1.5 million. In addition to the increases in personnel, product marketing and advertising expenses increased by approximately $1.3 million, travel expenditures increased by approximately $300,000, and leasehold expenses increased approximately $100,000 for the nine months ended September 30, 2006 as compared to the same period in 2005.</w:t>
      </w:r>
    </w:p>
    <w:p>
      <w:pPr>
        <w:spacing w:after="0" w:line="10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nine months ended September 30, 2006 increased approximately $5.8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103.6%, to $11.4 million compared to $5.6 million for the same period in 2005. The increase was primarily attributable to an increase in salary and related expenses of approximately $4.7 million, including share-based compensation of approximately $3.9 million. General and administrative expenses also include an increase in professional service and legal fees of approximately $800,000, an increase in state and local taxes of approximately $200,000, and an increase in equipment and related expenses of approximately $100,000 during the nine months ended September 30, 2006 as compared to the same period in 2005.</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(expense) increased by approximately $1.8 million for the nine months ended September 30, 2006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2005 primarily due to the increase in our foreign exchange gains on our Euro denominated receivable and cash balances.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an income tax benefit of $3.8 million for the nine months ended September 30, 2006 compared to an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of $2.1 million for the nine months ended September 30, 2005. The income tax benefit and related deferred tax asset recorded during the nine months ended September 30, 2006 was based on our expected annualized effective tax rate and we anticipate utilizing this deferred tax asset during the remainder of 2006. Income taxes represent estimated federal, foreign, and state taxes for the nine months ended September 30, 2006 and 2005. The effective tax rate for the nine months ended September 30, 2006 was approximately 64%. The difference between the federal and state statutory combined rate of 40% and our effective tax rate for 2006 is primarily due to the impact of accounting for share-based compensation, for which certain share-based awards are treated as permanent differences. Provision for income taxes of approximately $2.1 million for the nine months ended September 30, 2005 consists of federal and state taxes at our estimated effective tax rate of 35%. The difference between the federal and state statutory rate of 40% and our effective tax rate for 2005 is due primarily to research and development credits generated in 2005 and a low effective state tax rate.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No tax benefit associated with total share-based compensation was recorded during the nine months ended September 30, 2006. The impact of share-based compensation permanent items resulted in an increase of 34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income. </w:t>
      </w:r>
      <w:r>
        <w:rPr>
          <w:rFonts w:ascii="Arial" w:cs="Arial" w:eastAsia="Arial" w:hAnsi="Arial"/>
          <w:sz w:val="16"/>
          <w:szCs w:val="16"/>
          <w:color w:val="auto"/>
        </w:rPr>
        <w:t>For the nine months ended September 30, 2006, we reported a net loss of $2.1 million, which includes non-cash share-based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of approximately $3.2 million after tax, as compared to net income of $11.0 million for the same period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As of September 30, 2006, we had working capital of $107.4 million and approximately $80.1 million in cash and cash equivalents and short-term and long-term marketable securities, which is a decrease of approximately $10.2 million from $90.3 million at December 31, 2005.</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Net cash provided by operating activities was approximately $2.8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2006 compared to net cash provided by operating activities of $1.7 million for the same period in 2005. The increase of $1.1 million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$7.4 million in non-cash share-based compensation expense, a $6.0 million decrease in our inventory including $1.4 million related to excess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obsolete inventory, $5.8 million of non-cash depreciation and amortization expense, a $5.3 million decrease in our prepaid and other assets, a $1.8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our other accrued expenses, primarily offset by a $11.0 million increase in our accounts receivable balance, a $5.9 million decrease in our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balance, $4.4 million in non-cash income tax benefit, and a net loss of $2.1 million for the nine months ended September 30, 2006.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in 2005 was primarily due to a $22.8 million increase in our accounts receivable balance, a $8.8 million increase in inventories, a $4.3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other current assets, offset by a $20.8 million increase in our accounts payable balance and $11.0 million of net income recorded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2005, which includes approximately $3.1 million of non-cash depreciation and amortization expense, and non-cash income tax expense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$2.1 million.</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Net cash provided by (used in) investing activities. </w:t>
      </w:r>
      <w:r>
        <w:rPr>
          <w:rFonts w:ascii="Arial" w:cs="Arial" w:eastAsia="Arial" w:hAnsi="Arial"/>
          <w:sz w:val="16"/>
          <w:szCs w:val="16"/>
          <w:color w:val="auto"/>
        </w:rPr>
        <w:t>Net cash provided by investing activities for the nine months ended September 30, 2006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$990,000 compared to net cash used in investing activities of $3.4 million during the same period in 2005. Cash provided by investing activities in 2006 was primarily due to the net maturities/sales of marketable securities of $7.6 million offset by purchases of property and equipment of $6.1 million, and purchases of intangible assets of $500,000. Cash used in investing activities in 2005 was primarily due to net maturities/sales of marketable securities of approximately $800,000 offset by purchases of property and equipment of $4.0 million, and purchases of intangible assets of approximately $200,000.</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Net cash provided by (used in) financing activities. </w:t>
      </w:r>
      <w:r>
        <w:rPr>
          <w:rFonts w:ascii="Arial" w:cs="Arial" w:eastAsia="Arial" w:hAnsi="Arial"/>
          <w:sz w:val="16"/>
          <w:szCs w:val="16"/>
          <w:color w:val="auto"/>
        </w:rPr>
        <w:t>Net cash used in financing activities for the nine months ended September 30, 2006 was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$6.7 million, compared to approximately $200,000 provided by financing activities during the same period in 2005. Cash used in financing activities in 2006 was due to payments on our revolving credit facility of $5.0 million, and payments on capital lease obligations of approximately $3.9 million, offset by $1.6 million of proceeds received from the exercise of common stock options and approximately $600,000 of excess tax benefits from stock options exercised. Cash provided by financing activities in 2005 was due to approximately $1.4 million of proceeds received from the exercise of common stock options offset by the payments on capital lease obligations of approximately $1.1 million.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other commitments at September 30, 2006, and the effect such obligations could have on our liquidity and cash flow in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Payments Due by Fiscal Year</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$1,534</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$1,577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Committed purchase orders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61,074</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67,619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61,538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1,478</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1,534</w:t>
            </w:r>
          </w:p>
        </w:tc>
        <w:tc>
          <w:tcPr>
            <w:tcW w:w="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74,591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During the next twelve months we plan to expend approximately $12.0 million to $15.0 million for the acquisition of additional licenses and for capital expenditures. In addition, certain of our operating leases related to consolidated facilities obligate us to pay an aggregate of approximately $600,000, net of sublease income, over the next 12 months. This obligation is included in the operating lease commitments in the above table.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Before deciding to purchase, hold or sell our common stock, you should carefully consider the risks described below in addition to the other cautionary statements and risks described elsewhere, and the other information contained, in this Report and in our other filings with the SEC, including our Annual Report on Form 10-K for the year ended December 31, 2005 and subsequent reports on Forms 8-K.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Novatel Wireless, our business, financial condition and results of operations could be seriously harmed. In that event, the market price for our common stock could decline and you may lose all or part of your investment.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wireless broadband data access products is highly competitive, and we may be unable to compete effectively.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resources than we do to the development, promotion, sale, and post- sale support of their respective products.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relationships among existing competitors may emerge and rapidly acquire significant market share to the detriment of our business.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Pantech-Curitel and Sony-Ericsson;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computing device manufacturers, such as palmOne and Research in Motion;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be competitive, we must continue to invest significant resources in, among other things, research and development, sales and marketing, and customer support. We cannot be sure that we will have sufficient resources to make these investments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ind w:right="7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780" w:right="20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and post-production warranty costs. If these or other related development and production costs are actually higher than our estimated costs, our gross margins and operating margins on the corresponding contracts will be less than anticipated.</w:t>
      </w:r>
    </w:p>
    <w:p>
      <w:pPr>
        <w:spacing w:after="0" w:line="59" w:lineRule="exact"/>
        <w:rPr>
          <w:rFonts w:ascii="Arial" w:cs="Arial" w:eastAsia="Arial" w:hAnsi="Arial"/>
          <w:sz w:val="18"/>
          <w:szCs w:val="18"/>
          <w:color w:val="auto"/>
        </w:rPr>
      </w:pPr>
    </w:p>
    <w:p>
      <w:pPr>
        <w:ind w:left="780" w:right="220" w:hanging="326"/>
        <w:spacing w:after="0" w:line="25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may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12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b w:val="1"/>
          <w:bCs w:val="1"/>
          <w:i w:val="1"/>
          <w:iCs w:val="1"/>
          <w:color w:val="auto"/>
        </w:rPr>
        <w:t>Since we have historically depended, and continue to depend, upon only a small number of our customers for a substantial portion of our revenues, our business could be negatively affected by an adverse change in our dealings with only a few customers.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significant portion of our revenue comes from a small number of customers. Our top ten customers for the nine months ended September 30, 2006 and 2005 accounted for approximately 84.9% and 86.1% of our revenue, respectively.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w:t>
      </w:r>
    </w:p>
    <w:p>
      <w:pPr>
        <w:spacing w:after="0" w:line="113"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In addition, our current customers typically purchase our products pursuant to overarching contracts that do not require them to purchase any specific minimum quantity of units other than as indicated on individual purchase orders. Such customers have no contractual obligation to continue to purchase our products and if they do not continue to make purchases consistent with their historical purchase levels, our revenue and our share price may decline.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sale of our products depends on the demand for broadband wireless access to enterprise networks and the Internet.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which customers consider valuable,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 or if for any other reason the demand for wireless data access fails to grow, sales of our products will decline and our business could be harmed.</w:t>
      </w:r>
    </w:p>
    <w:p>
      <w:pPr>
        <w:spacing w:after="0" w:line="2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Various risks arise when companies and industries grow quickly. If our business or industry grows too quickly, our ability to meet customer demand in a timely and efficient manner could be challenged. We may also experience development or production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currently outsource our manufacturing to LG Innotek and Inventec Appliances Corp. If one of these third-party manufacturers were to experience delays, disruptions, capacity constraints or quality control problems in its manufacturing operations, product shipments to our customers could be delayed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Historically, none of our third-party manufacturers has been obligated to supply us with a specific quantity of products, except as may be provided in particular purchase orders which we submit to them from time to time. Therefore, such a third-party manufacturer could at any time and at its sole election decline to accept new purchase orders from us or otherwise reduce its respective business with us. If such a manufacturer stopped manufacturing our products for any reason or reduced manufacturing capacity, we may be unable to replace the lost manufacturing capacity on a timely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2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customer demand incorrectly and order the manufacture of excess or insufficient quantities of particular products.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historically placed purchase orders with our manufacturer at least three months prior to the scheduled delivery of the finished goods to our customer. In some instances, due to the length of component lead times, we might need to place manufacturing orders on the basis of our receipt of a good-faith but non-binding customer forecast of the quantity and timing of the customer’s expected purchases from us. Accordingly, if we inaccurately anticipate customer demand for our products, we might be unable to obtain adequate quantities of components to meet our customers’ delivery requirements or, alternatively, we might accumulate excess inventory.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in accordance with our production schedule and alternative suitable components are not available.</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products contain a variety of components, many of which are procured from single suppliers. These components include both tooled parts and industry-standard parts, many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suitable substitute or make sufficient and timely design or other product modifications to permit the use of such a substitute, we may not be able to timely deliver sufficient quantities of our products to satisfy demand. Moreover, if we locate a substitute and its price is prohibitive, our ability to maintain cost-effective production of our products would be seriously harmed.</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Others might claim that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possible that other parties may claim that we have violated their respective intellectual property rights. An infringement claim, regardless of the merits or success of the claim, could result in substantial costs, diversion of resources and management attention and harm to our reputation. Infringement claims can be difficult and costly to verify and assess. A successful infringement claim against us could cause us to be liable for damages and litigation costs. In addition, a successful infringement claim could have other negative consequences, including prohibiting us from further use of the intellectual property or causing us to have to license the intellectual property,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necessary third-party technology or it may be expensive to do so.</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and other intellectual property for use in our products and from time to time we may elect or be required to license additional intellectual property. The license from QUALCOMM, for example, does not have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term and may be terminated by us or by QUALCOMM for cause or upon the occurrence of other specified events. There can be no assurance that we will be able to maintain our third-party licenses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22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our manufacturing activities in Asia, a significant portion of our sales activity takes place in Europe. In addition, a significant portion of our research and development staff is located in Canada. Our international sales accounted for approximately 26% and 64% of our revenue for the three months ended September 30, 2006 and September 30, 2005, respectively, and 29% and 65% for the nine months ended September 30, 2006 and September 30, 2005, respectively. Although our experience in marketing, selling, distributing and manufacturing our products and services internationally is limited, we expect to further expand our international sales and marketing activities in the future. Consequently, we are subject to certain risks associated with doing business abroad, including:</w:t>
      </w:r>
    </w:p>
    <w:p>
      <w:pPr>
        <w:spacing w:after="0" w:line="63"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 sales logistics and support;</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significant amount of our revenues are generated from sales agreements denominated in foreign currencies, particularly the Euro, and we expect to enter into additional such agreements as we expand our international customer base. As a result, we transact some of our business in foreign currencies, which exposes us to changes in foreign currency exchange rates and we currently expect the absolute value of this exposure may increase in the future. We attempt to manage this risk, in part, by minimizing the effects of volatility on cash flows by identifying forecasted transactions exposed to these risks and using foreign exchange forward contracts. There can be no assurance that we will not incur foreign currency losses or that foreign exchange forward contracts we may enter into to reduce the risk of such losses will be successful.</w:t>
      </w:r>
    </w:p>
    <w:p>
      <w:pPr>
        <w:spacing w:after="0" w:line="20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Our products are technologically complex and must meet stringent user requirements. We must develop our software and hardware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quarterly operating results may vary significantly from quarter to quarter and may cause our stock price to fluctuate.</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are some of the factors that may cause fluctuations in our operating results:</w:t>
      </w:r>
    </w:p>
    <w:p>
      <w:pPr>
        <w:spacing w:after="0" w:line="59" w:lineRule="exact"/>
        <w:rPr>
          <w:sz w:val="20"/>
          <w:szCs w:val="20"/>
          <w:color w:val="auto"/>
        </w:rPr>
      </w:pPr>
    </w:p>
    <w:p>
      <w:pPr>
        <w:ind w:left="780" w:right="4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marketing, research and development and general and administrative costs are fixed, at least in the short term. If revenue decreases or does not grow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varies from quarter to quarter, our operating results will likely fluctuate.</w:t>
      </w:r>
    </w:p>
    <w:p>
      <w:pPr>
        <w:spacing w:after="0" w:line="5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right="20" w:hanging="326"/>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 a</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may take several months, or longer, and is subject to delays or permanent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780" w:right="200" w:hanging="326"/>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Foreign currency</w:t>
      </w:r>
      <w:r>
        <w:rPr>
          <w:rFonts w:ascii="Arial" w:cs="Arial" w:eastAsia="Arial" w:hAnsi="Arial"/>
          <w:sz w:val="16"/>
          <w:szCs w:val="16"/>
          <w:color w:val="auto"/>
        </w:rPr>
        <w:t>. We are exposed to market risk from changes in foreign currency exchange rates. As a significant amount of our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in the Euro currency, we use foreign exchange forward contracts to minimize exposure to the risk of loss on changes in foreign currency exchange rates upon the eventual net cash inflows from foreign currency denominated sales with our customers.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Fluctuations in the Euro currency may have a material impact on our future operating results and gross margins.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We incurred significant operating losses and negative cash flows between the date of our inception and the beginning of 2004 and if our revenue and gross margins decline or we are unable to increase our revenue and gross margins relative to our corresponding operating expenses, we may incur significant net losses and negative cash flow from operations.</w:t>
      </w:r>
    </w:p>
    <w:p>
      <w:pPr>
        <w:spacing w:after="0" w:line="5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incurred significant operating losses and net losses in each annual period between the date of our inception until the beginning of 2004. In 2004, we reached profitability for the first time since our inception and recorded net income applicable to common stockholders of $13.7 million for the year ended December 31, 2004. We incurred net losses applicable to common stockholders of $16.7 million for the fiscal year ending 2003 and $53.5 million for the fiscal year ending 2002. We had positive cash flows from operations of $5.6 million for the year ended December 31, 2004, while we had negative cash flows from operations of $400,000 for the fiscal year ending December 31, 2003 and $28.7 million for the fiscal year ending December 31, 2002. As of September 30, 2006, we had an accumulated deficit of $224.5 million. If we are unable to generate revenue and gross margins to sufficiently offset our increasing expenses, we may not maintain profitability and may incur operating losses, net losses and negative cash flow from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maintain and expand our business if we are not able to hire, retain and manage additional qualified personnel.</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in the future, currently none of our senior management or other key personnel is bound by an employment agreement. If we are not able to attract or retain qualified personnel in the future, or if we experience delays in hiring required personnel, particularly qualified engineers, we will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part of our business strategy, we review and intend to continue to review, on an ongoing basis, acquisition opportunities that we believe would be advantageous or complementary to the development of our business. While we have no current agreements or plans with respect to any acquisitions,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3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changing regulation of corporate governance and public disclosure may result in additional expenses.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rules, continue to create uncertainty for many companies, including ours. These new or changed laws, regulations and standards are subject to varying interpretations in many cases due to their lack of specificity, and as a result, their application in practice may evolve over time as new guidance is provided by regulatory and governing bodies or in legal interpretations rendered in judicial opinions, which could result in continuing uncertainty regarding compliance matters and higher costs necessitated by ongoing revisions to disclosure and governance practices. We are committed to maintaining high standards of corporate governance and public disclosure. As a result, we intend to invest resources to comply with evolving laws, regulations and standards, and this investment may result in increased general and administrative expenses and a diversion of management time and attention from revenue or profit generating activities to compliance activities. If our efforts to comply with new or changed laws, regulations and standards do not meet the activities intended by regulatory or governing bodies due to ambiguities related to practice, our reputation may be harmed.</w:t>
      </w:r>
    </w:p>
    <w:p>
      <w:pPr>
        <w:spacing w:after="0" w:line="2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66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even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not be able to develop products that comply with applicable government regulations.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 changes in interest rates. At September 30, 2006, we had $80.1 million in cash, cash equivalents and marketable securities, all of which are stated at fair value. Changes in market interest rates would not be expected to have a material impact on the fair value of $33.7 million of our cash and cash equivalents at September 30, 2006, as these consisted of securities with maturities of less than three months. A 100 basis point increase or decrease in interest rates would, however, decrease or increase, respectively, the remaining $46.4 million of our investments by approximately $500,000. While changes in interest rates may affect the fair value of our investment portfolio, any gains or losses will not be recognized in our Consolidated Statements of Operations until the investment is sold or until the reduction in fair value was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nine months ended September 30, 2006, approximately $40.2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September 30, 2006, our financial position,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of our outstanding foreign currency contracts are marked-to-market, with unrealized gains and losses included as a component of other income and expense. As of September 30, 2006 the total amount of outstanding forward contracts amounted to approximately 8 million Euros. During the nine months ended September 30, 2006 we recorded an unrealized loss of approximately $600,000 on our forward contracts. This unrealized loss was offset by a foreign currency gain of approximately $2.0 million recorded in other income and expense related to our foreign currency receivable and cash balances denominated in Euros during the nine months ended September 30, 2006.</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Revenues generated outside the United States (denominated in U.S. dollars), as a percentage of total revenues were approximately 29% for the nine months ended September 30, 2006 and 65% for the same period in 2005. Fluctuations in foreign exchange rates could impact future operating results.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that are designed to ensure that information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disclosed in our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including internal control over financial reporting, management recognizes that any controls and procedures, no matter how well designed and operated, can provide only reasonable assurance of achieving the desired control objectives. For example, a company’s operations may change over time, such as the result of new or discontinued lines of business and management must periodically modify a company’s internal controls and procedures to timely match these changes in its business. And, in the end, all controls and procedures are necessarily subject to the judgment of management in evaluating the design and cost benefit relationship of possible controls and procedures, and the judgment of company personnel in their application.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September 30, 2006,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37"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 xml:space="preserve">Changes in Internal Controls Over Financial Reporting: </w:t>
      </w:r>
      <w:r>
        <w:rPr>
          <w:rFonts w:ascii="Arial" w:cs="Arial" w:eastAsia="Arial" w:hAnsi="Arial"/>
          <w:sz w:val="18"/>
          <w:szCs w:val="18"/>
          <w:color w:val="auto"/>
        </w:rPr>
        <w:t>There have been no changes in our internal control over financial reporting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evaluation referenced above that occurred during our last fiscal quarter that have materially affected, or is reasonably likely to materially affect, our internal control over financial reporting.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Part I, Item 2 “Management’s Discussion and Analysis of Financial Condition and Results of Operations.”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unaudited financial statements included in this report contain updated information from that which the Company furnished on October 24, 2006, including a $400,000 decrease in revenue and a $40,000 increase in net loss. The updated information does not impact the previously reported loss per share of $0.03 and $0.07, respectively, for the three and nine months ended September 30, 2006. The update resulted from minor adjustments identified by the Company during its normal closing and cut-off processes performed for the period ended September 30, 2006 and the Company expects the revenue to be recognized in the quarter ending December 31, 2006. Corresponding updates have been made to the Non-GAAP financial statements previously furnished by the Company and can be found on the “Investors” page of the Company’s website under “Financial Releases”.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July 20, 2006, the Company amended the stock option agreements it has with its executive officers and directors (collectively, “Amendments”). Pursuant to the Amendments, in the event the optionee’s service with or for the Company is terminated, the expiration date of the options would be extended from 90 calendar days following the termination date to the date that is 270 calendar days following the service termination date; except that if the 270th day would fall in the calendar year that follows the calendar year of (i) the service termination date plus (ii) 90 calendar days, then the stock options expire on December 31 of the year in which the service termination occurs. Forms of the Amendments are attached to this Form 10-Q as Exhibits 10.2, 10.3 and 10.4.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5.</w:t>
            </w:r>
          </w:p>
        </w:tc>
        <w:tc>
          <w:tcPr>
            <w:tcW w:w="10640" w:type="dxa"/>
            <w:vAlign w:val="bottom"/>
            <w:gridSpan w:val="2"/>
          </w:tcPr>
          <w:p>
            <w:pPr>
              <w:jc w:val="right"/>
              <w:ind w:right="9653"/>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38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5"/>
        </w:trPr>
        <w:tc>
          <w:tcPr>
            <w:tcW w:w="7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3"/>
                <w:szCs w:val="13"/>
                <w:color w:val="auto"/>
              </w:rPr>
            </w:pPr>
          </w:p>
        </w:tc>
        <w:tc>
          <w:tcPr>
            <w:tcW w:w="10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 for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year ended December 31, 2000, filed on March 27, 2001).</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27, 2001).</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Certificate of Designation of Series B Convertible Preferred Stock (incorporated by reference to Exhibit 3.5 to the Company’s Amendment No. 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the Company and certain of its stockholders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(incorporated by reference to Exhibit 10.4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Investors’ Rights Agreement, dated as of June 30, 2000, by and among the Company and certain of its stockholders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(incorporated by reference to Exhibit 10.5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Specimen Common Stock Certificate (incorporated by reference to Exhibit 4.1 to the Company’s Registration Statement on Form S-1 (No. 333-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42570), filed November 14, 2000, as amended).</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Preferred Stock and Warrant Purchase Agreement entered into in connection with the Company’s 2001 Series A Convertible Preferred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Stock Financing (incorporated by reference to Exhibit 4.1 to the Company’s Current Report on Form 8-K filed January 18, 2002).</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Registration Rights Agreement dated as of September 12, 2002 by and among the Company and certain of its stockholders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Registration Rights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Securities Purchase Agreement entered into in connection with the Company’s January 2004 Common Stock and Warrant Financing Transaction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(incorporated by reference to Exhibit 10.20 to the Company’s Annual Report on Form 10-K for the year ended December 31, 2003,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15, 2004).</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Registration Rights Agreement entered into in connection with the Company’s January 2004 Common Stock and Warrant Financing Transaction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(incorporated by reference to Exhibit 10.21 to the Company’s Annual Report on Form 10-K for the year ended December 31, 2003, filed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15, 2004).</w:t>
            </w:r>
          </w:p>
        </w:tc>
        <w:tc>
          <w:tcPr>
            <w:tcW w:w="0" w:type="dxa"/>
            <w:vAlign w:val="bottom"/>
          </w:tcPr>
          <w:p>
            <w:pPr>
              <w:spacing w:after="0"/>
              <w:rPr>
                <w:sz w:val="1"/>
                <w:szCs w:val="1"/>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Common Stock Purchase Warrant issued in connection with the Company’s January 2004 Common Stock and Warrant Financing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Transaction (incorporated by reference to Exhibit 10.22 to the Company’s Annual Report on Form 10-K for the year ended December 31, 2003,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March 15, 2004).</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 w:name="page33"/>
    <w:bookmarkEnd w:id="32"/>
    <w:p>
      <w:pPr>
        <w:ind w:left="60"/>
        <w:spacing w:after="0"/>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w:t>
      </w:r>
      <w:r>
        <w:rPr>
          <w:sz w:val="20"/>
          <w:szCs w:val="20"/>
          <w:color w:val="auto"/>
        </w:rPr>
        <w:tab/>
      </w:r>
      <w:r>
        <w:rPr>
          <w:rFonts w:ascii="Arial" w:cs="Arial" w:eastAsia="Arial" w:hAnsi="Arial"/>
          <w:sz w:val="15"/>
          <w:szCs w:val="15"/>
          <w:color w:val="auto"/>
        </w:rPr>
        <w:t>Executive Chairman Agreement, dated October 19, 2006 by and between Peter V. Leparulo and the Company (Incorporated by reference to Exhibit</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99.3 to the Company’s Current Report on Form 8-K filed October 24, 2006).</w:t>
      </w:r>
    </w:p>
    <w:p>
      <w:pPr>
        <w:spacing w:after="0" w:line="124" w:lineRule="exact"/>
        <w:rPr>
          <w:sz w:val="20"/>
          <w:szCs w:val="20"/>
          <w:color w:val="auto"/>
        </w:rPr>
      </w:pPr>
    </w:p>
    <w:p>
      <w:pPr>
        <w:ind w:left="780" w:right="20" w:hanging="727"/>
        <w:spacing w:after="0" w:line="268" w:lineRule="auto"/>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Amendment of Stock Option Agreements dated July 20, 2006 by and between the Company and Optionee with respect to the Amended and Restated 1997 Employee Stock Option Plan.</w:t>
      </w:r>
    </w:p>
    <w:p>
      <w:pPr>
        <w:spacing w:after="0" w:line="91" w:lineRule="exact"/>
        <w:rPr>
          <w:sz w:val="20"/>
          <w:szCs w:val="20"/>
          <w:color w:val="auto"/>
        </w:rPr>
      </w:pPr>
    </w:p>
    <w:p>
      <w:pPr>
        <w:ind w:left="780" w:right="20" w:hanging="727"/>
        <w:spacing w:after="0" w:line="268" w:lineRule="auto"/>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Amendment of Stock Option Agreements dated July 20, 2006 by and between the Company and Optionee with respect to the Amended and Restated 2000 Stock Incentive Plan (“2000 Plan”).</w:t>
      </w:r>
    </w:p>
    <w:p>
      <w:pPr>
        <w:spacing w:after="0" w:line="91" w:lineRule="exact"/>
        <w:rPr>
          <w:sz w:val="20"/>
          <w:szCs w:val="20"/>
          <w:color w:val="auto"/>
        </w:rPr>
      </w:pPr>
    </w:p>
    <w:p>
      <w:pPr>
        <w:ind w:left="780" w:hanging="727"/>
        <w:spacing w:after="0" w:line="268" w:lineRule="auto"/>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Amendment of Stock Option Agreements dated July 20, 2006 by and between the Company and Optionee with respect to the 2000 Plan and grants made pursuant thereto in 2004 and subsequently.</w:t>
      </w:r>
    </w:p>
    <w:p>
      <w:pPr>
        <w:spacing w:after="0" w:line="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our Chief Executive Officer adopted pursuant to Section 302 of the Sarbanes-Oxley Act of 2002.</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our Chief Financial Officer adopted pursuant to Section 302 of the Sarbanes-Oxley Act of 2002.</w:t>
      </w:r>
    </w:p>
    <w:p>
      <w:pPr>
        <w:spacing w:after="0" w:line="117" w:lineRule="exact"/>
        <w:rPr>
          <w:sz w:val="20"/>
          <w:szCs w:val="20"/>
          <w:color w:val="auto"/>
        </w:rPr>
      </w:pPr>
    </w:p>
    <w:p>
      <w:pPr>
        <w:ind w:left="780" w:hanging="771"/>
        <w:spacing w:after="0" w:line="268" w:lineRule="auto"/>
        <w:tabs>
          <w:tab w:leader="none" w:pos="7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adopted pursuant to 18 U.S.C. Section 1350, as adopted pursuant to Section 906 of the Sarbanes-Oxley Act of 2002.</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80" w:top="388" w:right="3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November 9, 2006</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tbl>
      <w:tblPr>
        <w:tblLayout w:type="fixed"/>
        <w:tblInd w:w="6040" w:type="dxa"/>
        <w:tblCellMar>
          <w:top w:w="0" w:type="dxa"/>
          <w:left w:w="0" w:type="dxa"/>
          <w:bottom w:w="0" w:type="dxa"/>
          <w:right w:w="0" w:type="dxa"/>
        </w:tblCellMar>
      </w:tblPr>
      <w:tr>
        <w:trPr>
          <w:trHeight w:val="223"/>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512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4"/>
              </w:rPr>
              <w:t>/s/ DAN L. HALVORSON</w:t>
            </w:r>
          </w:p>
        </w:tc>
      </w:tr>
      <w:tr>
        <w:trPr>
          <w:trHeight w:val="202"/>
        </w:trPr>
        <w:tc>
          <w:tcPr>
            <w:tcW w:w="260" w:type="dxa"/>
            <w:vAlign w:val="bottom"/>
          </w:tcPr>
          <w:p>
            <w:pPr>
              <w:spacing w:after="0"/>
              <w:rPr>
                <w:sz w:val="17"/>
                <w:szCs w:val="17"/>
                <w:color w:val="auto"/>
              </w:rPr>
            </w:pPr>
          </w:p>
        </w:tc>
        <w:tc>
          <w:tcPr>
            <w:tcW w:w="512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0"/>
              </w:rPr>
              <w:t>Dan L. Halvorson</w:t>
            </w:r>
          </w:p>
        </w:tc>
      </w:tr>
      <w:tr>
        <w:trPr>
          <w:trHeight w:val="216"/>
        </w:trPr>
        <w:tc>
          <w:tcPr>
            <w:tcW w:w="260" w:type="dxa"/>
            <w:vAlign w:val="bottom"/>
          </w:tcPr>
          <w:p>
            <w:pPr>
              <w:spacing w:after="0"/>
              <w:rPr>
                <w:sz w:val="18"/>
                <w:szCs w:val="18"/>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89"/>
              </w:rPr>
              <w:t>Chief Financial Officer and Treasurer</w:t>
            </w:r>
          </w:p>
        </w:tc>
      </w:tr>
      <w:tr>
        <w:trPr>
          <w:trHeight w:val="222"/>
        </w:trPr>
        <w:tc>
          <w:tcPr>
            <w:tcW w:w="2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Arial" w:cs="Arial" w:eastAsia="Arial" w:hAnsi="Arial"/>
                <w:sz w:val="18"/>
                <w:szCs w:val="18"/>
                <w:color w:val="auto"/>
                <w:w w:val="91"/>
              </w:rPr>
              <w:t>(Principal Financial and Accounting Officer)</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omnibus amendment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and effective as of July 20, 2006 (the “Effective Date”) by and between Novatel Wireless, Inc., a</w:t>
      </w:r>
    </w:p>
    <w:p>
      <w:pPr>
        <w:spacing w:after="0" w:line="3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t>
      </w:r>
      <w:r>
        <w:rPr>
          <w:rFonts w:ascii="Arial" w:cs="Arial" w:eastAsia="Arial" w:hAnsi="Arial"/>
          <w:sz w:val="18"/>
          <w:szCs w:val="18"/>
          <w:u w:val="single" w:color="auto"/>
          <w:color w:val="auto"/>
        </w:rPr>
        <w:t>Optionholder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 to those terms assigned in the Plan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-172720</wp:posOffset>
            </wp:positionV>
            <wp:extent cx="668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WHEREAS, pursuant to Company’s 1997 Employee Stock Option Plan (the “Plan”), the Parties have entered into those certain stock option agreements as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as currently in effect (the “</w:t>
      </w: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7"/>
          <w:szCs w:val="17"/>
          <w:color w:val="auto"/>
        </w:rPr>
        <w:t>WHEREAS, the Plan provides that if the Optionholder’s Service with or for the Company terminates then any Incentive Stock Options subject thereto shall expire on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following the date of such termination (the “Exercise Period”) unless the Optionholder is terminated for Cause or if, after Service is terminated, the Optionholder commits acts detrimental to the Company’s interests, in which cases the Option will be void;</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WHEREAS, the Plan provides that if the Optionholder dies or otherwise ceases to be in Service to the Company, then any outstanding Options which are not Incentive Stock Options shall remain exercisable for such period of time as determined by the Plan Administrator at the time of grant and set forth in the Agreements (the “Exercise Period”), provided that in no event shall an Option be exercisable after its stated expiration date and provided further that if the Optionholder is terminated for Cause or if, after Service is terminated, the Optionholder commits acts detrimental to the Company’s interests, in which cases the Option will be void;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desire to amend the Exercise Period of each Agreement as set forth below.</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foregoing recitals, the mutual covenants contained herein, and for other good and valuable consideration, the receipt and sufficiency of which are hereby acknowledged, the Parties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Each Agreement is hereby amended as follows:</w:t>
      </w:r>
    </w:p>
    <w:p>
      <w:pPr>
        <w:spacing w:after="0" w:line="96" w:lineRule="exact"/>
        <w:rPr>
          <w:sz w:val="20"/>
          <w:szCs w:val="20"/>
          <w:color w:val="auto"/>
        </w:rPr>
      </w:pPr>
    </w:p>
    <w:p>
      <w:pPr>
        <w:ind w:left="900" w:right="2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text in Section 7, entitled “Termination of Option” is deleted in its entirety: “The Option to the extent not previously exercised, shall terminate upon the first to occur of the tenth anniversary of the Grant Date or as otherwise set forth in the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text is inserted in place of the text deleted in a above and shall constitute the entire text of Section 7:</w:t>
      </w:r>
    </w:p>
    <w:p>
      <w:pPr>
        <w:spacing w:after="0" w:line="90"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“Notwithstanding anything to the contrary in the Plan or in any agreement between the Company and Optionholder, in the event Optionholder’s Service with or for the Company terminates in all</w:t>
      </w:r>
    </w:p>
    <w:p>
      <w:pPr>
        <w:sectPr>
          <w:pgSz w:w="11900" w:h="16838" w:orient="portrait"/>
          <w:cols w:equalWidth="0" w:num="1">
            <w:col w:w="11420"/>
          </w:cols>
          <w:pgMar w:left="240" w:top="125" w:right="239" w:bottom="1440" w:gutter="0" w:footer="0" w:header="0"/>
        </w:sectPr>
      </w:pPr>
    </w:p>
    <w:bookmarkStart w:id="35" w:name="page36"/>
    <w:bookmarkEnd w:id="35"/>
    <w:p>
      <w:pPr>
        <w:ind w:left="460" w:right="8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capacities (as an employee, a director, an independent consultant or advisor) in that Optionholder is not rendering continuous services to the Company in any of these capacities, and such termination is other than for death or Cause, then the Option shall expire at 5:00 pm (California time) on the date that is 270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calendar day following the date of such termination of Service in all capacities, except however if such day would occur in the calendar year following the calendar year of the termination day plus 90 days, the Option shall expire at 5:00 pm (California time) on December 31 of the year of the termination date. Except as provided above in case of death or Cause, in the event that Optionholder is in Service to the Company in some or any of these capacities (as an employee, a director, an independent consultant or advisor), then the Option shall terminate upon the tenth anniversary of the Grant 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in this Amendment, the Agreements remain in full force and effect without modification.</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Notwithstanding anything to the contrary herein, in no event shall the language added by this Amendment amend, alter or otherwise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any Change of Control Agreement by and between Optionholder and the Company (a “CIC”) to the extent any CIC remains in effect. In the event of any conflict between the CIC and this Amendment with respect to the time period allowed for the exercise of Options, the longer period for exercise shall prevail and be used by the parties hereto.</w:t>
      </w:r>
    </w:p>
    <w:p>
      <w:pPr>
        <w:spacing w:after="0" w:line="13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understand, acknowledge and agree that upon the Effective Date of this Amendment, all Options subject to this Amendment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and be treated as Non-qualified Stock Incentive Options under the Internal Revenue Code, regardless of how such Options were characterized at the Grant Date.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Parties have caused this Amendment to be executed as of July 20, 2006.</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606425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6" w:name="page37"/>
    <w:bookmarkEnd w:id="36"/>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Stock Option Agreements for the following grants:</w:t>
      </w:r>
    </w:p>
    <w:p>
      <w:pPr>
        <w:spacing w:after="0" w:line="24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Grant Number</w:t>
      </w:r>
      <w:r>
        <w:rPr>
          <w:sz w:val="20"/>
          <w:szCs w:val="20"/>
          <w:color w:val="auto"/>
        </w:rPr>
        <w:tab/>
      </w:r>
      <w:r>
        <w:rPr>
          <w:rFonts w:ascii="Arial" w:cs="Arial" w:eastAsia="Arial" w:hAnsi="Arial"/>
          <w:sz w:val="15"/>
          <w:szCs w:val="15"/>
          <w:color w:val="auto"/>
        </w:rPr>
        <w:t>Grant Date</w:t>
      </w:r>
    </w:p>
    <w:p>
      <w:pPr>
        <w:sectPr>
          <w:pgSz w:w="11900" w:h="16838" w:orient="portrait"/>
          <w:cols w:equalWidth="0" w:num="1">
            <w:col w:w="10219"/>
          </w:cols>
          <w:pgMar w:left="240" w:top="27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omnibus amendment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and effective as of July 20, 2006 (the “Effective Date”) by and between Novatel Wireless, Inc., a</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t>
      </w:r>
      <w:r>
        <w:rPr>
          <w:rFonts w:ascii="Arial" w:cs="Arial" w:eastAsia="Arial" w:hAnsi="Arial"/>
          <w:sz w:val="18"/>
          <w:szCs w:val="18"/>
          <w:u w:val="single" w:color="auto"/>
          <w:color w:val="auto"/>
        </w:rPr>
        <w:t>Optionee</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 to those terms assigned in the Plan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-172720</wp:posOffset>
            </wp:positionV>
            <wp:extent cx="668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WHEREAS, pursuant to Company’s 2000 Stock Incentive Plan (the “Plan”), the Parties have entered into those certain stock option agreements as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as currently in effect (the “</w:t>
      </w: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317" w:lineRule="auto"/>
        <w:rPr>
          <w:sz w:val="20"/>
          <w:szCs w:val="20"/>
          <w:color w:val="auto"/>
        </w:rPr>
      </w:pPr>
      <w:r>
        <w:rPr>
          <w:rFonts w:ascii="Arial" w:cs="Arial" w:eastAsia="Arial" w:hAnsi="Arial"/>
          <w:sz w:val="17"/>
          <w:szCs w:val="17"/>
          <w:color w:val="auto"/>
        </w:rPr>
        <w:t>WHEREAS, each Agreement provides that if the Optionee’s service with or for the Company terminates under conditions set forth therein, then the options subject thereto shall expire on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following the date of such termination ( the “Exercise Period”); and</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desire to amend the Exercise Period of each Agreement as set forth below.</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foregoing recitals, the mutual covenants contained herein, and for other good and valuable consideration, the receipt and sufficiency of which are hereby acknowledged, the Parties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Each Agreement is hereby amended as follows:</w:t>
      </w:r>
    </w:p>
    <w:p>
      <w:pPr>
        <w:spacing w:after="0" w:line="96" w:lineRule="exact"/>
        <w:rPr>
          <w:sz w:val="20"/>
          <w:szCs w:val="20"/>
          <w:color w:val="auto"/>
        </w:rPr>
      </w:pPr>
    </w:p>
    <w:p>
      <w:pPr>
        <w:ind w:left="900" w:right="360" w:hanging="446"/>
        <w:spacing w:after="0" w:line="23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sentence in Section 2 is deleted in its entirety: “If your Service terminates for any reason, other than death, Disability or Cause, as defined below, then these Options will expire at the close of business at Company headquarters on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calendar day after your Service termination date.”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text is inserted in place of the sentence deleted in a above:</w:t>
      </w:r>
    </w:p>
    <w:p>
      <w:pPr>
        <w:spacing w:after="0" w:line="90" w:lineRule="exact"/>
        <w:rPr>
          <w:sz w:val="20"/>
          <w:szCs w:val="20"/>
          <w:color w:val="auto"/>
        </w:rPr>
      </w:pPr>
    </w:p>
    <w:p>
      <w:pPr>
        <w:ind w:left="460" w:right="20"/>
        <w:spacing w:after="0" w:line="279" w:lineRule="auto"/>
        <w:rPr>
          <w:sz w:val="20"/>
          <w:szCs w:val="20"/>
          <w:color w:val="auto"/>
        </w:rPr>
      </w:pPr>
      <w:r>
        <w:rPr>
          <w:rFonts w:ascii="Arial" w:cs="Arial" w:eastAsia="Arial" w:hAnsi="Arial"/>
          <w:sz w:val="16"/>
          <w:szCs w:val="16"/>
          <w:color w:val="auto"/>
        </w:rPr>
        <w:t>“Notwithstanding anything to the contrary in the Plan or in any equity agreement between the Company and Optionee, in the event Optionee’s Service with or for the Company terminates in all capacities (as an Employee, a Director, a Non-Employee Director and as a Consultant) for any reason, so that Optionee is not in Service to the Company in any of these capacities, and such termination is other than for death, disability or cause (as determined by the Committee in its reasonable discretion), then the Options shall expire at 5:00 pm (California time) on the date that is 270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calendar day following the date of such termination of Service in all capacities, except however if such day would occur in the calendar year following the calendar year of the termination day plus 90 days, the Options shall expire at 5:00 pm (California time) on December 31 of the year of the termination date. In the event that Optionee is in Service to the Company in some or any of these capacities (as an Employee, a Director, a Non-Employee Director or as a Consultant), then the Options shall not expire until the Expiration Date set forth in the respective equity agreement.”</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in this Amendment, the Agreements remain in full force and effect without modification.</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Notwithstanding anything to the contrary herein, in no event shall the language added by this Amendment amend, alter or otherwise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any Change of Control Agreement by and between Optionee and the Company (the “CIC”) to the extent CIC remains in effect. In the event of any conflict between the CIC and this Amendment with respect to the time period allowed for the exercise of Options, the longer period for exercise shall prevail and be used by the parties hereto.</w:t>
      </w:r>
    </w:p>
    <w:p>
      <w:pPr>
        <w:spacing w:after="0" w:line="13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understand, acknowledge and agree that upon the Effective Date of this Amendment, all options subject to this Amendment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and be treated as Non-qualified Stock Incentive Options under the Internal Revenue Code, regardless of how such options were characterized at the date of grant.</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Parties have caused this Amendment to be executed as of July 20, 2006.</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606425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39" w:name="page40"/>
    <w:bookmarkEnd w:id="39"/>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Stock Option Agreements for the following grants:</w:t>
      </w:r>
    </w:p>
    <w:p>
      <w:pPr>
        <w:spacing w:after="0" w:line="24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Grant Number</w:t>
      </w:r>
      <w:r>
        <w:rPr>
          <w:sz w:val="20"/>
          <w:szCs w:val="20"/>
          <w:color w:val="auto"/>
        </w:rPr>
        <w:tab/>
      </w:r>
      <w:r>
        <w:rPr>
          <w:rFonts w:ascii="Arial" w:cs="Arial" w:eastAsia="Arial" w:hAnsi="Arial"/>
          <w:sz w:val="15"/>
          <w:szCs w:val="15"/>
          <w:color w:val="auto"/>
        </w:rPr>
        <w:t>Grant Date</w:t>
      </w:r>
    </w:p>
    <w:p>
      <w:pPr>
        <w:sectPr>
          <w:pgSz w:w="11900" w:h="16838" w:orient="portrait"/>
          <w:cols w:equalWidth="0" w:num="1">
            <w:col w:w="10219"/>
          </w:cols>
          <w:pgMar w:left="240" w:top="274"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omnibus amendment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and effective as of July 20, 2006 (the “Effective Date”) by and between Novatel Wireless, Inc., a</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Delaware corporation, (together with its parents, subsidiaries and affiliates the “</w:t>
      </w:r>
      <w:r>
        <w:rPr>
          <w:rFonts w:ascii="Arial" w:cs="Arial" w:eastAsia="Arial" w:hAnsi="Arial"/>
          <w:sz w:val="16"/>
          <w:szCs w:val="16"/>
          <w:u w:val="single" w:color="auto"/>
          <w:color w:val="auto"/>
        </w:rPr>
        <w:t>Company</w:t>
      </w:r>
      <w:r>
        <w:rPr>
          <w:rFonts w:ascii="Arial" w:cs="Arial" w:eastAsia="Arial" w:hAnsi="Arial"/>
          <w:sz w:val="16"/>
          <w:szCs w:val="16"/>
          <w:color w:val="auto"/>
        </w:rPr>
        <w:t>”) and (“</w:t>
      </w:r>
      <w:r>
        <w:rPr>
          <w:rFonts w:ascii="Arial" w:cs="Arial" w:eastAsia="Arial" w:hAnsi="Arial"/>
          <w:sz w:val="16"/>
          <w:szCs w:val="16"/>
          <w:u w:val="single" w:color="auto"/>
          <w:color w:val="auto"/>
        </w:rPr>
        <w:t>Optionee</w:t>
      </w:r>
      <w:r>
        <w:rPr>
          <w:rFonts w:ascii="Arial" w:cs="Arial" w:eastAsia="Arial" w:hAnsi="Arial"/>
          <w:sz w:val="16"/>
          <w:szCs w:val="16"/>
          <w:color w:val="auto"/>
        </w:rPr>
        <w:t>” and, together with the Company, the “</w:t>
      </w:r>
      <w:r>
        <w:rPr>
          <w:rFonts w:ascii="Arial" w:cs="Arial" w:eastAsia="Arial" w:hAnsi="Arial"/>
          <w:sz w:val="16"/>
          <w:szCs w:val="16"/>
          <w:u w:val="single" w:color="auto"/>
          <w:color w:val="auto"/>
        </w:rPr>
        <w:t>Parties</w:t>
      </w:r>
      <w:r>
        <w:rPr>
          <w:rFonts w:ascii="Arial" w:cs="Arial" w:eastAsia="Arial" w:hAnsi="Arial"/>
          <w:sz w:val="16"/>
          <w:szCs w:val="16"/>
          <w:color w:val="auto"/>
        </w:rPr>
        <w:t>”). Capitalized terms used but not otherwise defined herein shall have the meaning to those terms assigned in the Plan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-201295</wp:posOffset>
            </wp:positionV>
            <wp:extent cx="668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WHEREAS, pursuant to Company’s 2000 Stock Incentive Plan (the “Plan”), the Parties have entered into those certain stock option agreements as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as currently in effect (the “</w:t>
      </w: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92" w:lineRule="auto"/>
        <w:rPr>
          <w:sz w:val="20"/>
          <w:szCs w:val="20"/>
          <w:color w:val="auto"/>
        </w:rPr>
      </w:pPr>
      <w:r>
        <w:rPr>
          <w:rFonts w:ascii="Arial" w:cs="Arial" w:eastAsia="Arial" w:hAnsi="Arial"/>
          <w:sz w:val="18"/>
          <w:szCs w:val="18"/>
          <w:color w:val="auto"/>
        </w:rPr>
        <w:t>WHEREAS, each Agreement provides that if the Optionee’s service with or for the Company terminates under conditions set forth therein, then the options subject thereto shall expire on the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calendar day following the date of such termination;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desire to amend the each Agreement as set forth below.</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NOW, THEREFORE, in consideration of the foregoing recitals, the mutual covenants contained herein, and for other good and valuable consideration, the receipt and sufficiency of which are hereby acknowledged, the Parties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Each Agreement is hereby amended as follows:</w:t>
      </w:r>
    </w:p>
    <w:p>
      <w:pPr>
        <w:spacing w:after="0" w:line="96" w:lineRule="exact"/>
        <w:rPr>
          <w:sz w:val="20"/>
          <w:szCs w:val="20"/>
          <w:color w:val="auto"/>
        </w:rPr>
      </w:pPr>
    </w:p>
    <w:p>
      <w:pPr>
        <w:jc w:val="both"/>
        <w:ind w:left="900" w:right="320" w:hanging="446"/>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sentence in Section 2 is deleted in its entirety: “If Optionee’s service with or for the Company terminates for any reason other than death, disability or cause, the Options shall expire at 5:00 p.m. (California time) on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calendar day following the date of such termination.”</w:t>
      </w: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text is inserted in place of the sentence deleted in a above:</w:t>
      </w:r>
    </w:p>
    <w:p>
      <w:pPr>
        <w:spacing w:after="0" w:line="88" w:lineRule="exact"/>
        <w:rPr>
          <w:sz w:val="20"/>
          <w:szCs w:val="20"/>
          <w:color w:val="auto"/>
        </w:rPr>
      </w:pPr>
    </w:p>
    <w:p>
      <w:pPr>
        <w:ind w:left="460"/>
        <w:spacing w:after="0" w:line="279" w:lineRule="auto"/>
        <w:rPr>
          <w:sz w:val="20"/>
          <w:szCs w:val="20"/>
          <w:color w:val="auto"/>
        </w:rPr>
      </w:pPr>
      <w:r>
        <w:rPr>
          <w:rFonts w:ascii="Arial" w:cs="Arial" w:eastAsia="Arial" w:hAnsi="Arial"/>
          <w:sz w:val="16"/>
          <w:szCs w:val="16"/>
          <w:color w:val="auto"/>
        </w:rPr>
        <w:t>“Notwithstanding anything to the contrary in the Plan or in any agreement between the Company and Optionee, in the event Optionee’s Service with or for the Company terminates in all capacities (as an Employee, a Director, a Non-Employee Director and as a Consultant) for any reason, so that Optionee is not in Service to the Company in any of these capacities, and such termination is other than for death, disability or cause (as determined by the Committee in its reasonable discretion), then the Options shall expire at 5:00 pm (California time) on the date that is 270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calendar day following the date of such termination of Service in all capacities, except however if such day would occur in the calendar year following the calendar year of the termination day plus 90 days, the Options shall expire at 5:00 pm (California time) on December 31 of the year of the termination date. So long as Optionee is in Service to the Company in some or any of these capacities (as an Employee, a Director, a Non-Employee Director or as a Consultant), then the Options shall continue to vest and shall not expire until the Expiration Date set forth in the respective equity agreement.”</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in this Amendment, the Agreements remain in full force and effect without modification.</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in no event shall the language added by this Amendment amend, alter or otherwise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that certain Change of Control Agreement by and between Optionee and the Company (the “CIC”) to the extent CIC remains in effect. In the event of any conflict between the CIC and this Amendment with respect to the time period allowed for the exercise of Options, the longer period for exercise shall prevail and be used by the parties hereto.</w:t>
      </w:r>
    </w:p>
    <w:p>
      <w:pPr>
        <w:spacing w:after="0" w:line="13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understand, acknowledge and agree that upon the Effective Date of this Amendment, all options subject to this Amendment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and be treated as Non-qualified Stock Incentive Options under the Internal Revenue Code, regardless of how such options were characterized at the date of grant.</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Parties have caused this Amendment to be executed as of July 20,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60" w:type="dxa"/>
            <w:vAlign w:val="bottom"/>
          </w:tcPr>
          <w:p>
            <w:pPr>
              <w:spacing w:after="0"/>
              <w:rPr>
                <w:sz w:val="19"/>
                <w:szCs w:val="19"/>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By:</w:t>
            </w:r>
          </w:p>
        </w:tc>
      </w:tr>
      <w:tr>
        <w:trPr>
          <w:trHeight w:val="29"/>
        </w:trPr>
        <w:tc>
          <w:tcPr>
            <w:tcW w:w="2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424"/>
        </w:trPr>
        <w:tc>
          <w:tcPr>
            <w:tcW w:w="5380" w:type="dxa"/>
            <w:vAlign w:val="bottom"/>
            <w:gridSpan w:val="2"/>
          </w:tcPr>
          <w:p>
            <w:pPr>
              <w:spacing w:after="0"/>
              <w:rPr>
                <w:sz w:val="20"/>
                <w:szCs w:val="20"/>
                <w:color w:val="auto"/>
              </w:rPr>
            </w:pPr>
            <w:r>
              <w:rPr>
                <w:rFonts w:ascii="Arial" w:cs="Arial" w:eastAsia="Arial" w:hAnsi="Arial"/>
                <w:sz w:val="18"/>
                <w:szCs w:val="18"/>
                <w:color w:val="auto"/>
              </w:rPr>
              <w:t>Its:</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Its:</w:t>
            </w:r>
          </w:p>
        </w:tc>
      </w:tr>
      <w:tr>
        <w:trPr>
          <w:trHeight w:val="29"/>
        </w:trPr>
        <w:tc>
          <w:tcPr>
            <w:tcW w:w="2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640"/>
        </w:trPr>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b w:val="1"/>
                <w:bCs w:val="1"/>
                <w:color w:val="auto"/>
              </w:rPr>
              <w:t>OPTIONEE</w:t>
            </w:r>
          </w:p>
        </w:tc>
      </w:tr>
      <w:tr>
        <w:trPr>
          <w:trHeight w:val="461"/>
        </w:trPr>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Stock Option Agreements for the following grants:</w:t>
      </w:r>
    </w:p>
    <w:p>
      <w:pPr>
        <w:spacing w:after="0" w:line="24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Grant Number</w:t>
      </w:r>
      <w:r>
        <w:rPr>
          <w:sz w:val="20"/>
          <w:szCs w:val="20"/>
          <w:color w:val="auto"/>
        </w:rPr>
        <w:tab/>
      </w:r>
      <w:r>
        <w:rPr>
          <w:rFonts w:ascii="Arial" w:cs="Arial" w:eastAsia="Arial" w:hAnsi="Arial"/>
          <w:sz w:val="15"/>
          <w:szCs w:val="15"/>
          <w:color w:val="auto"/>
        </w:rPr>
        <w:t>Grant Date</w:t>
      </w:r>
    </w:p>
    <w:p>
      <w:pPr>
        <w:sectPr>
          <w:pgSz w:w="11900" w:h="16838" w:orient="portrait"/>
          <w:cols w:equalWidth="0" w:num="1">
            <w:col w:w="10219"/>
          </w:cols>
          <w:pgMar w:left="2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302 Certifications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of the undersigned, in his capacity as the Chief Executive Officer and Chief Financial Officer of Novatel Wireless Inc., as the case may be, provides the following certifications required by 18 U.S.C. Section 1350, as adopted pursuant to Section 302 of The Sarbanes-Oxley Act of 2002, and 17 C.F.R. § 240.13a-14.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third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PETER V. LEPARULO</w:t>
      </w:r>
    </w:p>
    <w:p>
      <w:pPr>
        <w:spacing w:after="0" w:line="17"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9, 2006</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 L. Halvorson, certify that:</w:t>
      </w:r>
    </w:p>
    <w:p>
      <w:pPr>
        <w:spacing w:after="0" w:line="171"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third fiscal quarter in the case of this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DAN L. HALVORSON</w:t>
      </w:r>
    </w:p>
    <w:p>
      <w:pPr>
        <w:spacing w:after="0" w:line="17"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2006</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Each of the undersigned, in his capacity as the Chief Executive Officer and Chief Financial Officer of Novatel Wireless, Inc. (the “Company”), as the case may be, hereby certifies, pursuant to the requirement set forth in Rule 13a-14(b) of the Securities Exchange Act of 1934, as amended (the “Exchange Act”) and Section 1350 of Chapter 63 of Title 18 of the United States Code (18 U.S.C. §1350), that, to the best of his knowledge:</w:t>
      </w:r>
    </w:p>
    <w:p>
      <w:pPr>
        <w:spacing w:after="0" w:line="107" w:lineRule="exact"/>
        <w:rPr>
          <w:sz w:val="20"/>
          <w:szCs w:val="20"/>
          <w:color w:val="auto"/>
        </w:rPr>
      </w:pPr>
    </w:p>
    <w:p>
      <w:pPr>
        <w:ind w:right="180" w:firstLine="8"/>
        <w:spacing w:after="0" w:line="268" w:lineRule="auto"/>
        <w:tabs>
          <w:tab w:leader="none" w:pos="17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This Quarterly Report on Form 10-Q for the quarterly period ended September 30, 2006 fully complies with the requirements of Section 13(a) or 15(d) of the Exchange Act; and</w:t>
      </w:r>
    </w:p>
    <w:p>
      <w:pPr>
        <w:spacing w:after="0" w:line="131" w:lineRule="exact"/>
        <w:rPr>
          <w:rFonts w:ascii="Arial" w:cs="Arial" w:eastAsia="Arial" w:hAnsi="Arial"/>
          <w:sz w:val="18"/>
          <w:szCs w:val="18"/>
          <w:b w:val="1"/>
          <w:bCs w:val="1"/>
          <w:color w:val="auto"/>
        </w:rPr>
      </w:pPr>
    </w:p>
    <w:p>
      <w:pPr>
        <w:ind w:right="80" w:firstLine="8"/>
        <w:spacing w:after="0" w:line="268" w:lineRule="auto"/>
        <w:tabs>
          <w:tab w:leader="none" w:pos="17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the Company for the period covered by this Quarterly Report.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(“SEC”) or its staff upon request.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Exchange Act (whether made before or after the date of this Quarterly Report), irrespective of any general incorporation language contained in such filing.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9th day of November, 2006.</w:t>
      </w:r>
    </w:p>
    <w:p>
      <w:pPr>
        <w:spacing w:after="0" w:line="200" w:lineRule="exact"/>
        <w:rPr>
          <w:sz w:val="20"/>
          <w:szCs w:val="20"/>
          <w:color w:val="auto"/>
        </w:rPr>
      </w:pPr>
    </w:p>
    <w:p>
      <w:pPr>
        <w:spacing w:after="0" w:line="234"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Peter V. Leparulo</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Dan L. Halvorson</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2019-12-14T11:36:57Z</dcterms:created>
  <dcterms:modified xsi:type="dcterms:W3CDTF">2019-12-14T11:36:57Z</dcterms:modified>
</cp:coreProperties>
</file>