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Date of Report (Date of earliest event reported): January 5,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2940"/>
        <w:spacing w:after="0"/>
        <w:rPr>
          <w:sz w:val="20"/>
          <w:szCs w:val="20"/>
          <w:color w:val="auto"/>
        </w:rPr>
      </w:pPr>
      <w:r>
        <w:rPr>
          <w:rFonts w:ascii="Arial" w:cs="Arial" w:eastAsia="Arial" w:hAnsi="Arial"/>
          <w:sz w:val="43"/>
          <w:szCs w:val="43"/>
          <w:b w:val="1"/>
          <w:bCs w:val="1"/>
          <w:color w:val="auto"/>
        </w:rPr>
        <w:t>NOVATEL WIRELESS, INC.</w:t>
      </w:r>
    </w:p>
    <w:p>
      <w:pPr>
        <w:spacing w:after="0" w:line="50" w:lineRule="exact"/>
        <w:rPr>
          <w:sz w:val="24"/>
          <w:szCs w:val="24"/>
          <w:color w:val="auto"/>
        </w:rPr>
      </w:pPr>
    </w:p>
    <w:tbl>
      <w:tblPr>
        <w:tblLayout w:type="fixed"/>
        <w:tblInd w:w="198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5240" w:type="dxa"/>
            <w:vAlign w:val="bottom"/>
            <w:gridSpan w:val="3"/>
          </w:tcPr>
          <w:p>
            <w:pPr>
              <w:jc w:val="center"/>
              <w:ind w:right="171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84"/>
        </w:trPr>
        <w:tc>
          <w:tcPr>
            <w:tcW w:w="2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r>
      <w:tr>
        <w:trPr>
          <w:trHeight w:val="370"/>
        </w:trPr>
        <w:tc>
          <w:tcPr>
            <w:tcW w:w="2000" w:type="dxa"/>
            <w:vAlign w:val="bottom"/>
          </w:tcPr>
          <w:p>
            <w:pPr>
              <w:spacing w:after="0"/>
              <w:rPr>
                <w:sz w:val="24"/>
                <w:szCs w:val="24"/>
                <w:color w:val="auto"/>
              </w:rPr>
            </w:pPr>
          </w:p>
        </w:tc>
        <w:tc>
          <w:tcPr>
            <w:tcW w:w="5240" w:type="dxa"/>
            <w:vAlign w:val="bottom"/>
            <w:gridSpan w:val="3"/>
          </w:tcPr>
          <w:p>
            <w:pPr>
              <w:jc w:val="center"/>
              <w:ind w:right="1712"/>
              <w:spacing w:after="0"/>
              <w:rPr>
                <w:sz w:val="20"/>
                <w:szCs w:val="20"/>
                <w:color w:val="auto"/>
              </w:rPr>
            </w:pPr>
            <w:r>
              <w:rPr>
                <w:rFonts w:ascii="Arial" w:cs="Arial" w:eastAsia="Arial" w:hAnsi="Arial"/>
                <w:sz w:val="18"/>
                <w:szCs w:val="18"/>
                <w:b w:val="1"/>
                <w:bCs w:val="1"/>
                <w:color w:val="auto"/>
                <w:w w:val="96"/>
              </w:rPr>
              <w:t>COMMISSION FILE: 000-31659</w:t>
            </w:r>
          </w:p>
        </w:tc>
      </w:tr>
      <w:tr>
        <w:trPr>
          <w:trHeight w:val="408"/>
        </w:trPr>
        <w:tc>
          <w:tcPr>
            <w:tcW w:w="2000" w:type="dxa"/>
            <w:vAlign w:val="bottom"/>
          </w:tcPr>
          <w:p>
            <w:pPr>
              <w:jc w:val="center"/>
              <w:ind w:right="166"/>
              <w:spacing w:after="0"/>
              <w:rPr>
                <w:sz w:val="20"/>
                <w:szCs w:val="20"/>
                <w:color w:val="auto"/>
              </w:rPr>
            </w:pPr>
            <w:r>
              <w:rPr>
                <w:rFonts w:ascii="Arial" w:cs="Arial" w:eastAsia="Arial" w:hAnsi="Arial"/>
                <w:sz w:val="18"/>
                <w:szCs w:val="18"/>
                <w:b w:val="1"/>
                <w:bCs w:val="1"/>
                <w:color w:val="auto"/>
                <w:w w:val="96"/>
              </w:rPr>
              <w:t>DELAWARE</w:t>
            </w:r>
          </w:p>
        </w:tc>
        <w:tc>
          <w:tcPr>
            <w:tcW w:w="5240" w:type="dxa"/>
            <w:vAlign w:val="bottom"/>
            <w:gridSpan w:val="3"/>
          </w:tcPr>
          <w:p>
            <w:pPr>
              <w:jc w:val="center"/>
              <w:ind w:left="4080"/>
              <w:spacing w:after="0"/>
              <w:rPr>
                <w:sz w:val="20"/>
                <w:szCs w:val="20"/>
                <w:color w:val="auto"/>
              </w:rPr>
            </w:pPr>
            <w:r>
              <w:rPr>
                <w:rFonts w:ascii="Arial" w:cs="Arial" w:eastAsia="Arial" w:hAnsi="Arial"/>
                <w:sz w:val="18"/>
                <w:szCs w:val="18"/>
                <w:b w:val="1"/>
                <w:bCs w:val="1"/>
                <w:color w:val="auto"/>
                <w:w w:val="87"/>
              </w:rPr>
              <w:t>86-0824673</w:t>
            </w:r>
          </w:p>
        </w:tc>
      </w:tr>
      <w:tr>
        <w:trPr>
          <w:trHeight w:val="149"/>
        </w:trPr>
        <w:tc>
          <w:tcPr>
            <w:tcW w:w="2000" w:type="dxa"/>
            <w:vAlign w:val="bottom"/>
          </w:tcPr>
          <w:p>
            <w:pPr>
              <w:jc w:val="center"/>
              <w:ind w:right="146"/>
              <w:spacing w:after="0" w:line="149" w:lineRule="exact"/>
              <w:rPr>
                <w:sz w:val="20"/>
                <w:szCs w:val="20"/>
                <w:color w:val="auto"/>
              </w:rPr>
            </w:pPr>
            <w:r>
              <w:rPr>
                <w:rFonts w:ascii="Arial" w:cs="Arial" w:eastAsia="Arial" w:hAnsi="Arial"/>
                <w:sz w:val="14"/>
                <w:szCs w:val="14"/>
                <w:b w:val="1"/>
                <w:bCs w:val="1"/>
                <w:color w:val="auto"/>
                <w:w w:val="88"/>
              </w:rPr>
              <w:t>(State or other jurisdiction or</w:t>
            </w:r>
          </w:p>
        </w:tc>
        <w:tc>
          <w:tcPr>
            <w:tcW w:w="7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520" w:type="dxa"/>
            <w:vAlign w:val="bottom"/>
          </w:tcPr>
          <w:p>
            <w:pPr>
              <w:jc w:val="center"/>
              <w:ind w:left="139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000" w:type="dxa"/>
            <w:vAlign w:val="bottom"/>
          </w:tcPr>
          <w:p>
            <w:pPr>
              <w:jc w:val="center"/>
              <w:ind w:right="166"/>
              <w:spacing w:after="0"/>
              <w:rPr>
                <w:sz w:val="20"/>
                <w:szCs w:val="20"/>
                <w:color w:val="auto"/>
              </w:rPr>
            </w:pPr>
            <w:r>
              <w:rPr>
                <w:rFonts w:ascii="Arial" w:cs="Arial" w:eastAsia="Arial" w:hAnsi="Arial"/>
                <w:sz w:val="14"/>
                <w:szCs w:val="14"/>
                <w:b w:val="1"/>
                <w:bCs w:val="1"/>
                <w:color w:val="auto"/>
                <w:w w:val="88"/>
              </w:rPr>
              <w:t>incorporation or organization)</w:t>
            </w:r>
          </w:p>
        </w:tc>
        <w:tc>
          <w:tcPr>
            <w:tcW w:w="7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520" w:type="dxa"/>
            <w:vAlign w:val="bottom"/>
          </w:tcPr>
          <w:p>
            <w:pPr>
              <w:jc w:val="center"/>
              <w:ind w:left="1392"/>
              <w:spacing w:after="0"/>
              <w:rPr>
                <w:sz w:val="20"/>
                <w:szCs w:val="20"/>
                <w:color w:val="auto"/>
              </w:rPr>
            </w:pPr>
            <w:r>
              <w:rPr>
                <w:rFonts w:ascii="Arial" w:cs="Arial" w:eastAsia="Arial" w:hAnsi="Arial"/>
                <w:sz w:val="14"/>
                <w:szCs w:val="14"/>
                <w:b w:val="1"/>
                <w:bCs w:val="1"/>
                <w:color w:val="auto"/>
                <w:w w:val="89"/>
              </w:rPr>
              <w:t>Identification No.)</w:t>
            </w:r>
          </w:p>
        </w:tc>
      </w:tr>
      <w:tr>
        <w:trPr>
          <w:trHeight w:val="364"/>
        </w:trPr>
        <w:tc>
          <w:tcPr>
            <w:tcW w:w="2000" w:type="dxa"/>
            <w:vAlign w:val="bottom"/>
          </w:tcPr>
          <w:p>
            <w:pPr>
              <w:spacing w:after="0"/>
              <w:rPr>
                <w:sz w:val="24"/>
                <w:szCs w:val="24"/>
                <w:color w:val="auto"/>
              </w:rPr>
            </w:pPr>
          </w:p>
        </w:tc>
        <w:tc>
          <w:tcPr>
            <w:tcW w:w="5240" w:type="dxa"/>
            <w:vAlign w:val="bottom"/>
            <w:gridSpan w:val="3"/>
          </w:tcPr>
          <w:p>
            <w:pPr>
              <w:jc w:val="center"/>
              <w:ind w:right="1712"/>
              <w:spacing w:after="0"/>
              <w:rPr>
                <w:sz w:val="20"/>
                <w:szCs w:val="20"/>
                <w:color w:val="auto"/>
              </w:rPr>
            </w:pPr>
            <w:r>
              <w:rPr>
                <w:rFonts w:ascii="Arial" w:cs="Arial" w:eastAsia="Arial" w:hAnsi="Arial"/>
                <w:sz w:val="18"/>
                <w:szCs w:val="18"/>
                <w:b w:val="1"/>
                <w:bCs w:val="1"/>
                <w:color w:val="auto"/>
                <w:w w:val="87"/>
              </w:rPr>
              <w:t>9645 Scranton Road, Suite 205</w:t>
            </w:r>
          </w:p>
        </w:tc>
      </w:tr>
      <w:tr>
        <w:trPr>
          <w:trHeight w:val="218"/>
        </w:trPr>
        <w:tc>
          <w:tcPr>
            <w:tcW w:w="2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80" w:type="dxa"/>
            <w:vAlign w:val="bottom"/>
            <w:gridSpan w:val="2"/>
          </w:tcPr>
          <w:p>
            <w:pPr>
              <w:jc w:val="center"/>
              <w:ind w:right="2472"/>
              <w:spacing w:after="0"/>
              <w:rPr>
                <w:sz w:val="20"/>
                <w:szCs w:val="20"/>
                <w:color w:val="auto"/>
              </w:rPr>
            </w:pPr>
            <w:r>
              <w:rPr>
                <w:rFonts w:ascii="Arial" w:cs="Arial" w:eastAsia="Arial" w:hAnsi="Arial"/>
                <w:sz w:val="18"/>
                <w:szCs w:val="18"/>
                <w:b w:val="1"/>
                <w:bCs w:val="1"/>
                <w:color w:val="auto"/>
                <w:w w:val="88"/>
              </w:rPr>
              <w:t>San Diego, CA 92121</w:t>
            </w:r>
          </w:p>
        </w:tc>
      </w:tr>
      <w:tr>
        <w:trPr>
          <w:trHeight w:val="174"/>
        </w:trPr>
        <w:tc>
          <w:tcPr>
            <w:tcW w:w="2000" w:type="dxa"/>
            <w:vAlign w:val="bottom"/>
          </w:tcPr>
          <w:p>
            <w:pPr>
              <w:spacing w:after="0"/>
              <w:rPr>
                <w:sz w:val="15"/>
                <w:szCs w:val="15"/>
                <w:color w:val="auto"/>
              </w:rPr>
            </w:pPr>
          </w:p>
        </w:tc>
        <w:tc>
          <w:tcPr>
            <w:tcW w:w="5240" w:type="dxa"/>
            <w:vAlign w:val="bottom"/>
            <w:gridSpan w:val="3"/>
          </w:tcPr>
          <w:p>
            <w:pPr>
              <w:jc w:val="center"/>
              <w:ind w:right="1692"/>
              <w:spacing w:after="0"/>
              <w:rPr>
                <w:sz w:val="20"/>
                <w:szCs w:val="20"/>
                <w:color w:val="auto"/>
              </w:rPr>
            </w:pPr>
            <w:r>
              <w:rPr>
                <w:rFonts w:ascii="Arial" w:cs="Arial" w:eastAsia="Arial" w:hAnsi="Arial"/>
                <w:sz w:val="14"/>
                <w:szCs w:val="14"/>
                <w:b w:val="1"/>
                <w:bCs w:val="1"/>
                <w:color w:val="auto"/>
                <w:w w:val="85"/>
              </w:rPr>
              <w:t>(Address of principal executive offices)</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firstLine="8"/>
        <w:spacing w:after="0" w:line="291" w:lineRule="auto"/>
        <w:tabs>
          <w:tab w:leader="none" w:pos="239"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January 5, 2007, the Compensation Committee of the Board of Directors of Novatel Wireless, Inc. (the “Company”) adopted a bonus plan applicable to the Company’s executive officers for the fiscal year ending December 31, 2007. Under the terms of the plan, each participant is eligible to receive a discretionary cash bonus from the Company in a dollar amount equal to a percentage of his or her annual base salary in effect as of the end of 2007 based on the achievement of certain individual, departmental and Company-wide 2007 performance targets. The bonuses could range in amounts up to 50% of the applicable base salary with other potential bonus payments possible for plan participants achieving additional objectives. All bonuses are expected to be determined and paid following the end of the Company’s 2007 fiscal year. The Company has reserved the right to amend the plan in its sole discretion.</w:t>
      </w:r>
    </w:p>
    <w:p>
      <w:pPr>
        <w:sectPr>
          <w:pgSz w:w="11900" w:h="16838" w:orient="portrait"/>
          <w:cols w:equalWidth="0" w:num="1">
            <w:col w:w="11400"/>
          </w:cols>
          <w:pgMar w:left="240" w:top="274" w:right="2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Novatel Wireless, Inc.</w:t>
      </w:r>
    </w:p>
    <w:p>
      <w:pPr>
        <w:spacing w:after="0" w:line="239"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January 11, 2007</w:t>
      </w:r>
      <w:r>
        <w:rPr>
          <w:sz w:val="20"/>
          <w:szCs w:val="20"/>
          <w:color w:val="auto"/>
        </w:rPr>
        <w:tab/>
      </w:r>
      <w:r>
        <w:rPr>
          <w:rFonts w:ascii="Arial" w:cs="Arial" w:eastAsia="Arial" w:hAnsi="Arial"/>
          <w:sz w:val="16"/>
          <w:szCs w:val="16"/>
          <w:color w:val="auto"/>
        </w:rPr>
        <w:t>By:  /s/ Catherine F. Ratcliffe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Catherine F. Ratcliffe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Vice President of Business Affairs and Corporate Secretary</w:t>
      </w:r>
    </w:p>
    <w:sectPr>
      <w:pgSz w:w="11900" w:h="16838" w:orient="portrait"/>
      <w:cols w:equalWidth="0" w:num="1">
        <w:col w:w="11260"/>
      </w:cols>
      <w:pgMar w:left="240" w:top="27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2019-12-14T11:00:55Z</dcterms:created>
  <dcterms:modified xsi:type="dcterms:W3CDTF">2019-12-14T11:00:55Z</dcterms:modified>
</cp:coreProperties>
</file>