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14, 2026</w:t>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INSEEGO CORP.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489"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001-38358</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81-3377646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489"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(858) 812-3400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489"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9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14, 2026 (the “Closing Date”), Inseego Corp. (“Inseego” or the “Company”) entered into an Exchange Agreement (the “Exchange Agreement”) with an affiliate of Mubadala Capital (the “Holder”), which held all 25,000 outstanding shares of the Company’s Fixed-Rate Cumulative Perpetual Preferred Stock, Series E (the “Preferred Stock”).</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Exchange Agreement, on the Closing Date all of the outstanding shares of Preferred Stock, which had a liquidation value of $42 million as of December 31, 2025, were surrendered and forfeited by the Holder in exchange for the following consideration, having an aggregate value of approximately $26 million and representing a discount of approximately 38% to the liquidation value: (i) $10 million in cash, one-third of which was paid on the Closing Date and the balance of which will be paid in two equal installments on the six and twelve month anniversaries of the Closing Date; (ii) 767,165 shares of the Company’s common stock, par value $0.001 per share (the “Common Shares”), and (iii) $8 million in additional principal amount of the Company’s existing 9.0% Senior Secured Notes due 2029 (the “Senior Secured Notes”). The Common Shares and the Senior Secured Notes were issued to the Holder on the Closing Date.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Secured Notes issued to the Holder have the same terms as the outstanding $40.9 million aggregate principal amount of Senior Secured Notes originally issued on November 6, 2024, and were issued pursuant to the Base Indenture and Supplemental Indenture entered into on that date by the Company, certain of its subsidiaries, as guarantors, and Wilmington Savings Fund Society, FSB, as trustee and collateral agent, as described in the Current Report on Form 8-K filed by the Company on November 12, 2024.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Exchange Agreement provides the Holder with customary registration rights with respect to the Common Shares, pursuant to which, among other things, the Company agreed to file a registration statement with the Securities and Exchange Commission within six months following the Closing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Exchange Agreement does not purport to be complete and is qualified in its entirety by reference to the full text of the Exchange Agreement, a copy of which is filed as Exhibit 10.1 to this Form 8-K.</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is incorporated by reference into this Item 2.03.</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is incorporated by reference into this Item 3.02. The Common Shares have not been registered under the Securities Act of 1933, as amended (the “Securities Act”), or the securities laws of any state or other jurisdiction, and were offered in reliance upon the exemption from registration afforded by Section 4(a)(2) under the Securities Act and/or Regulation D promulgated thereunder and, as applicable, corresponding provisions of state securities laws, which exempt transactions by an issuer not involving any public offering. The Holder represented and warranted to the Company that it is an “accredited investor” as such term is defined in Regulation D promulgated under the Securities Act.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14, 2026, the Company issued a press release announcing the consummation of the transactions contemplated by the Exchange Agreement. A copy of the press release is attached to this current report on Form 8-K as Exhibit 99.1.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This Current Report on Form 8-K will not be deemed an admission as to the materiality of any information of the information in this Item 7.01, including Exhibit 99.1.</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920" w:type="dxa"/>
            <w:vAlign w:val="bottom"/>
            <w:gridSpan w:val="3"/>
          </w:tcPr>
          <w:p>
            <w:pPr>
              <w:spacing w:after="0"/>
              <w:rPr>
                <w:sz w:val="17"/>
                <w:szCs w:val="17"/>
                <w:color w:val="auto"/>
              </w:rPr>
            </w:pPr>
          </w:p>
        </w:tc>
      </w:tr>
      <w:tr>
        <w:trPr>
          <w:trHeight w:val="41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520" w:type="dxa"/>
            <w:vAlign w:val="bottom"/>
          </w:tcPr>
          <w:p>
            <w:pPr>
              <w:spacing w:after="0"/>
              <w:rPr>
                <w:sz w:val="24"/>
                <w:szCs w:val="24"/>
                <w:color w:val="auto"/>
              </w:rPr>
            </w:pPr>
          </w:p>
        </w:tc>
        <w:tc>
          <w:tcPr>
            <w:tcW w:w="3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Exchange Agreement dated January 14, 2026</w:t>
            </w:r>
          </w:p>
        </w:tc>
        <w:tc>
          <w:tcPr>
            <w:tcW w:w="2540" w:type="dxa"/>
            <w:vAlign w:val="bottom"/>
          </w:tcPr>
          <w:p>
            <w:pPr>
              <w:spacing w:after="0"/>
              <w:rPr>
                <w:sz w:val="24"/>
                <w:szCs w:val="24"/>
                <w:color w:val="auto"/>
              </w:rPr>
            </w:pPr>
          </w:p>
        </w:tc>
      </w:tr>
      <w:tr>
        <w:trPr>
          <w:trHeight w:val="196"/>
        </w:trPr>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99.1</w:t>
            </w:r>
          </w:p>
        </w:tc>
        <w:tc>
          <w:tcPr>
            <w:tcW w:w="520" w:type="dxa"/>
            <w:vAlign w:val="bottom"/>
          </w:tcPr>
          <w:p>
            <w:pPr>
              <w:spacing w:after="0"/>
              <w:rPr>
                <w:sz w:val="17"/>
                <w:szCs w:val="17"/>
                <w:color w:val="auto"/>
              </w:rPr>
            </w:pPr>
          </w:p>
        </w:tc>
        <w:tc>
          <w:tcPr>
            <w:tcW w:w="5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January 14, 2026</w:t>
            </w:r>
          </w:p>
        </w:tc>
      </w:tr>
      <w:tr>
        <w:trPr>
          <w:trHeight w:val="20"/>
        </w:trPr>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23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2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37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29"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991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Steven Gatoff</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This Exchange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January 14, 2026, by and between Inseego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entity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Company and the Holder are together referred to herein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WHEREAS, the Holder currently holds 25,000 shares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Company’s Fixed-Rate Cumulative Perpetual Preferred Stock, Series E, par value $0.001 per share (the “</w:t>
      </w:r>
      <w:r>
        <w:rPr>
          <w:rFonts w:ascii="Times New Roman" w:cs="Times New Roman" w:eastAsia="Times New Roman" w:hAnsi="Times New Roman"/>
          <w:sz w:val="18"/>
          <w:szCs w:val="18"/>
          <w:b w:val="1"/>
          <w:bCs w:val="1"/>
          <w:color w:val="auto"/>
        </w:rPr>
        <w:t>Series E Preferred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WHEREAS, the Company has previously issued 9.0% Senior Secured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issued pursuant to that certain First Supplemental Indenture, dated as of November 6, 2024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between the Company and Wilmington Savings Fund Society, FSB,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the Indenture, dated as of November 6, 2024 (as supplemented by the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Trustee; and</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the Holder desire to exchange the Preferred Stock for a combination of cash, 2029 Notes and shares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in the respective amounts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subject to the terms and conditions set forth in this Agreement (such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agreements and understandings herein contained, the Parties hereby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Exchange of 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spacing w:after="0"/>
        <w:tabs>
          <w:tab w:leader="none" w:pos="19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The Exchange</w:t>
      </w:r>
      <w:r>
        <w:rPr>
          <w:rFonts w:ascii="Times New Roman" w:cs="Times New Roman" w:eastAsia="Times New Roman" w:hAnsi="Times New Roman"/>
          <w:sz w:val="17"/>
          <w:szCs w:val="17"/>
          <w:color w:val="auto"/>
        </w:rPr>
        <w:t>. Subject to the terms and conditions set forth in this Agreement, on the Closing Date (as defined below)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shall surrender and forfeit all of the Holder’s right, title and interest in and to all of the Preferred Stock free and clear of any mortgage, lien, pledge,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 security interest, encumbrance, option, or other adverse claim thereto (a “</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in exchange for delivery of the following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Consideration</w:t>
      </w:r>
      <w:r>
        <w:rPr>
          <w:rFonts w:ascii="Times New Roman" w:cs="Times New Roman" w:eastAsia="Times New Roman" w:hAnsi="Times New Roman"/>
          <w:sz w:val="18"/>
          <w:szCs w:val="18"/>
          <w:color w:val="auto"/>
        </w:rPr>
        <w:t>”), which shall be in full satisfaction of all obligations of the Company, and claims by the Holder, under the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but not limited to, any accrued and unpaid dividends payable with respect to the Preferred Stock):</w:t>
      </w:r>
    </w:p>
    <w:p>
      <w:pPr>
        <w:spacing w:after="0" w:line="207" w:lineRule="exact"/>
        <w:rPr>
          <w:sz w:val="20"/>
          <w:szCs w:val="20"/>
          <w:color w:val="auto"/>
        </w:rPr>
      </w:pPr>
    </w:p>
    <w:p>
      <w:pPr>
        <w:ind w:left="2600" w:hanging="648"/>
        <w:spacing w:after="0"/>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2029 Notes having the aggregate principal amount set forth next to the Holder’s name in column B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2600" w:hanging="648"/>
        <w:spacing w:after="0"/>
        <w:tabs>
          <w:tab w:leader="none" w:pos="2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set forth next to the Holder’s name in column C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Common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203" w:lineRule="exact"/>
        <w:rPr>
          <w:sz w:val="20"/>
          <w:szCs w:val="20"/>
          <w:color w:val="auto"/>
        </w:rPr>
      </w:pPr>
    </w:p>
    <w:p>
      <w:pPr>
        <w:ind w:right="160" w:firstLine="1952"/>
        <w:spacing w:after="0" w:line="262" w:lineRule="auto"/>
        <w:tabs>
          <w:tab w:leader="none" w:pos="25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in cash of the aggregate amount set forth next to the Holder’s name in column D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The Cash Payment shall be payable in three equal installments, with the first such payment (the “</w:t>
      </w:r>
      <w:r>
        <w:rPr>
          <w:rFonts w:ascii="Times New Roman" w:cs="Times New Roman" w:eastAsia="Times New Roman" w:hAnsi="Times New Roman"/>
          <w:sz w:val="18"/>
          <w:szCs w:val="18"/>
          <w:b w:val="1"/>
          <w:bCs w:val="1"/>
          <w:color w:val="auto"/>
        </w:rPr>
        <w:t>First Installment</w:t>
      </w:r>
      <w:r>
        <w:rPr>
          <w:rFonts w:ascii="Times New Roman" w:cs="Times New Roman" w:eastAsia="Times New Roman" w:hAnsi="Times New Roman"/>
          <w:sz w:val="18"/>
          <w:szCs w:val="18"/>
          <w:color w:val="auto"/>
        </w:rPr>
        <w:t>”) due and payable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and the two remaining installments due and payable on the six and twelve month anniversaries, respectively, of the Closing Date (or, if any such date is not a business day, the first business day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ind w:right="120" w:firstLine="1539"/>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on the date hereof (or such other date as is mutually agreed to by the Company and the Holder)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provided that the representations and warranties made by the Company in Section 2 of this Agreement and by the Holder in Section 3 of this Agreement are true and correct on the Closing Date as if made on the Closing Date. At the Closing, the Holder shall deliver a stock power executed in blank, transferring the Preferred Stock to the Company, and the Company shall:</w:t>
      </w:r>
    </w:p>
    <w:p>
      <w:pPr>
        <w:spacing w:after="0" w:line="180" w:lineRule="exact"/>
        <w:rPr>
          <w:sz w:val="20"/>
          <w:szCs w:val="20"/>
          <w:color w:val="auto"/>
        </w:rPr>
      </w:pPr>
    </w:p>
    <w:p>
      <w:pPr>
        <w:ind w:left="2600" w:hanging="648"/>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its books and records to reflect the cancellation of the Preferred Stock;</w:t>
      </w:r>
    </w:p>
    <w:p>
      <w:pPr>
        <w:spacing w:after="0" w:line="221" w:lineRule="exact"/>
        <w:rPr>
          <w:rFonts w:ascii="Times New Roman" w:cs="Times New Roman" w:eastAsia="Times New Roman" w:hAnsi="Times New Roman"/>
          <w:sz w:val="18"/>
          <w:szCs w:val="18"/>
          <w:color w:val="auto"/>
        </w:rPr>
      </w:pPr>
    </w:p>
    <w:p>
      <w:pPr>
        <w:ind w:right="160" w:firstLine="1952"/>
        <w:spacing w:after="0" w:line="286" w:lineRule="auto"/>
        <w:tabs>
          <w:tab w:leader="none" w:pos="25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Trustee to deliver the New Notes in book-entry form to the Holder’s Depositary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account(s) through the applicable procedures of DTC set forth opposite the Holder’s name on Schedule A, in accordance with the terms of the Indenture;</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cause to be issued) the Common Shares in book entry form to the Holder; and</w:t>
      </w:r>
    </w:p>
    <w:p>
      <w:pPr>
        <w:spacing w:after="0" w:line="225" w:lineRule="exact"/>
        <w:rPr>
          <w:rFonts w:ascii="Times New Roman" w:cs="Times New Roman" w:eastAsia="Times New Roman" w:hAnsi="Times New Roman"/>
          <w:sz w:val="18"/>
          <w:szCs w:val="18"/>
          <w:color w:val="auto"/>
        </w:rPr>
      </w:pPr>
    </w:p>
    <w:p>
      <w:pPr>
        <w:ind w:right="300" w:firstLine="1952"/>
        <w:spacing w:after="0" w:line="282" w:lineRule="auto"/>
        <w:tabs>
          <w:tab w:leader="none" w:pos="25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Holder, by wire transfer of immediately available funds to such account or accounts as designated by the Holder at least one (1) business day prior to the Closing, the First Installment.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remaining portion of the Cash Payment shall be paid by the Company by the dates set forth in Section 1.1(c), in each case by wire transfer of immediately available funds to such account or accounts as designated by the Holder at least one (1) business day prior to the applicable payment date. For the avoidance of doubt, each of the New Notes, Common Shares and Cash Payment shall be delivered, issued or paid, as applicable, without reduction for any deduction or withholding.</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a material inducement to the Holder to enter into this Agreement, the Company hereby represents and warrants to the Holder that the following statements are true and correct as of the date of this Agreement and will be true and correct as of the Closing Date.</w:t>
      </w:r>
    </w:p>
    <w:p>
      <w:pPr>
        <w:spacing w:after="0" w:line="176" w:lineRule="exact"/>
        <w:rPr>
          <w:sz w:val="20"/>
          <w:szCs w:val="20"/>
          <w:color w:val="auto"/>
        </w:rPr>
      </w:pPr>
    </w:p>
    <w:p>
      <w:pPr>
        <w:ind w:right="40" w:firstLine="1539"/>
        <w:spacing w:after="0" w:line="312"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Organization, Corporate Power and Licenses</w:t>
      </w:r>
      <w:r>
        <w:rPr>
          <w:rFonts w:ascii="Times New Roman" w:cs="Times New Roman" w:eastAsia="Times New Roman" w:hAnsi="Times New Roman"/>
          <w:sz w:val="17"/>
          <w:szCs w:val="17"/>
          <w:color w:val="auto"/>
        </w:rPr>
        <w:t>. The Company is a corporation duly organized, validly existing and in good standing under the laws of the State of Delaware. The Company possesses all requisite corporate power and authority necessary to carry out the Exchange.</w:t>
      </w:r>
    </w:p>
    <w:p>
      <w:pPr>
        <w:spacing w:after="0" w:line="140" w:lineRule="exact"/>
        <w:rPr>
          <w:sz w:val="20"/>
          <w:szCs w:val="20"/>
          <w:color w:val="auto"/>
        </w:rPr>
      </w:pPr>
    </w:p>
    <w:p>
      <w:pPr>
        <w:ind w:right="60" w:firstLine="1539"/>
        <w:spacing w:after="0" w:line="268"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Authorization; No Breach</w:t>
      </w:r>
      <w:r>
        <w:rPr>
          <w:rFonts w:ascii="Times New Roman" w:cs="Times New Roman" w:eastAsia="Times New Roman" w:hAnsi="Times New Roman"/>
          <w:sz w:val="17"/>
          <w:szCs w:val="17"/>
          <w:color w:val="auto"/>
        </w:rPr>
        <w:t>. The execution, delivery and performance of this Agreement has been duly authorized by the requisite corporate action of the Company. Assuming that this Agreement constitutes the legal, valid and binding obligation of the Holder, then this Agreement constitutes the legal, valid, and binding obligation of the Company, enforceable against the Company in accordance with its terms, subject to applicable bankruptcy, insolvency, reorganization, moratorium, fraudulent conveyance and other similar laws of general application affecting enforcement of creditors’ rights generally and general principles of equity and there is no litigation challenging the enforceability of this Agreement in accordance with its terms. The execution and delivery by the Company of this Agreement and the consummation of the Exchange by the Company in accordance with the terms of this Agreement does not and shall not (i) conflict with or result in a breach of the terms, conditions or provisions of, (ii) result in a violation of, or</w:t>
      </w:r>
    </w:p>
    <w:p>
      <w:pPr>
        <w:spacing w:after="0" w:line="2" w:lineRule="exact"/>
        <w:rPr>
          <w:sz w:val="20"/>
          <w:szCs w:val="20"/>
          <w:color w:val="auto"/>
        </w:rPr>
      </w:pPr>
    </w:p>
    <w:p>
      <w:pPr>
        <w:ind w:right="180" w:firstLine="8"/>
        <w:spacing w:after="0" w:line="252"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authorization, consent, approval, exemption or other action by or notice or declaration to, or filing with (other than any consent that has been obtained on or prior to the date hereof, and other than required filings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any applicable state and federal securities laws and the rules and regulations of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which the Company undertakes to file within the applicable time periods), any third party or any court or administrative or governmental body or agency pursuant to, (A) the Company’s certificate of incorporation or bylaws, or (B) any law, statute, rule or regulation to which the Company is subject, or any material agreement, instrument, order, judgment or decree to which the Company is subject.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6" w:name="page7"/>
    <w:bookmarkEnd w:id="6"/>
    <w:p>
      <w:pPr>
        <w:ind w:right="28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giving effect to the Exchange, will not be required to register as an “investment company” within the meaning of the Investment Company Act of 1940, as amended, and the rules and regulations of the Commission thereunder.</w:t>
      </w:r>
    </w:p>
    <w:p>
      <w:pPr>
        <w:spacing w:after="0" w:line="176" w:lineRule="exact"/>
        <w:rPr>
          <w:sz w:val="20"/>
          <w:szCs w:val="20"/>
          <w:color w:val="auto"/>
        </w:rPr>
      </w:pPr>
    </w:p>
    <w:p>
      <w:pPr>
        <w:ind w:right="140" w:firstLine="1539"/>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Common Shares have been duly and validly authorized. Upon the issuance of the Common Shares in accordance with the terms hereof, the Common Shares will be validly issued, fully paid and nonassessable and free and clear of all encumbrances and restrictions, except for restrictions on transfer imposed by applicable securities laws and except for those created by the Holder, and shall not be subject to preemptive or similar rights. Assuming the accuracy of the representations and warranties of the Holder in this Agreement, the Common Shares will be issued in compliance with all applicable federal and state securities laws.</w:t>
      </w:r>
    </w:p>
    <w:p>
      <w:pPr>
        <w:spacing w:after="0" w:line="183" w:lineRule="exact"/>
        <w:rPr>
          <w:sz w:val="20"/>
          <w:szCs w:val="20"/>
          <w:color w:val="auto"/>
        </w:rPr>
      </w:pPr>
    </w:p>
    <w:p>
      <w:pPr>
        <w:ind w:right="140" w:firstLine="1539"/>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The New Notes</w:t>
      </w:r>
      <w:r>
        <w:rPr>
          <w:rFonts w:ascii="Times New Roman" w:cs="Times New Roman" w:eastAsia="Times New Roman" w:hAnsi="Times New Roman"/>
          <w:sz w:val="18"/>
          <w:szCs w:val="18"/>
          <w:color w:val="auto"/>
        </w:rPr>
        <w:t>. The New Notes will be issued pursuant to the Indenture. When the New Notes have been duly executed and authenticated in accordance with the terms of the Indenture and delivered upon consummation of the Exchange against receipt of the Preferred Stock surrendered in exchange therefor as provided herein, the New Notes will constitute the valid and binding obligations of the Company entitled to the benefits of the Indenture and enforceable against the Company in accordance with its terms, except as enforcement thereof may be limited by bankruptcy, insolvency, reorganization, fraudulent conveyance, moratorium or other similar laws relating to or affecting enforcement of creditors’ rights generally and except as enforcement thereof is subject to general principles of equity (regardless of whether enforcement is considered in a proceeding in equity or at law).</w:t>
      </w:r>
    </w:p>
    <w:p>
      <w:pPr>
        <w:spacing w:after="0" w:line="189" w:lineRule="exact"/>
        <w:rPr>
          <w:sz w:val="20"/>
          <w:szCs w:val="20"/>
          <w:color w:val="auto"/>
        </w:rPr>
      </w:pPr>
    </w:p>
    <w:p>
      <w:pPr>
        <w:ind w:right="40" w:firstLine="1539"/>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SEC Filings; Financial Information</w:t>
      </w:r>
      <w:r>
        <w:rPr>
          <w:rFonts w:ascii="Times New Roman" w:cs="Times New Roman" w:eastAsia="Times New Roman" w:hAnsi="Times New Roman"/>
          <w:sz w:val="18"/>
          <w:szCs w:val="18"/>
          <w:color w:val="auto"/>
        </w:rPr>
        <w:t>. True and complete copies of the SEC Filings (as defined below) are available to the Holder through the Electronic Data Gathering, Analysis, and Retrieval system (the “</w:t>
      </w:r>
      <w:r>
        <w:rPr>
          <w:rFonts w:ascii="Times New Roman" w:cs="Times New Roman" w:eastAsia="Times New Roman" w:hAnsi="Times New Roman"/>
          <w:sz w:val="18"/>
          <w:szCs w:val="18"/>
          <w:b w:val="1"/>
          <w:bCs w:val="1"/>
          <w:color w:val="auto"/>
        </w:rPr>
        <w:t>EDGAR system</w:t>
      </w:r>
      <w:r>
        <w:rPr>
          <w:rFonts w:ascii="Times New Roman" w:cs="Times New Roman" w:eastAsia="Times New Roman" w:hAnsi="Times New Roman"/>
          <w:sz w:val="18"/>
          <w:szCs w:val="18"/>
          <w:color w:val="auto"/>
        </w:rPr>
        <w:t>”) (other than any information for which the Company has received confidential treatment from the SEC). For the one (1) year preceding the date hereof (or such shorter period as the Company was required by law or regulation to file such material), the Company has filed all reports, schedules, forms, statements and other documents required to be filed by the Company under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including pursuant to Section 13(a) or 15(d) thereof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color w:val="auto"/>
        </w:rPr>
        <w:t>SEC Filings</w:t>
      </w:r>
      <w:r>
        <w:rPr>
          <w:rFonts w:ascii="Times New Roman" w:cs="Times New Roman" w:eastAsia="Times New Roman" w:hAnsi="Times New Roman"/>
          <w:sz w:val="18"/>
          <w:szCs w:val="18"/>
          <w:color w:val="auto"/>
        </w:rPr>
        <w:t>”). At the time of filing thereof, the SEC Filings complied as to form in all material respects with the requirements of the Securities Act or Exchange Act, as applicable, and, as of their respective dates, did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94" w:lineRule="exact"/>
        <w:rPr>
          <w:sz w:val="20"/>
          <w:szCs w:val="20"/>
          <w:color w:val="auto"/>
        </w:rPr>
      </w:pPr>
    </w:p>
    <w:p>
      <w:pPr>
        <w:ind w:firstLine="1539"/>
        <w:spacing w:after="0" w:line="267"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No Material Adverse Change</w:t>
      </w:r>
      <w:r>
        <w:rPr>
          <w:rFonts w:ascii="Times New Roman" w:cs="Times New Roman" w:eastAsia="Times New Roman" w:hAnsi="Times New Roman"/>
          <w:sz w:val="17"/>
          <w:szCs w:val="17"/>
          <w:color w:val="auto"/>
        </w:rPr>
        <w:t>. Since September 30, 2025, except as specifically set forth in a subsequent SEC Filing filed prior to the date hereof, there has not been: (a) any material adverse change in the financial condition or operating results of the Company and its subsidiaries, taken as a whole, from that reflected in the financial statements included in the Company’s Quarterly Report on Form 10-Q for the nine (9) months ended September 30, 2025; (b) any declaration or payment by the Company of any dividend (other than the accrual of dividends on the Series E Preferred), or any authorization or payment by the Company of any distribution, on any of the capital stock of the Company, or any redemption or repurchase by the Company of any equity securities of the Company; (c) any material damage, destruction or loss, whether or not covered by insurance, to any assets or properties of the Company; (d) any waiver, not in the ordinary course of business, by the Company of a material right or of a material debt owed to it; (e) any satisfaction or discharge of a material lien, claim or encumbrance or payment of any obligation by the Company, except in the ordinary course of business; (f) any material labor difficulties or, to the Company’s knowledge, labor union organizing activities with respect to employees of the Company; or</w:t>
      </w:r>
    </w:p>
    <w:p>
      <w:pPr>
        <w:spacing w:after="0" w:line="5" w:lineRule="exact"/>
        <w:rPr>
          <w:sz w:val="20"/>
          <w:szCs w:val="20"/>
          <w:color w:val="auto"/>
        </w:rPr>
      </w:pPr>
    </w:p>
    <w:p>
      <w:pPr>
        <w:ind w:right="12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any equity securities to any executive officer, director or affiliate of the Company, except Common Stock issued in the ordinary course pursuant to existing Company stock option or stock purchase plans or executive and director corporate arrangements disclosed in the SEC Filings.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ind w:right="240" w:firstLine="1539"/>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All of the issued and outstanding shares of the Company’s capital stock have been duly authorized and are validly issued, fully paid and nonassessable. None of such shares were issued in violation of any preemptive rights or other similar rights of third parties and such shares were issued in compliance with applicable state and federal securities laws. No person is entitled to preemptive or similar statutory or contractual rights with respect to the issuance by the Company of any securities of the Company. There are no outstanding warrants, options, convertible securities or other rights, agreements or arrangements of any character under which the Company is or may be obligated to issue any equity securities of any kind and except as disclosed in the Company’s SEC Filings.</w:t>
      </w:r>
    </w:p>
    <w:p>
      <w:pPr>
        <w:spacing w:after="0" w:line="187" w:lineRule="exact"/>
        <w:rPr>
          <w:sz w:val="20"/>
          <w:szCs w:val="20"/>
          <w:color w:val="auto"/>
        </w:rPr>
      </w:pPr>
    </w:p>
    <w:p>
      <w:pPr>
        <w:ind w:right="140" w:firstLine="1539"/>
        <w:spacing w:after="0" w:line="26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representations and warranties of the Holder set forth in Section 3, the offer and sale of the New Notes and the Common Shares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to the Holder as contemplated hereby is exempt from the registration requirements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issuance and sale of the Common Shares does not contravene the rules and regulations of Nasdaq.</w:t>
      </w:r>
    </w:p>
    <w:p>
      <w:pPr>
        <w:spacing w:after="0" w:line="180" w:lineRule="exact"/>
        <w:rPr>
          <w:sz w:val="20"/>
          <w:szCs w:val="20"/>
          <w:color w:val="auto"/>
        </w:rPr>
      </w:pPr>
    </w:p>
    <w:p>
      <w:pPr>
        <w:ind w:right="40" w:firstLine="1539"/>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No Directed Selling Efforts or General Solicitation</w:t>
      </w:r>
      <w:r>
        <w:rPr>
          <w:rFonts w:ascii="Times New Roman" w:cs="Times New Roman" w:eastAsia="Times New Roman" w:hAnsi="Times New Roman"/>
          <w:sz w:val="18"/>
          <w:szCs w:val="18"/>
          <w:color w:val="auto"/>
        </w:rPr>
        <w:t>. Neither the Company nor any person acting on its behalf has conducted any general solicitation or general advertising (as those terms are used in Regulation D) in connection with the offer or sale of the Securities.</w:t>
      </w:r>
    </w:p>
    <w:p>
      <w:pPr>
        <w:spacing w:after="0" w:line="162" w:lineRule="exact"/>
        <w:rPr>
          <w:sz w:val="20"/>
          <w:szCs w:val="20"/>
          <w:color w:val="auto"/>
        </w:rPr>
      </w:pPr>
    </w:p>
    <w:p>
      <w:pPr>
        <w:ind w:right="20" w:firstLine="1539"/>
        <w:spacing w:after="0" w:line="26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Securities under the Securities Act.</w:t>
      </w:r>
    </w:p>
    <w:p>
      <w:pPr>
        <w:spacing w:after="0" w:line="180" w:lineRule="exact"/>
        <w:rPr>
          <w:sz w:val="20"/>
          <w:szCs w:val="20"/>
          <w:color w:val="auto"/>
        </w:rPr>
      </w:pPr>
    </w:p>
    <w:p>
      <w:pPr>
        <w:ind w:right="20" w:firstLine="1539"/>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The Company has not, and, to the Company’s knowledge, no person acting on its behalf has (a) taken, directly or indirectly, any action designed to cause or to result in the stabilization or manipulation of the price of any security of the Company to facilitate the sale or resale of any of the Securities, (b) sold, bid for, purchased or paid any compensation for soliciting purchases of, any of the Securities in violation of Regulation M under the Exchange Act or (c) paid or agreed to pay to any person any compensation for soliciting another to purchase any other securities of the Company.</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 of the Holder</w:t>
      </w:r>
      <w:r>
        <w:rPr>
          <w:rFonts w:ascii="Times New Roman" w:cs="Times New Roman" w:eastAsia="Times New Roman" w:hAnsi="Times New Roman"/>
          <w:sz w:val="18"/>
          <w:szCs w:val="18"/>
          <w:color w:val="auto"/>
        </w:rPr>
        <w:t>. As a material inducement to the Company to enter into this Agreement, the Holder hereby represents and warrants to the Company that the following statements are complete and accurate as of the date of this Agreement and will be complete and accurate as of the Closing Date:</w:t>
      </w:r>
    </w:p>
    <w:p>
      <w:pPr>
        <w:spacing w:after="0" w:line="176" w:lineRule="exact"/>
        <w:rPr>
          <w:sz w:val="20"/>
          <w:szCs w:val="20"/>
          <w:color w:val="auto"/>
        </w:rPr>
      </w:pPr>
    </w:p>
    <w:p>
      <w:pPr>
        <w:ind w:right="160" w:firstLine="1539"/>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The Holder is duly incorporated or organized, validly existing and in good standing under the laws of its jurisdiction of organization. The Holder possesses all requisite power and authority necessary to carry out the Exchange.</w:t>
      </w:r>
    </w:p>
    <w:p>
      <w:pPr>
        <w:spacing w:after="0" w:line="162" w:lineRule="exact"/>
        <w:rPr>
          <w:sz w:val="20"/>
          <w:szCs w:val="20"/>
          <w:color w:val="auto"/>
        </w:rPr>
      </w:pPr>
    </w:p>
    <w:p>
      <w:pPr>
        <w:ind w:firstLine="1539"/>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 The execution, delivery and performance of this Agreement has been duly authorized by the requisite corporate, partnership, limited liability company or other applicable action by the Holder. Assuming that this Agreement constitutes the legal, valid and binding obligation of the Company, then this Agreement constitutes the legal, valid, and binding obligation of the Holder, enforceable against the Holder in accordance with its terms, subject to applicable bankruptcy, insolvency, reorganization, moratorium, fraudulent conveyance and other similar laws of general application affecting enforcement of creditors’ rights generally and general principles of equity and there is no litigation challenging the enforceability of this Agreement in accordance with its terms. The execution and delivery by the Holder of this Agreement and the consummation of the Exchange by the Holder in accordance with the terms of this Agreement, do not and shall not (i) conflict with or result in a breach of the terms, conditions or provisions of, (ii) result in a violation of, or (iii) require any authorization, consent, approval, exemption or other action by or notice or declaration to, or filing with, any third party or any court or administrative or governmental body or agency pursuant to (A) the Holder’s organizational documents or (B) any law, statute, rule or regulation to which the Holder is subject, or any material agreement, instrument, order, judgment or decree to which the Holder is subject.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ind w:right="80" w:firstLine="1539"/>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Ownership and Holding Period</w:t>
      </w:r>
      <w:r>
        <w:rPr>
          <w:rFonts w:ascii="Times New Roman" w:cs="Times New Roman" w:eastAsia="Times New Roman" w:hAnsi="Times New Roman"/>
          <w:sz w:val="18"/>
          <w:szCs w:val="18"/>
          <w:color w:val="auto"/>
        </w:rPr>
        <w:t>. The Holder is the sole legal and beneficial owner of the Preferred Stock and is a qualified institutional buyer for purposes of Rule 144A promulgated under the Securities Act. The Holder has good, valid and marketable title to the Preferred Stock free and clear of all Liens, and the Holder does not own or hold beneficially or of record any securities of the Company (or any rights or interests of any nature whatsoever in or with respect to any such securities) other than the Preferred Stock. Except for this Agreement, the Holder is not party to or bound by any contract, option or other arrangement or understanding with respect to the purchase, sale, delivery, transfer, gift, pledge, hypothecation, encumbrance, assignment or other disposition or acquisition of (including by operation of law) the Preferred Stock (or any rights or interests of any nature whatsoever in or with respect to any of the Preferred Stock) or as to voting, agreeing or consenting (or abstaining therefrom) with respect to any amendment to or waiver of any terms of, or taking any action whatsoever with respect to, the Preferred Stock.</w:t>
      </w:r>
    </w:p>
    <w:p>
      <w:pPr>
        <w:spacing w:after="0" w:line="192" w:lineRule="exact"/>
        <w:rPr>
          <w:sz w:val="20"/>
          <w:szCs w:val="20"/>
          <w:color w:val="auto"/>
        </w:rPr>
      </w:pPr>
    </w:p>
    <w:p>
      <w:pPr>
        <w:ind w:right="36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Full Satisfaction of Obligations under the Preferred Stock</w:t>
      </w:r>
      <w:r>
        <w:rPr>
          <w:rFonts w:ascii="Times New Roman" w:cs="Times New Roman" w:eastAsia="Times New Roman" w:hAnsi="Times New Roman"/>
          <w:sz w:val="18"/>
          <w:szCs w:val="18"/>
          <w:color w:val="auto"/>
        </w:rPr>
        <w:t>. The Holder acknowledges that upon receipt of the Exchange Consideration, the obligations of the Company to the Holder under the Preferred Stock have been satisfied in full and no accrued and unpaid dividends shall be payable on such Preferred Stock to the Holder.</w:t>
      </w:r>
    </w:p>
    <w:p>
      <w:pPr>
        <w:spacing w:after="0" w:line="176" w:lineRule="exact"/>
        <w:rPr>
          <w:sz w:val="20"/>
          <w:szCs w:val="20"/>
          <w:color w:val="auto"/>
        </w:rPr>
      </w:pPr>
    </w:p>
    <w:p>
      <w:pPr>
        <w:jc w:val="both"/>
        <w:ind w:firstLine="1539"/>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Neither the Holder nor any of its officers or directors has retained or authorized any investment banker, broker, finder or other intermediary to act on behalf of the Holder or incurred any liability for any banker’s, broker’s or finder’s fees or commissions in connection with the Exchange whose fees would be payable by the Company.</w:t>
      </w:r>
    </w:p>
    <w:p>
      <w:pPr>
        <w:spacing w:after="0" w:line="176" w:lineRule="exact"/>
        <w:rPr>
          <w:sz w:val="20"/>
          <w:szCs w:val="20"/>
          <w:color w:val="auto"/>
        </w:rPr>
      </w:pPr>
    </w:p>
    <w:p>
      <w:pPr>
        <w:ind w:right="40" w:firstLine="1539"/>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The Securities will be acquired for the Holder’s own account and not for the account of others or as nominee or agent, and not with a view to, or for, resale, distribution, syndication, or fractionalization thereof, and the Holder has no present intention of selling, granting any participation in, or otherwise distributing the same in violation of the Securities Act without prejudice, however, to the Holder’s right at all times to sell or otherwise dispose of all or any part of such Securities in compliance with applicable federal and state securities laws; provided, however, that by making the representations herein, such Holder does not agree to hold any of the Securities for any minimum period of time and reserves the right, subject to the provisions of this Agreement and the applicable federal and state securities laws, at all times to sell or otherwise dispose of all or any part of such Securities, pursuant to an effective registration statement under the Securities Act or under an exemption from such registration and in compliance with applicable federal and state securities laws.</w:t>
      </w:r>
    </w:p>
    <w:p>
      <w:pPr>
        <w:spacing w:after="0" w:line="192" w:lineRule="exact"/>
        <w:rPr>
          <w:sz w:val="20"/>
          <w:szCs w:val="20"/>
          <w:color w:val="auto"/>
        </w:rPr>
      </w:pPr>
    </w:p>
    <w:p>
      <w:pPr>
        <w:jc w:val="both"/>
        <w:ind w:right="20" w:firstLine="1539"/>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Investment Experience; No Endorsement</w:t>
      </w:r>
      <w:r>
        <w:rPr>
          <w:rFonts w:ascii="Times New Roman" w:cs="Times New Roman" w:eastAsia="Times New Roman" w:hAnsi="Times New Roman"/>
          <w:sz w:val="18"/>
          <w:szCs w:val="18"/>
          <w:color w:val="auto"/>
        </w:rPr>
        <w:t>. The Holder understands that the Holder’s investment in the Securities involves a high degree of risk and that no United States federal or state agency or any other government or governmental agency has passed or made any recommendation or endorsement of the Securities. The Holder acknowledges that it can bear the economic risk and complete loss of its investment in the Securities and has such knowledge and experience in financial or business matters that it is capable of evaluating the merits and risks of the investment contemplated hereby.</w:t>
      </w:r>
    </w:p>
    <w:p>
      <w:pPr>
        <w:spacing w:after="0" w:line="180" w:lineRule="exact"/>
        <w:rPr>
          <w:sz w:val="20"/>
          <w:szCs w:val="20"/>
          <w:color w:val="auto"/>
        </w:rPr>
      </w:pPr>
    </w:p>
    <w:p>
      <w:pPr>
        <w:ind w:right="6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Holder has had an opportunity to receive all information related to the Company requested by it and to ask questions of and receive answers from the Company regarding the Company, its business and the terms and conditions of the offering of the Securities.</w:t>
      </w:r>
    </w:p>
    <w:p>
      <w:pPr>
        <w:spacing w:after="0" w:line="176" w:lineRule="exact"/>
        <w:rPr>
          <w:sz w:val="20"/>
          <w:szCs w:val="20"/>
          <w:color w:val="auto"/>
        </w:rPr>
      </w:pPr>
    </w:p>
    <w:p>
      <w:pPr>
        <w:ind w:right="4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Holder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ind w:right="60" w:firstLine="1539"/>
        <w:spacing w:after="0" w:line="28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Holder understands that the New Notes may bear the following or any similar legend that may be required by the terms of the New Indenture:</w:t>
      </w:r>
    </w:p>
    <w:p>
      <w:pPr>
        <w:spacing w:after="0" w:line="162" w:lineRule="exact"/>
        <w:rPr>
          <w:sz w:val="20"/>
          <w:szCs w:val="20"/>
          <w:color w:val="auto"/>
        </w:rPr>
      </w:pPr>
    </w:p>
    <w:p>
      <w:pPr>
        <w:ind w:right="920" w:firstLine="1539"/>
        <w:spacing w:after="0" w:line="258" w:lineRule="auto"/>
        <w:rPr>
          <w:sz w:val="20"/>
          <w:szCs w:val="20"/>
          <w:color w:val="auto"/>
        </w:rPr>
      </w:pPr>
      <w:r>
        <w:rPr>
          <w:rFonts w:ascii="Times New Roman" w:cs="Times New Roman" w:eastAsia="Times New Roman" w:hAnsi="Times New Roman"/>
          <w:sz w:val="18"/>
          <w:szCs w:val="18"/>
          <w:color w:val="auto"/>
        </w:rPr>
        <w:t>“THE OFFER AND SALE OF THIS NOTE HAVE NOT BEEN REGISTERED UNDER THE SECURITIES ACT OF 1933, AS AMENDED (THE “SECURITIES ACT”), AND, THIS NOTE MAY NOT BE OFFERED, SOLD, PLEDGED OR OTHERWISE TRANSFERRED EXCEPT IN ACCORDANCE WITH THE FOLLOWING SENTENCE. BY ITS ACQUISITION HEREOF OR OF A BENEFICIAL INTEREST HEREIN, THE ACQUIRER, AGREES FOR THE BENEFIT OF THE COMPANY THAT IT WILL NOT OFFER, SELL PLEDGE OR OTHERWISE TRANSFER THIS NOTE OR ANY BENEFICIAL INTEREST HEREIN, EXCEPT ONLY:</w:t>
      </w:r>
    </w:p>
    <w:p>
      <w:pPr>
        <w:spacing w:after="0" w:line="183" w:lineRule="exact"/>
        <w:rPr>
          <w:sz w:val="20"/>
          <w:szCs w:val="20"/>
          <w:color w:val="auto"/>
        </w:rPr>
      </w:pPr>
    </w:p>
    <w:p>
      <w:pPr>
        <w:ind w:left="1980" w:hanging="433"/>
        <w:spacing w:after="0"/>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225" w:lineRule="exact"/>
        <w:rPr>
          <w:rFonts w:ascii="Times New Roman" w:cs="Times New Roman" w:eastAsia="Times New Roman" w:hAnsi="Times New Roman"/>
          <w:sz w:val="18"/>
          <w:szCs w:val="18"/>
          <w:color w:val="auto"/>
        </w:rPr>
      </w:pPr>
    </w:p>
    <w:p>
      <w:pPr>
        <w:ind w:left="1960" w:hanging="413"/>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207" w:lineRule="exact"/>
        <w:rPr>
          <w:sz w:val="20"/>
          <w:szCs w:val="20"/>
          <w:color w:val="auto"/>
        </w:rPr>
      </w:pPr>
    </w:p>
    <w:p>
      <w:pPr>
        <w:ind w:right="800" w:firstLine="1547"/>
        <w:spacing w:after="0" w:line="282" w:lineRule="auto"/>
        <w:tabs>
          <w:tab w:leader="none" w:pos="1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THAT IT REASONABLY BELIEVES TO BE A QUALIFIED INSTITUTIONAL BUYER AND IN COMPLIANCE WITH RULE 144A UNDER THE SECURITIES ACT;</w:t>
      </w:r>
    </w:p>
    <w:p>
      <w:pPr>
        <w:spacing w:after="0" w:line="161" w:lineRule="exact"/>
        <w:rPr>
          <w:rFonts w:ascii="Times New Roman" w:cs="Times New Roman" w:eastAsia="Times New Roman" w:hAnsi="Times New Roman"/>
          <w:sz w:val="18"/>
          <w:szCs w:val="18"/>
          <w:color w:val="auto"/>
        </w:rPr>
      </w:pPr>
    </w:p>
    <w:p>
      <w:pPr>
        <w:ind w:left="1980" w:hanging="433"/>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w:t>
      </w:r>
    </w:p>
    <w:p>
      <w:pPr>
        <w:spacing w:after="0" w:line="225" w:lineRule="exact"/>
        <w:rPr>
          <w:rFonts w:ascii="Times New Roman" w:cs="Times New Roman" w:eastAsia="Times New Roman" w:hAnsi="Times New Roman"/>
          <w:sz w:val="18"/>
          <w:szCs w:val="18"/>
          <w:color w:val="auto"/>
        </w:rPr>
      </w:pPr>
    </w:p>
    <w:p>
      <w:pPr>
        <w:ind w:left="2000" w:hanging="453"/>
        <w:spacing w:after="0"/>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OFFSHORE TRANSACTION IN ACCORDANCE WITH REGULATION S UNDER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w:t>
      </w:r>
    </w:p>
    <w:p>
      <w:pPr>
        <w:spacing w:after="0" w:line="206" w:lineRule="exact"/>
        <w:rPr>
          <w:rFonts w:ascii="Times New Roman" w:cs="Times New Roman" w:eastAsia="Times New Roman" w:hAnsi="Times New Roman"/>
          <w:sz w:val="18"/>
          <w:szCs w:val="18"/>
          <w:color w:val="auto"/>
        </w:rPr>
      </w:pPr>
    </w:p>
    <w:p>
      <w:pPr>
        <w:ind w:right="1320" w:firstLine="1547"/>
        <w:spacing w:after="0" w:line="282" w:lineRule="auto"/>
        <w:tabs>
          <w:tab w:leader="none" w:pos="19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ind w:right="660" w:firstLine="1539"/>
        <w:spacing w:after="0" w:line="258"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(D), (E) OR (F)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spacing w:after="0" w:line="183" w:lineRule="exact"/>
        <w:rPr>
          <w:sz w:val="20"/>
          <w:szCs w:val="20"/>
          <w:color w:val="auto"/>
        </w:rPr>
      </w:pPr>
    </w:p>
    <w:p>
      <w:pPr>
        <w:ind w:firstLine="1539"/>
        <w:spacing w:after="0" w:line="266" w:lineRule="auto"/>
        <w:rPr>
          <w:sz w:val="20"/>
          <w:szCs w:val="20"/>
          <w:color w:val="auto"/>
        </w:rPr>
      </w:pPr>
      <w:r>
        <w:rPr>
          <w:rFonts w:ascii="Times New Roman" w:cs="Times New Roman" w:eastAsia="Times New Roman" w:hAnsi="Times New Roman"/>
          <w:sz w:val="18"/>
          <w:szCs w:val="18"/>
          <w:color w:val="auto"/>
        </w:rPr>
        <w:t>The Holder further understands that certificates (or book entry notations) evidencing the Common Shares may bear a legend in substantially the following form, together with such legends, if any, as may be required by the authorities of any state in connection with the issuance of the Securities:</w:t>
      </w:r>
    </w:p>
    <w:p>
      <w:pPr>
        <w:spacing w:after="0" w:line="176" w:lineRule="exact"/>
        <w:rPr>
          <w:sz w:val="20"/>
          <w:szCs w:val="20"/>
          <w:color w:val="auto"/>
        </w:rPr>
      </w:pPr>
    </w:p>
    <w:p>
      <w:pPr>
        <w:ind w:right="640" w:firstLine="1539"/>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0" w:name="page11"/>
    <w:bookmarkEnd w:id="10"/>
    <w:p>
      <w:pPr>
        <w:ind w:left="1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Holder is an “accredited investor” as defined in Rule 501(a) of Regulation D, as amended,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207" w:lineRule="exact"/>
        <w:rPr>
          <w:sz w:val="20"/>
          <w:szCs w:val="20"/>
          <w:color w:val="auto"/>
        </w:rPr>
      </w:pPr>
    </w:p>
    <w:p>
      <w:pPr>
        <w:ind w:right="340" w:firstLine="1539"/>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Holder did not enter into this Agreement or otherwise acquire the Securities as a result of any general solicitation or general advertising.</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539"/>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 The Company shall file, within six months of the Closing Date, a registration statement for a shelf registration on Form S-3 (the “</w:t>
      </w:r>
      <w:r>
        <w:rPr>
          <w:rFonts w:ascii="Times New Roman" w:cs="Times New Roman" w:eastAsia="Times New Roman" w:hAnsi="Times New Roman"/>
          <w:sz w:val="18"/>
          <w:szCs w:val="18"/>
          <w:b w:val="1"/>
          <w:bCs w:val="1"/>
          <w:color w:val="auto"/>
        </w:rPr>
        <w:t>Form S-3 Shelf</w:t>
      </w:r>
      <w:r>
        <w:rPr>
          <w:rFonts w:ascii="Times New Roman" w:cs="Times New Roman" w:eastAsia="Times New Roman" w:hAnsi="Times New Roman"/>
          <w:sz w:val="18"/>
          <w:szCs w:val="18"/>
          <w:color w:val="auto"/>
        </w:rPr>
        <w:t>”), or if Company is ineligible to use a Form S-3 Shelf, a registration statement for a shelf registration on Form S-1 (the “</w:t>
      </w:r>
      <w:r>
        <w:rPr>
          <w:rFonts w:ascii="Times New Roman" w:cs="Times New Roman" w:eastAsia="Times New Roman" w:hAnsi="Times New Roman"/>
          <w:sz w:val="18"/>
          <w:szCs w:val="18"/>
          <w:b w:val="1"/>
          <w:bCs w:val="1"/>
          <w:color w:val="auto"/>
        </w:rPr>
        <w:t>Form S-1 Shelf</w:t>
      </w:r>
      <w:r>
        <w:rPr>
          <w:rFonts w:ascii="Times New Roman" w:cs="Times New Roman" w:eastAsia="Times New Roman" w:hAnsi="Times New Roman"/>
          <w:sz w:val="18"/>
          <w:szCs w:val="18"/>
          <w:color w:val="auto"/>
        </w:rPr>
        <w:t>” and together, with the Form S-3 Shelf (and any Subsequent Shelf Registration Statement (as defined below)), each, a “</w:t>
      </w:r>
      <w:r>
        <w:rPr>
          <w:rFonts w:ascii="Times New Roman" w:cs="Times New Roman" w:eastAsia="Times New Roman" w:hAnsi="Times New Roman"/>
          <w:sz w:val="18"/>
          <w:szCs w:val="18"/>
          <w:b w:val="1"/>
          <w:bCs w:val="1"/>
          <w:color w:val="auto"/>
        </w:rPr>
        <w:t>Shelf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each case, covering the resale of all the Common Shares (determined as of two (2) business days prior to such filing) on a delayed or continuous basis; provided the Holder shall have delivered to the Company all reasonably requested information regarding the Holder and its beneficial ownership of Common Stock not later than five (5) business days prior to the filing of the Registration Statement. The Shelf shall provide for the resale of the Common Shares pursuant to any method or combination of methods legally available to, and requested by, the Holder.</w:t>
      </w:r>
    </w:p>
    <w:p>
      <w:pPr>
        <w:spacing w:after="0" w:line="189" w:lineRule="exact"/>
        <w:rPr>
          <w:sz w:val="20"/>
          <w:szCs w:val="20"/>
          <w:color w:val="auto"/>
        </w:rPr>
      </w:pPr>
    </w:p>
    <w:p>
      <w:pPr>
        <w:ind w:right="100" w:firstLine="1539"/>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The Company shall use its commercially reasonable best efforts to cause the Shelf to become effective as soon as practicable after such filing, but no later than the earlier of (a) forty-five (45) days after the filing thereof (or, in the event the Commission reviews and has written comments to the Registration Statement, ninety (90) days following the filing thereof), (b) the fourth (4th) business day after the date the Company is notified (orally or in writing, whichever is earlier) by the Commission that the Registration Statement will not be “reviewed” or will not be subject to further review, or (c) if the day determined under clause (a) or clause (b) falls on a Saturday, Sunday or other day that the Commission is closed for business, the next business day immediately following the day determined under clause (a) or clause (b) on which the Commission is open for business (the date determined under clause (a), (b) and (c),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The Company shall notify the Holder by facsimile or e-mail as promptly as reasonably practicable, and in any event, within two (2) business days, after the Registration Statement is declared effective. The Company shall maintain a Shelf in accordance with the terms of this Agreement, and shall prepare and file with the Commission such amendments, including post-effective amendments, and supplements as may be necessary to keep such Shelf continuously effective, available for use and in compliance with the provisions of the Securities Act with respect to the Common Shares held by the Holder until the later of (i) such time as all Common Shares issued to the Holder have been sold, transferred or otherwise disposed of pursuant to a Registration Statement or Rule 144, or (ii) such time as all remaining Common Shares held by the Holder may be sold pursuant to Rule 144 without regard to any volume or manner of sale requirement thereunder and all restrictive legends on such Common Shares.</w:t>
      </w:r>
    </w:p>
    <w:p>
      <w:pPr>
        <w:spacing w:after="0" w:line="197" w:lineRule="exact"/>
        <w:rPr>
          <w:sz w:val="20"/>
          <w:szCs w:val="20"/>
          <w:color w:val="auto"/>
        </w:rPr>
      </w:pPr>
    </w:p>
    <w:p>
      <w:pPr>
        <w:ind w:right="20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Conversion of Registration Statement</w:t>
      </w:r>
      <w:r>
        <w:rPr>
          <w:rFonts w:ascii="Times New Roman" w:cs="Times New Roman" w:eastAsia="Times New Roman" w:hAnsi="Times New Roman"/>
          <w:sz w:val="18"/>
          <w:szCs w:val="18"/>
          <w:color w:val="auto"/>
        </w:rPr>
        <w:t>. In the event the Company files a Form S-1 Shelf, the Company shall use its commercially reasonable best efforts to convert the Form S-1 Shelf (and any Subsequent Shelf Registration Statement (as defined below)) to a Form S-3 Shelf as soon as practicable after the Company is eligible to use Form S-3.</w:t>
      </w:r>
    </w:p>
    <w:p>
      <w:pPr>
        <w:spacing w:after="0" w:line="176" w:lineRule="exact"/>
        <w:rPr>
          <w:sz w:val="20"/>
          <w:szCs w:val="20"/>
          <w:color w:val="auto"/>
        </w:rPr>
      </w:pPr>
    </w:p>
    <w:p>
      <w:pPr>
        <w:ind w:firstLine="1539"/>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If any Shelf ceases to be effective under the Securities Act for any reason at any time during the period described in Section 4.2, the Company shall use its commercially reasonable best efforts to, as promptly as is reasonably practicable, cause such Shelf to again become effective under the Securities Act (including using its commercially reasonable best efforts to obtain the prompt withdrawal of any order suspending the effectiveness of such Shelf), and shall use its commercially reasonable best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b w:val="1"/>
          <w:bCs w:val="1"/>
          <w:color w:val="auto"/>
        </w:rPr>
        <w:t>Subsequent Shelf Registration Statement</w:t>
      </w:r>
      <w:r>
        <w:rPr>
          <w:rFonts w:ascii="Times New Roman" w:cs="Times New Roman" w:eastAsia="Times New Roman" w:hAnsi="Times New Roman"/>
          <w:sz w:val="18"/>
          <w:szCs w:val="18"/>
          <w:color w:val="auto"/>
        </w:rPr>
        <w:t>”) registering the resale of all of the Common Shares from time to time, and pursuant to any method or combination of methods legally available to, and requested by, the Holder. Any such Subsequent Shelf Registration Statement shall be on Form S-3 to the extent that the Company is eligible to use such form. Otherwise, such Subsequent Shelf Registration Statement shall be on another appropriate form.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1" w:name="page12"/>
    <w:bookmarkEnd w:id="11"/>
    <w:p>
      <w:pPr>
        <w:ind w:right="20" w:firstLine="1539"/>
        <w:spacing w:after="0" w:line="289" w:lineRule="auto"/>
        <w:rPr>
          <w:sz w:val="20"/>
          <w:szCs w:val="20"/>
          <w:color w:val="auto"/>
        </w:rPr>
      </w:pPr>
      <w:r>
        <w:rPr>
          <w:rFonts w:ascii="Times New Roman" w:cs="Times New Roman" w:eastAsia="Times New Roman" w:hAnsi="Times New Roman"/>
          <w:sz w:val="17"/>
          <w:szCs w:val="17"/>
          <w:color w:val="auto"/>
        </w:rPr>
        <w:t>If a Subsequent Shelf Registration Statement is filed, the Company shall use its commercially reasonable best efforts to (a) cause such Subsequent Shelf Registration Statement to become effective under the Securities Act as promptly as is reasonably practicable after the filing thereof and (b) keep such Subsequent Shelf Registration Statement continuously effective and available for use for the remainder of the period set forth in Section 4.2.</w:t>
      </w:r>
    </w:p>
    <w:p>
      <w:pPr>
        <w:spacing w:after="0" w:line="158" w:lineRule="exact"/>
        <w:rPr>
          <w:sz w:val="20"/>
          <w:szCs w:val="20"/>
          <w:color w:val="auto"/>
        </w:rPr>
      </w:pPr>
    </w:p>
    <w:p>
      <w:pPr>
        <w:ind w:right="100" w:firstLine="1539"/>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Stop Order</w:t>
      </w:r>
      <w:r>
        <w:rPr>
          <w:rFonts w:ascii="Times New Roman" w:cs="Times New Roman" w:eastAsia="Times New Roman" w:hAnsi="Times New Roman"/>
          <w:sz w:val="18"/>
          <w:szCs w:val="18"/>
          <w:color w:val="auto"/>
        </w:rPr>
        <w:t>. The Company shall provide to the Holder prompt written notice (which may be in the form of e-mail) of any time that (a) the Commission has issued a stop order with respect to the Registration Statement, (b) the Commission otherwise has suspended or withdrawn the effectiveness of the Registration Statement, either temporarily or permanently, or (c) the Company has suspended or withdrawn the effectiveness of the Registration Statement, either temporarily or permanently.</w:t>
      </w:r>
    </w:p>
    <w:p>
      <w:pPr>
        <w:spacing w:after="0" w:line="176" w:lineRule="exact"/>
        <w:rPr>
          <w:sz w:val="20"/>
          <w:szCs w:val="20"/>
          <w:color w:val="auto"/>
        </w:rPr>
      </w:pPr>
    </w:p>
    <w:p>
      <w:pPr>
        <w:ind w:right="200" w:firstLine="1539"/>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 connection with any registration pursuant to this Section 4 (each, a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the Company shall pay any applicable filing fee with respect to the Registration Statement and any Subsequent Registration Statement, and its own direct costs, including the professional fees of its own counsel, its independent registered accountants and any financial printer. The Holder shall bear the cost of its own counsel, other advisors and any broker or other intermediary involved in any resale.</w:t>
      </w:r>
    </w:p>
    <w:p>
      <w:pPr>
        <w:spacing w:after="0" w:line="180" w:lineRule="exact"/>
        <w:rPr>
          <w:sz w:val="20"/>
          <w:szCs w:val="20"/>
          <w:color w:val="auto"/>
        </w:rPr>
      </w:pPr>
    </w:p>
    <w:p>
      <w:pPr>
        <w:ind w:right="40" w:firstLine="1539"/>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Updating Registration Statement</w:t>
      </w:r>
      <w:r>
        <w:rPr>
          <w:rFonts w:ascii="Times New Roman" w:cs="Times New Roman" w:eastAsia="Times New Roman" w:hAnsi="Times New Roman"/>
          <w:sz w:val="18"/>
          <w:szCs w:val="18"/>
          <w:color w:val="auto"/>
        </w:rPr>
        <w:t>. Upon receipt of written notice (which may be in the form of e-mail) from the Company that a Registration Statement or prospectus contains a Misstatement (as defined below), the Holder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practicable after giving such notice), or until it is advised in writing by the Company that the use of the prospectus may be resumed.</w:t>
      </w:r>
    </w:p>
    <w:p>
      <w:pPr>
        <w:spacing w:after="0" w:line="183" w:lineRule="exact"/>
        <w:rPr>
          <w:sz w:val="20"/>
          <w:szCs w:val="20"/>
          <w:color w:val="auto"/>
        </w:rPr>
      </w:pPr>
    </w:p>
    <w:p>
      <w:pPr>
        <w:ind w:firstLine="1539"/>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If the filing, initial effectiveness or continued use of a Registration Statement in respect of any Registration at any time would require the Company to make an Adverse Disclosure (as defined below) or would require the inclusion in such Registration Statement of financial statements that are unavailable to the Company, the Company may, upon giving prompt written notice of such action to the Holder, delay the filing or initial effectiveness of, or suspend use of, such Registration Statement for the shortest period of time, but in no event more than twice or an aggregate of ninety (90) days in any twelve (12)-month period, determined in good faith by the Company to be necessary for such purpose. In the event the Company exercises its rights under the preceding sentence, the Holder agrees to suspend, immediately upon its receipt of the notice referred to above, its use of the prospectus relating to such Registration in connection with any sale or offer to sell of securities pursuant to such Registration Statement or prospectus. The Company shall immediately notify the Holder of the expiration of any period during which it exercised its rights under this Section 4.</w:t>
      </w:r>
    </w:p>
    <w:p>
      <w:pPr>
        <w:spacing w:after="0" w:line="192" w:lineRule="exact"/>
        <w:rPr>
          <w:sz w:val="20"/>
          <w:szCs w:val="20"/>
          <w:color w:val="auto"/>
        </w:rPr>
      </w:pPr>
    </w:p>
    <w:p>
      <w:pPr>
        <w:ind w:right="80" w:firstLine="1539"/>
        <w:spacing w:after="0" w:line="25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the Holder, its officers, managers, directors, trustees, equityholders, beneficiaries, affiliates, agents, employees and representatives and each person or entity who controls the Holder (within the meaning of the Securities Act) against all losses, claims, damages, losses, liabilities and expenses (including attorneys’ fees) (or actions in respect thereto) caused by, resulting from, arising out of or based upon (a) any untrue or alleged untrue statement of material fact contained in any Registration Statement, prospectus or preliminary prospectus or similar document incident to any Registration, qualification, compliance or sale effected pursuant to this Section 4 or any amendment thereof or supplement thereto, or any omission or alleged omission of a material fact required to be stated therein or necessary to make the statements therein not misleading, or (b) any violation or alleged violation by the Company of the Securities Act or any other similar federal or state securities laws, and will reimburse, as incurred, the Holder, its officers, managers, directors, trustees, equityholders, beneficiaries, affiliates, agents, employees and representatives and each person or entity who controls the Holder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are caused by or arises out of or is based on any untrue statement or omission made in reliance and in conformity with written information furnished to the Company by or on behalf of the Holder expressly for use therein, it being understood that such information is limited to the beneficial ownership information in the selling stockholder table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 w:name="page13"/>
    <w:bookmarkEnd w:id="12"/>
    <w:p>
      <w:pPr>
        <w:ind w:right="40" w:firstLine="1539"/>
        <w:spacing w:after="0" w:line="269" w:lineRule="auto"/>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Restrictive Legends</w:t>
      </w:r>
      <w:r>
        <w:rPr>
          <w:rFonts w:ascii="Times New Roman" w:cs="Times New Roman" w:eastAsia="Times New Roman" w:hAnsi="Times New Roman"/>
          <w:sz w:val="17"/>
          <w:szCs w:val="17"/>
          <w:color w:val="auto"/>
        </w:rPr>
        <w:t>. The Company shall, upon the Holder’s request (which may be in the form of e-mail), deliver all the necessary documentation to cause the Company’s transfer agent to remove any restrictive legend on the Common Shares, as promptly as practicable and no later than two (2) business days after such request, when such Common Shares are sold pursuant to Rule 144 under the Securities Act or the Registration, in each case in accordance with customary practice and in each case upon receipt by the Company of customary certifications from the Holder and any broker or other intermediary involved in the sale as to the Holder’s and such broker’s or intermediary’s compliance with Rule 144 or the Registration. In connection therewith, if required by the Company’s transfer agent, the Company will, at its sole cost and expense, promptly cause an opinion of counsel in customary form to be delivered to and maintained with its transfer agent, together with any other authorizations, certificates and directions required by the transfer agent that authorize and direct the transfer agent to deliver such Common Shares without any such legend. If restrictive legends are no longer required for the Common Shares pursuant to the foregoing, the Company shall, reasonably promptly following any request therefor from the Holder accompanied by such customary and reasonably acceptable representations and other documentation referred to above establishing that restrictive legends are no longer required, deliver to the transfer agent irrevocable instructions that the transfer agent shall make a new, unlegended entry for the securities.</w:t>
      </w:r>
    </w:p>
    <w:p>
      <w:pPr>
        <w:spacing w:after="0" w:line="18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4:</w:t>
      </w:r>
    </w:p>
    <w:p>
      <w:pPr>
        <w:spacing w:after="0" w:line="221" w:lineRule="exact"/>
        <w:rPr>
          <w:sz w:val="20"/>
          <w:szCs w:val="20"/>
          <w:color w:val="auto"/>
        </w:rPr>
      </w:pPr>
    </w:p>
    <w:p>
      <w:pPr>
        <w:ind w:right="60" w:firstLine="1547"/>
        <w:spacing w:after="0" w:line="256" w:lineRule="auto"/>
        <w:tabs>
          <w:tab w:leader="none" w:pos="21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means any public disclosure of material non-public information, which information the Company has a bona fide business purpose (including confidentiality obligations) for not making such information public, and which disclosure, in the good faith determination of the board of directors of the Company, after consultation with counsel to the Company,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and (b) would not be required to be made at such time if the Registration Statement were not being filed, and (c) the Company has a bona fide business purpose for not making such information public; and</w:t>
      </w:r>
    </w:p>
    <w:p>
      <w:pPr>
        <w:spacing w:after="0" w:line="182" w:lineRule="exact"/>
        <w:rPr>
          <w:rFonts w:ascii="Times New Roman" w:cs="Times New Roman" w:eastAsia="Times New Roman" w:hAnsi="Times New Roman"/>
          <w:sz w:val="18"/>
          <w:szCs w:val="18"/>
          <w:color w:val="auto"/>
        </w:rPr>
      </w:pPr>
    </w:p>
    <w:p>
      <w:pPr>
        <w:ind w:right="60" w:firstLine="1547"/>
        <w:spacing w:after="0" w:line="268" w:lineRule="auto"/>
        <w:tabs>
          <w:tab w:leader="none" w:pos="21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prospectus, in the light of the circumstances under which they were made, not misleading.</w:t>
      </w:r>
    </w:p>
    <w:p>
      <w:pPr>
        <w:spacing w:after="0" w:line="175" w:lineRule="exact"/>
        <w:rPr>
          <w:sz w:val="20"/>
          <w:szCs w:val="20"/>
          <w:color w:val="auto"/>
        </w:rPr>
      </w:pPr>
    </w:p>
    <w:p>
      <w:pPr>
        <w:ind w:left="1540"/>
        <w:spacing w:after="0"/>
        <w:tabs>
          <w:tab w:leader="none" w:pos="28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1539"/>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set forth in Sections 2 and 3 of this Agreement shall survive for a period of one year after the Closing Date and the Company’s obligations set forth in Section 4.09 of this Agreement shall survive indefinitely.</w:t>
      </w:r>
    </w:p>
    <w:p>
      <w:pPr>
        <w:spacing w:after="0" w:line="162" w:lineRule="exact"/>
        <w:rPr>
          <w:sz w:val="20"/>
          <w:szCs w:val="20"/>
          <w:color w:val="auto"/>
        </w:rPr>
      </w:pPr>
    </w:p>
    <w:p>
      <w:pPr>
        <w:ind w:right="52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case at any time after the Closing Date any further action is necessary or desirable to carry out the purposes of this Agreement or the Exchange, each of the Parties will take such further action (including the execution and delivery of such further instruments and documents) as any other Party may reasonably request.</w:t>
      </w:r>
    </w:p>
    <w:p>
      <w:pPr>
        <w:spacing w:after="0" w:line="176" w:lineRule="exact"/>
        <w:rPr>
          <w:sz w:val="20"/>
          <w:szCs w:val="20"/>
          <w:color w:val="auto"/>
        </w:rPr>
      </w:pPr>
    </w:p>
    <w:p>
      <w:pPr>
        <w:ind w:firstLine="1539"/>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The Holder acknowledges and agrees that (a) in making the decision to enter into this Agreement and to consummate the Exchange, the Holder has relied solely upon its own investigation and the express representations and warranties set forth in Section 2 of this Agreement, and (b) none of the Company or any of its officers, directors, employees or representatives has made any representation or warranty as to the Company or the Exchange, except as expressly set forth in Section 2 of this Agreement.</w:t>
      </w:r>
    </w:p>
    <w:p>
      <w:pPr>
        <w:spacing w:after="0" w:line="180" w:lineRule="exact"/>
        <w:rPr>
          <w:sz w:val="20"/>
          <w:szCs w:val="20"/>
          <w:color w:val="auto"/>
        </w:rPr>
      </w:pPr>
    </w:p>
    <w:p>
      <w:pPr>
        <w:ind w:right="400" w:firstLine="1539"/>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Upon cancellation of the Preferred Stock, and issuance and delivery of the Exchange Consideration, as described herein, each of the Holder and the Company releases the other from all claims arising out of or related to the Preferred Stock.</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1539"/>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set forth below, no public release or announcement concerning the Exchange shall be issued by the Company or the Holder without the prior written consent of the Company (in the case of a release or announcement by the Holder) or the Holder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Holder, as the case may be, shall allow the Holder or the Company, as applicable, to the extent reasonably practicable in the circumstances, reasonable time to comment on such release or announcement in advance of such issuance.</w:t>
      </w:r>
    </w:p>
    <w:p>
      <w:pPr>
        <w:spacing w:after="0" w:line="187" w:lineRule="exact"/>
        <w:rPr>
          <w:sz w:val="20"/>
          <w:szCs w:val="20"/>
          <w:color w:val="auto"/>
        </w:rPr>
      </w:pPr>
    </w:p>
    <w:p>
      <w:pPr>
        <w:jc w:val="both"/>
        <w:ind w:firstLine="1539"/>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U.S. Tax Withholding</w:t>
      </w:r>
      <w:r>
        <w:rPr>
          <w:rFonts w:ascii="Times New Roman" w:cs="Times New Roman" w:eastAsia="Times New Roman" w:hAnsi="Times New Roman"/>
          <w:sz w:val="18"/>
          <w:szCs w:val="18"/>
          <w:color w:val="auto"/>
        </w:rPr>
        <w:t>. The Company agrees that no withholding for U.S. federal, state or local income taxes shall be made following the Closing with respect to any distributions made with respect to Common Shares owned by the Holder or any interest payments made with respect to the New Notes, provided that the Holder delivers to the Company a properly executed Internal Revenue Service Form W-8EXP.</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540"/>
        <w:spacing w:after="0"/>
        <w:tabs>
          <w:tab w:leader="none" w:pos="19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Conditions of Termination</w:t>
      </w:r>
      <w:r>
        <w:rPr>
          <w:rFonts w:ascii="Times New Roman" w:cs="Times New Roman" w:eastAsia="Times New Roman" w:hAnsi="Times New Roman"/>
          <w:sz w:val="17"/>
          <w:szCs w:val="17"/>
          <w:color w:val="auto"/>
        </w:rPr>
        <w:t>. This Agreement may be terminated at any time prior to the Closing:</w:t>
      </w:r>
    </w:p>
    <w:p>
      <w:pPr>
        <w:spacing w:after="0" w:line="225" w:lineRule="exact"/>
        <w:rPr>
          <w:sz w:val="20"/>
          <w:szCs w:val="20"/>
          <w:color w:val="auto"/>
        </w:rPr>
      </w:pPr>
    </w:p>
    <w:p>
      <w:pPr>
        <w:ind w:left="2200" w:hanging="653"/>
        <w:spacing w:after="0"/>
        <w:tabs>
          <w:tab w:leader="none" w:pos="2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Parties;</w:t>
      </w:r>
    </w:p>
    <w:p>
      <w:pPr>
        <w:spacing w:after="0" w:line="225" w:lineRule="exact"/>
        <w:rPr>
          <w:rFonts w:ascii="Times New Roman" w:cs="Times New Roman" w:eastAsia="Times New Roman" w:hAnsi="Times New Roman"/>
          <w:sz w:val="18"/>
          <w:szCs w:val="18"/>
          <w:color w:val="auto"/>
        </w:rPr>
      </w:pPr>
    </w:p>
    <w:p>
      <w:pPr>
        <w:ind w:right="980" w:firstLine="1547"/>
        <w:spacing w:after="0" w:line="282" w:lineRule="auto"/>
        <w:tabs>
          <w:tab w:leader="none" w:pos="21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there has been a material misrepresentation, material breach of warranty by the Holder in the representations and warranties set forth in this Agreement; and</w:t>
      </w:r>
    </w:p>
    <w:p>
      <w:pPr>
        <w:spacing w:after="0" w:line="161" w:lineRule="exact"/>
        <w:rPr>
          <w:rFonts w:ascii="Times New Roman" w:cs="Times New Roman" w:eastAsia="Times New Roman" w:hAnsi="Times New Roman"/>
          <w:sz w:val="18"/>
          <w:szCs w:val="18"/>
          <w:color w:val="auto"/>
        </w:rPr>
      </w:pPr>
    </w:p>
    <w:p>
      <w:pPr>
        <w:ind w:right="980" w:firstLine="1547"/>
        <w:spacing w:after="0" w:line="282" w:lineRule="auto"/>
        <w:tabs>
          <w:tab w:leader="none" w:pos="21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Holder if there has been a material misrepresentation, material breach of warranty by the Company in the representations and warranties set forth in this Agreement.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539"/>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illegal or unenforceable under applicable law in any respect by a court of competent jurisdiction, such provision shall be ineffective only to the extent of such prohibition or illegality or unenforceability, without invalidating the remainder of such provision or the remaining provisions of this Agreement.</w:t>
      </w:r>
    </w:p>
    <w:p>
      <w:pPr>
        <w:spacing w:after="0" w:line="183" w:lineRule="exact"/>
        <w:rPr>
          <w:sz w:val="20"/>
          <w:szCs w:val="20"/>
          <w:color w:val="auto"/>
        </w:rPr>
      </w:pPr>
    </w:p>
    <w:p>
      <w:pPr>
        <w:ind w:right="10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counterparts (including by means of telecopied or pdf signature pages), any one of which need not contain the signatures of more than one Party, but all such counterparts taken together shall constitute one and the same Agreement. This Agreement may also be executed via facsimile or e-mail, which shall be deemed an original.</w:t>
      </w:r>
    </w:p>
    <w:p>
      <w:pPr>
        <w:spacing w:after="0" w:line="176" w:lineRule="exact"/>
        <w:rPr>
          <w:sz w:val="20"/>
          <w:szCs w:val="20"/>
          <w:color w:val="auto"/>
        </w:rPr>
      </w:pPr>
    </w:p>
    <w:p>
      <w:pPr>
        <w:ind w:right="60" w:firstLine="1539"/>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agreements and documents referred to herein contain the entire agreement and understanding between the Parties with respect to the subject matter hereof and supersede all prior agreements and understandings, whether written or oral, relating to such subject matter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ind w:left="1540"/>
        <w:spacing w:after="0"/>
        <w:tabs>
          <w:tab w:leader="none" w:pos="19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Costs and Expenses</w:t>
      </w:r>
      <w:r>
        <w:rPr>
          <w:rFonts w:ascii="Times New Roman" w:cs="Times New Roman" w:eastAsia="Times New Roman" w:hAnsi="Times New Roman"/>
          <w:sz w:val="17"/>
          <w:szCs w:val="17"/>
          <w:color w:val="auto"/>
        </w:rPr>
        <w:t>. Each Party shall be responsible for its own costs and expenses, including legal fees, incurred in connection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Exchange.</w:t>
      </w:r>
    </w:p>
    <w:p>
      <w:pPr>
        <w:spacing w:after="0" w:line="207" w:lineRule="exact"/>
        <w:rPr>
          <w:sz w:val="20"/>
          <w:szCs w:val="20"/>
          <w:color w:val="auto"/>
        </w:rPr>
      </w:pPr>
    </w:p>
    <w:p>
      <w:pPr>
        <w:ind w:firstLine="1539"/>
        <w:spacing w:after="0" w:line="268"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Governing Law; Submission to Jurisdiction</w:t>
      </w:r>
      <w:r>
        <w:rPr>
          <w:rFonts w:ascii="Times New Roman" w:cs="Times New Roman" w:eastAsia="Times New Roman" w:hAnsi="Times New Roman"/>
          <w:sz w:val="17"/>
          <w:szCs w:val="17"/>
          <w:color w:val="auto"/>
        </w:rPr>
        <w:t xml:space="preserve">. This Agreement shall in all respects be construed in accordance with and governed by the substantive laws of the State of New York, without reference to any choice of law rules (whether of the State of New York or any other jurisdictions) to the extent such rules would cause the application of the laws of any jurisdictions other than the State of New York. Each Party hereby irrevocably submits to the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w:t>
      </w:r>
      <w:r>
        <w:rPr>
          <w:rFonts w:ascii="Times New Roman" w:cs="Times New Roman" w:eastAsia="Times New Roman" w:hAnsi="Times New Roman"/>
          <w:sz w:val="17"/>
          <w:szCs w:val="17"/>
          <w:b w:val="1"/>
          <w:bCs w:val="1"/>
          <w:color w:val="auto"/>
        </w:rPr>
        <w:t>EACH PARTY HEREBY IRREVOCABLY WAIVES</w:t>
      </w:r>
    </w:p>
    <w:p>
      <w:pPr>
        <w:spacing w:after="0" w:line="2"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b w:val="1"/>
          <w:bCs w:val="1"/>
          <w:color w:val="auto"/>
        </w:rPr>
        <w:t>ANY RIGHT IT MAY HAVE, AND AGREES NOT TO REQUEST, A JURY TRIAL FOR THE ADJUDICATION OF ANY DISPUTE HEREUNDER OR IN CONNECTION WITH OR ARISING OUT OF THIS AGREEMENT OR ANY TRANSACTION CONTEMPLATED HEREBY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40" w:firstLine="1539"/>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 Agreement shall be in writing and shall be deemed to have been given when delivered personally to the recipient, one day after being sent to the recipient by reputable overnight courier service (charges prepaid), upon machine-generated acknowledgment of receipt after transmittal by facsimile or seven days after being mailed to the recipient by certified or registered mail, return receipt requested and postage prepaid. Such notices, demands and other communications shall be sent to the Company and the Holder at the addresses set forth under their respective signature below.</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written above.</w:t>
      </w:r>
    </w:p>
    <w:p>
      <w:pPr>
        <w:sectPr>
          <w:pgSz w:w="11900" w:h="16838" w:orient="portrait"/>
          <w:cols w:equalWidth="0" w:num="1">
            <w:col w:w="9479"/>
          </w:cols>
          <w:pgMar w:left="980" w:top="796" w:right="1440" w:bottom="1440" w:gutter="0" w:footer="0" w:header="0"/>
        </w:sectPr>
      </w:pP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Steven Gatoff</w:t>
      </w: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Gatoff</w:t>
      </w:r>
    </w:p>
    <w:p>
      <w:pPr>
        <w:spacing w:after="0" w:line="9"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3240"/>
        <w:spacing w:after="0"/>
        <w:tabs>
          <w:tab w:leader="none" w:pos="452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color w:val="auto"/>
        </w:rPr>
        <w:t>9710 Scranton Road, Suite 200</w:t>
      </w:r>
    </w:p>
    <w:p>
      <w:pPr>
        <w:spacing w:after="0" w:line="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796"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written above.</w:t>
      </w:r>
    </w:p>
    <w:p>
      <w:pPr>
        <w:sectPr>
          <w:pgSz w:w="11900" w:h="16838" w:orient="portrait"/>
          <w:cols w:equalWidth="0" w:num="1">
            <w:col w:w="9479"/>
          </w:cols>
          <w:pgMar w:left="980" w:top="796" w:right="1440" w:bottom="1440" w:gutter="0" w:footer="0" w:header="0"/>
        </w:sectPr>
      </w:pP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MIC CAPITAL MANAGEMENT 54 RSC LTD</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Rodney Cannon</w:t>
      </w: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Rodney Cannon</w:t>
      </w:r>
    </w:p>
    <w:p>
      <w:pPr>
        <w:spacing w:after="0" w:line="9"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Maxime Franzetti</w:t>
      </w: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Maxime Franzetti</w:t>
      </w:r>
    </w:p>
    <w:p>
      <w:pPr>
        <w:spacing w:after="0" w:line="9"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Address: 2471ResCowork03,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Al Sila</w:t>
      </w:r>
    </w:p>
    <w:p>
      <w:pPr>
        <w:ind w:left="3960"/>
        <w:spacing w:after="0"/>
        <w:rPr>
          <w:sz w:val="20"/>
          <w:szCs w:val="20"/>
          <w:color w:val="auto"/>
        </w:rPr>
      </w:pPr>
      <w:r>
        <w:rPr>
          <w:rFonts w:ascii="Times New Roman" w:cs="Times New Roman" w:eastAsia="Times New Roman" w:hAnsi="Times New Roman"/>
          <w:sz w:val="17"/>
          <w:szCs w:val="17"/>
          <w:color w:val="auto"/>
        </w:rPr>
        <w:t>Tower, Abu Dhabi, United Arab Emirates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796"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16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New Notes</w:t>
            </w: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6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Cash Payment</w:t>
            </w:r>
          </w:p>
        </w:tc>
        <w:tc>
          <w:tcPr>
            <w:tcW w:w="240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16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w:t>
            </w: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 (B)</w:t>
            </w: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(C)</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DTC Participant Information</w:t>
            </w: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MIC Capital Management 54 RSC Ltd, a</w:t>
            </w:r>
          </w:p>
        </w:tc>
        <w:tc>
          <w:tcPr>
            <w:tcW w:w="16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$8,000,000</w:t>
            </w: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767,165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$10,000,000</w:t>
            </w: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J.P.Morgan</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 limited company</w:t>
            </w: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DCTID: 00000902</w:t>
            </w:r>
          </w:p>
        </w:tc>
      </w:tr>
      <w:tr>
        <w:trPr>
          <w:trHeight w:val="234"/>
        </w:trPr>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DTC Inst. ID: 00054603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9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3731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3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Inseego Repurchases All of Its Outstanding Preferred Stock, Further Strengthening Capital Structure</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Company exchanges outstanding preferred stock for combination of cash, common stock and senior notes</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SAN DIEGO, Calif. — January 14, 2026 — Inseego Corp. (Nasdaq: INSG) (the “Company”)</w:t>
      </w:r>
      <w:r>
        <w:rPr>
          <w:rFonts w:ascii="Times New Roman" w:cs="Times New Roman" w:eastAsia="Times New Roman" w:hAnsi="Times New Roman"/>
          <w:sz w:val="18"/>
          <w:szCs w:val="18"/>
          <w:color w:val="auto"/>
        </w:rPr>
        <w:t>, a global leader in 5G mobile broadband and 5G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wireless access (FWA) solutions, today (the “Closing Date”) announced that it has completed the repurchase of all of its outstanding Fixed-Rate Cumulative Perpetual Preferred Stock, Series E (the “Preferred Stock”) in exchange for a combination of cash, common stock of the Company and senior secured notes.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terms of the exchange, the Company retired 100% of the Preferred Stock, which had a liquidation preference of $42 million as of December 31, 2025, in exchange for $26 million of aggregate consideration, representing a 38% discount, and consisting of $10 million in cash, $8 million aggregate principal amount of the Company’s existing 9.0% Senior Secured Notes due 2029, and approximately 767,000 shares of the Company’s common stock.</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cash consideration will be paid in three equal installments, with one-third paid at the Closing Date, one-third payable six months following the Closing Date, and the remaining one-third payable 12 months following the Closing Date. The common stock issued in the exchange is subject to customary registration rights.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transaction is another step in the deliberate work we’ve been doing to simplify and strengthen Inseego’s capital structure,” said Steven Gatoff, CFO of Inseego. “By fully retiring the Preferred Stock at a discount to its aggregate liquidation preference, we are reducing long-term obligations, further improving the balance sheet and continuing to increase stockholder value.”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Preferred Stock was held by an affiliate of Mubadala Capital. As a result of the exchange, that affiliate now holds a minority position in the Company’s common stock.</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“We’re honored to have Mubadala Capital in our long-term journey and value creation mission as common stockholders,” said Juho Sarvikas, CEO of Inseego. “Our focus remains on executing our strategy, scaling the business, and delivering durable growth for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Inseego Corp.</w:t>
      </w:r>
    </w:p>
    <w:p>
      <w:pPr>
        <w:spacing w:after="0" w:line="3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Inseego Corp (Nasdaq: INSG) is a leading provider of cloud-managed, wireless broadband connectivity solutions. Inseego’s comprehensive hardware portfolio, combined with its Software-as-a-Service (SaaS) platform for device, network, and subscriber management, enables seamless business connectivity and simplifies subscription management, wireless deployments, and network operations for Fixed Wireless Access (FWA), IoT, and mobile networking. As an early pioneer in mobile broadband and a leading innovator in 5G for business, Inseego has delivered over 10 generations of solutions that provide unmatched speed, security, and reliability for businesses, government agencies, and educational institutions. For more information about Inseego, visit www.inseego.com.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Some of the information presented in this news release may constitute forward-looking statements within the meaning of the Private Securities Litigation Reform Act of 1995. In this context, forward-looking statements often address expected future business and financial performance and often contain words such as “may,” “estimate,” “anticipate,” “believe,” “expect,” “intend,” “plan,” “project,” “will” and similar words and phrases indicating future results. The information presented in this news release related to the Company, future business outlook, and other statements that are not purely historical facts are forward-looking. These forward-looking statements are based on management’s current expectations, assumptions, estimates, and projections. They are subject to significant risks and uncertainties that could cause results to differ materially from those anticipated in such forward-looking statements. The Company, therefore, cannot guarantee future results, performance, or achievements. Actual results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9" w:name="page20"/>
    <w:bookmarkEnd w:id="19"/>
    <w:p>
      <w:pPr>
        <w:ind w:right="140"/>
        <w:spacing w:after="0" w:line="272" w:lineRule="auto"/>
        <w:rPr>
          <w:sz w:val="20"/>
          <w:szCs w:val="20"/>
          <w:color w:val="auto"/>
        </w:rPr>
      </w:pPr>
      <w:r>
        <w:rPr>
          <w:rFonts w:ascii="Times New Roman" w:cs="Times New Roman" w:eastAsia="Times New Roman" w:hAnsi="Times New Roman"/>
          <w:sz w:val="17"/>
          <w:szCs w:val="17"/>
          <w:color w:val="auto"/>
        </w:rPr>
        <w:t>Factors that could cause actual results to differ materially from the Company’s expectations include: (1) the Company’s dependence on a small number of customers for a substantial portion of its revenues; (2) the future demand for wireless broadband access to data and device management software and services and the Company’s ability to accurately forecast; (3) the growth of wireless wide-area networking and device management software and services;</w:t>
      </w:r>
    </w:p>
    <w:p>
      <w:pPr>
        <w:spacing w:after="0" w:line="2" w:lineRule="exact"/>
        <w:rPr>
          <w:sz w:val="20"/>
          <w:szCs w:val="20"/>
          <w:color w:val="auto"/>
        </w:rPr>
      </w:pPr>
    </w:p>
    <w:p>
      <w:pPr>
        <w:ind w:firstLine="8"/>
        <w:spacing w:after="0" w:line="251"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end-user acceptance of the Company’s current product and service offerings and market demand for the Company’s anticipated new product and service offerings; (5) the Company’s ability to develop sales channels and to onboard channel partners; (6) increased competition and pricing pressure from participants in the markets in which the Company is engaged; (7) dependence on third-party manufacturers and key component suppliers worldwide; (8) the impact of fluctuations of foreign currency exchange rates; (9) the impact of supply chain challenges on the Company’s ability to source components and manufacture the Company’s products; (10) unexpected liabilities or expenses; (11) the Company’s ability to introduce new products and services in a timely manner, including the ability to develop and launch 5G products at the speed and functionality required by its customers; (12) litigation, regulatory and IP developments related to the Company’s products or components of its products; (13) the Company’s ability to raise additional financing when the Company requires capital for operations or to satisfy corporate obligations; (14) the Company’s plans and expectations relating to acquisitions, divestitures, strategic relationships, international expansion, software and hardware developments, personnel matters, and cost containment initiatives, including restructuring activities and the timing of their implementations; (15) the global semiconductor shortage and any related price increases or supply chain disruptions, (16) the potential impact of COVID-19 or other global public health emergencies on the business, (17) the impact of high rates of inflation and rising interest rates, (18) the impact of import tariffs on the Company’s materials and products, and (19) the impact of geopolitical instability on the Company’s business.</w:t>
      </w:r>
    </w:p>
    <w:p>
      <w:pPr>
        <w:spacing w:after="0" w:line="19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These factors, as well as other factors set forth as risk factors or otherwise described in the reports filed by the Company with the SEC (available at www.sec.gov), could cause results to differ materially from those expressed in the Company’s forward-looking statements. The Company assumes no obligation to update publicly any forward-looking statements, even if new information becomes available or other events occur in the future, except as otherwise required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Inseego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Glover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ir@inseego.com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2"/>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Letter"/>
      <w:start w:val="7"/>
    </w:lvl>
  </w:abstractNum>
  <w:abstractNum w:abstractNumId="7">
    <w:nsid w:val="4DB127F8"/>
    <w:multiLevelType w:val="hybridMultilevel"/>
    <w:lvl w:ilvl="0">
      <w:lvlJc w:val="left"/>
      <w:lvlText w:val="(%1)"/>
      <w:numFmt w:val="upperLetter"/>
      <w:start w:val="1"/>
    </w:lvl>
  </w:abstractNum>
  <w:abstractNum w:abstractNumId="8">
    <w:nsid w:val="216231B"/>
    <w:multiLevelType w:val="hybridMultilevel"/>
    <w:lvl w:ilvl="0">
      <w:lvlJc w:val="left"/>
      <w:lvlText w:val="(%1)"/>
      <w:numFmt w:val="upperLetter"/>
      <w:start w:val="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2026-01-14T15:13:49Z</dcterms:created>
  <dcterms:modified xsi:type="dcterms:W3CDTF">2026-01-14T15:13:49Z</dcterms:modified>
</cp:coreProperties>
</file>