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137160</wp:posOffset>
            </wp:positionV>
            <wp:extent cx="1243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70485</wp:posOffset>
            </wp:positionV>
            <wp:extent cx="1243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98"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111125</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Times New Roman" w:cs="Times New Roman" w:eastAsia="Times New Roman" w:hAnsi="Times New Roman"/>
                <w:sz w:val="32"/>
                <w:szCs w:val="32"/>
                <w:b w:val="1"/>
                <w:bCs w:val="1"/>
                <w:color w:val="auto"/>
                <w:w w:val="99"/>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7"/>
        </w:trPr>
        <w:tc>
          <w:tcPr>
            <w:tcW w:w="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60" w:type="dxa"/>
            <w:vAlign w:val="bottom"/>
          </w:tcPr>
          <w:p>
            <w:pPr>
              <w:spacing w:after="0"/>
              <w:rPr>
                <w:sz w:val="3"/>
                <w:szCs w:val="3"/>
                <w:color w:val="auto"/>
              </w:rPr>
            </w:pPr>
          </w:p>
        </w:tc>
      </w:tr>
      <w:tr>
        <w:trPr>
          <w:trHeight w:val="333"/>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6"/>
        </w:trPr>
        <w:tc>
          <w:tcPr>
            <w:tcW w:w="60" w:type="dxa"/>
            <w:vAlign w:val="bottom"/>
          </w:tcPr>
          <w:p>
            <w:pPr>
              <w:spacing w:after="0"/>
              <w:rPr>
                <w:sz w:val="12"/>
                <w:szCs w:val="12"/>
                <w:color w:val="auto"/>
              </w:rPr>
            </w:pPr>
          </w:p>
        </w:tc>
        <w:tc>
          <w:tcPr>
            <w:tcW w:w="3980" w:type="dxa"/>
            <w:vAlign w:val="bottom"/>
            <w:gridSpan w:val="2"/>
          </w:tcPr>
          <w:p>
            <w:pPr>
              <w:jc w:val="center"/>
              <w:ind w:left="133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7"/>
        </w:trPr>
        <w:tc>
          <w:tcPr>
            <w:tcW w:w="60" w:type="dxa"/>
            <w:vAlign w:val="bottom"/>
          </w:tcPr>
          <w:p>
            <w:pPr>
              <w:spacing w:after="0"/>
              <w:rPr>
                <w:sz w:val="19"/>
                <w:szCs w:val="19"/>
                <w:color w:val="auto"/>
              </w:rPr>
            </w:pP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60" w:type="dxa"/>
            <w:vAlign w:val="bottom"/>
          </w:tcPr>
          <w:p>
            <w:pPr>
              <w:spacing w:after="0"/>
              <w:rPr>
                <w:sz w:val="24"/>
                <w:szCs w:val="24"/>
                <w:color w:val="auto"/>
              </w:rPr>
            </w:pPr>
          </w:p>
        </w:tc>
        <w:tc>
          <w:tcPr>
            <w:tcW w:w="11180" w:type="dxa"/>
            <w:vAlign w:val="bottom"/>
            <w:gridSpan w:val="7"/>
          </w:tcPr>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24"/>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22"/>
        </w:trPr>
        <w:tc>
          <w:tcPr>
            <w:tcW w:w="60" w:type="dxa"/>
            <w:vAlign w:val="bottom"/>
          </w:tcPr>
          <w:p>
            <w:pPr>
              <w:spacing w:after="0"/>
              <w:rPr>
                <w:sz w:val="10"/>
                <w:szCs w:val="10"/>
                <w:color w:val="auto"/>
              </w:rPr>
            </w:pPr>
          </w:p>
        </w:tc>
        <w:tc>
          <w:tcPr>
            <w:tcW w:w="398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16"/>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0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2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May 1, 2025, was 15,007,562.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39,596</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$144 and $123,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5,926</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72,900</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$29,119 and $28,897,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$35,180 and $33,558,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18,747</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2025 Convertible Notes, net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14,905</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63,471</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2029 Senior Secured Notes,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41,830</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4,755</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112,857</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Preferred stock, par value $0.001; 39,500 shares designated, 25,000 shares issued and outstanding as of both March 31, 2025</w:t>
            </w:r>
          </w:p>
        </w:tc>
        <w:tc>
          <w:tcPr>
            <w:tcW w:w="1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and December 31, 2024 (aggregate liquidation preference of $39,256 as of March 31, 2025)</w:t>
            </w:r>
          </w:p>
        </w:tc>
        <w:tc>
          <w:tcPr>
            <w:tcW w:w="1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par value $0.001; 150,000,000 shares authorized, 15,007,437 and 14,990,712 shares issued and outstanding as of</w:t>
            </w: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 and December 31, 2024, respectively</w:t>
            </w: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892,534</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(908,059)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(905,625)</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(12,858)</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1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0"/>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15,270</w:t>
            </w: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14,182</w:t>
            </w:r>
          </w:p>
        </w:tc>
      </w:tr>
      <w:tr>
        <w:trPr>
          <w:trHeight w:val="212"/>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29,452</w:t>
            </w: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8,053</w:t>
            </w: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37,505</w:t>
            </w: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22,713</w:t>
            </w: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24,261</w:t>
            </w:r>
          </w:p>
        </w:tc>
      </w:tr>
      <w:tr>
        <w:trPr>
          <w:trHeight w:val="207"/>
        </w:trPr>
        <w:tc>
          <w:tcPr>
            <w:tcW w:w="8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13,244</w:t>
            </w: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w:t>
            </w: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w:t>
            </w: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w:t>
            </w: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w:t>
            </w: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w:t>
            </w: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discontinued operations (net of income tax provision of $400 and $220,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w:t>
            </w: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1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data:</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(0.53)</w:t>
            </w: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183"/>
        </w:trPr>
        <w:tc>
          <w:tcPr>
            <w:tcW w:w="8620" w:type="dxa"/>
            <w:vAlign w:val="bottom"/>
          </w:tcPr>
          <w:p>
            <w:pPr>
              <w:ind w:left="340"/>
              <w:spacing w:after="0" w:line="183" w:lineRule="exact"/>
              <w:rPr>
                <w:sz w:val="20"/>
                <w:szCs w:val="20"/>
                <w:color w:val="auto"/>
              </w:rPr>
            </w:pPr>
            <w:r>
              <w:rPr>
                <w:rFonts w:ascii="Times New Roman" w:cs="Times New Roman" w:eastAsia="Times New Roman" w:hAnsi="Times New Roman"/>
                <w:sz w:val="16"/>
                <w:szCs w:val="16"/>
                <w:color w:val="auto"/>
              </w:rPr>
              <w:t>Basic and diluted earnings per share*</w:t>
            </w: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(0.44)</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computation of net earnings (loss) per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 and 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15,002,003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11,879,719</w:t>
            </w:r>
          </w:p>
        </w:tc>
      </w:tr>
      <w:tr>
        <w:trPr>
          <w:trHeight w:val="273"/>
        </w:trPr>
        <w:tc>
          <w:tcPr>
            <w:tcW w:w="8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1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(4,193)</w:t>
            </w:r>
          </w:p>
        </w:tc>
      </w:tr>
      <w:tr>
        <w:trPr>
          <w:trHeight w:val="21"/>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*rounding may impact summation of amounts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5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920" w:type="dxa"/>
            <w:vAlign w:val="bottom"/>
          </w:tcPr>
          <w:p>
            <w:pPr>
              <w:jc w:val="center"/>
              <w:ind w:right="5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 (*)</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 (*)</w:t>
            </w:r>
          </w:p>
        </w:tc>
        <w:tc>
          <w:tcPr>
            <w:tcW w:w="12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10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810,138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(906,928)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(102,105)</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811,637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(912,173)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(105,589)</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1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892,534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(12,858)</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894,825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(908,059)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5"/>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(4,455)</w:t>
            </w: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Adjustments to reconcile net loss to net cash used in (provided by) 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(Income) Loss from discontinued operations, net of tax</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3,338</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Provision for expected credit losses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688</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Amortization of debt discount and debt issuance costs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1,880</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3,563</w:t>
            </w:r>
          </w:p>
        </w:tc>
      </w:tr>
      <w:tr>
        <w:trPr>
          <w:trHeight w:val="200"/>
        </w:trPr>
        <w:tc>
          <w:tcPr>
            <w:tcW w:w="868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(306)</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flows from continuing operations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3,942</w:t>
            </w:r>
          </w:p>
        </w:tc>
      </w:tr>
      <w:tr>
        <w:trPr>
          <w:trHeight w:val="200"/>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cash flows from discontinued operations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w:t>
            </w:r>
          </w:p>
        </w:tc>
      </w:tr>
      <w:tr>
        <w:trPr>
          <w:trHeight w:val="198"/>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5,240</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Additions to capitalized software development costs and purchases of intangible assets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(577)</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Investing cash flows from continuing operations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r>
      <w:tr>
        <w:trPr>
          <w:trHeight w:val="200"/>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Investing cash flows from discontinued operations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r>
      <w:tr>
        <w:trPr>
          <w:trHeight w:val="18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5"/>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borrowings on revolving credit facility</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w:t>
            </w:r>
          </w:p>
        </w:tc>
      </w:tr>
      <w:tr>
        <w:trPr>
          <w:trHeight w:val="200"/>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Proceeds from stock option exercises and employee stock purchase plan, net of taxes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Financing cash flows from continuing operations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w:t>
            </w:r>
          </w:p>
        </w:tc>
      </w:tr>
      <w:tr>
        <w:trPr>
          <w:trHeight w:val="200"/>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Financing cash flows from discontinued operations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w:t>
            </w:r>
          </w:p>
        </w:tc>
      </w:tr>
      <w:tr>
        <w:trPr>
          <w:trHeight w:val="200"/>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226</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5,472</w:t>
            </w:r>
          </w:p>
        </w:tc>
      </w:tr>
      <w:tr>
        <w:trPr>
          <w:trHeight w:val="20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39,596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2,409</w:t>
            </w:r>
          </w:p>
        </w:tc>
      </w:tr>
      <w:tr>
        <w:trPr>
          <w:trHeight w:val="22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35,149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7,881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paid during the year for: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Interest</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205"/>
        </w:trPr>
        <w:tc>
          <w:tcPr>
            <w:tcW w:w="8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disclosures of non-cash investing and financing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Capital expenditures financed through accounts payable or accrued liabilities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(“Financial Statements”) have been prepared by Inseego Corp. (the</w:t>
      </w:r>
    </w:p>
    <w:p>
      <w:pPr>
        <w:spacing w:after="0" w:line="27" w:lineRule="exact"/>
        <w:rPr>
          <w:sz w:val="20"/>
          <w:szCs w:val="20"/>
          <w:color w:val="auto"/>
        </w:rPr>
      </w:pPr>
    </w:p>
    <w:p>
      <w:pPr>
        <w:jc w:val="both"/>
        <w:ind w:right="40"/>
        <w:spacing w:after="0" w:line="241" w:lineRule="auto"/>
        <w:rPr>
          <w:sz w:val="20"/>
          <w:szCs w:val="20"/>
          <w:color w:val="auto"/>
        </w:rPr>
      </w:pPr>
      <w:r>
        <w:rPr>
          <w:rFonts w:ascii="Times New Roman" w:cs="Times New Roman" w:eastAsia="Times New Roman" w:hAnsi="Times New Roman"/>
          <w:sz w:val="18"/>
          <w:szCs w:val="18"/>
          <w:color w:val="auto"/>
        </w:rPr>
        <w:t>“Company”, “we”, “us” or “our”)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2024, included in the Company's Annual Report on Form 10-K for the year ended December 31, 2024 (the “Form 10-K”).</w:t>
      </w:r>
    </w:p>
    <w:p>
      <w:pPr>
        <w:spacing w:after="0" w:line="13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2024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Divestiture of the Telematics Business</w:t>
      </w:r>
    </w:p>
    <w:p>
      <w:pPr>
        <w:spacing w:after="0" w:line="162"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On November 27, 2024, the Company completed the previously announced sale of its fleet management and telematics solutions business, which has operations in the United Kingdom, Europe, Australia and New Zealand (the “Telematics Business”). The sale of the Telematics Business was completed pursuant to the Share Purchase Agreement, which was entered into on September 16, 2024 with Light Sabre SPV Limited (the “Purchase Agreement”). Pursuant to the terms of the Purchase Agreement, Ctrack Holdings (the “Purchaser”), as assignee of Light Sabre SPV Limited, acquired the entire issued share capital of the Company’s Inseego International Holdings Limited subsidiary for $52.0 million in an all-cash transaction (the “Sale Transaction”). The Purchase Agreement provided for a working capital adjustment, which was determined in December 2024 and funded in January 2025, resulting in an increase to the initial purchase consideration of $0.7 million as a result of changes in closing working capital and net debt.</w:t>
      </w:r>
    </w:p>
    <w:p>
      <w:pPr>
        <w:spacing w:after="0" w:line="141" w:lineRule="exact"/>
        <w:rPr>
          <w:sz w:val="20"/>
          <w:szCs w:val="20"/>
          <w:color w:val="auto"/>
        </w:rPr>
      </w:pPr>
    </w:p>
    <w:p>
      <w:pPr>
        <w:ind w:right="20" w:firstLine="405"/>
        <w:spacing w:after="0" w:line="244" w:lineRule="auto"/>
        <w:rPr>
          <w:sz w:val="20"/>
          <w:szCs w:val="20"/>
          <w:color w:val="auto"/>
        </w:rPr>
      </w:pPr>
      <w:r>
        <w:rPr>
          <w:rFonts w:ascii="Times New Roman" w:cs="Times New Roman" w:eastAsia="Times New Roman" w:hAnsi="Times New Roman"/>
          <w:sz w:val="18"/>
          <w:szCs w:val="18"/>
          <w:color w:val="auto"/>
        </w:rPr>
        <w:t>In accordance with the authoritative guidance for discontinued operations (Accounting Standards Codification (“ASC”) 205-20), the Company determined that the Telematics Business met the held-for sale and discontinued operations accounting criteria at the end of the third quarter of 2024. Accordingly, within these consolidated financial statements, the assets and liabilities associated with the Telematics Business disposal group prior to its sale have been classified as held for sale within the Consolidated Balance Sheets and its operations and cash flows have been classified as discontinued operations within the Condensed Consolidated Statements of Operations and Comprehensive Income and Condensed Consolidated Statements of Cash Flows.</w:t>
      </w:r>
    </w:p>
    <w:p>
      <w:pPr>
        <w:spacing w:after="0" w:line="139"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 Discontinued Operations and Held for Sale</w:t>
      </w:r>
      <w:r>
        <w:rPr>
          <w:rFonts w:ascii="Times New Roman" w:cs="Times New Roman" w:eastAsia="Times New Roman" w:hAnsi="Times New Roman"/>
          <w:sz w:val="18"/>
          <w:szCs w:val="18"/>
          <w:color w:val="auto"/>
        </w:rPr>
        <w:t xml:space="preserve"> for additional information regarding the Telematics Business, including the assets and liabilities divested and income from discontinued operations. Unless otherwise noted, disclosures within these remaining Notes to Condensed Consolidated Financial Statements relate solely to the Company's continuing operations.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Held for Sale and Discontinued Operations</w:t>
      </w:r>
    </w:p>
    <w:p>
      <w:pPr>
        <w:spacing w:after="0" w:line="16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The Company classifies assets and liabilities to be sold (disposal group) as held for sale in the period when all of the applicable criteria are met, including: (i) management commits to a plan to sell, (ii) the disposal group is available to sell in its present condition, (iii) there is an active program to locate a buyer, (iv) the disposal group is being actively marketed at a reasonable price in relation to its fair value, (v) significant changes to the plan to sell are unlikely, and (vi) the sale of the disposal group is generally probable of being completed within one year. Management performs an assessment at least quarterly or when events or changes in business circumstances indicate that a change in classification may be necessary.</w:t>
      </w:r>
    </w:p>
    <w:p>
      <w:pPr>
        <w:spacing w:after="0" w:line="127"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Assets and liabilities held for sale are presented separately within the Condensed Consolidated Balance Sheets with any adjustments necessary to measure the disposal group at the lower of its carrying value or fair value less costs to sell. Depreciation of property, plant and equipment and amortization of intangible and right-of-use assets are not recorded while these assets are classified as held for sale. For each period the disposal group remains classified as held for sale, its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recoverability is reassessed and any necessary adjustments are made to its carrying value. No impairment upon classification as held for sale was recorded during the year ended December 31, 2024.</w:t>
      </w:r>
    </w:p>
    <w:p>
      <w:pPr>
        <w:spacing w:after="0" w:line="122"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The Company reports the results of operations of a business as discontinued operations if a disposal represents a strategic shift that will have a major effect on its operations and financial results. The results of discontinued operations are reported as Income from discontinued operations, net of tax in the Condensed Consolidated Statements of Operations and Comprehensive Income for the current and prior periods commencing in the period in which the held for sale criteria are met. Income from discontinued operations, net of tax includes direct costs attributable to the divested business and excludes any cost allocations associated with any shared or corporate functions unless otherwise dedicated to the divested business. Income from discontinued operations, net of tax will include any gain or loss recognized upon disposition or from adjustment of the carrying amount to fair value less costs to sell while classified as held for sale.</w:t>
      </w:r>
    </w:p>
    <w:p>
      <w:pPr>
        <w:spacing w:after="0" w:line="127"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Transactions between the businesses held for sale and businesses held for use that are expected to continue after the disposal are not eliminated in order to appropriately reflect the continuing operations as well as the activity to be disposed of. Interest costs are included as a component of Income from discontinued operations, net of tax for debt specifically attributable to the discontinued operation or debt that is obligated to be repaid in connection with the completion of the divestiture. Activity within comprehensive income directly associated with a divested business is not realized as a component of Income from discontinued operations, net of tax until completion of the sale or disposition.</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62"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24th was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spacing w:after="0" w:line="126"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spacing w:after="0" w:line="115" w:lineRule="exact"/>
        <w:rPr>
          <w:sz w:val="20"/>
          <w:szCs w:val="20"/>
          <w:color w:val="auto"/>
        </w:rPr>
      </w:pPr>
    </w:p>
    <w:p>
      <w:pPr>
        <w:ind w:left="420" w:right="780"/>
        <w:spacing w:after="0" w:line="430" w:lineRule="auto"/>
        <w:rPr>
          <w:sz w:val="20"/>
          <w:szCs w:val="20"/>
          <w:color w:val="auto"/>
        </w:rPr>
      </w:pPr>
      <w:r>
        <w:rPr>
          <w:rFonts w:ascii="Times New Roman" w:cs="Times New Roman" w:eastAsia="Times New Roman" w:hAnsi="Times New Roman"/>
          <w:sz w:val="18"/>
          <w:szCs w:val="18"/>
          <w:color w:val="auto"/>
        </w:rPr>
        <w:t xml:space="preserve">All common share and per-share amounts in this Form 10-Q have been retroactively restated to reflect the effect of the Reverse Stock Split. </w:t>
      </w:r>
      <w:r>
        <w:rPr>
          <w:rFonts w:ascii="Times New Roman" w:cs="Times New Roman" w:eastAsia="Times New Roman" w:hAnsi="Times New Roman"/>
          <w:sz w:val="18"/>
          <w:szCs w:val="18"/>
          <w:b w:val="1"/>
          <w:bCs w:val="1"/>
          <w:i w:val="1"/>
          <w:iCs w:val="1"/>
          <w:color w:val="auto"/>
        </w:rPr>
        <w:t>Segment Information</w:t>
      </w:r>
    </w:p>
    <w:p>
      <w:pPr>
        <w:spacing w:after="0" w:line="1" w:lineRule="exact"/>
        <w:rPr>
          <w:sz w:val="20"/>
          <w:szCs w:val="20"/>
          <w:color w:val="auto"/>
        </w:rPr>
      </w:pPr>
    </w:p>
    <w:p>
      <w:pPr>
        <w:ind w:right="300" w:firstLine="405"/>
        <w:spacing w:after="0" w:line="246" w:lineRule="auto"/>
        <w:rPr>
          <w:sz w:val="20"/>
          <w:szCs w:val="20"/>
          <w:color w:val="auto"/>
        </w:rPr>
      </w:pPr>
      <w:r>
        <w:rPr>
          <w:rFonts w:ascii="Times New Roman" w:cs="Times New Roman" w:eastAsia="Times New Roman" w:hAnsi="Times New Roman"/>
          <w:sz w:val="18"/>
          <w:szCs w:val="18"/>
          <w:color w:val="auto"/>
        </w:rPr>
        <w:t xml:space="preserve">The Company has one reportable segment. The Company’s Executive Chairman, who was the Company’s Chief Operating Decision Maker (“CODM”) as of December 31, 2024, left the Company in February 2025, at which point, the Company’s CODM became its Chief Executive Officer (“CEO”). Neither of these CODMs manage any part of the Company separately, and the allocation of resources and assessment of performance is based solely on the Company’s consolidated operations and financial results. See </w:t>
      </w:r>
      <w:r>
        <w:rPr>
          <w:rFonts w:ascii="Times New Roman" w:cs="Times New Roman" w:eastAsia="Times New Roman" w:hAnsi="Times New Roman"/>
          <w:sz w:val="18"/>
          <w:szCs w:val="18"/>
          <w:i w:val="1"/>
          <w:iCs w:val="1"/>
          <w:color w:val="auto"/>
        </w:rPr>
        <w:t>Note 9 – Segment, Geographic, and Concentrations of Risk Information</w:t>
      </w:r>
      <w:r>
        <w:rPr>
          <w:rFonts w:ascii="Times New Roman" w:cs="Times New Roman" w:eastAsia="Times New Roman" w:hAnsi="Times New Roman"/>
          <w:sz w:val="18"/>
          <w:szCs w:val="18"/>
          <w:color w:val="auto"/>
        </w:rPr>
        <w:t xml:space="preserve"> for more information.</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100" w:firstLine="405"/>
        <w:spacing w:after="0" w:line="24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 and Held for Sale</w:t>
      </w:r>
    </w:p>
    <w:p>
      <w:pPr>
        <w:spacing w:after="0" w:line="173"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 on September 16, 2024, the Company entered into the Purchase Agreement to sell its Telematics Business. On November 27, 2024, the Company completed the sale of its Telematics Business.</w:t>
      </w:r>
    </w:p>
    <w:p>
      <w:pPr>
        <w:spacing w:after="0" w:line="107" w:lineRule="exact"/>
        <w:rPr>
          <w:sz w:val="20"/>
          <w:szCs w:val="20"/>
          <w:color w:val="auto"/>
        </w:rPr>
      </w:pPr>
    </w:p>
    <w:p>
      <w:pPr>
        <w:ind w:right="180" w:firstLine="405"/>
        <w:spacing w:after="0" w:line="247" w:lineRule="auto"/>
        <w:rPr>
          <w:sz w:val="20"/>
          <w:szCs w:val="20"/>
          <w:color w:val="auto"/>
        </w:rPr>
      </w:pPr>
      <w:r>
        <w:rPr>
          <w:rFonts w:ascii="Times New Roman" w:cs="Times New Roman" w:eastAsia="Times New Roman" w:hAnsi="Times New Roman"/>
          <w:sz w:val="18"/>
          <w:szCs w:val="18"/>
          <w:color w:val="auto"/>
        </w:rPr>
        <w:t>The operating results of the discontinued operations only reflect revenues and expenses that are directly attributable to the Telematics Business. The following table summarizes Income from discontinued operations, net of tax included in the Condensed Consolidated Statements of Operations and Comprehensive Income for the three months ended March 31, 2025 and 2024 (in thousands):</w:t>
      </w:r>
    </w:p>
    <w:p>
      <w:pPr>
        <w:spacing w:after="0" w:line="3"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13335</wp:posOffset>
            </wp:positionV>
            <wp:extent cx="1508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8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 revenues</w:t>
            </w:r>
          </w:p>
        </w:tc>
        <w:tc>
          <w:tcPr>
            <w:tcW w:w="74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w:t>
            </w:r>
          </w:p>
        </w:tc>
      </w:tr>
      <w:tr>
        <w:trPr>
          <w:trHeight w:val="213"/>
        </w:trPr>
        <w:tc>
          <w:tcPr>
            <w:tcW w:w="8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Services and other cost of revenues</w:t>
            </w:r>
          </w:p>
        </w:tc>
        <w:tc>
          <w:tcPr>
            <w:tcW w:w="7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w:t>
            </w:r>
          </w:p>
        </w:tc>
      </w:tr>
      <w:tr>
        <w:trPr>
          <w:trHeight w:val="212"/>
        </w:trPr>
        <w:tc>
          <w:tcPr>
            <w:tcW w:w="8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 from discontinued operations</w:t>
            </w: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r>
      <w:tr>
        <w:trPr>
          <w:trHeight w:val="213"/>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3"/>
        </w:trPr>
        <w:tc>
          <w:tcPr>
            <w:tcW w:w="8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7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213"/>
        </w:trPr>
        <w:tc>
          <w:tcPr>
            <w:tcW w:w="8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12"/>
        </w:trPr>
        <w:tc>
          <w:tcPr>
            <w:tcW w:w="8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w:t>
            </w:r>
          </w:p>
        </w:tc>
      </w:tr>
      <w:tr>
        <w:trPr>
          <w:trHeight w:val="20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from discontinued operations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r>
      <w:tr>
        <w:trPr>
          <w:trHeight w:val="21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7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8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7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21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2"/>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7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0"/>
        </w:trPr>
        <w:tc>
          <w:tcPr>
            <w:tcW w:w="8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taxes related to discontinued operations in the three months ended March 31, 2025 relate to the deregistration process for the Company’s remaining subsidiaries in South Africa, which do not have operations. As the sale of the Telematics Business was completed on November 27, 2024, there were no assets or liabilities held for sale as of either March 31, 2025 or December 31,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Statement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13,531</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7"/>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inventories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13,575</w:t>
            </w:r>
          </w:p>
        </w:tc>
      </w:tr>
      <w:tr>
        <w:trPr>
          <w:trHeight w:val="23"/>
        </w:trPr>
        <w:tc>
          <w:tcPr>
            <w:tcW w:w="8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w:t>
            </w:r>
          </w:p>
        </w:tc>
      </w:tr>
      <w:tr>
        <w:trPr>
          <w:trHeight w:val="237"/>
        </w:trPr>
        <w:tc>
          <w:tcPr>
            <w:tcW w:w="8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7,997</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9,245</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w:t>
            </w:r>
          </w:p>
        </w:tc>
      </w:tr>
      <w:tr>
        <w:trPr>
          <w:trHeight w:val="235"/>
        </w:trPr>
        <w:tc>
          <w:tcPr>
            <w:tcW w:w="8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7"/>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4,755</w:t>
            </w:r>
          </w:p>
        </w:tc>
      </w:tr>
      <w:tr>
        <w:trPr>
          <w:trHeight w:val="23"/>
        </w:trPr>
        <w:tc>
          <w:tcPr>
            <w:tcW w:w="8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of the $2.6 million long-term deferred revenue balance, $2.5 million relates to performance obligations expected to be satisfied between one and two years, and $0.1 million relates to performance obligations expected to be satisfied between two and three years from March 31, 2025.</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fair value of the financial assets and liabilities measured on a recurring basis and indicates the fair value hierarchy utilized to determine such fair value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33,406</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33,406</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1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33,406</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33,406</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bl>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transfers between levels occurred during the three months ended March 31, 2025 or March 31, 2024.</w:t>
      </w:r>
    </w:p>
    <w:p>
      <w:pPr>
        <w:spacing w:after="0" w:line="169" w:lineRule="exact"/>
        <w:rPr>
          <w:sz w:val="20"/>
          <w:szCs w:val="20"/>
          <w:color w:val="auto"/>
        </w:rPr>
      </w:pPr>
    </w:p>
    <w:p>
      <w:pPr>
        <w:ind w:right="140" w:firstLine="405"/>
        <w:spacing w:after="0" w:line="251" w:lineRule="auto"/>
        <w:rPr>
          <w:sz w:val="20"/>
          <w:szCs w:val="20"/>
          <w:color w:val="auto"/>
        </w:rPr>
      </w:pPr>
      <w:r>
        <w:rPr>
          <w:rFonts w:ascii="Times New Roman" w:cs="Times New Roman" w:eastAsia="Times New Roman" w:hAnsi="Times New Roman"/>
          <w:sz w:val="18"/>
          <w:szCs w:val="18"/>
          <w:color w:val="auto"/>
        </w:rPr>
        <w:t xml:space="preserve">The Company also has an interest make-whole payment derivative liability on its 2025 Convertible Notes (as defined in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that is measured at fair value on a recurring basis. The fair value of that liability was zero as of both March 31, 2025 and December 31, 2024. The interest make-whole payment derivative liability is a Level 3 instrument and was valued using a Monte Carlo model.</w:t>
      </w:r>
    </w:p>
    <w:p>
      <w:pPr>
        <w:spacing w:after="0" w:line="136" w:lineRule="exact"/>
        <w:rPr>
          <w:sz w:val="20"/>
          <w:szCs w:val="20"/>
          <w:color w:val="auto"/>
        </w:rPr>
      </w:pPr>
    </w:p>
    <w:p>
      <w:pPr>
        <w:jc w:val="both"/>
        <w:ind w:right="340" w:firstLine="405"/>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and 2024, there were no conversions of the 2025 Convertible Notes into shares of the Company’s common stock. There was also no change in the fair value of the interest make-whole liability for the three months ended March 31, 2025 or March 31,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 xml:space="preserve">The carrying values of the Company’s other financial assets and liabilities approximate their fair values because of their short-term nature, with the exception of the 2029 Senior Secured Notes (as defined in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and 2025 Convertible Notes. The 2029 Senior Secured Notes and 2025 Convertible Notes are carried at amortized cost, with the 2025 Convertible notes being adjusted for changes in fair value of the embedded interest make-whole payment derivative.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175"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On November 6, 2024, the Company issued to multiple noteholders approximately $40.9 million in principal amount of new senior secured notes due 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spacing w:after="0" w:line="127"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w:t>
      </w:r>
    </w:p>
    <w:p>
      <w:pPr>
        <w:spacing w:after="0" w:line="137"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2025, $40.9 million of principal of the 2029 Senior Secured Notes was outstanding, $31.8 million of which was held by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2029 Senior Secured Notes, net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gross amount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40,879</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unamortized debt premium</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41,775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41,830</w:t>
            </w: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2020, the Company completed both a registered public offering and a privately negotiated exchange agreement that resulted in the issuance of 3.25% convertible senior notes due in 2025 (the “2025 Convertible Notes”).</w:t>
      </w:r>
    </w:p>
    <w:p>
      <w:pPr>
        <w:spacing w:after="0" w:line="94"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The 2025 Convertible Notes matured on May 1, 2025. The 2025 Convertible Notes were senior unsecured obligations of the Company and bore interest at an annual rate of 3.25%, which was payable semi-annually in arrears on May 1 and November 1 of each year.</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Repurchases and Exchanges of 2025 Convertible Note</w:t>
      </w:r>
    </w:p>
    <w:p>
      <w:pPr>
        <w:spacing w:after="0" w:line="160"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Throughout the year ended December 31, 2024, the Company entered into a series of repurchase and exchange agreements with various holders of the Company’s 2025 Convertible Notes, some of whom were considered related parties of the Company. In summary, as a result of these repurchase and exchange agreements, the Company exchanged $146.9 million of outstanding principal of the 2025 Convertible Notes in exchange for $33.8 million of cash, $40.9 million of principal of the 2029 Senior Secured Notes, 2.9 million shares of the Company’s common stock, and warrants to purchase an aggregate of approximately 2.5 million shares of the Company’s common stock.</w:t>
      </w:r>
    </w:p>
    <w:p>
      <w:pPr>
        <w:spacing w:after="0" w:line="14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As of both March 31, 2025 and December 31, 2024, $14.9 million of principal amount of the 2025 Convertible Notes was outstanding, none of which was held by related parties.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2025 Convertible Notes consist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14,949</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fair value of embedded derivative</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14,905</w:t>
            </w: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2025 Convertible Notes reached maturity and were repaid in full, including all accrued interest, on May 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Asset-backed Revolving Credit Facility</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In August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and indirect subsidiary of the Company, as borrowers (together with Inseego Wireless, the “Borrowers”), and the Company, as guarantor (together with the Borrowers, the “Credit Facility Parties”).</w:t>
      </w:r>
    </w:p>
    <w:p>
      <w:pPr>
        <w:spacing w:after="0" w:line="123" w:lineRule="exact"/>
        <w:rPr>
          <w:sz w:val="20"/>
          <w:szCs w:val="20"/>
          <w:color w:val="auto"/>
        </w:rPr>
      </w:pPr>
    </w:p>
    <w:p>
      <w:pPr>
        <w:ind w:right="160" w:firstLine="405"/>
        <w:spacing w:after="0" w:line="247" w:lineRule="auto"/>
        <w:rPr>
          <w:sz w:val="20"/>
          <w:szCs w:val="20"/>
          <w:color w:val="auto"/>
        </w:rPr>
      </w:pPr>
      <w:r>
        <w:rPr>
          <w:rFonts w:ascii="Times New Roman" w:cs="Times New Roman" w:eastAsia="Times New Roman" w:hAnsi="Times New Roman"/>
          <w:sz w:val="18"/>
          <w:szCs w:val="18"/>
          <w:color w:val="auto"/>
        </w:rPr>
        <w:t>The Credit Agreement established a secured asset-backed revolving credit facility which was comprised of a maximum $50 million revolving credit facility (“Credit Facility”), with a minimum borrowing amount for interest calculations of $4.5 million upon execution of the Credit Agreement. Availability under the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Credit Facility Parties’ obligations under the Credit Agreement were secured by a continuing security interest in all property of each Credit Facility Party, subject to certain Excluded Collateral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405"/>
        <w:spacing w:after="0" w:line="259" w:lineRule="auto"/>
        <w:rPr>
          <w:sz w:val="20"/>
          <w:szCs w:val="20"/>
          <w:color w:val="auto"/>
        </w:rPr>
      </w:pPr>
      <w:r>
        <w:rPr>
          <w:rFonts w:ascii="Times New Roman" w:cs="Times New Roman" w:eastAsia="Times New Roman" w:hAnsi="Times New Roman"/>
          <w:sz w:val="17"/>
          <w:szCs w:val="17"/>
          <w:color w:val="auto"/>
        </w:rPr>
        <w:t>On May 2, 2023, (1) two related parties, South Ocean Funding, LLC and North Sound Ventures, LP (collectively, the “Credit Facility Participants”) collectively purchased a $4.0 million last-out subordinated participation interest in the Credit Agreement (the “Credit Facility Participation Interest”) from the Lender, and (2) the Borrowers entered into an amendment to the Credit Agreement which increased the borrowing base under the Credit Facility by $4.0 million, increased the minimum borrowing amount for interest calculations to $8.5 million, and modified certain covenants. In connection with the purchase of the Credit Facility Participation Interest, we agreed to pay the Credit Facility Participants an aggregate exit fee (the “Exit Fee”) ranging from</w:t>
      </w:r>
    </w:p>
    <w:p>
      <w:pPr>
        <w:spacing w:after="0" w:line="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7.5% to 12.5% of the amount of the Credit Facility Participation Interest, payable upon the earlier to occur of (a) the maturity date of the Credit Facility, (b) termination of the Lender’s commitment to make revolving loans prior to the scheduled maturity date of the Credit Facility, and (c) the early redemption of the Credit Facility Participation Interest, as applicable. Further, the purchase of the Credit Facility Participation Interest granted an option for the Credit Facility Participants to purchase the subject revolving loan or to redeem its Credit Facility Participation Interest under certain circumstances. The Credit Facility Participants are each affiliates of beneficial holders of greater than five percent of our outstanding common stock.</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Effective April 18, 2024, the Company exercised its right to voluntarily pay-off and terminate the Credit Facility.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Summary</w:t>
      </w:r>
    </w:p>
    <w:p>
      <w:pPr>
        <w:spacing w:after="0" w:line="162"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total interest expense, annualized effective interest rate, and interest expense related to related parties, if applicable, for each of the debt instruments detailed above (in thousands, except for percentages):</w:t>
      </w:r>
    </w:p>
    <w:p>
      <w:pPr>
        <w:spacing w:after="0" w:line="148"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2029 Senior Secured Notes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87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14"/>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2025 Convertible Notes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07"/>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1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70"/>
        </w:trPr>
        <w:tc>
          <w:tcPr>
            <w:tcW w:w="8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exit fee</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2"/>
        </w:trPr>
        <w:tc>
          <w:tcPr>
            <w:tcW w:w="87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76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70"/>
        </w:trPr>
        <w:tc>
          <w:tcPr>
            <w:tcW w:w="8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interest expense</w:t>
            </w: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0"/>
        </w:trPr>
        <w:tc>
          <w:tcPr>
            <w:tcW w:w="8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60" w:firstLine="405"/>
        <w:spacing w:after="0" w:line="280" w:lineRule="auto"/>
        <w:rPr>
          <w:sz w:val="20"/>
          <w:szCs w:val="20"/>
          <w:color w:val="auto"/>
        </w:rPr>
      </w:pPr>
      <w:r>
        <w:rPr>
          <w:rFonts w:ascii="Times New Roman" w:cs="Times New Roman" w:eastAsia="Times New Roman" w:hAnsi="Times New Roman"/>
          <w:sz w:val="17"/>
          <w:szCs w:val="17"/>
          <w:color w:val="auto"/>
        </w:rPr>
        <w:t>The annualized effective interest rates, including the impact of non-cash interest expense, for the 2029 Senior Secured Notes and 2025 Convertible Notes for the three months ended March 31, 2025 was 8.5% and 4.1%, respectively. The annualized effective interest rates, including the impact of non-cash interest expense, for the 2025 Convertible Notes and Credit Facility for the three months ended March 31, 2024 was 4.2% and 29.7%,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75" w:lineRule="exact"/>
        <w:rPr>
          <w:sz w:val="20"/>
          <w:szCs w:val="20"/>
          <w:color w:val="auto"/>
        </w:rPr>
      </w:pPr>
    </w:p>
    <w:p>
      <w:pPr>
        <w:ind w:right="200" w:firstLine="405"/>
        <w:spacing w:after="0" w:line="247"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shares of common stock may be issued upon the exercise of stock options, in the form of restricted stock, or in settlement of restricted stock units (“RSUs”) or other awards, including awards with alternative vesting schedules such as performance-based criteria. The 2018 Plan authorizes 5,775,308 shares, of which 2,681,632 remain available for future grants as of March 31, 2025.</w:t>
      </w:r>
    </w:p>
    <w:p>
      <w:pPr>
        <w:spacing w:after="0" w:line="126"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total share-based compensation expense within each functional line item on the condensed consolidated statements of operations for the three months ended March 31, 2025 and 2024 (in thousands):</w:t>
      </w:r>
    </w:p>
    <w:p>
      <w:pPr>
        <w:spacing w:after="0" w:line="14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22225</wp:posOffset>
            </wp:positionV>
            <wp:extent cx="1680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540" w:type="dxa"/>
            <w:vAlign w:val="bottom"/>
            <w:vMerge w:val="continue"/>
          </w:tcPr>
          <w:p>
            <w:pPr>
              <w:spacing w:after="0"/>
              <w:rPr>
                <w:sz w:val="17"/>
                <w:szCs w:val="17"/>
                <w:color w:val="auto"/>
              </w:rPr>
            </w:pP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3"/>
        </w:trPr>
        <w:tc>
          <w:tcPr>
            <w:tcW w:w="85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8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4"/>
        </w:trPr>
        <w:tc>
          <w:tcPr>
            <w:tcW w:w="85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which generally only include time-based vesting requirements. Stock options generally have a term of ten years and vest over a three to four-year period.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269,851</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893,000</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(36,732)</w:t>
            </w:r>
          </w:p>
        </w:tc>
      </w:tr>
      <w:tr>
        <w:trPr>
          <w:trHeight w:val="183"/>
        </w:trPr>
        <w:tc>
          <w:tcPr>
            <w:tcW w:w="101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March 31, 2025</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1,121,483</w:t>
            </w:r>
          </w:p>
        </w:tc>
      </w:tr>
      <w:tr>
        <w:trPr>
          <w:trHeight w:val="20"/>
        </w:trPr>
        <w:tc>
          <w:tcPr>
            <w:tcW w:w="10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 March 31,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134,598</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stock options to the CEO in connection with his hiring on January 6, 2025. These stock options contain a requirement that in order to be exercisable, the Company’s closing stock price must exceed the exercise price of the awards for 20 of the 30 trading-days immediately prior to the requested exercise date. The Company granted a total of 850,000 of these options to the CEO at a weighted average exercise price of $18.46. The total grant-date fair value of the options was $6.7 million and will be expensed over the four-year vesting term of the awards.</w:t>
      </w:r>
    </w:p>
    <w:p>
      <w:pPr>
        <w:spacing w:after="0" w:line="123"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These options granted to the Company’s CEO were valued using a Monte Carlo simulation model. The following table details the key assumptions utilized in the Monte Carlo simulation model used to calculate the grant-date fair value of the awards: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6, 2025</w:t>
            </w:r>
          </w:p>
        </w:tc>
      </w:tr>
      <w:tr>
        <w:trPr>
          <w:trHeight w:val="21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date stock price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Simulation term (years)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84.00 %</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3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At March 31, 2025, total unrecognized compensation expense related to stock options was $5.4 million, which is expected to be recognized over a weighted-average period of 3.68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three months ended March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December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1,111,841</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338,776</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(51,534)</w:t>
            </w:r>
          </w:p>
        </w:tc>
      </w:tr>
      <w:tr>
        <w:trPr>
          <w:trHeight w:val="216"/>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(81,277)</w:t>
            </w:r>
          </w:p>
        </w:tc>
      </w:tr>
      <w:tr>
        <w:trPr>
          <w:trHeight w:val="212"/>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March 31, 2025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1,317,806</w:t>
            </w:r>
          </w:p>
        </w:tc>
      </w:tr>
      <w:tr>
        <w:trPr>
          <w:trHeight w:val="21"/>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405"/>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2025, the Company granted RSUs to the CEO in connection with his hiring on January 6, 2025. The Company granted the CEO 124,347 RSUs that contain a time-based vesting requirement (“Time-based CEO RSUs”) with a total grant-date fair value of $1.4 million that vest over four years. The Company also granted the CEO RSUs that contain a market-based vesting condition in addition to a time-based vesting requirement (“Market-based CEO RSUs”). The Company granted 167,910 of these Market-based CEO RSUs with a total grant-date fair value of $3.2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6, 2025</w:t>
            </w:r>
          </w:p>
        </w:tc>
      </w:tr>
      <w:tr>
        <w:trPr>
          <w:trHeight w:val="21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date stock price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Simulation term (years)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4.25 %</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105.63 %</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Correlation coefficient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0.3741</w:t>
            </w:r>
          </w:p>
        </w:tc>
      </w:tr>
    </w:tbl>
    <w:p>
      <w:pPr>
        <w:spacing w:after="0" w:line="23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At March 31, 2025, total unrecognized compensation expense related to RSUs, including the RSUs with a market based condition discussed above, was $9.2 million, which is expected to be recognized over a weighted-average period of 3.23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(Loss) per Share</w:t>
      </w:r>
    </w:p>
    <w:p>
      <w:pPr>
        <w:spacing w:after="0" w:line="175" w:lineRule="exact"/>
        <w:rPr>
          <w:sz w:val="20"/>
          <w:szCs w:val="20"/>
          <w:color w:val="auto"/>
        </w:rPr>
      </w:pPr>
    </w:p>
    <w:p>
      <w:pPr>
        <w:jc w:val="both"/>
        <w:ind w:right="100" w:firstLine="405"/>
        <w:spacing w:after="0" w:line="258" w:lineRule="auto"/>
        <w:rPr>
          <w:sz w:val="20"/>
          <w:szCs w:val="20"/>
          <w:color w:val="auto"/>
        </w:rPr>
      </w:pPr>
      <w:r>
        <w:rPr>
          <w:rFonts w:ascii="Times New Roman" w:cs="Times New Roman" w:eastAsia="Times New Roman" w:hAnsi="Times New Roman"/>
          <w:sz w:val="18"/>
          <w:szCs w:val="18"/>
          <w:color w:val="auto"/>
        </w:rPr>
        <w:t>Basic earnings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using the treasury stock method. Potentially dilutive securities (consisting primarily of the 2025 Convertible Notes calculated using the if-converted method and warrants, stock options and RSUs calculated using the treasury stock method) are excluded from the diluted EPS computation in loss periods and when their effect would be anti-dilutive.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EPS was as follows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Per-Share</w:t>
            </w: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59"/>
        </w:trPr>
        <w:tc>
          <w:tcPr>
            <w:tcW w:w="20" w:type="dxa"/>
            <w:vAlign w:val="bottom"/>
          </w:tcPr>
          <w:p>
            <w:pPr>
              <w:spacing w:after="0"/>
              <w:rPr>
                <w:sz w:val="13"/>
                <w:szCs w:val="13"/>
                <w:color w:val="auto"/>
              </w:rPr>
            </w:pPr>
          </w:p>
        </w:tc>
        <w:tc>
          <w:tcPr>
            <w:tcW w:w="674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For the three months ended March 31, 2025</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(0.14)</w:t>
            </w: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rPr>
              <w:t>(0.03)</w:t>
            </w:r>
          </w:p>
        </w:tc>
      </w:tr>
      <w:tr>
        <w:trPr>
          <w:trHeight w:val="183"/>
        </w:trPr>
        <w:tc>
          <w:tcPr>
            <w:tcW w:w="20" w:type="dxa"/>
            <w:vAlign w:val="bottom"/>
          </w:tcPr>
          <w:p>
            <w:pPr>
              <w:spacing w:after="0"/>
              <w:rPr>
                <w:sz w:val="15"/>
                <w:szCs w:val="15"/>
                <w:color w:val="auto"/>
              </w:rPr>
            </w:pPr>
          </w:p>
        </w:tc>
        <w:tc>
          <w:tcPr>
            <w:tcW w:w="6740" w:type="dxa"/>
            <w:vAlign w:val="bottom"/>
            <w:gridSpan w:val="2"/>
          </w:tcPr>
          <w:p>
            <w:pPr>
              <w:ind w:left="220"/>
              <w:spacing w:after="0" w:line="183" w:lineRule="exact"/>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(2,434)</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15,002</w:t>
            </w:r>
          </w:p>
        </w:tc>
        <w:tc>
          <w:tcPr>
            <w:tcW w:w="80" w:type="dxa"/>
            <w:vAlign w:val="bottom"/>
          </w:tcPr>
          <w:p>
            <w:pPr>
              <w:spacing w:after="0"/>
              <w:rPr>
                <w:sz w:val="15"/>
                <w:szCs w:val="15"/>
                <w:color w:val="auto"/>
              </w:rPr>
            </w:pPr>
          </w:p>
        </w:tc>
        <w:tc>
          <w:tcPr>
            <w:tcW w:w="240" w:type="dxa"/>
            <w:vAlign w:val="bottom"/>
          </w:tcPr>
          <w:p>
            <w:pPr>
              <w:jc w:val="right"/>
              <w:ind w:right="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679"/>
              <w:spacing w:after="0" w:line="183" w:lineRule="exact"/>
              <w:rPr>
                <w:sz w:val="20"/>
                <w:szCs w:val="20"/>
                <w:color w:val="auto"/>
              </w:rPr>
            </w:pPr>
            <w:r>
              <w:rPr>
                <w:rFonts w:ascii="Times New Roman" w:cs="Times New Roman" w:eastAsia="Times New Roman" w:hAnsi="Times New Roman"/>
                <w:sz w:val="16"/>
                <w:szCs w:val="16"/>
                <w:color w:val="auto"/>
              </w:rPr>
              <w:t>(0.16)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7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three months ended March 31, 2024</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(0.53)</w:t>
            </w: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699"/>
              <w:spacing w:after="0"/>
              <w:rPr>
                <w:sz w:val="20"/>
                <w:szCs w:val="20"/>
                <w:color w:val="auto"/>
              </w:rPr>
            </w:pPr>
            <w:r>
              <w:rPr>
                <w:rFonts w:ascii="Times New Roman" w:cs="Times New Roman" w:eastAsia="Times New Roman" w:hAnsi="Times New Roman"/>
                <w:sz w:val="16"/>
                <w:szCs w:val="16"/>
                <w:color w:val="auto"/>
              </w:rPr>
              <w:t>0.09</w:t>
            </w:r>
          </w:p>
        </w:tc>
      </w:tr>
      <w:tr>
        <w:trPr>
          <w:trHeight w:val="212"/>
        </w:trPr>
        <w:tc>
          <w:tcPr>
            <w:tcW w:w="2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center"/>
              <w:ind w:left="679"/>
              <w:spacing w:after="0"/>
              <w:rPr>
                <w:sz w:val="20"/>
                <w:szCs w:val="20"/>
                <w:color w:val="auto"/>
              </w:rPr>
            </w:pPr>
            <w:r>
              <w:rPr>
                <w:rFonts w:ascii="Times New Roman" w:cs="Times New Roman" w:eastAsia="Times New Roman" w:hAnsi="Times New Roman"/>
                <w:sz w:val="16"/>
                <w:szCs w:val="16"/>
                <w:color w:val="auto"/>
              </w:rPr>
              <w:t>(0.44)</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45" w:lineRule="exact"/>
        <w:rPr>
          <w:sz w:val="20"/>
          <w:szCs w:val="20"/>
          <w:color w:val="auto"/>
        </w:rPr>
      </w:pPr>
    </w:p>
    <w:p>
      <w:pPr>
        <w:ind w:right="5760" w:firstLine="8"/>
        <w:spacing w:after="0" w:line="362" w:lineRule="auto"/>
        <w:tabs>
          <w:tab w:leader="none" w:pos="20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retroactively for reverse stock split that occurred on January 24, 2024, see Note 1. (**) Rounding may affect summation.</w:t>
      </w:r>
    </w:p>
    <w:p>
      <w:pPr>
        <w:spacing w:after="0" w:line="72"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following is a summary of outstanding anti-dilutive potential shares of common stock that have been excluded from diluted net loss per share attributable to common stockholders because their inclusion would have been anti-dilutive as of March 31, 2025 and 2024 (in thousands):</w:t>
      </w:r>
    </w:p>
    <w:p>
      <w:pPr>
        <w:spacing w:after="0" w:line="14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Non-qualified stock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32"/>
        </w:trPr>
        <w:tc>
          <w:tcPr>
            <w:tcW w:w="9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 xml:space="preserve">In connection with various debt restructuring agreements entered into during the year ended December 31, 2024, the Company issued warrants to purchase an aggregate of 3.0 million shares of the Company’s common stock, including the warrants noted in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The warrants expire four years from their date of issuance and are exercisable on a cash basis at any time before their expiration dates. The warrants are subject to adjustment for stock splits, reverse stock splits, stock dividends and similar transactions and contain customary registration rights with respect to the shares of common stock issuable upon exercise of the warrants. The warrants issued during the year ended December 31, 2024 are the only outstanding warrants as of both March 31, 2025 and December 31, 2024. As of March 31, 2025, none of the warrants have been exercised.</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number and exercise price of the warrants issued and outstanding as of March 31, 2025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242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Number of Shares to Purchase with</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80" w:type="dxa"/>
            <w:vAlign w:val="bottom"/>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6280" w:type="dxa"/>
            <w:vAlign w:val="bottom"/>
            <w:gridSpan w:val="2"/>
            <w:vMerge w:val="continue"/>
          </w:tcPr>
          <w:p>
            <w:pPr>
              <w:spacing w:after="0"/>
              <w:rPr>
                <w:sz w:val="17"/>
                <w:szCs w:val="17"/>
                <w:color w:val="auto"/>
              </w:rPr>
            </w:pPr>
          </w:p>
        </w:tc>
        <w:tc>
          <w:tcPr>
            <w:tcW w:w="2420" w:type="dxa"/>
            <w:vAlign w:val="bottom"/>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28, 2024</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July 18, 2024</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236,074</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 2,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88,534</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October 24, 2024</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20,646</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1,543,363</w:t>
            </w:r>
          </w:p>
        </w:tc>
        <w:tc>
          <w:tcPr>
            <w:tcW w:w="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29,687</w:t>
            </w:r>
          </w:p>
        </w:tc>
        <w:tc>
          <w:tcPr>
            <w:tcW w:w="5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November 6, 2024</w:t>
            </w: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560" w:type="dxa"/>
            <w:vAlign w:val="bottom"/>
            <w:tcBorders>
              <w:bottom w:val="single" w:sz="8" w:color="CCEEFF"/>
            </w:tcBorders>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3,018,304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 As of March 31, 2025 and December 31, 2024, the Company had 25,000 shares of Series E preferred stock issued and outstanding. Dividends declared, but not paid, related to the Series E Preferred Stock resulted in $14.3 million and $13.4 million of dividends accrued, approximating $570.26 and $535.71 per preferred share, as of March 31, 2025 and December 31, 2024,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Geographic, and Concentrations of Risk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3" w:lineRule="exact"/>
        <w:rPr>
          <w:sz w:val="20"/>
          <w:szCs w:val="20"/>
          <w:color w:val="auto"/>
        </w:rPr>
      </w:pPr>
    </w:p>
    <w:p>
      <w:pPr>
        <w:jc w:val="both"/>
        <w:ind w:right="140" w:firstLine="405"/>
        <w:spacing w:after="0" w:line="262" w:lineRule="auto"/>
        <w:rPr>
          <w:sz w:val="20"/>
          <w:szCs w:val="20"/>
          <w:color w:val="auto"/>
        </w:rPr>
      </w:pPr>
      <w:r>
        <w:rPr>
          <w:rFonts w:ascii="Times New Roman" w:cs="Times New Roman" w:eastAsia="Times New Roman" w:hAnsi="Times New Roman"/>
          <w:sz w:val="17"/>
          <w:szCs w:val="17"/>
          <w:color w:val="auto"/>
        </w:rPr>
        <w:t xml:space="preserve">As previously detailed in </w:t>
      </w:r>
      <w:r>
        <w:rPr>
          <w:rFonts w:ascii="Times New Roman" w:cs="Times New Roman" w:eastAsia="Times New Roman" w:hAnsi="Times New Roman"/>
          <w:sz w:val="17"/>
          <w:szCs w:val="17"/>
          <w:i w:val="1"/>
          <w:iCs w:val="1"/>
          <w:color w:val="auto"/>
        </w:rPr>
        <w:t>Note 1 – Nature of Business and Significant Accounting Policies</w:t>
      </w:r>
      <w:r>
        <w:rPr>
          <w:rFonts w:ascii="Times New Roman" w:cs="Times New Roman" w:eastAsia="Times New Roman" w:hAnsi="Times New Roman"/>
          <w:sz w:val="17"/>
          <w:szCs w:val="17"/>
          <w:color w:val="auto"/>
        </w:rPr>
        <w:t>, the Company operates as one reportable segment. As of March 31, 2025, the Company’s CODM was its CEO. The Company’s CODM does not manage any part of the Company separately, and the allocation of resources and assessment of performance is based solely on the Company’s consolidated operations and financial results. The accounting policies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single reportable segment are the same as those described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revenues, significant expenses and other segment items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37,505</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60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24,236</w:t>
            </w:r>
          </w:p>
        </w:tc>
      </w:tr>
      <w:tr>
        <w:trPr>
          <w:trHeight w:val="216"/>
        </w:trPr>
        <w:tc>
          <w:tcPr>
            <w:tcW w:w="8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research and development </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r>
      <w:tr>
        <w:trPr>
          <w:trHeight w:val="216"/>
        </w:trPr>
        <w:tc>
          <w:tcPr>
            <w:tcW w:w="8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sales and marketing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w:t>
            </w:r>
          </w:p>
        </w:tc>
      </w:tr>
      <w:tr>
        <w:trPr>
          <w:trHeight w:val="216"/>
        </w:trPr>
        <w:tc>
          <w:tcPr>
            <w:tcW w:w="8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general and administrative </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w:t>
            </w:r>
          </w:p>
        </w:tc>
      </w:tr>
      <w:tr>
        <w:trPr>
          <w:trHeight w:val="216"/>
        </w:trPr>
        <w:tc>
          <w:tcPr>
            <w:tcW w:w="8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depreciation and amortization </w:t>
            </w:r>
            <w:r>
              <w:rPr>
                <w:rFonts w:ascii="Times New Roman" w:cs="Times New Roman" w:eastAsia="Times New Roman" w:hAnsi="Times New Roman"/>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Capitalizable software development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1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expenditures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1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purchased intangible assets related to business combinations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profit or loss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r>
      <w:tr>
        <w:trPr>
          <w:trHeight w:val="219"/>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w:t>
            </w:r>
          </w:p>
        </w:tc>
      </w:tr>
    </w:tbl>
    <w:p>
      <w:pPr>
        <w:ind w:left="220" w:hanging="194"/>
        <w:spacing w:after="0"/>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share-based compensation expense.</w:t>
      </w:r>
    </w:p>
    <w:p>
      <w:pPr>
        <w:spacing w:after="0" w:line="30"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or share-based compensation expense.</w:t>
      </w:r>
    </w:p>
    <w:p>
      <w:pPr>
        <w:spacing w:after="0" w:line="41"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share-based compensation expense, right-of-use asset impairments, or debt restructuring costs.</w:t>
      </w:r>
    </w:p>
    <w:p>
      <w:pPr>
        <w:spacing w:after="0" w:line="41"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of purchased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-471805</wp:posOffset>
            </wp:positionV>
            <wp:extent cx="1671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Company’s revenues by geographic region based on shipping destination (in thousands):</w:t>
      </w:r>
    </w:p>
    <w:p>
      <w:pPr>
        <w:spacing w:after="0" w:line="12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31,620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35,476</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(including United Kingdom)</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w:t>
            </w:r>
          </w:p>
        </w:tc>
      </w:tr>
      <w:tr>
        <w:trPr>
          <w:trHeight w:val="237"/>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31,673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long-term assets are located within the United States.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173"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two customers accounted for 54.6% and 35.1% of revenues, respectively. For the three months ended March 31, 2024, two customers accounted for 47.2% and 21.9% of revenues, respectively.</w:t>
      </w:r>
    </w:p>
    <w:p>
      <w:pPr>
        <w:spacing w:after="0" w:line="108"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2025, two customers accounted for 45.6% and 31.4% of accounts receivable, net, respectively. As of December 31, 2024, three customers accounted for 33.6%, 22.8%, and 18.8% of accounts receivable, net, respectively.</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Concentrations in the Available Sources of Supply of Materials and Product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firstLine="405"/>
        <w:spacing w:after="0" w:line="246" w:lineRule="auto"/>
        <w:rPr>
          <w:sz w:val="20"/>
          <w:szCs w:val="20"/>
          <w:color w:val="auto"/>
        </w:rPr>
      </w:pPr>
      <w:r>
        <w:rPr>
          <w:rFonts w:ascii="Times New Roman" w:cs="Times New Roman" w:eastAsia="Times New Roman" w:hAnsi="Times New Roman"/>
          <w:sz w:val="18"/>
          <w:szCs w:val="18"/>
          <w:color w:val="auto"/>
        </w:rPr>
        <w:t>Our services use hardware and software from various third parties, some of which are procured from sole-source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In addition, many of our suppliers are located outside of the United States and therefore can be impacted by additional government regulations, such as import tariffs.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92"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that require future purchases of goods or services in the three to four quarters following the balance sheet date. Such commitments are noncancellable (“noncancellable purchase obligations”). As of March 31, 2025, future payments under these noncancellable purchase obligations were approximately $44.1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0"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73"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08" w:lineRule="exact"/>
        <w:rPr>
          <w:sz w:val="20"/>
          <w:szCs w:val="20"/>
          <w:color w:val="auto"/>
        </w:rPr>
      </w:pPr>
    </w:p>
    <w:p>
      <w:pPr>
        <w:ind w:right="360" w:firstLine="405"/>
        <w:spacing w:after="0" w:line="250" w:lineRule="auto"/>
        <w:rPr>
          <w:sz w:val="20"/>
          <w:szCs w:val="20"/>
          <w:color w:val="auto"/>
        </w:rPr>
      </w:pPr>
      <w:r>
        <w:rPr>
          <w:rFonts w:ascii="Times New Roman" w:cs="Times New Roman" w:eastAsia="Times New Roman" w:hAnsi="Times New Roman"/>
          <w:sz w:val="18"/>
          <w:szCs w:val="18"/>
          <w:color w:val="auto"/>
        </w:rPr>
        <w:t>Income taxes for both periods consisted primarily of foreign income taxes at certain of the Company’s international entities and state taxes for its U.S.-based entities. The Company’s income tax expense differs from the expected expense based on statutory rates primarily due to full valuation allowances at all of its U.S.-based entities.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14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telematics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introduce new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price and performance standards of the evolving 5G New Radio (“5G NR”) products and technologies;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channels and to onboard and execute successfully with channel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expand into new markets;</w:t>
      </w:r>
    </w:p>
    <w:p>
      <w:pPr>
        <w:spacing w:after="0" w:line="13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and third parties to manufacture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and/or the shortage of semiconductors or other key components of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mobile broadband and fixed wireless access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successful investments in research and development;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tariffs or other government-imposed sanctions;</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ability to make payments on or to refinance our indebtedness;</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0" w:name="page21"/>
    <w:bookmarkEnd w:id="20"/>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qualified personnel to maintain and expand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 rates of inflation and rising interest rates;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tariffs or other trade restrictions;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158"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2024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 w:name="page22"/>
    <w:bookmarkEnd w:id="21"/>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2024, contained in our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wireless subscriber management SaaS solution for carriers’ management of their government and complex enterprise customer subscriptions.</w:t>
      </w:r>
    </w:p>
    <w:p>
      <w:pPr>
        <w:spacing w:after="0" w:line="12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Our 5G products and associated cloud solutions are designed and developed in the U.S. and are used in mission-critical applications requiring the highest levels of security and zero unscheduled downtime. These products support applications such as business broadband for both mobile and fixed use cases, enterprise networking and software-defined wide area network (“SD-WAN”) failover management.</w:t>
      </w:r>
    </w:p>
    <w:p>
      <w:pPr>
        <w:spacing w:after="0" w:line="11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ind w:right="60" w:firstLine="405"/>
        <w:spacing w:after="0" w:line="244" w:lineRule="auto"/>
        <w:rPr>
          <w:sz w:val="20"/>
          <w:szCs w:val="20"/>
          <w:color w:val="auto"/>
        </w:rPr>
      </w:pPr>
      <w:r>
        <w:rPr>
          <w:rFonts w:ascii="Times New Roman" w:cs="Times New Roman" w:eastAsia="Times New Roman" w:hAnsi="Times New Roman"/>
          <w:sz w:val="18"/>
          <w:szCs w:val="18"/>
          <w:color w:val="auto"/>
        </w:rPr>
        <w:t>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 million in cash, subject to certain adjustments. Upon completion of the sale, which occurred on November 27, 2024, the Purchaser acquired the Company’s telematics solutions business (the “Telematics Business”), which had operations in the United Kingdom, the European Union, Australia and New Zealand.</w:t>
      </w:r>
    </w:p>
    <w:p>
      <w:pPr>
        <w:spacing w:after="0" w:line="141"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Business further supports the Company’s streamlining of its focus and resources on what it believes to be the strongest growth opportunities around its core product offerings.</w:t>
      </w:r>
    </w:p>
    <w:p>
      <w:pPr>
        <w:spacing w:after="0" w:line="12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results of operations and cash flows related to the divested Telematics Business have been classified as discontinued operations within the Condensed Consolidated Statements of Operations and Comprehensive Income and Condensed Consolidated Statements of Cash Flows for all periods presented within the consolidated financial statements included in Part I, Item 1 of this Quarterly Report on Form 10-Q. All discussion below relates to the Company’s continuing operations only, which excludes any results related to the divested Telematics Business, unless noted otherwise.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classify our revenues from the sale of our products and services into two categories: Product Revenue, which consists of our Mobile Solutions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Wireless Access Solutions, and Services and Other. A description of each of the revenue classifications is as follows:</w:t>
      </w:r>
    </w:p>
    <w:p>
      <w:pPr>
        <w:spacing w:after="0" w:line="136" w:lineRule="exact"/>
        <w:rPr>
          <w:sz w:val="20"/>
          <w:szCs w:val="20"/>
          <w:color w:val="auto"/>
        </w:rPr>
      </w:pPr>
    </w:p>
    <w:p>
      <w:pPr>
        <w:ind w:left="660" w:right="20"/>
        <w:spacing w:after="0" w:line="247" w:lineRule="auto"/>
        <w:rPr>
          <w:sz w:val="20"/>
          <w:szCs w:val="20"/>
          <w:color w:val="auto"/>
        </w:rPr>
      </w:pPr>
      <w:r>
        <w:rPr>
          <w:rFonts w:ascii="Times New Roman" w:cs="Times New Roman" w:eastAsia="Times New Roman" w:hAnsi="Times New Roman"/>
          <w:sz w:val="18"/>
          <w:szCs w:val="18"/>
          <w:i w:val="1"/>
          <w:iCs w:val="1"/>
          <w:color w:val="auto"/>
        </w:rPr>
        <w:t>Mobile solutions</w:t>
      </w:r>
      <w:r>
        <w:rPr>
          <w:rFonts w:ascii="Times New Roman" w:cs="Times New Roman" w:eastAsia="Times New Roman" w:hAnsi="Times New Roman"/>
          <w:sz w:val="18"/>
          <w:szCs w:val="18"/>
          <w:color w:val="auto"/>
        </w:rPr>
        <w:t>: Our mobile broadband devices, sold under the MiFi brand, are actively used by millions of end users to provide secure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convenient high-speed access to corporate, public and personal 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Verizon Wireless, T-Mobile and U.S. Cellular in the United States, Rogers and Telus in Canada, and various companies in other vertical markets.</w:t>
      </w:r>
    </w:p>
    <w:p>
      <w:pPr>
        <w:spacing w:after="0" w:line="217" w:lineRule="exact"/>
        <w:rPr>
          <w:sz w:val="20"/>
          <w:szCs w:val="20"/>
          <w:color w:val="auto"/>
        </w:rPr>
      </w:pPr>
    </w:p>
    <w:p>
      <w:pPr>
        <w:ind w:left="660" w:right="100"/>
        <w:spacing w:after="0" w:line="251" w:lineRule="auto"/>
        <w:rPr>
          <w:sz w:val="20"/>
          <w:szCs w:val="20"/>
          <w:color w:val="auto"/>
        </w:rPr>
      </w:pPr>
      <w:r>
        <w:rPr>
          <w:rFonts w:ascii="Times New Roman" w:cs="Times New Roman" w:eastAsia="Times New Roman" w:hAnsi="Times New Roman"/>
          <w:sz w:val="18"/>
          <w:szCs w:val="18"/>
          <w:i w:val="1"/>
          <w:iCs w:val="1"/>
          <w:color w:val="auto"/>
        </w:rPr>
        <w:t>Fixed wireless access solutions</w:t>
      </w:r>
      <w:r>
        <w:rPr>
          <w:rFonts w:ascii="Times New Roman" w:cs="Times New Roman" w:eastAsia="Times New Roman" w:hAnsi="Times New Roman"/>
          <w:sz w:val="18"/>
          <w:szCs w:val="18"/>
          <w:color w:val="auto"/>
        </w:rPr>
        <w:t>: Our fixed wireless access solutions are deployed by enterprise and SMB customers for their distributed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ind w:left="660" w:right="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below. These devices, sold under the Wavemaker brands, are sold by mobile operators such as T-Mobile, U.S. Cellular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Verizon Wireless along with distribution and channel partners.</w:t>
      </w:r>
    </w:p>
    <w:p>
      <w:pPr>
        <w:spacing w:after="0" w:line="199" w:lineRule="exact"/>
        <w:rPr>
          <w:sz w:val="20"/>
          <w:szCs w:val="20"/>
          <w:color w:val="auto"/>
        </w:rPr>
      </w:pPr>
    </w:p>
    <w:p>
      <w:pPr>
        <w:ind w:left="660" w:right="300"/>
        <w:spacing w:after="0" w:line="251"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A substantial majority of our Services and Other revenue comes from providing a SaaS wireless subscriber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solution (Inseego Subscribe) for carrier’s management of their government and complex enterprise customer subscriptions. Services and Other revenue also includes the Company’s above mentioned Inseego Connect offering. We also categorize non-recurring engineering services we provide to our customers as </w:t>
      </w:r>
      <w:r>
        <w:rPr>
          <w:rFonts w:ascii="Times New Roman" w:cs="Times New Roman" w:eastAsia="Times New Roman" w:hAnsi="Times New Roman"/>
          <w:sz w:val="18"/>
          <w:szCs w:val="18"/>
          <w:i w:val="1"/>
          <w:iCs w:val="1"/>
          <w:color w:val="auto"/>
        </w:rPr>
        <w:t>Service and other</w:t>
      </w:r>
      <w:r>
        <w:rPr>
          <w:rFonts w:ascii="Times New Roman" w:cs="Times New Roman" w:eastAsia="Times New Roman" w:hAnsi="Times New Roman"/>
          <w:sz w:val="18"/>
          <w:szCs w:val="18"/>
          <w:color w:val="auto"/>
        </w:rPr>
        <w:t xml:space="preserve">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Reporting</w:t>
      </w:r>
    </w:p>
    <w:p>
      <w:pPr>
        <w:spacing w:after="0" w:line="16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 As such, our operations constitute a single operating segment and one reportable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discussed in the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three months ended March 31, 2025 were $31.7 million, compared to $37.5 million for the same period in 2024.</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our two categories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17,790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15,270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19,693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29,452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31,673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37,505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right="8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$2.5 million increase in mobile solutions revenues is primarily due to increased sales of our higher margin premium 5G MiFi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multiple carriers, including a promotional offer at one of our carrier partners.</w:t>
      </w:r>
    </w:p>
    <w:p>
      <w:pPr>
        <w:spacing w:after="0" w:line="118" w:lineRule="exact"/>
        <w:rPr>
          <w:sz w:val="20"/>
          <w:szCs w:val="20"/>
          <w:color w:val="auto"/>
        </w:rPr>
      </w:pPr>
    </w:p>
    <w:p>
      <w:pPr>
        <w:ind w:left="120" w:right="1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$12.3 million decrease in fixed wireless access solutions revenues is primarily due to decreased sales with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carrier partners as we transition to our next generation of fixed wireless access products and decreased sales in our channel program.</w:t>
      </w:r>
    </w:p>
    <w:p>
      <w:pPr>
        <w:spacing w:after="0" w:line="105" w:lineRule="exact"/>
        <w:rPr>
          <w:sz w:val="20"/>
          <w:szCs w:val="20"/>
          <w:color w:val="auto"/>
        </w:rPr>
      </w:pPr>
    </w:p>
    <w:p>
      <w:pPr>
        <w:ind w:left="120" w:right="1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$3.9 million increase in services and other revenues is primarily due to increased Inseego Subscribe revenues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a two-year service contract renewal with a major customer that was executed in April 2024.</w:t>
      </w:r>
    </w:p>
    <w:p>
      <w:pPr>
        <w:spacing w:after="0" w:line="89" w:lineRule="exact"/>
        <w:rPr>
          <w:sz w:val="20"/>
          <w:szCs w:val="20"/>
          <w:color w:val="auto"/>
        </w:rPr>
      </w:pPr>
    </w:p>
    <w:p>
      <w:pPr>
        <w:ind w:right="12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three months ended March 31, 2025 was $16.7 million, or 52.7% of revenues, compared to $24.3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64.7% of revenues,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15,396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22,713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16,690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24,261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$7.3 million decrease in product cost of revenues is primarily due to decreased product revenues.</w:t>
      </w:r>
    </w:p>
    <w:p>
      <w:pPr>
        <w:spacing w:after="0" w:line="158" w:lineRule="exact"/>
        <w:rPr>
          <w:sz w:val="20"/>
          <w:szCs w:val="20"/>
          <w:color w:val="auto"/>
        </w:rPr>
      </w:pPr>
    </w:p>
    <w:p>
      <w:pPr>
        <w:ind w:left="120" w:right="640" w:firstLine="40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Services and other. </w:t>
      </w:r>
      <w:r>
        <w:rPr>
          <w:rFonts w:ascii="Times New Roman" w:cs="Times New Roman" w:eastAsia="Times New Roman" w:hAnsi="Times New Roman"/>
          <w:sz w:val="17"/>
          <w:szCs w:val="17"/>
          <w:color w:val="auto"/>
        </w:rPr>
        <w:t>The $0.3 million decrease in services and other cost of revenues is primarily due to decreased non-recurring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 and the related costs of performing those services, partially offset by increased Inseego Subscribe revenues and related costs.</w:t>
      </w:r>
    </w:p>
    <w:p>
      <w:pPr>
        <w:spacing w:after="0" w:line="65"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March 31, 2025 was $15.0 million, or a gross margin of 47.3%, compared to $13.2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35.3%, for the same period in 2024. The increase in gross profit and gross profit margin is primarily due to a larger proportion of higher margin service revenues as a percentage of total revenues and increased margins on the Company’s premium 5G MiFi offerings in the first quarter of 2025 in comparison to the lower margin products offered in the first quarter of the prior year.</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Pr>
          <w:p>
            <w:pPr>
              <w:spacing w:after="0"/>
              <w:rPr>
                <w:sz w:val="16"/>
                <w:szCs w:val="16"/>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w:t>
            </w:r>
          </w:p>
        </w:tc>
        <w:tc>
          <w:tcPr>
            <w:tcW w:w="100" w:type="dxa"/>
            <w:vAlign w:val="bottom"/>
          </w:tcPr>
          <w:p>
            <w:pPr>
              <w:spacing w:after="0"/>
              <w:rPr>
                <w:sz w:val="18"/>
                <w:szCs w:val="18"/>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16,189</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00" w:firstLine="405"/>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March 31, 2025 were $4.5 million, or 14.3%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compared to $4.7 million, or 12.5% of revenues, for the same period in 2024. The decrease in research and development expenses was primarily due to more research and development projects that were capitalizable during the three months ended March 31, 2025, which resulted in a lower percentage of research and development costs being recorded as operating expenses, partially offset by increased prototype builds, testing and certification costs, and outside services costs related to the Company’s increased development efforts for its next line of products.</w:t>
      </w:r>
    </w:p>
    <w:p>
      <w:pPr>
        <w:spacing w:after="0" w:line="119" w:lineRule="exact"/>
        <w:rPr>
          <w:sz w:val="20"/>
          <w:szCs w:val="20"/>
          <w:color w:val="auto"/>
        </w:rPr>
      </w:pPr>
    </w:p>
    <w:p>
      <w:pPr>
        <w:ind w:right="20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March 31, 2025 were $3.9 million, or 12.4% of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$3.8 million, or 10.2% of revenues, for the same period in 2024. The increase in sales and marketing expenses was primarily due to higher trade show related costs, partially offset by decreased sales commissions and outbound freight costs as a result of lower sales.</w:t>
      </w:r>
    </w:p>
    <w:p>
      <w:pPr>
        <w:spacing w:after="0" w:line="110" w:lineRule="exact"/>
        <w:rPr>
          <w:sz w:val="20"/>
          <w:szCs w:val="20"/>
          <w:color w:val="auto"/>
        </w:rPr>
      </w:pPr>
    </w:p>
    <w:p>
      <w:pPr>
        <w:ind w:right="12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March 31, 2025 were $4.5 million, or 14.2%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compared to $4.0 million, or 10.5% of revenues, for the same period in 2024. The increase in general and administrative expense was primarily due to an increase in share-based compensation expense related to awards issued to the Company’s CEO that was hired in January 2025.</w:t>
      </w:r>
    </w:p>
    <w:p>
      <w:pPr>
        <w:spacing w:after="0" w:line="110"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three months ended March 31, 2025 were $2.1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6.5% of revenues, compared to $3.3 million, or 8.8% of revenues, for the same period in 2024. The decrease in depreciation and amortization expenses was primarily due to the capitalized costs on the Company’s next generation of software intended for sale being capitalized but not amortizable until future quarters.</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Impairment of capitalized software. </w:t>
      </w:r>
      <w:r>
        <w:rPr>
          <w:rFonts w:ascii="Times New Roman" w:cs="Times New Roman" w:eastAsia="Times New Roman" w:hAnsi="Times New Roman"/>
          <w:sz w:val="18"/>
          <w:szCs w:val="18"/>
          <w:color w:val="auto"/>
        </w:rPr>
        <w:t>For each of the three months ended March 31, 2025 and 2024, we recorded impairments of $0.4 million.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79"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$1.2 million decrease in interest expense for the three months ended March 31, 2025 over the same period in 2024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a result the Company’s various repurchases and exchanges of the 2025 Convertible Notes (as defined below) that occurred during 2024, resulting in lower coupon interest, partially offset by interest expense on the Company’s 2029 Senior Secured Notes (as defined below) that were issued in the fourth quarter of 2024.</w:t>
      </w:r>
    </w:p>
    <w:p>
      <w:pPr>
        <w:spacing w:after="0" w:line="116" w:lineRule="exact"/>
        <w:rPr>
          <w:sz w:val="20"/>
          <w:szCs w:val="20"/>
          <w:color w:val="auto"/>
        </w:rPr>
      </w:pPr>
    </w:p>
    <w:p>
      <w:pPr>
        <w:ind w:right="10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months ended March 31, 2025 and 2024 was $0.3 million and $(0.4)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increase in other income, net was primarily due to interest income earned on money market fund accounts that the Company began investing in during the first quarter of 2025.</w:t>
      </w:r>
    </w:p>
    <w:p>
      <w:pPr>
        <w:spacing w:after="0" w:line="97" w:lineRule="exact"/>
        <w:rPr>
          <w:sz w:val="20"/>
          <w:szCs w:val="20"/>
          <w:color w:val="auto"/>
        </w:rPr>
      </w:pPr>
    </w:p>
    <w:p>
      <w:pPr>
        <w:ind w:right="7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(Loss) from discontinued operations, net of tax. </w:t>
      </w:r>
      <w:r>
        <w:rPr>
          <w:rFonts w:ascii="Times New Roman" w:cs="Times New Roman" w:eastAsia="Times New Roman" w:hAnsi="Times New Roman"/>
          <w:sz w:val="18"/>
          <w:szCs w:val="18"/>
          <w:color w:val="auto"/>
        </w:rPr>
        <w:t>Income (loss) from discontinued operations, net of tax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and 2024 was $(0.4) million and $1.1 million, respectively.</w:t>
      </w:r>
    </w:p>
    <w:p>
      <w:pPr>
        <w:spacing w:after="0" w:line="181" w:lineRule="exact"/>
        <w:rPr>
          <w:sz w:val="20"/>
          <w:szCs w:val="20"/>
          <w:color w:val="auto"/>
        </w:rPr>
      </w:pPr>
    </w:p>
    <w:p>
      <w:pPr>
        <w:ind w:right="62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three months ended March 31, 2025 and 2024, we recorded dividends of $0.9 million and $0.8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Preferred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right="180" w:firstLine="405"/>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had available cash and cash equivalents totaling $35.1 million and maintained positive working capital of $7.1 million. The Company had negative cash outflows from operations of $3.5 million for the three months ended March 31, 2025, which was largely due to the payout of the Company’s annual bonuses that was fully accrued for at December 31, 2024.</w:t>
      </w:r>
    </w:p>
    <w:p>
      <w:pPr>
        <w:spacing w:after="0" w:line="102" w:lineRule="exact"/>
        <w:rPr>
          <w:sz w:val="20"/>
          <w:szCs w:val="20"/>
          <w:color w:val="auto"/>
        </w:rPr>
      </w:pPr>
    </w:p>
    <w:p>
      <w:pPr>
        <w:jc w:val="both"/>
        <w:ind w:right="180" w:firstLine="405"/>
        <w:spacing w:after="0" w:line="250" w:lineRule="auto"/>
        <w:rPr>
          <w:sz w:val="20"/>
          <w:szCs w:val="20"/>
          <w:color w:val="auto"/>
        </w:rPr>
      </w:pPr>
      <w:r>
        <w:rPr>
          <w:rFonts w:ascii="Times New Roman" w:cs="Times New Roman" w:eastAsia="Times New Roman" w:hAnsi="Times New Roman"/>
          <w:sz w:val="18"/>
          <w:szCs w:val="18"/>
          <w:color w:val="auto"/>
        </w:rPr>
        <w:t>The Company’s 3.25% convertible notes due in 2025 (the “2025 Convertible Notes”) had a principal balance of $14.9 million as of March 31, 2025 and matured on May 1, 2025. The Company’s 9.0% senior secured notes due in 2029 (the “2029 Senior Secured Notes”) had a principal balance of $40.9 million as of March 31, 2025 and mature on May 1, 2029.</w:t>
      </w:r>
    </w:p>
    <w:p>
      <w:pPr>
        <w:spacing w:after="0" w:line="123" w:lineRule="exact"/>
        <w:rPr>
          <w:sz w:val="20"/>
          <w:szCs w:val="20"/>
          <w:color w:val="auto"/>
        </w:rPr>
      </w:pPr>
    </w:p>
    <w:p>
      <w:pPr>
        <w:ind w:firstLine="405"/>
        <w:spacing w:after="0"/>
        <w:rPr>
          <w:sz w:val="20"/>
          <w:szCs w:val="20"/>
          <w:color w:val="auto"/>
        </w:rPr>
      </w:pPr>
      <w:r>
        <w:rPr>
          <w:rFonts w:ascii="Times New Roman" w:cs="Times New Roman" w:eastAsia="Times New Roman" w:hAnsi="Times New Roman"/>
          <w:sz w:val="18"/>
          <w:szCs w:val="18"/>
          <w:color w:val="auto"/>
        </w:rPr>
        <w:t>While the Company’s liquidity and financial results had several positive developments in 2024,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In order to effect the restructuring or refinancing of the Company’s obligations, or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44"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2025, our material contractual obligations consisted of the following:</w:t>
      </w:r>
    </w:p>
    <w:p>
      <w:pPr>
        <w:spacing w:after="0" w:line="171" w:lineRule="exact"/>
        <w:rPr>
          <w:sz w:val="20"/>
          <w:szCs w:val="20"/>
          <w:color w:val="auto"/>
        </w:rPr>
      </w:pPr>
    </w:p>
    <w:p>
      <w:pPr>
        <w:ind w:left="660" w:right="160" w:hanging="328"/>
        <w:spacing w:after="0" w:line="245" w:lineRule="auto"/>
        <w:tabs>
          <w:tab w:leader="none" w:pos="655" w:val="left"/>
        </w:tabs>
        <w:numPr>
          <w:ilvl w:val="0"/>
          <w:numId w:val="7"/>
        </w:numPr>
        <w:rPr>
          <w:rFonts w:ascii="Arial" w:cs="Arial" w:eastAsia="Arial" w:hAnsi="Arial"/>
          <w:sz w:val="18"/>
          <w:szCs w:val="18"/>
          <w:b w:val="1"/>
          <w:bCs w:val="1"/>
          <w:i w:val="1"/>
          <w:iCs w:val="1"/>
          <w:color w:val="auto"/>
        </w:rPr>
      </w:pPr>
      <w:r>
        <w:rPr>
          <w:rFonts w:ascii="Times New Roman" w:cs="Times New Roman" w:eastAsia="Times New Roman" w:hAnsi="Times New Roman"/>
          <w:sz w:val="18"/>
          <w:szCs w:val="18"/>
          <w:color w:val="auto"/>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March 31, 2025, our future payments under these noncancellable purchase obligations were approximately $44.1 million.</w:t>
      </w:r>
    </w:p>
    <w:p>
      <w:pPr>
        <w:spacing w:after="0" w:line="166" w:lineRule="exact"/>
        <w:rPr>
          <w:rFonts w:ascii="Arial" w:cs="Arial" w:eastAsia="Arial" w:hAnsi="Arial"/>
          <w:sz w:val="18"/>
          <w:szCs w:val="18"/>
          <w:b w:val="1"/>
          <w:bCs w:val="1"/>
          <w:i w:val="1"/>
          <w:iCs w:val="1"/>
          <w:color w:val="auto"/>
        </w:rPr>
      </w:pPr>
    </w:p>
    <w:p>
      <w:pPr>
        <w:ind w:left="660" w:right="400" w:hanging="328"/>
        <w:spacing w:after="0" w:line="234" w:lineRule="auto"/>
        <w:tabs>
          <w:tab w:leader="none" w:pos="655" w:val="left"/>
        </w:tabs>
        <w:numPr>
          <w:ilvl w:val="0"/>
          <w:numId w:val="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 xml:space="preserve">$14.9 million in outstanding principal amount of 2025 Convertible Notes with required interest payments; the entire principal balance and all accrued interest amounts thereon were due and paid in cash on May 1, 2025; see Part I, Item 1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22"/>
          <w:szCs w:val="22"/>
          <w:b w:val="1"/>
          <w:bCs w:val="1"/>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$40.9 million in outstanding borrowings under the 2029 Senior Secured Notes; see Part I Item 1,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that are included on our consolidated balance sheet.</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material changes in our other contractual obligations during the three or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20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from continuing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5,240</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cash flows from continuing operations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Investing cash flows from discontinued operations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cash flows from continuing operations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7"/>
        </w:trPr>
        <w:tc>
          <w:tcPr>
            <w:tcW w:w="8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7,881</w:t>
            </w:r>
          </w:p>
        </w:tc>
      </w:tr>
      <w:tr>
        <w:trPr>
          <w:trHeight w:val="2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is primarily comprised of a $1.2 million net loss from continuing operations during the period and net cash used for working capital of $7.0 million, which was largely due to the payout of the annual bonus that was accrued for at December 31, 2024, partially offset by non-cash charges, including depreciation and amortization of $2.1 million, share-based compensation expense of $1.6 million, and provision for excess and obsolete inventory of $0.7 million.</w:t>
      </w:r>
    </w:p>
    <w:p>
      <w:pPr>
        <w:spacing w:after="0" w:line="123"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for three months ended March 31, 2024 is comprised of cash flows from continuing operations of $3.9 million and cash flows from discontinued operations of $1.3 million. The cash inflows from continuing operations were primarily related to net cash used for working capital of $4.5 million, partially offset by a net loss from continuing operations of $5.5 million that was offset by non-cash charges, including depreciating and amortization of $3.3 million, share-based compensation expense of $0.7 million, amortization of debt discount and debt issuance costs of $0.5 million, and capitalized software impairments of $0.4 million.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2025 is comprised of $1.7 million of cash outflows related to the development of software in support of our products and services, partially offset by $0.7 million received during the period related to a working capital adjustment payment from the purchaser of the Company’s Telematics Business that was sold in 2024.</w:t>
      </w:r>
    </w:p>
    <w:p>
      <w:pPr>
        <w:spacing w:after="0" w:line="115"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is comprised of $0.6 million of cash outflows related to the development of software in support of our products and services.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2025 is comprised of less than $0.1 million of cash received from exercises of stock options.</w:t>
      </w:r>
    </w:p>
    <w:p>
      <w:pPr>
        <w:spacing w:after="0" w:line="94"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three months ended March 31, 2024 is comprised of $0.6 million of cash outflow related to net borrowings of the Credit Facility (as defined in Part I, Item 1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sectPr>
      </w:pPr>
    </w:p>
    <w:bookmarkStart w:id="27" w:name="page28"/>
    <w:bookmarkEnd w:id="27"/>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Our revenue, earnings, cash flows, receivables, and payables are subject to fluctuations due to changes in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 2025 Convertible Notes and Embedded Derivative</w:t>
      </w:r>
    </w:p>
    <w:p>
      <w:pPr>
        <w:spacing w:after="0" w:line="162"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Our total fixed-rate borrowings under the 2029 Senior Secured Notes and 2025 Convertible Notes as of March 31, 2025 were $40.9 million and $14.9 million, respectively. We record all of our fixed-rate borrowings at amortized cost and therefore, any changes in interest rates do not impact the values that we report for these senior notes on our consolidated financial statements. As of March 31, 2025 and December 31, 2024, we had no variable-rate borrowings related to the 2025 Convertible Notes.</w:t>
      </w:r>
    </w:p>
    <w:p>
      <w:pPr>
        <w:spacing w:after="0" w:line="137"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 xml:space="preserve">The 2025 Convertible Notes include an embedded derivative which was marked to a fair value of zero at both March 31, 2025 and December 31, 2024.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Convertible Notes and the embedded derivative are included in Part 1 Item 1 </w:t>
      </w:r>
      <w:r>
        <w:rPr>
          <w:rFonts w:ascii="Times New Roman" w:cs="Times New Roman" w:eastAsia="Times New Roman" w:hAnsi="Times New Roman"/>
          <w:sz w:val="18"/>
          <w:szCs w:val="18"/>
          <w:i w:val="1"/>
          <w:iCs w:val="1"/>
          <w:color w:val="auto"/>
        </w:rPr>
        <w:t>Note 4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xml:space="preserve"> in this Quarterly Report on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7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200" w:firstLine="405"/>
        <w:spacing w:after="0" w:line="250"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23"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For the three months ended March 31, 2025, sales denominated in foreign currencies were approximately 0.7%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and Australian Dollar. For the three months ended March 31, 2025, a hypothetical 10% change in these foreign currencies would have increased or decreased our revenue by less than $0.1 million. Actual gains and losses in the future may differ materially from the hypothetical gains and losses discussed above based on changes in the timing and amount of foreign currency exchange rate movements.</w:t>
      </w:r>
    </w:p>
    <w:p>
      <w:pPr>
        <w:spacing w:after="0" w:line="1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23"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March 31, 2025, the end of the period covered by this report. Based on the foregoing, our principal executive officer and principal financial officer concluded that our disclosure controls and procedures were effective as of March 31, 2025.</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promulgated under the Exchange Act,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9"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5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Other than the amended and additional risk factors set forth below, there were no material changes to the risk factors disclosed in Part I, Item 1A, Risk Factors of the Form 10-K, which was filed with the Securities and Exchange Commission on February 19, 2025. Any of the risks discussed in such report, as well as additional risks and uncertainties not currently known to us or that we currently deem immaterial, could materially and adversely affect our results of operations, financial condition or prospects.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other trade restrictions may have an adverse impact on our business, operations and financial results.</w:t>
      </w:r>
    </w:p>
    <w:p>
      <w:pPr>
        <w:spacing w:after="0" w:line="108" w:lineRule="exact"/>
        <w:rPr>
          <w:sz w:val="20"/>
          <w:szCs w:val="20"/>
          <w:color w:val="auto"/>
        </w:rPr>
      </w:pPr>
    </w:p>
    <w:p>
      <w:pPr>
        <w:ind w:right="40" w:firstLine="405"/>
        <w:spacing w:after="0" w:line="242" w:lineRule="auto"/>
        <w:rPr>
          <w:sz w:val="20"/>
          <w:szCs w:val="20"/>
          <w:color w:val="auto"/>
        </w:rPr>
      </w:pPr>
      <w:r>
        <w:rPr>
          <w:rFonts w:ascii="Times New Roman" w:cs="Times New Roman" w:eastAsia="Times New Roman" w:hAnsi="Times New Roman"/>
          <w:sz w:val="18"/>
          <w:szCs w:val="18"/>
          <w:color w:val="auto"/>
        </w:rPr>
        <w:t>We source materials from, and manufacture products in, foreign countries, including countries in Asia, and we also sell products in foreign countries. As a result, the price and availability of our products is susceptible to international trade risks and other international conditions. For example, any economic and political uncertainty caused by the tariffs imposed on goods from other countries by the current administration of the United States, and any corresponding tariffs or currency devaluations from other countries in response, may negatively impact demand and/or increase the cost for certain of our products. Furthermore, the imposition of additional tariffs, duties, border adjustment taxes or other trade restrictions by the United States could result in the adoption of additional or increased tariffs or other trade restrictions by other countries. Tariffs may in the future increase our cost of materials and may cause us to increase prices to our customers, which we believe may reduce demand for our products. Our price increases may not be sufficient to fully offset the impact of tariffs and may result in lowering our margin on products sold. In sum, if the United States Government increases or implements additional tariffs, or if additional tariffs or trade restrictions are implemented by other countries, the resulting trade barriers could have a significant adverse impact on our suppliers, our customers and on our business. The volatility and unpredictability of international trade policies and conditions add further complexity to our operations, making it challenging to forecast and plan effectively. We are not able to predict future trade policy of the United States or of any foreign countries in which we operate or purchase goods, or the terms of any trade agreements or their impact on our business. The adoption and expansion of trade restrictions and tariffs, quotas and embargoes, the occurrence or threat of a trade war or other governmental action related to tariffs or trade agreements or policies, has the potential to adversely impact demand for our products, our costs, our customers, our suppliers and the world and U.S. economies, which in turn could have a material adverse effect on our business, operating results and financial condition.</w:t>
      </w:r>
    </w:p>
    <w:p>
      <w:pPr>
        <w:spacing w:after="0" w:line="1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08" w:lineRule="exact"/>
        <w:rPr>
          <w:sz w:val="20"/>
          <w:szCs w:val="20"/>
          <w:color w:val="auto"/>
        </w:rPr>
      </w:pPr>
    </w:p>
    <w:p>
      <w:pPr>
        <w:ind w:firstLine="405"/>
        <w:spacing w:after="0" w:line="236" w:lineRule="auto"/>
        <w:rPr>
          <w:sz w:val="20"/>
          <w:szCs w:val="20"/>
          <w:color w:val="auto"/>
        </w:rPr>
      </w:pPr>
      <w:r>
        <w:rPr>
          <w:rFonts w:ascii="Times New Roman" w:cs="Times New Roman" w:eastAsia="Times New Roman" w:hAnsi="Times New Roman"/>
          <w:sz w:val="18"/>
          <w:szCs w:val="18"/>
          <w:color w:val="auto"/>
        </w:rPr>
        <w:t>On May 7, 2025, the Company’s Board of Directors approved an amendment to and a restatement of the bylaws of the Company (as so amended and restated, the “Bylaws”), which was effective immediately upon such approval by the Board. Among other things, the Bylaws were amended to (i) add a requirement to the advance notice provisions for stockholder proposals that any Proposing Person (as defined in the Bylaws) represent that it will comply with the Exchange Act, including the universal proxy rules adopted thereunder, (ii) require any director nominee of a stockholder of the Company to agree to be named as a nominee in any proxy statement of the Company, (iii) clarify that the approval standard for stockholder votes on matters other than the election of directors is based on shares present and entitled to vote on the subject matter being voted upon, (iv) expand and clarify the authority of the Board of Directors and chairperson of a meeting of the Company’s stockholders with respect to the conduct of business at any such meeting and (v) revise the provisions regarding the selection of the state and federal courts located in Delaware as the exclusive fora for certain lawsuits to exclude claims as to which the court determines that there is an indispensable party not subject to the jurisdiction of such court and to add that, unless otherwise consented to in writing by the Company, the federal district courts of the United States of America will be the exclusive forum for the resolution of any complaint asserting a cause of action arising under the Securities Act and the Court of Chancery and the federal district court for the District of Delaware will be the exclusive fora for the resolution of any derivative claim arising under the Exchange Act. The Bylaws were also amended to make certain changes to reflect recent changes to the General Corporation Law of the State of Delaware and to avoid any suggestion that the Bylaws provide for different requirements than Delaware law regarding notices of adjourned meetings, access to lists of stockholders entitled to vote at a meeting, and execution of stock certificates.</w:t>
      </w:r>
    </w:p>
    <w:p>
      <w:pPr>
        <w:spacing w:after="0" w:line="2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the Bylaws, which are attached as Exhibit 3.2 to this Quarterly Report on Form 10-Q and are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31" w:name="page32"/>
    <w:bookmarkEnd w:id="31"/>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4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120" w:val="left"/>
          <w:tab w:leader="none" w:pos="8760" w:val="left"/>
          <w:tab w:leader="none" w:pos="9480" w:val="left"/>
          <w:tab w:leader="none" w:pos="103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400" w:type="dxa"/>
            <w:vAlign w:val="bottom"/>
            <w:gridSpan w:val="16"/>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Amended and Restated Certificate of Incorporation.</w:t>
              </w:r>
            </w:hyperlink>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Amended and Restated Bylaws.</w:t>
            </w:r>
          </w:p>
        </w:tc>
        <w:tc>
          <w:tcPr>
            <w:tcW w:w="1420" w:type="dxa"/>
            <w:vAlign w:val="bottom"/>
            <w:tcBorders>
              <w:top w:val="single" w:sz="8" w:color="0000FF"/>
            </w:tcBorders>
            <w:gridSpan w:val="3"/>
          </w:tcPr>
          <w:p>
            <w:pPr>
              <w:spacing w:after="0"/>
              <w:rPr>
                <w:sz w:val="24"/>
                <w:szCs w:val="24"/>
                <w:color w:val="auto"/>
              </w:rPr>
            </w:pPr>
          </w:p>
        </w:tc>
        <w:tc>
          <w:tcPr>
            <w:tcW w:w="3680" w:type="dxa"/>
            <w:vAlign w:val="bottom"/>
            <w:gridSpan w:val="9"/>
          </w:tcPr>
          <w:p>
            <w:pPr>
              <w:spacing w:after="0"/>
              <w:rPr>
                <w:sz w:val="24"/>
                <w:szCs w:val="24"/>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400" w:type="dxa"/>
            <w:vAlign w:val="bottom"/>
            <w:gridSpan w:val="16"/>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Certificate of Designation of Series E Fixed-Rate Cumulative Perpetual Preferred Stock.</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400" w:type="dxa"/>
            <w:vAlign w:val="bottom"/>
            <w:gridSpan w:val="16"/>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Certificate of Amendment to Certificate of Designation of Series E Fixed-Rate Cumulative Perpetual</w:t>
              </w:r>
            </w:hyperlink>
          </w:p>
        </w:tc>
      </w:tr>
      <w:tr>
        <w:trPr>
          <w:trHeight w:val="156"/>
        </w:trPr>
        <w:tc>
          <w:tcPr>
            <w:tcW w:w="1120" w:type="dxa"/>
            <w:vAlign w:val="bottom"/>
          </w:tcPr>
          <w:p>
            <w:pPr>
              <w:spacing w:after="0"/>
              <w:rPr>
                <w:sz w:val="13"/>
                <w:szCs w:val="13"/>
                <w:color w:val="auto"/>
              </w:rPr>
            </w:pPr>
          </w:p>
        </w:tc>
        <w:tc>
          <w:tcPr>
            <w:tcW w:w="72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Preferred Stock.</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1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Certificate of Amendment of Certificate of Incorporation of Inseego Corp., dated January 23, 2024.</w:t>
              </w:r>
            </w:hyperlink>
          </w:p>
        </w:tc>
        <w:tc>
          <w:tcPr>
            <w:tcW w:w="240" w:type="dxa"/>
            <w:vAlign w:val="bottom"/>
            <w:gridSpan w:val="5"/>
          </w:tcPr>
          <w:p>
            <w:pPr>
              <w:spacing w:after="0"/>
              <w:rPr>
                <w:sz w:val="19"/>
                <w:szCs w:val="19"/>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16"/>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Offer </w:t>
            </w:r>
            <w:hyperlink r:id="rId54">
              <w:r>
                <w:rPr>
                  <w:rFonts w:ascii="Times New Roman" w:cs="Times New Roman" w:eastAsia="Times New Roman" w:hAnsi="Times New Roman"/>
                  <w:sz w:val="18"/>
                  <w:szCs w:val="18"/>
                  <w:color w:val="0000FF"/>
                </w:rPr>
                <w:t>Letter dated December 6, 2024, between Inseego Corp. and Juho Sarvikas.</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w:t>
            </w:r>
          </w:p>
        </w:tc>
      </w:tr>
      <w:tr>
        <w:trPr>
          <w:trHeight w:val="183"/>
        </w:trPr>
        <w:tc>
          <w:tcPr>
            <w:tcW w:w="1120" w:type="dxa"/>
            <w:vAlign w:val="bottom"/>
          </w:tcPr>
          <w:p>
            <w:pPr>
              <w:spacing w:after="0"/>
              <w:rPr>
                <w:sz w:val="15"/>
                <w:szCs w:val="15"/>
                <w:color w:val="auto"/>
              </w:rPr>
            </w:pPr>
          </w:p>
        </w:tc>
        <w:tc>
          <w:tcPr>
            <w:tcW w:w="698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our Principal Financial Officer adopted pursuant to Section 302 of the Sarbanes-Oxley</w:t>
            </w:r>
          </w:p>
        </w:tc>
      </w:tr>
      <w:tr>
        <w:trPr>
          <w:trHeight w:val="183"/>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64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w:t>
            </w:r>
          </w:p>
        </w:tc>
      </w:tr>
      <w:tr>
        <w:trPr>
          <w:trHeight w:val="183"/>
        </w:trPr>
        <w:tc>
          <w:tcPr>
            <w:tcW w:w="112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3580" w:type="dxa"/>
            <w:vAlign w:val="bottom"/>
            <w:tcBorders>
              <w:top w:val="single" w:sz="8" w:color="0000FF"/>
            </w:tcBorders>
            <w:gridSpan w:val="6"/>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w:t>
            </w:r>
          </w:p>
        </w:tc>
      </w:tr>
      <w:tr>
        <w:trPr>
          <w:trHeight w:val="183"/>
        </w:trPr>
        <w:tc>
          <w:tcPr>
            <w:tcW w:w="112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900" w:type="dxa"/>
            <w:vAlign w:val="bottom"/>
            <w:tcBorders>
              <w:top w:val="single" w:sz="8" w:color="0000FF"/>
            </w:tcBorders>
            <w:gridSpan w:val="9"/>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120" w:type="dxa"/>
            <w:vAlign w:val="bottom"/>
          </w:tcPr>
          <w:p>
            <w:pPr>
              <w:spacing w:after="0"/>
              <w:rPr>
                <w:sz w:val="20"/>
                <w:szCs w:val="20"/>
                <w:color w:val="auto"/>
              </w:rPr>
            </w:pP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1140" w:hanging="111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sz w:val="20"/>
          <w:szCs w:val="20"/>
          <w:color w:val="auto"/>
        </w:rPr>
      </w:pPr>
    </w:p>
    <w:p>
      <w:pPr>
        <w:ind w:left="1140" w:hanging="111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50" w:lineRule="exact"/>
        <w:rPr>
          <w:sz w:val="20"/>
          <w:szCs w:val="20"/>
          <w:color w:val="auto"/>
        </w:rPr>
      </w:pPr>
    </w:p>
    <w:p>
      <w:pPr>
        <w:ind w:left="1140" w:hanging="111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11/9/2016</w:t>
            </w:r>
          </w:p>
        </w:tc>
      </w:tr>
      <w:tr>
        <w:trPr>
          <w:trHeight w:val="72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8/13/2019</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3/10/2020</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1/23/2024</w:t>
            </w:r>
          </w:p>
        </w:tc>
      </w:tr>
      <w:tr>
        <w:trPr>
          <w:trHeight w:val="25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1/6/2025</w:t>
            </w:r>
          </w:p>
        </w:tc>
      </w:tr>
    </w:tbl>
    <w:p>
      <w:pPr>
        <w:spacing w:after="0" w:line="5896" w:lineRule="exact"/>
        <w:rPr>
          <w:sz w:val="20"/>
          <w:szCs w:val="20"/>
          <w:color w:val="auto"/>
        </w:rPr>
      </w:pPr>
    </w:p>
    <w:p>
      <w:pPr>
        <w:sectPr>
          <w:pgSz w:w="11900" w:h="16838" w:orient="portrait"/>
          <w:cols w:equalWidth="0" w:num="2">
            <w:col w:w="8500" w:space="300"/>
            <w:col w:w="2240"/>
          </w:cols>
          <w:pgMar w:left="320" w:top="887"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4040" w:type="dxa"/>
            <w:vAlign w:val="bottom"/>
            <w:gridSpan w:val="3"/>
          </w:tcPr>
          <w:p>
            <w:pPr>
              <w:ind w:left="2640"/>
              <w:spacing w:after="0"/>
              <w:rPr>
                <w:sz w:val="20"/>
                <w:szCs w:val="20"/>
                <w:color w:val="auto"/>
              </w:rPr>
            </w:pPr>
            <w:r>
              <w:rPr>
                <w:rFonts w:ascii="Times New Roman" w:cs="Times New Roman" w:eastAsia="Times New Roman" w:hAnsi="Times New Roman"/>
                <w:sz w:val="18"/>
                <w:szCs w:val="18"/>
                <w:color w:val="auto"/>
              </w:rPr>
              <w:t>Inseego Corp.</w:t>
            </w:r>
          </w:p>
        </w:tc>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3960" w:type="dxa"/>
            <w:vAlign w:val="bottom"/>
          </w:tcPr>
          <w:p>
            <w:pPr>
              <w:spacing w:after="0"/>
              <w:rPr>
                <w:sz w:val="24"/>
                <w:szCs w:val="24"/>
                <w:color w:val="auto"/>
              </w:rPr>
            </w:pPr>
          </w:p>
        </w:tc>
        <w:tc>
          <w:tcPr>
            <w:tcW w:w="4040" w:type="dxa"/>
            <w:vAlign w:val="bottom"/>
            <w:gridSpan w:val="3"/>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JUHO SARVIKAS</w:t>
            </w:r>
          </w:p>
        </w:tc>
      </w:tr>
      <w:tr>
        <w:trPr>
          <w:trHeight w:val="184"/>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Juho Sarvikas</w:t>
            </w:r>
          </w:p>
        </w:tc>
      </w:tr>
      <w:tr>
        <w:trPr>
          <w:trHeight w:val="191"/>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658"/>
        </w:trPr>
        <w:tc>
          <w:tcPr>
            <w:tcW w:w="3960" w:type="dxa"/>
            <w:vAlign w:val="bottom"/>
          </w:tcPr>
          <w:p>
            <w:pPr>
              <w:spacing w:after="0"/>
              <w:rPr>
                <w:sz w:val="24"/>
                <w:szCs w:val="24"/>
                <w:color w:val="auto"/>
              </w:rPr>
            </w:pPr>
          </w:p>
        </w:tc>
        <w:tc>
          <w:tcPr>
            <w:tcW w:w="404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w:t>
            </w: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STEVEN GATOFF</w:t>
            </w:r>
          </w:p>
        </w:tc>
      </w:tr>
      <w:tr>
        <w:trPr>
          <w:trHeight w:val="184"/>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Steven Gatoff</w:t>
            </w:r>
          </w:p>
        </w:tc>
        <w:tc>
          <w:tcPr>
            <w:tcW w:w="40" w:type="dxa"/>
            <w:vAlign w:val="bottom"/>
          </w:tcPr>
          <w:p>
            <w:pPr>
              <w:spacing w:after="0"/>
              <w:rPr>
                <w:sz w:val="15"/>
                <w:szCs w:val="15"/>
                <w:color w:val="auto"/>
              </w:rPr>
            </w:pPr>
          </w:p>
        </w:tc>
      </w:tr>
      <w:tr>
        <w:trPr>
          <w:trHeight w:val="191"/>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887" w:right="339" w:bottom="1440" w:gutter="0" w:footer="0" w:header="0"/>
        </w:sectPr>
      </w:pPr>
    </w:p>
    <w:bookmarkStart w:id="33" w:name="page34"/>
    <w:bookmarkEnd w:id="33"/>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INSEEGO CORP.</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May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40" w:right="339" w:bottom="1440" w:gutter="0" w:footer="0" w:header="0"/>
        </w:sectPr>
      </w:pPr>
    </w:p>
    <w:bookmarkStart w:id="34" w:name="page35"/>
    <w:bookmarkEnd w:id="34"/>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86"/>
        </w:trPr>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04"/>
        </w:trPr>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12"/>
          </w:tcPr>
          <w:p>
            <w:pPr>
              <w:spacing w:after="0"/>
              <w:rPr>
                <w:sz w:val="20"/>
                <w:szCs w:val="20"/>
                <w:color w:val="auto"/>
              </w:rPr>
            </w:pPr>
            <w:r>
              <w:rPr>
                <w:rFonts w:ascii="Times New Roman" w:cs="Times New Roman" w:eastAsia="Times New Roman" w:hAnsi="Times New Roman"/>
                <w:sz w:val="22"/>
                <w:szCs w:val="22"/>
                <w:color w:val="auto"/>
              </w:rPr>
              <w:t>ARTICLE I</w:t>
            </w: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OFFICES</w:t>
            </w:r>
          </w:p>
        </w:tc>
        <w:tc>
          <w:tcPr>
            <w:tcW w:w="30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auto"/>
              </w:rPr>
              <w:t>1</w:t>
            </w: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4"/>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16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8"/>
              </w:rPr>
              <w:t>Registered Office</w:t>
            </w:r>
          </w:p>
        </w:tc>
        <w:tc>
          <w:tcPr>
            <w:tcW w:w="4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78"/>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13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Other Offices</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64"/>
        </w:trPr>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13"/>
          </w:tcPr>
          <w:p>
            <w:pPr>
              <w:ind w:left="80"/>
              <w:spacing w:after="0"/>
              <w:rPr>
                <w:sz w:val="20"/>
                <w:szCs w:val="20"/>
                <w:color w:val="auto"/>
              </w:rPr>
            </w:pPr>
            <w:r>
              <w:rPr>
                <w:rFonts w:ascii="Times New Roman" w:cs="Times New Roman" w:eastAsia="Times New Roman" w:hAnsi="Times New Roman"/>
                <w:sz w:val="22"/>
                <w:szCs w:val="22"/>
                <w:color w:val="auto"/>
              </w:rPr>
              <w:t>ARTICLE II</w:t>
            </w:r>
          </w:p>
        </w:tc>
        <w:tc>
          <w:tcPr>
            <w:tcW w:w="60" w:type="dxa"/>
            <w:vAlign w:val="bottom"/>
          </w:tcPr>
          <w:p>
            <w:pPr>
              <w:spacing w:after="0"/>
              <w:rPr>
                <w:sz w:val="24"/>
                <w:szCs w:val="24"/>
                <w:color w:val="auto"/>
              </w:rPr>
            </w:pPr>
          </w:p>
        </w:tc>
        <w:tc>
          <w:tcPr>
            <w:tcW w:w="6580" w:type="dxa"/>
            <w:vAlign w:val="bottom"/>
            <w:gridSpan w:val="23"/>
          </w:tcPr>
          <w:p>
            <w:pPr>
              <w:jc w:val="right"/>
              <w:ind w:right="2892"/>
              <w:spacing w:after="0"/>
              <w:rPr>
                <w:sz w:val="20"/>
                <w:szCs w:val="20"/>
                <w:color w:val="auto"/>
              </w:rPr>
            </w:pPr>
            <w:r>
              <w:rPr>
                <w:rFonts w:ascii="Times New Roman" w:cs="Times New Roman" w:eastAsia="Times New Roman" w:hAnsi="Times New Roman"/>
                <w:sz w:val="22"/>
                <w:szCs w:val="22"/>
                <w:color w:val="auto"/>
              </w:rPr>
              <w:t>MEETINGS OF STOCKHOLDERS  1</w:t>
            </w:r>
          </w:p>
        </w:tc>
      </w:tr>
      <w:tr>
        <w:trPr>
          <w:trHeight w:val="312"/>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16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6"/>
              </w:rPr>
              <w:t>Place of Meetings</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2620" w:type="dxa"/>
            <w:vAlign w:val="bottom"/>
            <w:gridSpan w:val="21"/>
          </w:tcPr>
          <w:p>
            <w:pPr>
              <w:ind w:left="60"/>
              <w:spacing w:after="0"/>
              <w:rPr>
                <w:sz w:val="20"/>
                <w:szCs w:val="20"/>
                <w:color w:val="auto"/>
              </w:rPr>
            </w:pPr>
            <w:r>
              <w:rPr>
                <w:rFonts w:ascii="Times New Roman" w:cs="Times New Roman" w:eastAsia="Times New Roman" w:hAnsi="Times New Roman"/>
                <w:sz w:val="22"/>
                <w:szCs w:val="22"/>
                <w:color w:val="auto"/>
                <w:w w:val="97"/>
              </w:rPr>
              <w:t>Annual and Special Meetings</w:t>
            </w:r>
          </w:p>
        </w:tc>
        <w:tc>
          <w:tcPr>
            <w:tcW w:w="200" w:type="dxa"/>
            <w:vAlign w:val="bottom"/>
            <w:tcBorders>
              <w:bottom w:val="single" w:sz="8" w:color="auto"/>
            </w:tcBorders>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4"/>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w:t>
            </w:r>
          </w:p>
        </w:tc>
        <w:tc>
          <w:tcPr>
            <w:tcW w:w="2980" w:type="dxa"/>
            <w:vAlign w:val="bottom"/>
            <w:gridSpan w:val="25"/>
          </w:tcPr>
          <w:p>
            <w:pPr>
              <w:ind w:left="60"/>
              <w:spacing w:after="0"/>
              <w:rPr>
                <w:sz w:val="20"/>
                <w:szCs w:val="20"/>
                <w:color w:val="auto"/>
              </w:rPr>
            </w:pPr>
            <w:r>
              <w:rPr>
                <w:rFonts w:ascii="Times New Roman" w:cs="Times New Roman" w:eastAsia="Times New Roman" w:hAnsi="Times New Roman"/>
                <w:sz w:val="22"/>
                <w:szCs w:val="22"/>
                <w:color w:val="auto"/>
                <w:w w:val="97"/>
              </w:rPr>
              <w:t>Notice of Stockholders’ Meetings</w:t>
            </w:r>
          </w:p>
        </w:tc>
        <w:tc>
          <w:tcPr>
            <w:tcW w:w="220" w:type="dxa"/>
            <w:vAlign w:val="bottom"/>
            <w:tcBorders>
              <w:bottom w:val="single" w:sz="8" w:color="auto"/>
            </w:tcBorders>
            <w:gridSpan w:val="2"/>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w:t>
            </w:r>
          </w:p>
        </w:tc>
        <w:tc>
          <w:tcPr>
            <w:tcW w:w="4760" w:type="dxa"/>
            <w:vAlign w:val="bottom"/>
            <w:gridSpan w:val="37"/>
          </w:tcPr>
          <w:p>
            <w:pPr>
              <w:ind w:left="60"/>
              <w:spacing w:after="0"/>
              <w:rPr>
                <w:sz w:val="20"/>
                <w:szCs w:val="20"/>
                <w:color w:val="auto"/>
              </w:rPr>
            </w:pPr>
            <w:r>
              <w:rPr>
                <w:rFonts w:ascii="Times New Roman" w:cs="Times New Roman" w:eastAsia="Times New Roman" w:hAnsi="Times New Roman"/>
                <w:sz w:val="22"/>
                <w:szCs w:val="22"/>
                <w:color w:val="auto"/>
                <w:w w:val="97"/>
              </w:rPr>
              <w:t>Manner of Giving Notice; Affidavit of Notice; Waiver</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gridSpan w:val="3"/>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w w:val="90"/>
              </w:rPr>
              <w:t>2</w:t>
            </w: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8"/>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w:t>
            </w:r>
          </w:p>
        </w:tc>
        <w:tc>
          <w:tcPr>
            <w:tcW w:w="4800" w:type="dxa"/>
            <w:vAlign w:val="bottom"/>
            <w:gridSpan w:val="38"/>
          </w:tcPr>
          <w:p>
            <w:pPr>
              <w:ind w:left="60"/>
              <w:spacing w:after="0"/>
              <w:rPr>
                <w:sz w:val="20"/>
                <w:szCs w:val="20"/>
                <w:color w:val="auto"/>
              </w:rPr>
            </w:pPr>
            <w:r>
              <w:rPr>
                <w:rFonts w:ascii="Times New Roman" w:cs="Times New Roman" w:eastAsia="Times New Roman" w:hAnsi="Times New Roman"/>
                <w:sz w:val="22"/>
                <w:szCs w:val="22"/>
                <w:color w:val="auto"/>
                <w:w w:val="99"/>
              </w:rPr>
              <w:t>Advance Notice Provisions for Stockholder Proposals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4"/>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w:t>
            </w:r>
          </w:p>
        </w:tc>
        <w:tc>
          <w:tcPr>
            <w:tcW w:w="5100" w:type="dxa"/>
            <w:vAlign w:val="bottom"/>
            <w:gridSpan w:val="43"/>
          </w:tcPr>
          <w:p>
            <w:pPr>
              <w:ind w:left="60"/>
              <w:spacing w:after="0"/>
              <w:rPr>
                <w:sz w:val="20"/>
                <w:szCs w:val="20"/>
                <w:color w:val="auto"/>
              </w:rPr>
            </w:pPr>
            <w:r>
              <w:rPr>
                <w:rFonts w:ascii="Times New Roman" w:cs="Times New Roman" w:eastAsia="Times New Roman" w:hAnsi="Times New Roman"/>
                <w:sz w:val="22"/>
                <w:szCs w:val="22"/>
                <w:color w:val="auto"/>
                <w:w w:val="99"/>
              </w:rPr>
              <w:t>Advance Notice Provisions for Nominations of Directors</w:t>
            </w:r>
          </w:p>
        </w:tc>
        <w:tc>
          <w:tcPr>
            <w:tcW w:w="4160" w:type="dxa"/>
            <w:vAlign w:val="bottom"/>
            <w:gridSpan w:val="2"/>
          </w:tcPr>
          <w:p>
            <w:pPr>
              <w:jc w:val="right"/>
              <w:ind w:right="3832"/>
              <w:spacing w:after="0"/>
              <w:rPr>
                <w:sz w:val="20"/>
                <w:szCs w:val="20"/>
                <w:color w:val="auto"/>
              </w:rPr>
            </w:pPr>
            <w:r>
              <w:rPr>
                <w:rFonts w:ascii="Times New Roman" w:cs="Times New Roman" w:eastAsia="Times New Roman" w:hAnsi="Times New Roman"/>
                <w:sz w:val="22"/>
                <w:szCs w:val="22"/>
                <w:color w:val="auto"/>
              </w:rPr>
              <w:t>7</w:t>
            </w: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w:t>
            </w:r>
          </w:p>
        </w:tc>
        <w:tc>
          <w:tcPr>
            <w:tcW w:w="2460" w:type="dxa"/>
            <w:vAlign w:val="bottom"/>
            <w:gridSpan w:val="19"/>
          </w:tcPr>
          <w:p>
            <w:pPr>
              <w:ind w:left="60"/>
              <w:spacing w:after="0"/>
              <w:rPr>
                <w:sz w:val="20"/>
                <w:szCs w:val="20"/>
                <w:color w:val="auto"/>
              </w:rPr>
            </w:pPr>
            <w:r>
              <w:rPr>
                <w:rFonts w:ascii="Times New Roman" w:cs="Times New Roman" w:eastAsia="Times New Roman" w:hAnsi="Times New Roman"/>
                <w:sz w:val="22"/>
                <w:szCs w:val="22"/>
                <w:color w:val="auto"/>
              </w:rPr>
              <w:t>Quorum and Adjournment</w:t>
            </w: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22"/>
                <w:szCs w:val="22"/>
                <w:color w:val="auto"/>
              </w:rPr>
              <w:t>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r>
      <w:tr>
        <w:trPr>
          <w:trHeight w:val="344"/>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8.</w:t>
            </w:r>
          </w:p>
        </w:tc>
        <w:tc>
          <w:tcPr>
            <w:tcW w:w="13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Voting  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9.</w:t>
            </w:r>
          </w:p>
        </w:tc>
        <w:tc>
          <w:tcPr>
            <w:tcW w:w="13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Record Date</w:t>
            </w: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58"/>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10.</w:t>
            </w:r>
          </w:p>
        </w:tc>
        <w:tc>
          <w:tcPr>
            <w:tcW w:w="2460" w:type="dxa"/>
            <w:vAlign w:val="bottom"/>
            <w:gridSpan w:val="19"/>
          </w:tcPr>
          <w:p>
            <w:pPr>
              <w:ind w:left="180"/>
              <w:spacing w:after="0"/>
              <w:rPr>
                <w:sz w:val="20"/>
                <w:szCs w:val="20"/>
                <w:color w:val="auto"/>
              </w:rPr>
            </w:pPr>
            <w:r>
              <w:rPr>
                <w:rFonts w:ascii="Times New Roman" w:cs="Times New Roman" w:eastAsia="Times New Roman" w:hAnsi="Times New Roman"/>
                <w:sz w:val="22"/>
                <w:szCs w:val="22"/>
                <w:color w:val="auto"/>
              </w:rPr>
              <w:t>Proxies and Voting  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11.</w:t>
            </w:r>
          </w:p>
        </w:tc>
        <w:tc>
          <w:tcPr>
            <w:tcW w:w="2020" w:type="dxa"/>
            <w:vAlign w:val="bottom"/>
            <w:gridSpan w:val="13"/>
          </w:tcPr>
          <w:p>
            <w:pPr>
              <w:ind w:left="160"/>
              <w:spacing w:after="0"/>
              <w:rPr>
                <w:sz w:val="20"/>
                <w:szCs w:val="20"/>
                <w:color w:val="auto"/>
              </w:rPr>
            </w:pPr>
            <w:r>
              <w:rPr>
                <w:rFonts w:ascii="Times New Roman" w:cs="Times New Roman" w:eastAsia="Times New Roman" w:hAnsi="Times New Roman"/>
                <w:sz w:val="22"/>
                <w:szCs w:val="22"/>
                <w:color w:val="auto"/>
                <w:w w:val="99"/>
              </w:rPr>
              <w:t>Conduct of Business</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gridSpan w:val="4"/>
          </w:tcPr>
          <w:p>
            <w:pPr>
              <w:jc w:val="right"/>
              <w:ind w:right="80"/>
              <w:spacing w:after="0"/>
              <w:rPr>
                <w:sz w:val="20"/>
                <w:szCs w:val="20"/>
                <w:color w:val="auto"/>
              </w:rPr>
            </w:pPr>
            <w:r>
              <w:rPr>
                <w:rFonts w:ascii="Times New Roman" w:cs="Times New Roman" w:eastAsia="Times New Roman" w:hAnsi="Times New Roman"/>
                <w:sz w:val="22"/>
                <w:szCs w:val="22"/>
                <w:color w:val="auto"/>
                <w:w w:val="90"/>
              </w:rPr>
              <w:t>13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12.</w:t>
            </w:r>
          </w:p>
        </w:tc>
        <w:tc>
          <w:tcPr>
            <w:tcW w:w="3540" w:type="dxa"/>
            <w:vAlign w:val="bottom"/>
            <w:gridSpan w:val="30"/>
          </w:tcPr>
          <w:p>
            <w:pPr>
              <w:ind w:left="180"/>
              <w:spacing w:after="0"/>
              <w:rPr>
                <w:sz w:val="20"/>
                <w:szCs w:val="20"/>
                <w:color w:val="auto"/>
              </w:rPr>
            </w:pPr>
            <w:r>
              <w:rPr>
                <w:rFonts w:ascii="Times New Roman" w:cs="Times New Roman" w:eastAsia="Times New Roman" w:hAnsi="Times New Roman"/>
                <w:sz w:val="22"/>
                <w:szCs w:val="22"/>
                <w:color w:val="auto"/>
              </w:rPr>
              <w:t>List of Stockholders Entitled to Vote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4"/>
        </w:trPr>
        <w:tc>
          <w:tcPr>
            <w:tcW w:w="2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ARTICLE III  DIRECTORS</w:t>
            </w:r>
          </w:p>
        </w:tc>
        <w:tc>
          <w:tcPr>
            <w:tcW w:w="44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13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7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2"/>
              </w:rPr>
              <w:t>Powers</w:t>
            </w:r>
          </w:p>
        </w:tc>
        <w:tc>
          <w:tcPr>
            <w:tcW w:w="220" w:type="dxa"/>
            <w:vAlign w:val="bottom"/>
            <w:tcBorders>
              <w:bottom w:val="single" w:sz="8" w:color="auto"/>
            </w:tcBorders>
            <w:gridSpan w:val="3"/>
          </w:tcPr>
          <w:p>
            <w:pPr>
              <w:spacing w:after="0"/>
              <w:rPr>
                <w:sz w:val="24"/>
                <w:szCs w:val="24"/>
                <w:color w:val="auto"/>
              </w:rPr>
            </w:pPr>
          </w:p>
        </w:tc>
        <w:tc>
          <w:tcPr>
            <w:tcW w:w="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w w:val="90"/>
              </w:rPr>
              <w:t>13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8"/>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2080" w:type="dxa"/>
            <w:vAlign w:val="bottom"/>
            <w:gridSpan w:val="14"/>
          </w:tcPr>
          <w:p>
            <w:pPr>
              <w:ind w:left="60"/>
              <w:spacing w:after="0"/>
              <w:rPr>
                <w:sz w:val="20"/>
                <w:szCs w:val="20"/>
                <w:color w:val="auto"/>
              </w:rPr>
            </w:pPr>
            <w:r>
              <w:rPr>
                <w:rFonts w:ascii="Times New Roman" w:cs="Times New Roman" w:eastAsia="Times New Roman" w:hAnsi="Times New Roman"/>
                <w:sz w:val="22"/>
                <w:szCs w:val="22"/>
                <w:color w:val="auto"/>
              </w:rPr>
              <w:t>Number of Directors</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w w:val="90"/>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3.</w:t>
            </w:r>
          </w:p>
        </w:tc>
        <w:tc>
          <w:tcPr>
            <w:tcW w:w="5100" w:type="dxa"/>
            <w:vAlign w:val="bottom"/>
            <w:gridSpan w:val="43"/>
          </w:tcPr>
          <w:p>
            <w:pPr>
              <w:ind w:left="60"/>
              <w:spacing w:after="0"/>
              <w:rPr>
                <w:sz w:val="20"/>
                <w:szCs w:val="20"/>
                <w:color w:val="auto"/>
              </w:rPr>
            </w:pPr>
            <w:r>
              <w:rPr>
                <w:rFonts w:ascii="Times New Roman" w:cs="Times New Roman" w:eastAsia="Times New Roman" w:hAnsi="Times New Roman"/>
                <w:sz w:val="22"/>
                <w:szCs w:val="22"/>
                <w:color w:val="auto"/>
              </w:rPr>
              <w:t>Election, Qualification, and Term of Office of Directors</w:t>
            </w:r>
          </w:p>
        </w:tc>
        <w:tc>
          <w:tcPr>
            <w:tcW w:w="4160" w:type="dxa"/>
            <w:vAlign w:val="bottom"/>
            <w:gridSpan w:val="2"/>
          </w:tcPr>
          <w:p>
            <w:pPr>
              <w:jc w:val="right"/>
              <w:ind w:right="3832"/>
              <w:spacing w:after="0"/>
              <w:rPr>
                <w:sz w:val="20"/>
                <w:szCs w:val="20"/>
                <w:color w:val="auto"/>
              </w:rPr>
            </w:pPr>
            <w:r>
              <w:rPr>
                <w:rFonts w:ascii="Times New Roman" w:cs="Times New Roman" w:eastAsia="Times New Roman" w:hAnsi="Times New Roman"/>
                <w:sz w:val="22"/>
                <w:szCs w:val="22"/>
                <w:color w:val="auto"/>
                <w:w w:val="90"/>
              </w:rPr>
              <w:t>14</w:t>
            </w: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4.</w:t>
            </w:r>
          </w:p>
        </w:tc>
        <w:tc>
          <w:tcPr>
            <w:tcW w:w="2460" w:type="dxa"/>
            <w:vAlign w:val="bottom"/>
            <w:gridSpan w:val="19"/>
          </w:tcPr>
          <w:p>
            <w:pPr>
              <w:ind w:left="60"/>
              <w:spacing w:after="0"/>
              <w:rPr>
                <w:sz w:val="20"/>
                <w:szCs w:val="20"/>
                <w:color w:val="auto"/>
              </w:rPr>
            </w:pPr>
            <w:r>
              <w:rPr>
                <w:rFonts w:ascii="Times New Roman" w:cs="Times New Roman" w:eastAsia="Times New Roman" w:hAnsi="Times New Roman"/>
                <w:sz w:val="22"/>
                <w:szCs w:val="22"/>
                <w:color w:val="auto"/>
                <w:w w:val="96"/>
              </w:rPr>
              <w:t>Resignations and Vacancies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5.</w:t>
            </w:r>
          </w:p>
        </w:tc>
        <w:tc>
          <w:tcPr>
            <w:tcW w:w="3820" w:type="dxa"/>
            <w:vAlign w:val="bottom"/>
            <w:gridSpan w:val="33"/>
          </w:tcPr>
          <w:p>
            <w:pPr>
              <w:ind w:left="60"/>
              <w:spacing w:after="0"/>
              <w:rPr>
                <w:sz w:val="20"/>
                <w:szCs w:val="20"/>
                <w:color w:val="auto"/>
              </w:rPr>
            </w:pPr>
            <w:r>
              <w:rPr>
                <w:rFonts w:ascii="Times New Roman" w:cs="Times New Roman" w:eastAsia="Times New Roman" w:hAnsi="Times New Roman"/>
                <w:sz w:val="22"/>
                <w:szCs w:val="22"/>
                <w:color w:val="auto"/>
                <w:w w:val="98"/>
              </w:rPr>
              <w:t>Place of Meetings; Meetings by Telephone</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4"/>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6.</w:t>
            </w:r>
          </w:p>
        </w:tc>
        <w:tc>
          <w:tcPr>
            <w:tcW w:w="162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8"/>
              </w:rPr>
              <w:t>Regular Meetings</w:t>
            </w:r>
          </w:p>
        </w:tc>
        <w:tc>
          <w:tcPr>
            <w:tcW w:w="46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9"/>
              </w:rPr>
              <w:t>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7.</w:t>
            </w:r>
          </w:p>
        </w:tc>
        <w:tc>
          <w:tcPr>
            <w:tcW w:w="2460" w:type="dxa"/>
            <w:vAlign w:val="bottom"/>
            <w:gridSpan w:val="19"/>
          </w:tcPr>
          <w:p>
            <w:pPr>
              <w:ind w:left="60"/>
              <w:spacing w:after="0"/>
              <w:rPr>
                <w:sz w:val="20"/>
                <w:szCs w:val="20"/>
                <w:color w:val="auto"/>
              </w:rPr>
            </w:pPr>
            <w:r>
              <w:rPr>
                <w:rFonts w:ascii="Times New Roman" w:cs="Times New Roman" w:eastAsia="Times New Roman" w:hAnsi="Times New Roman"/>
                <w:sz w:val="22"/>
                <w:szCs w:val="22"/>
                <w:color w:val="auto"/>
              </w:rPr>
              <w:t>Special Meetings; Notice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w w:val="90"/>
              </w:rPr>
              <w:t>15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58"/>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8.</w:t>
            </w: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Quorum</w:t>
            </w:r>
          </w:p>
        </w:tc>
        <w:tc>
          <w:tcPr>
            <w:tcW w:w="440" w:type="dxa"/>
            <w:vAlign w:val="bottom"/>
            <w:gridSpan w:val="4"/>
          </w:tcPr>
          <w:p>
            <w:pPr>
              <w:jc w:val="right"/>
              <w:ind w:right="140"/>
              <w:spacing w:after="0"/>
              <w:rPr>
                <w:sz w:val="20"/>
                <w:szCs w:val="20"/>
                <w:color w:val="auto"/>
              </w:rPr>
            </w:pPr>
            <w:r>
              <w:rPr>
                <w:rFonts w:ascii="Times New Roman" w:cs="Times New Roman" w:eastAsia="Times New Roman" w:hAnsi="Times New Roman"/>
                <w:sz w:val="22"/>
                <w:szCs w:val="22"/>
                <w:color w:val="auto"/>
              </w:rPr>
              <w:t>15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840" w:type="dxa"/>
            <w:vAlign w:val="bottom"/>
            <w:tcBorders>
              <w:right w:val="single" w:sz="8" w:color="auto"/>
            </w:tcBorders>
            <w:gridSpan w:val="2"/>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9.</w:t>
            </w:r>
          </w:p>
        </w:tc>
        <w:tc>
          <w:tcPr>
            <w:tcW w:w="4800" w:type="dxa"/>
            <w:vAlign w:val="bottom"/>
            <w:gridSpan w:val="38"/>
          </w:tcPr>
          <w:p>
            <w:pPr>
              <w:ind w:left="60"/>
              <w:spacing w:after="0"/>
              <w:rPr>
                <w:sz w:val="20"/>
                <w:szCs w:val="20"/>
                <w:color w:val="auto"/>
              </w:rPr>
            </w:pPr>
            <w:r>
              <w:rPr>
                <w:rFonts w:ascii="Times New Roman" w:cs="Times New Roman" w:eastAsia="Times New Roman" w:hAnsi="Times New Roman"/>
                <w:sz w:val="22"/>
                <w:szCs w:val="22"/>
                <w:color w:val="auto"/>
              </w:rPr>
              <w:t>Board Action by Written Consent Without a Meeting</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15</w:t>
            </w: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4"/>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10.</w:t>
            </w:r>
          </w:p>
        </w:tc>
        <w:tc>
          <w:tcPr>
            <w:tcW w:w="3540" w:type="dxa"/>
            <w:vAlign w:val="bottom"/>
            <w:gridSpan w:val="30"/>
          </w:tcPr>
          <w:p>
            <w:pPr>
              <w:ind w:left="180"/>
              <w:spacing w:after="0"/>
              <w:rPr>
                <w:sz w:val="20"/>
                <w:szCs w:val="20"/>
                <w:color w:val="auto"/>
              </w:rPr>
            </w:pPr>
            <w:r>
              <w:rPr>
                <w:rFonts w:ascii="Times New Roman" w:cs="Times New Roman" w:eastAsia="Times New Roman" w:hAnsi="Times New Roman"/>
                <w:sz w:val="22"/>
                <w:szCs w:val="22"/>
                <w:color w:val="auto"/>
              </w:rPr>
              <w:t>Fees and Compensation of Directors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11.</w:t>
            </w:r>
          </w:p>
        </w:tc>
        <w:tc>
          <w:tcPr>
            <w:tcW w:w="2080" w:type="dxa"/>
            <w:vAlign w:val="bottom"/>
            <w:gridSpan w:val="14"/>
          </w:tcPr>
          <w:p>
            <w:pPr>
              <w:ind w:left="160"/>
              <w:spacing w:after="0"/>
              <w:rPr>
                <w:sz w:val="20"/>
                <w:szCs w:val="20"/>
                <w:color w:val="auto"/>
              </w:rPr>
            </w:pPr>
            <w:r>
              <w:rPr>
                <w:rFonts w:ascii="Times New Roman" w:cs="Times New Roman" w:eastAsia="Times New Roman" w:hAnsi="Times New Roman"/>
                <w:sz w:val="22"/>
                <w:szCs w:val="22"/>
                <w:color w:val="auto"/>
                <w:w w:val="98"/>
              </w:rPr>
              <w:t>Removal of Directors</w:t>
            </w:r>
          </w:p>
        </w:tc>
        <w:tc>
          <w:tcPr>
            <w:tcW w:w="500" w:type="dxa"/>
            <w:vAlign w:val="bottom"/>
            <w:gridSpan w:val="6"/>
          </w:tcPr>
          <w:p>
            <w:pPr>
              <w:jc w:val="right"/>
              <w:ind w:right="12"/>
              <w:spacing w:after="0"/>
              <w:rPr>
                <w:sz w:val="20"/>
                <w:szCs w:val="20"/>
                <w:color w:val="auto"/>
              </w:rPr>
            </w:pPr>
            <w:r>
              <w:rPr>
                <w:rFonts w:ascii="Times New Roman" w:cs="Times New Roman" w:eastAsia="Times New Roman" w:hAnsi="Times New Roman"/>
                <w:sz w:val="22"/>
                <w:szCs w:val="22"/>
                <w:color w:val="auto"/>
              </w:rPr>
              <w:t>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44"/>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12.</w:t>
            </w:r>
          </w:p>
        </w:tc>
        <w:tc>
          <w:tcPr>
            <w:tcW w:w="92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Waivers</w:t>
            </w:r>
          </w:p>
        </w:tc>
        <w:tc>
          <w:tcPr>
            <w:tcW w:w="440" w:type="dxa"/>
            <w:vAlign w:val="bottom"/>
            <w:gridSpan w:val="4"/>
          </w:tcPr>
          <w:p>
            <w:pPr>
              <w:jc w:val="right"/>
              <w:ind w:right="60"/>
              <w:spacing w:after="0"/>
              <w:rPr>
                <w:sz w:val="20"/>
                <w:szCs w:val="20"/>
                <w:color w:val="auto"/>
              </w:rPr>
            </w:pPr>
            <w:r>
              <w:rPr>
                <w:rFonts w:ascii="Times New Roman" w:cs="Times New Roman" w:eastAsia="Times New Roman" w:hAnsi="Times New Roman"/>
                <w:sz w:val="22"/>
                <w:szCs w:val="22"/>
                <w:color w:val="auto"/>
              </w:rPr>
              <w:t>16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700" w:type="dxa"/>
            <w:vAlign w:val="bottom"/>
            <w:gridSpan w:val="1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58"/>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13.</w:t>
            </w:r>
          </w:p>
        </w:tc>
        <w:tc>
          <w:tcPr>
            <w:tcW w:w="2780" w:type="dxa"/>
            <w:vAlign w:val="bottom"/>
            <w:gridSpan w:val="23"/>
          </w:tcPr>
          <w:p>
            <w:pPr>
              <w:ind w:left="160"/>
              <w:spacing w:after="0"/>
              <w:rPr>
                <w:sz w:val="20"/>
                <w:szCs w:val="20"/>
                <w:color w:val="auto"/>
              </w:rPr>
            </w:pPr>
            <w:r>
              <w:rPr>
                <w:rFonts w:ascii="Times New Roman" w:cs="Times New Roman" w:eastAsia="Times New Roman" w:hAnsi="Times New Roman"/>
                <w:sz w:val="22"/>
                <w:szCs w:val="22"/>
                <w:color w:val="auto"/>
                <w:w w:val="97"/>
              </w:rPr>
              <w:t>Approval of Loans to Officers</w:t>
            </w:r>
          </w:p>
        </w:tc>
        <w:tc>
          <w:tcPr>
            <w:tcW w:w="200" w:type="dxa"/>
            <w:vAlign w:val="bottom"/>
            <w:gridSpan w:val="2"/>
          </w:tcPr>
          <w:p>
            <w:pPr>
              <w:spacing w:after="0"/>
              <w:rPr>
                <w:sz w:val="24"/>
                <w:szCs w:val="24"/>
                <w:color w:val="auto"/>
              </w:rPr>
            </w:pPr>
          </w:p>
        </w:tc>
        <w:tc>
          <w:tcPr>
            <w:tcW w:w="340" w:type="dxa"/>
            <w:vAlign w:val="bottom"/>
            <w:gridSpan w:val="3"/>
          </w:tcPr>
          <w:p>
            <w:pPr>
              <w:jc w:val="right"/>
              <w:ind w:right="12"/>
              <w:spacing w:after="0"/>
              <w:rPr>
                <w:sz w:val="20"/>
                <w:szCs w:val="20"/>
                <w:color w:val="auto"/>
              </w:rPr>
            </w:pPr>
            <w:r>
              <w:rPr>
                <w:rFonts w:ascii="Times New Roman" w:cs="Times New Roman" w:eastAsia="Times New Roman" w:hAnsi="Times New Roman"/>
                <w:sz w:val="22"/>
                <w:szCs w:val="22"/>
                <w:color w:val="auto"/>
                <w:w w:val="90"/>
              </w:rPr>
              <w:t>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780" w:type="dxa"/>
            <w:vAlign w:val="bottom"/>
            <w:gridSpan w:val="23"/>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45"/>
        </w:trPr>
        <w:tc>
          <w:tcPr>
            <w:tcW w:w="16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Section 14.</w:t>
            </w:r>
          </w:p>
        </w:tc>
        <w:tc>
          <w:tcPr>
            <w:tcW w:w="3460" w:type="dxa"/>
            <w:vAlign w:val="bottom"/>
            <w:gridSpan w:val="29"/>
          </w:tcPr>
          <w:p>
            <w:pPr>
              <w:ind w:left="180"/>
              <w:spacing w:after="0"/>
              <w:rPr>
                <w:sz w:val="20"/>
                <w:szCs w:val="20"/>
                <w:color w:val="auto"/>
              </w:rPr>
            </w:pPr>
            <w:r>
              <w:rPr>
                <w:rFonts w:ascii="Times New Roman" w:cs="Times New Roman" w:eastAsia="Times New Roman" w:hAnsi="Times New Roman"/>
                <w:sz w:val="22"/>
                <w:szCs w:val="22"/>
                <w:color w:val="auto"/>
                <w:w w:val="97"/>
              </w:rPr>
              <w:t>Chairperson of the Board of Directors</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0"/>
              </w:rPr>
              <w:t>16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040"/>
          </w:cols>
          <w:pgMar w:left="320" w:top="1364" w:right="5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040"/>
          </w:cols>
          <w:pgMar w:left="320" w:top="1364" w:right="539" w:bottom="1440" w:gutter="0" w:footer="0" w:header="0"/>
          <w:type w:val="continuous"/>
        </w:sectPr>
      </w:pPr>
    </w:p>
    <w:bookmarkStart w:id="35" w:name="page36"/>
    <w:bookmarkEnd w:id="35"/>
    <w:tbl>
      <w:tblPr>
        <w:tblLayout w:type="fixed"/>
        <w:tblInd w:w="12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60" w:type="dxa"/>
            <w:vAlign w:val="bottom"/>
            <w:gridSpan w:val="4"/>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r>
      <w:tr>
        <w:trPr>
          <w:trHeight w:val="253"/>
        </w:trPr>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40" w:type="dxa"/>
            <w:vAlign w:val="bottom"/>
            <w:gridSpan w:val="3"/>
          </w:tcPr>
          <w:p>
            <w:pPr>
              <w:jc w:val="center"/>
              <w:ind w:right="372"/>
              <w:spacing w:after="0"/>
              <w:rPr>
                <w:sz w:val="20"/>
                <w:szCs w:val="20"/>
                <w:color w:val="auto"/>
              </w:rPr>
            </w:pPr>
            <w:r>
              <w:rPr>
                <w:rFonts w:ascii="Times New Roman" w:cs="Times New Roman" w:eastAsia="Times New Roman" w:hAnsi="Times New Roman"/>
                <w:sz w:val="22"/>
                <w:szCs w:val="22"/>
                <w:color w:val="auto"/>
                <w:w w:val="98"/>
              </w:rPr>
              <w:t>(continued)</w:t>
            </w:r>
          </w:p>
        </w:tc>
      </w:tr>
      <w:tr>
        <w:trPr>
          <w:trHeight w:val="286"/>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632"/>
              <w:spacing w:after="0"/>
              <w:rPr>
                <w:sz w:val="20"/>
                <w:szCs w:val="20"/>
                <w:color w:val="auto"/>
              </w:rPr>
            </w:pPr>
            <w:r>
              <w:rPr>
                <w:rFonts w:ascii="Times New Roman" w:cs="Times New Roman" w:eastAsia="Times New Roman" w:hAnsi="Times New Roman"/>
                <w:sz w:val="22"/>
                <w:szCs w:val="22"/>
                <w:b w:val="1"/>
                <w:bCs w:val="1"/>
                <w:color w:val="auto"/>
                <w:w w:val="97"/>
              </w:rPr>
              <w:t>Page</w:t>
            </w:r>
          </w:p>
        </w:tc>
      </w:tr>
      <w:tr>
        <w:trPr>
          <w:trHeight w:val="68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3500" w:type="dxa"/>
            <w:vAlign w:val="bottom"/>
            <w:gridSpan w:val="6"/>
          </w:tcPr>
          <w:p>
            <w:pPr>
              <w:ind w:left="80"/>
              <w:spacing w:after="0"/>
              <w:rPr>
                <w:sz w:val="20"/>
                <w:szCs w:val="20"/>
                <w:color w:val="auto"/>
              </w:rPr>
            </w:pPr>
            <w:r>
              <w:rPr>
                <w:rFonts w:ascii="Times New Roman" w:cs="Times New Roman" w:eastAsia="Times New Roman" w:hAnsi="Times New Roman"/>
                <w:sz w:val="22"/>
                <w:szCs w:val="22"/>
                <w:color w:val="auto"/>
              </w:rPr>
              <w:t>COMMITTEES OF DIRECTORS  16</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Committees of Directors</w:t>
            </w:r>
          </w:p>
        </w:tc>
        <w:tc>
          <w:tcPr>
            <w:tcW w:w="60" w:type="dxa"/>
            <w:vAlign w:val="bottom"/>
          </w:tcPr>
          <w:p>
            <w:pPr>
              <w:spacing w:after="0"/>
              <w:rPr>
                <w:sz w:val="24"/>
                <w:szCs w:val="24"/>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16</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Committee Minutes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3.</w:t>
            </w:r>
          </w:p>
        </w:tc>
        <w:tc>
          <w:tcPr>
            <w:tcW w:w="342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Meetings and Action of Committees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17</w:t>
            </w:r>
          </w:p>
        </w:tc>
        <w:tc>
          <w:tcPr>
            <w:tcW w:w="1320" w:type="dxa"/>
            <w:vAlign w:val="bottom"/>
          </w:tcPr>
          <w:p>
            <w:pPr>
              <w:spacing w:after="0"/>
              <w:rPr>
                <w:sz w:val="24"/>
                <w:szCs w:val="24"/>
                <w:color w:val="auto"/>
              </w:rPr>
            </w:pPr>
          </w:p>
        </w:tc>
      </w:tr>
      <w:tr>
        <w:trPr>
          <w:trHeight w:val="36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2300" w:type="dxa"/>
            <w:vAlign w:val="bottom"/>
            <w:gridSpan w:val="3"/>
          </w:tcPr>
          <w:p>
            <w:pPr>
              <w:jc w:val="right"/>
              <w:ind w:right="752"/>
              <w:spacing w:after="0"/>
              <w:rPr>
                <w:sz w:val="20"/>
                <w:szCs w:val="20"/>
                <w:color w:val="auto"/>
              </w:rPr>
            </w:pPr>
            <w:r>
              <w:rPr>
                <w:rFonts w:ascii="Times New Roman" w:cs="Times New Roman" w:eastAsia="Times New Roman" w:hAnsi="Times New Roman"/>
                <w:sz w:val="22"/>
                <w:szCs w:val="22"/>
                <w:color w:val="auto"/>
              </w:rPr>
              <w:t>OFFICERS  17</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Officers</w:t>
            </w:r>
          </w:p>
        </w:tc>
        <w:tc>
          <w:tcPr>
            <w:tcW w:w="106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17</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Appointment of Officers</w:t>
            </w:r>
          </w:p>
        </w:tc>
        <w:tc>
          <w:tcPr>
            <w:tcW w:w="60" w:type="dxa"/>
            <w:vAlign w:val="bottom"/>
          </w:tcPr>
          <w:p>
            <w:pPr>
              <w:spacing w:after="0"/>
              <w:rPr>
                <w:sz w:val="24"/>
                <w:szCs w:val="24"/>
                <w:color w:val="auto"/>
              </w:rPr>
            </w:pPr>
          </w:p>
        </w:tc>
        <w:tc>
          <w:tcPr>
            <w:tcW w:w="8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17</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3.</w:t>
            </w: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Subordinate Officers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4.</w:t>
            </w:r>
          </w:p>
        </w:tc>
        <w:tc>
          <w:tcPr>
            <w:tcW w:w="342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Removal and Resignation of Officers</w:t>
            </w:r>
          </w:p>
        </w:tc>
        <w:tc>
          <w:tcPr>
            <w:tcW w:w="1580" w:type="dxa"/>
            <w:vAlign w:val="bottom"/>
            <w:gridSpan w:val="2"/>
          </w:tcPr>
          <w:p>
            <w:pPr>
              <w:jc w:val="right"/>
              <w:ind w:right="1172"/>
              <w:spacing w:after="0"/>
              <w:rPr>
                <w:sz w:val="20"/>
                <w:szCs w:val="20"/>
                <w:color w:val="auto"/>
              </w:rPr>
            </w:pPr>
            <w:r>
              <w:rPr>
                <w:rFonts w:ascii="Times New Roman" w:cs="Times New Roman" w:eastAsia="Times New Roman" w:hAnsi="Times New Roman"/>
                <w:sz w:val="22"/>
                <w:szCs w:val="22"/>
                <w:color w:val="auto"/>
              </w:rPr>
              <w:t>18</w:t>
            </w:r>
          </w:p>
        </w:tc>
      </w:tr>
      <w:tr>
        <w:trPr>
          <w:trHeight w:val="378"/>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5.</w:t>
            </w: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Vacancies in Offices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6.</w:t>
            </w: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Chief Executive Officer</w:t>
            </w:r>
          </w:p>
        </w:tc>
        <w:tc>
          <w:tcPr>
            <w:tcW w:w="60" w:type="dxa"/>
            <w:vAlign w:val="bottom"/>
          </w:tcPr>
          <w:p>
            <w:pPr>
              <w:spacing w:after="0"/>
              <w:rPr>
                <w:sz w:val="24"/>
                <w:szCs w:val="24"/>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w w:val="90"/>
              </w:rPr>
              <w:t>18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7.</w:t>
            </w:r>
          </w:p>
        </w:tc>
        <w:tc>
          <w:tcPr>
            <w:tcW w:w="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President</w:t>
            </w: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18</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8.</w:t>
            </w: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Chief Financial Officer</w:t>
            </w:r>
          </w:p>
        </w:tc>
        <w:tc>
          <w:tcPr>
            <w:tcW w:w="880" w:type="dxa"/>
            <w:vAlign w:val="bottom"/>
            <w:gridSpan w:val="2"/>
          </w:tcPr>
          <w:p>
            <w:pPr>
              <w:jc w:val="right"/>
              <w:ind w:right="552"/>
              <w:spacing w:after="0"/>
              <w:rPr>
                <w:sz w:val="20"/>
                <w:szCs w:val="20"/>
                <w:color w:val="auto"/>
              </w:rPr>
            </w:pPr>
            <w:r>
              <w:rPr>
                <w:rFonts w:ascii="Times New Roman" w:cs="Times New Roman" w:eastAsia="Times New Roman" w:hAnsi="Times New Roman"/>
                <w:sz w:val="22"/>
                <w:szCs w:val="22"/>
                <w:color w:val="auto"/>
                <w:w w:val="90"/>
              </w:rPr>
              <w:t>18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9.</w:t>
            </w: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Vice President  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10.</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Secretary  19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11.</w:t>
            </w:r>
          </w:p>
        </w:tc>
        <w:tc>
          <w:tcPr>
            <w:tcW w:w="50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Representation of Shares of Other Corporations  19</w:t>
            </w: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12.</w:t>
            </w: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Authority and Duties of Officers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19</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262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INDEMNIFICATION  20</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36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8"/>
              </w:rPr>
              <w:t>Indemnification of Directors and Officers</w:t>
            </w:r>
          </w:p>
        </w:tc>
        <w:tc>
          <w:tcPr>
            <w:tcW w:w="1320" w:type="dxa"/>
            <w:vAlign w:val="bottom"/>
          </w:tcPr>
          <w:p>
            <w:pPr>
              <w:jc w:val="right"/>
              <w:ind w:right="792"/>
              <w:spacing w:after="0"/>
              <w:rPr>
                <w:sz w:val="20"/>
                <w:szCs w:val="20"/>
                <w:color w:val="auto"/>
              </w:rPr>
            </w:pPr>
            <w:r>
              <w:rPr>
                <w:rFonts w:ascii="Times New Roman" w:cs="Times New Roman" w:eastAsia="Times New Roman" w:hAnsi="Times New Roman"/>
                <w:sz w:val="22"/>
                <w:szCs w:val="22"/>
                <w:color w:val="auto"/>
              </w:rPr>
              <w:t>20</w:t>
            </w:r>
          </w:p>
        </w:tc>
      </w:tr>
      <w:tr>
        <w:trPr>
          <w:trHeight w:val="378"/>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23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Indemnification of Others</w:t>
            </w: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20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3.</w:t>
            </w:r>
          </w:p>
        </w:tc>
        <w:tc>
          <w:tcPr>
            <w:tcW w:w="31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Payment of Expenses in Advance</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20</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4.</w:t>
            </w: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9"/>
              </w:rPr>
              <w:t>Indemnity Not Exclusive</w:t>
            </w:r>
          </w:p>
        </w:tc>
        <w:tc>
          <w:tcPr>
            <w:tcW w:w="60" w:type="dxa"/>
            <w:vAlign w:val="bottom"/>
          </w:tcPr>
          <w:p>
            <w:pPr>
              <w:spacing w:after="0"/>
              <w:rPr>
                <w:sz w:val="24"/>
                <w:szCs w:val="24"/>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20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4"/>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5.</w:t>
            </w:r>
          </w:p>
        </w:tc>
        <w:tc>
          <w:tcPr>
            <w:tcW w:w="9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Insurance</w:t>
            </w: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6.</w:t>
            </w:r>
          </w:p>
        </w:tc>
        <w:tc>
          <w:tcPr>
            <w:tcW w:w="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Conflicts</w:t>
            </w:r>
          </w:p>
        </w:tc>
        <w:tc>
          <w:tcPr>
            <w:tcW w:w="10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8"/>
              </w:rPr>
              <w:t>RECORDS AND REPORTS</w:t>
            </w: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21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36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Maintenance and Inspection of Records</w:t>
            </w:r>
          </w:p>
        </w:tc>
        <w:tc>
          <w:tcPr>
            <w:tcW w:w="1320" w:type="dxa"/>
            <w:vAlign w:val="bottom"/>
          </w:tcPr>
          <w:p>
            <w:pPr>
              <w:jc w:val="center"/>
              <w:ind w:right="932"/>
              <w:spacing w:after="0"/>
              <w:rPr>
                <w:sz w:val="20"/>
                <w:szCs w:val="20"/>
                <w:color w:val="auto"/>
              </w:rPr>
            </w:pPr>
            <w:r>
              <w:rPr>
                <w:rFonts w:ascii="Times New Roman" w:cs="Times New Roman" w:eastAsia="Times New Roman" w:hAnsi="Times New Roman"/>
                <w:sz w:val="22"/>
                <w:szCs w:val="22"/>
                <w:color w:val="auto"/>
                <w:w w:val="90"/>
              </w:rPr>
              <w:t>21</w:t>
            </w:r>
          </w:p>
        </w:tc>
      </w:tr>
      <w:tr>
        <w:trPr>
          <w:trHeight w:val="364"/>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Inspection by Directors</w:t>
            </w:r>
          </w:p>
        </w:tc>
        <w:tc>
          <w:tcPr>
            <w:tcW w:w="880" w:type="dxa"/>
            <w:vAlign w:val="bottom"/>
            <w:gridSpan w:val="2"/>
          </w:tcPr>
          <w:p>
            <w:pPr>
              <w:jc w:val="right"/>
              <w:ind w:right="532"/>
              <w:spacing w:after="0"/>
              <w:rPr>
                <w:sz w:val="20"/>
                <w:szCs w:val="20"/>
                <w:color w:val="auto"/>
              </w:rPr>
            </w:pPr>
            <w:r>
              <w:rPr>
                <w:rFonts w:ascii="Times New Roman" w:cs="Times New Roman" w:eastAsia="Times New Roman" w:hAnsi="Times New Roman"/>
                <w:sz w:val="22"/>
                <w:szCs w:val="22"/>
                <w:color w:val="auto"/>
                <w:w w:val="99"/>
              </w:rPr>
              <w:t>21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3.</w:t>
            </w:r>
          </w:p>
        </w:tc>
        <w:tc>
          <w:tcPr>
            <w:tcW w:w="31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Annual Statement to Stockholders</w:t>
            </w:r>
          </w:p>
        </w:tc>
        <w:tc>
          <w:tcPr>
            <w:tcW w:w="52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21</w:t>
            </w:r>
          </w:p>
        </w:tc>
        <w:tc>
          <w:tcPr>
            <w:tcW w:w="1320" w:type="dxa"/>
            <w:vAlign w:val="bottom"/>
          </w:tcPr>
          <w:p>
            <w:pPr>
              <w:spacing w:after="0"/>
              <w:rPr>
                <w:sz w:val="24"/>
                <w:szCs w:val="24"/>
                <w:color w:val="auto"/>
              </w:rPr>
            </w:pPr>
          </w:p>
        </w:tc>
      </w:tr>
      <w:tr>
        <w:trPr>
          <w:trHeight w:val="36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w w:val="95"/>
              </w:rPr>
              <w:t>ARTICLE VIII</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GENERAL MATTERS</w:t>
            </w:r>
          </w:p>
        </w:tc>
        <w:tc>
          <w:tcPr>
            <w:tcW w:w="1200" w:type="dxa"/>
            <w:vAlign w:val="bottom"/>
            <w:gridSpan w:val="3"/>
          </w:tcPr>
          <w:p>
            <w:pPr>
              <w:jc w:val="right"/>
              <w:ind w:right="692"/>
              <w:spacing w:after="0"/>
              <w:rPr>
                <w:sz w:val="20"/>
                <w:szCs w:val="20"/>
                <w:color w:val="auto"/>
              </w:rPr>
            </w:pPr>
            <w:r>
              <w:rPr>
                <w:rFonts w:ascii="Times New Roman" w:cs="Times New Roman" w:eastAsia="Times New Roman" w:hAnsi="Times New Roman"/>
                <w:sz w:val="22"/>
                <w:szCs w:val="22"/>
                <w:color w:val="auto"/>
              </w:rPr>
              <w:t>22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5"/>
        </w:trPr>
        <w:tc>
          <w:tcPr>
            <w:tcW w:w="166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w:t>
            </w:r>
          </w:p>
        </w:tc>
        <w:tc>
          <w:tcPr>
            <w:tcW w:w="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Checks</w:t>
            </w:r>
          </w:p>
        </w:tc>
        <w:tc>
          <w:tcPr>
            <w:tcW w:w="10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9"/>
              </w:rPr>
              <w:t>22</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074" w:right="1440"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0139"/>
          </w:cols>
          <w:pgMar w:left="320" w:top="1074" w:right="1440" w:bottom="1440" w:gutter="0" w:footer="0" w:header="0"/>
          <w:type w:val="continuous"/>
        </w:sectPr>
      </w:pPr>
    </w:p>
    <w:bookmarkStart w:id="36" w:name="page37"/>
    <w:bookmarkEnd w:id="36"/>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1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2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r>
      <w:tr>
        <w:trPr>
          <w:trHeight w:val="253"/>
        </w:trPr>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tcPr>
          <w:p>
            <w:pPr>
              <w:jc w:val="center"/>
              <w:ind w:left="192"/>
              <w:spacing w:after="0"/>
              <w:rPr>
                <w:sz w:val="20"/>
                <w:szCs w:val="20"/>
                <w:color w:val="auto"/>
              </w:rPr>
            </w:pPr>
            <w:r>
              <w:rPr>
                <w:rFonts w:ascii="Times New Roman" w:cs="Times New Roman" w:eastAsia="Times New Roman" w:hAnsi="Times New Roman"/>
                <w:sz w:val="22"/>
                <w:szCs w:val="22"/>
                <w:color w:val="auto"/>
                <w:w w:val="98"/>
              </w:rPr>
              <w:t>(continued)</w:t>
            </w:r>
          </w:p>
        </w:tc>
      </w:tr>
      <w:tr>
        <w:trPr>
          <w:trHeight w:val="286"/>
        </w:trPr>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2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Page</w:t>
            </w:r>
          </w:p>
        </w:tc>
      </w:tr>
      <w:tr>
        <w:trPr>
          <w:trHeight w:val="688"/>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2.</w:t>
            </w:r>
          </w:p>
        </w:tc>
        <w:tc>
          <w:tcPr>
            <w:tcW w:w="49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Execution of Corporate Contracts and Instruments  22</w:t>
            </w:r>
          </w:p>
        </w:tc>
      </w:tr>
      <w:tr>
        <w:trPr>
          <w:trHeight w:val="364"/>
        </w:trPr>
        <w:tc>
          <w:tcPr>
            <w:tcW w:w="6660" w:type="dxa"/>
            <w:vAlign w:val="bottom"/>
            <w:gridSpan w:val="5"/>
          </w:tcPr>
          <w:p>
            <w:pPr>
              <w:ind w:left="640"/>
              <w:spacing w:after="0"/>
              <w:rPr>
                <w:sz w:val="20"/>
                <w:szCs w:val="20"/>
                <w:color w:val="auto"/>
              </w:rPr>
            </w:pPr>
            <w:r>
              <w:rPr>
                <w:rFonts w:ascii="Times New Roman" w:cs="Times New Roman" w:eastAsia="Times New Roman" w:hAnsi="Times New Roman"/>
                <w:sz w:val="22"/>
                <w:szCs w:val="22"/>
                <w:color w:val="auto"/>
              </w:rPr>
              <w:t>Section 3.  Stock Certificates; Partly Paid Shares.  22</w:t>
            </w:r>
          </w:p>
        </w:tc>
      </w:tr>
      <w:tr>
        <w:trPr>
          <w:trHeight w:val="365"/>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4.</w:t>
            </w:r>
          </w:p>
        </w:tc>
        <w:tc>
          <w:tcPr>
            <w:tcW w:w="49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Special Designation on Certificates  22</w:t>
            </w:r>
          </w:p>
        </w:tc>
      </w:tr>
      <w:tr>
        <w:trPr>
          <w:trHeight w:val="364"/>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5.</w:t>
            </w:r>
          </w:p>
        </w:tc>
        <w:tc>
          <w:tcPr>
            <w:tcW w:w="2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Lost Certificates  23</w:t>
            </w:r>
          </w:p>
        </w:tc>
        <w:tc>
          <w:tcPr>
            <w:tcW w:w="2620" w:type="dxa"/>
            <w:vAlign w:val="bottom"/>
          </w:tcPr>
          <w:p>
            <w:pPr>
              <w:spacing w:after="0"/>
              <w:rPr>
                <w:sz w:val="24"/>
                <w:szCs w:val="24"/>
                <w:color w:val="auto"/>
              </w:rPr>
            </w:pPr>
          </w:p>
        </w:tc>
      </w:tr>
      <w:tr>
        <w:trPr>
          <w:trHeight w:val="378"/>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6.</w:t>
            </w:r>
          </w:p>
        </w:tc>
        <w:tc>
          <w:tcPr>
            <w:tcW w:w="2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Construction; Definitions</w:t>
            </w:r>
          </w:p>
        </w:tc>
        <w:tc>
          <w:tcPr>
            <w:tcW w:w="262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23</w:t>
            </w:r>
          </w:p>
        </w:tc>
      </w:tr>
      <w:tr>
        <w:trPr>
          <w:trHeight w:val="365"/>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7.</w:t>
            </w:r>
          </w:p>
        </w:tc>
        <w:tc>
          <w:tcPr>
            <w:tcW w:w="1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Dividends</w:t>
            </w:r>
          </w:p>
        </w:tc>
        <w:tc>
          <w:tcPr>
            <w:tcW w:w="12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23</w:t>
            </w:r>
          </w:p>
        </w:tc>
        <w:tc>
          <w:tcPr>
            <w:tcW w:w="2620" w:type="dxa"/>
            <w:vAlign w:val="bottom"/>
          </w:tcPr>
          <w:p>
            <w:pPr>
              <w:spacing w:after="0"/>
              <w:rPr>
                <w:sz w:val="24"/>
                <w:szCs w:val="24"/>
                <w:color w:val="auto"/>
              </w:rPr>
            </w:pPr>
          </w:p>
        </w:tc>
      </w:tr>
      <w:tr>
        <w:trPr>
          <w:trHeight w:val="364"/>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8.</w:t>
            </w:r>
          </w:p>
        </w:tc>
        <w:tc>
          <w:tcPr>
            <w:tcW w:w="1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Fiscal Year</w:t>
            </w:r>
          </w:p>
        </w:tc>
        <w:tc>
          <w:tcPr>
            <w:tcW w:w="12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23</w:t>
            </w:r>
          </w:p>
        </w:tc>
        <w:tc>
          <w:tcPr>
            <w:tcW w:w="2620" w:type="dxa"/>
            <w:vAlign w:val="bottom"/>
          </w:tcPr>
          <w:p>
            <w:pPr>
              <w:spacing w:after="0"/>
              <w:rPr>
                <w:sz w:val="24"/>
                <w:szCs w:val="24"/>
                <w:color w:val="auto"/>
              </w:rPr>
            </w:pPr>
          </w:p>
        </w:tc>
      </w:tr>
      <w:tr>
        <w:trPr>
          <w:trHeight w:val="365"/>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9.</w:t>
            </w:r>
          </w:p>
        </w:tc>
        <w:tc>
          <w:tcPr>
            <w:tcW w:w="1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Seal  23</w:t>
            </w:r>
          </w:p>
        </w:tc>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64"/>
        </w:trPr>
        <w:tc>
          <w:tcPr>
            <w:tcW w:w="4040" w:type="dxa"/>
            <w:vAlign w:val="bottom"/>
            <w:gridSpan w:val="4"/>
          </w:tcPr>
          <w:p>
            <w:pPr>
              <w:ind w:left="640"/>
              <w:spacing w:after="0"/>
              <w:rPr>
                <w:sz w:val="20"/>
                <w:szCs w:val="20"/>
                <w:color w:val="auto"/>
              </w:rPr>
            </w:pPr>
            <w:r>
              <w:rPr>
                <w:rFonts w:ascii="Times New Roman" w:cs="Times New Roman" w:eastAsia="Times New Roman" w:hAnsi="Times New Roman"/>
                <w:sz w:val="22"/>
                <w:szCs w:val="22"/>
                <w:color w:val="auto"/>
              </w:rPr>
              <w:t>Section 10.  Transfer of Stock.  23</w:t>
            </w:r>
          </w:p>
        </w:tc>
        <w:tc>
          <w:tcPr>
            <w:tcW w:w="2620" w:type="dxa"/>
            <w:vAlign w:val="bottom"/>
          </w:tcPr>
          <w:p>
            <w:pPr>
              <w:spacing w:after="0"/>
              <w:rPr>
                <w:sz w:val="24"/>
                <w:szCs w:val="24"/>
                <w:color w:val="auto"/>
              </w:rPr>
            </w:pPr>
          </w:p>
        </w:tc>
      </w:tr>
      <w:tr>
        <w:trPr>
          <w:trHeight w:val="364"/>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11.</w:t>
            </w:r>
          </w:p>
        </w:tc>
        <w:tc>
          <w:tcPr>
            <w:tcW w:w="49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Stock Transfer Agreements  24</w:t>
            </w:r>
          </w:p>
        </w:tc>
      </w:tr>
      <w:tr>
        <w:trPr>
          <w:trHeight w:val="378"/>
        </w:trPr>
        <w:tc>
          <w:tcPr>
            <w:tcW w:w="168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Section 12.</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Registered Stockholders</w:t>
            </w:r>
          </w:p>
        </w:tc>
        <w:tc>
          <w:tcPr>
            <w:tcW w:w="2620" w:type="dxa"/>
            <w:vAlign w:val="bottom"/>
          </w:tcPr>
          <w:p>
            <w:pPr>
              <w:jc w:val="right"/>
              <w:ind w:right="2192"/>
              <w:spacing w:after="0"/>
              <w:rPr>
                <w:sz w:val="20"/>
                <w:szCs w:val="20"/>
                <w:color w:val="auto"/>
              </w:rPr>
            </w:pPr>
            <w:r>
              <w:rPr>
                <w:rFonts w:ascii="Times New Roman" w:cs="Times New Roman" w:eastAsia="Times New Roman" w:hAnsi="Times New Roman"/>
                <w:sz w:val="22"/>
                <w:szCs w:val="22"/>
                <w:color w:val="auto"/>
              </w:rPr>
              <w:t>24</w:t>
            </w:r>
          </w:p>
        </w:tc>
      </w:tr>
      <w:tr>
        <w:trPr>
          <w:trHeight w:val="36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5420" w:type="dxa"/>
            <w:vAlign w:val="bottom"/>
            <w:gridSpan w:val="4"/>
          </w:tcPr>
          <w:p>
            <w:pPr>
              <w:jc w:val="right"/>
              <w:ind w:right="472"/>
              <w:spacing w:after="0"/>
              <w:rPr>
                <w:sz w:val="20"/>
                <w:szCs w:val="20"/>
                <w:color w:val="auto"/>
              </w:rPr>
            </w:pPr>
            <w:r>
              <w:rPr>
                <w:rFonts w:ascii="Times New Roman" w:cs="Times New Roman" w:eastAsia="Times New Roman" w:hAnsi="Times New Roman"/>
                <w:sz w:val="22"/>
                <w:szCs w:val="22"/>
                <w:color w:val="auto"/>
              </w:rPr>
              <w:t>FORUM FOR ADJUDICATION OF DISPUTES  24</w:t>
            </w:r>
          </w:p>
        </w:tc>
      </w:tr>
      <w:tr>
        <w:trPr>
          <w:trHeight w:val="365"/>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X</w:t>
            </w:r>
          </w:p>
        </w:tc>
        <w:tc>
          <w:tcPr>
            <w:tcW w:w="2800" w:type="dxa"/>
            <w:vAlign w:val="bottom"/>
            <w:gridSpan w:val="3"/>
          </w:tcPr>
          <w:p>
            <w:pPr>
              <w:jc w:val="right"/>
              <w:ind w:right="672"/>
              <w:spacing w:after="0"/>
              <w:rPr>
                <w:sz w:val="20"/>
                <w:szCs w:val="20"/>
                <w:color w:val="auto"/>
              </w:rPr>
            </w:pPr>
            <w:r>
              <w:rPr>
                <w:rFonts w:ascii="Times New Roman" w:cs="Times New Roman" w:eastAsia="Times New Roman" w:hAnsi="Times New Roman"/>
                <w:sz w:val="22"/>
                <w:szCs w:val="22"/>
                <w:color w:val="auto"/>
              </w:rPr>
              <w:t>AMENDMENTS  24</w:t>
            </w:r>
          </w:p>
        </w:tc>
        <w:tc>
          <w:tcPr>
            <w:tcW w:w="2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-iii-</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0139"/>
          </w:cols>
          <w:pgMar w:left="320" w:top="1440" w:right="1440" w:bottom="1440" w:gutter="0" w:footer="0" w:header="0"/>
        </w:sectPr>
      </w:pPr>
    </w:p>
    <w:bookmarkStart w:id="37" w:name="page38"/>
    <w:bookmarkEnd w:id="37"/>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Section 1. Registered Office. </w:t>
      </w:r>
      <w:r>
        <w:rPr>
          <w:rFonts w:ascii="Times New Roman" w:cs="Times New Roman" w:eastAsia="Times New Roman" w:hAnsi="Times New Roman"/>
          <w:sz w:val="21"/>
          <w:szCs w:val="21"/>
          <w:color w:val="auto"/>
        </w:rPr>
        <w:t>The registered office of Inseego Corp.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shall be in the state of Delaware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at such address as shall be set forth in the Amended and Restated Certificate of Incorporation of the Corporation (as the same may be amended from time to time, including by any certificate of designation, the “</w:t>
      </w:r>
      <w:r>
        <w:rPr>
          <w:rFonts w:ascii="Times New Roman" w:cs="Times New Roman" w:eastAsia="Times New Roman" w:hAnsi="Times New Roman"/>
          <w:sz w:val="21"/>
          <w:szCs w:val="21"/>
          <w:b w:val="1"/>
          <w:bCs w:val="1"/>
          <w:color w:val="auto"/>
        </w:rPr>
        <w:t>Certificate of Incorporation</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2. Other Offices. </w:t>
      </w:r>
      <w:r>
        <w:rPr>
          <w:rFonts w:ascii="Times New Roman" w:cs="Times New Roman" w:eastAsia="Times New Roman" w:hAnsi="Times New Roman"/>
          <w:sz w:val="22"/>
          <w:szCs w:val="22"/>
          <w:color w:val="auto"/>
        </w:rPr>
        <w:t>The Corporation may also have offices at such other places both within and outside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as the Board of Directors of the Corporation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may from time to time designate or the business of the Corporation may require.</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2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 Place of Meetings. </w:t>
      </w:r>
      <w:r>
        <w:rPr>
          <w:rFonts w:ascii="Times New Roman" w:cs="Times New Roman" w:eastAsia="Times New Roman" w:hAnsi="Times New Roman"/>
          <w:sz w:val="22"/>
          <w:szCs w:val="22"/>
          <w:color w:val="auto"/>
        </w:rPr>
        <w:t>Meetings of stockholders shall be held at any place, within or outside of the state of Delaware,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by the Board and stated in the notice of the meeting. In the absence of any such designation, stockholders’ meetings shall be held at the registered office of the Corporation.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Annual and Special Meetings.</w:t>
      </w:r>
    </w:p>
    <w:p>
      <w:pPr>
        <w:spacing w:after="0" w:line="237" w:lineRule="exact"/>
        <w:rPr>
          <w:sz w:val="20"/>
          <w:szCs w:val="20"/>
          <w:color w:val="auto"/>
        </w:rPr>
      </w:pPr>
    </w:p>
    <w:p>
      <w:pPr>
        <w:ind w:firstLine="656"/>
        <w:spacing w:after="0" w:line="295" w:lineRule="auto"/>
        <w:tabs>
          <w:tab w:leader="none" w:pos="129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annual meeting of stockholders shall be held on such day and at such time as may be designated by the Board for the purpose of electing directors and for the transaction of such other business as may properly come before such meeting.</w:t>
      </w:r>
    </w:p>
    <w:p>
      <w:pPr>
        <w:spacing w:after="0" w:line="135" w:lineRule="exact"/>
        <w:rPr>
          <w:rFonts w:ascii="Times New Roman" w:cs="Times New Roman" w:eastAsia="Times New Roman" w:hAnsi="Times New Roman"/>
          <w:sz w:val="21"/>
          <w:szCs w:val="21"/>
          <w:color w:val="auto"/>
        </w:rPr>
      </w:pPr>
    </w:p>
    <w:p>
      <w:pPr>
        <w:ind w:right="280" w:firstLine="656"/>
        <w:spacing w:after="0" w:line="257"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stockholders, for any purpose or purposes, unless otherwise prescribed by statute or by the Certificate of Incorporation, may be called only by (i) the Board, (ii) the chairperson of the board, or (iii) the chief executive officer of the Corporation.</w:t>
      </w:r>
    </w:p>
    <w:p>
      <w:pPr>
        <w:spacing w:after="0" w:line="16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3. Notice of Stockholders’ Meetings. </w:t>
      </w:r>
      <w:r>
        <w:rPr>
          <w:rFonts w:ascii="Times New Roman" w:cs="Times New Roman" w:eastAsia="Times New Roman" w:hAnsi="Times New Roman"/>
          <w:sz w:val="22"/>
          <w:szCs w:val="22"/>
          <w:color w:val="auto"/>
        </w:rPr>
        <w:t>Except as otherwise provided by law, notice of each meeting of stockholders,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annual or special, shall be given not less than ten (10) days nor more than sixty (60) days before the date of the meeting to each stockholder entitled to vote at such meeting as of the record date for determining the stockholders entitled to notice of the meeting. The notices of all meetings shall state the place, if any, date and time of the meeting and the means of remote communication, if any, by which stockholders and proxyholders may be deemed to be present in person and vote at such meeting. The notice of a special meeting shall state, in addition, the purpose or purposes for which the meeting is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160"/>
          </w:cols>
          <w:pgMar w:left="320" w:top="1418" w:right="419" w:bottom="1440" w:gutter="0" w:footer="0" w:header="0"/>
        </w:sectPr>
      </w:pPr>
    </w:p>
    <w:bookmarkStart w:id="38" w:name="page39"/>
    <w:bookmarkEnd w:id="38"/>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Manner of Giving Notice; Affidavit of Notice; Waiver.</w:t>
      </w:r>
    </w:p>
    <w:p>
      <w:pPr>
        <w:spacing w:after="0" w:line="224" w:lineRule="exact"/>
        <w:rPr>
          <w:sz w:val="20"/>
          <w:szCs w:val="20"/>
          <w:color w:val="auto"/>
        </w:rPr>
      </w:pPr>
    </w:p>
    <w:p>
      <w:pPr>
        <w:ind w:firstLine="656"/>
        <w:spacing w:after="0" w:line="259" w:lineRule="auto"/>
        <w:tabs>
          <w:tab w:leader="none" w:pos="129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mailed, notice to stockholders shall be deemed given when deposited in the United States mail, postage prepaid, directed to the stockholder at such stockholder’s address as it appears on the records of the Corporation. Without limiting the manner by which notice otherwise may be given effectively to stockholders, any notice to stockholders may be given by facsimile, telegraph, telex, or by electronic transmission in the manner provided in Section 232 of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stockholder who fails to object in writing to the Corporation, within sixty (60) days of having been given written notice by the Corporation of its intention to send such single notice, shall be deemed to have consented to receiving such single written notice. Any such consent shall be revocable by the stockholder by written notice to the Corporation.</w:t>
      </w:r>
    </w:p>
    <w:p>
      <w:pPr>
        <w:spacing w:after="0" w:line="175" w:lineRule="exact"/>
        <w:rPr>
          <w:rFonts w:ascii="Times New Roman" w:cs="Times New Roman" w:eastAsia="Times New Roman" w:hAnsi="Times New Roman"/>
          <w:sz w:val="21"/>
          <w:szCs w:val="21"/>
          <w:color w:val="auto"/>
        </w:rPr>
      </w:pPr>
    </w:p>
    <w:p>
      <w:pPr>
        <w:ind w:right="100" w:firstLine="656"/>
        <w:spacing w:after="0" w:line="257"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72" w:lineRule="exact"/>
        <w:rPr>
          <w:rFonts w:ascii="Times New Roman" w:cs="Times New Roman" w:eastAsia="Times New Roman" w:hAnsi="Times New Roman"/>
          <w:sz w:val="22"/>
          <w:szCs w:val="22"/>
          <w:color w:val="auto"/>
        </w:rPr>
      </w:pPr>
    </w:p>
    <w:p>
      <w:pPr>
        <w:ind w:right="80" w:firstLine="656"/>
        <w:spacing w:after="0" w:line="251" w:lineRule="auto"/>
        <w:tabs>
          <w:tab w:leader="none" w:pos="12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waiver of any notice, signed by a stockholder entitled to notice, or waiver by electronic transmission by such person, whether given before or after the time of the event for which notice is to be given, shall be deemed equivalent to the notice required to be given to such person. Neither the business nor the purpose of any meeting of the stockholders of the Corporation need be specified in such a waiver. Attendance at any meeting shall constitute a waiver of notice except attendance for the sole purpose of objecting, at the beginning of the meeting, to the transaction of any business because the meeting is not lawfully called or convened.</w:t>
      </w:r>
    </w:p>
    <w:p>
      <w:pPr>
        <w:spacing w:after="0" w:line="17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Advance Notice Provisions for Stockholder Proposals.</w:t>
      </w:r>
    </w:p>
    <w:p>
      <w:pPr>
        <w:spacing w:after="0" w:line="224" w:lineRule="exact"/>
        <w:rPr>
          <w:sz w:val="20"/>
          <w:szCs w:val="20"/>
          <w:color w:val="auto"/>
        </w:rPr>
      </w:pPr>
    </w:p>
    <w:p>
      <w:pPr>
        <w:ind w:right="120" w:firstLine="656"/>
        <w:spacing w:after="0" w:line="246"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 annual meeting of the stockholders, only such business shall be conducted as shall have been properly brought before the meeting. To be properly brought before an annual meeting, business must be (i) specified in the notice of meeting (or any supplement or amendment thereto) given by or at the direction of the Board, (ii) if not specified in a notice of meeting, otherwise brought before the meeting by or at the direction of the Board or any committee thereof, or (iii) otherwise properly brought before the meeting by a stockholder who (A) was a stockholder of record of the Corporation both at the time of giving the notice provided for in this Section 5 and at the time of the meeting, (B) is entitled to vote at the meeting, and (C) has complied with this Section 5 as to such business. The only matters that may be brought before a special meeting are the matters specified in the notice of meeting given by or at the direction of the person calling the meeting pursuant to Section 2(b) of this Article II, and stockholders shall not be permitted to propose business to be brought before a special meeting of stockholders. Stockholders seeking to nominate persons for election to the Board must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18" w:right="339" w:bottom="1440" w:gutter="0" w:footer="0" w:header="0"/>
        </w:sectPr>
      </w:pPr>
    </w:p>
    <w:bookmarkStart w:id="39" w:name="page40"/>
    <w:bookmarkEnd w:id="39"/>
    <w:p>
      <w:pPr>
        <w:ind w:right="80"/>
        <w:spacing w:after="0" w:line="271" w:lineRule="auto"/>
        <w:rPr>
          <w:sz w:val="20"/>
          <w:szCs w:val="20"/>
          <w:color w:val="auto"/>
        </w:rPr>
      </w:pPr>
      <w:r>
        <w:rPr>
          <w:rFonts w:ascii="Times New Roman" w:cs="Times New Roman" w:eastAsia="Times New Roman" w:hAnsi="Times New Roman"/>
          <w:sz w:val="22"/>
          <w:szCs w:val="22"/>
          <w:color w:val="auto"/>
        </w:rPr>
        <w:t>with Section 6 of this Article II, and this Section 5 shall not be applicable to nominations except as expressly provided in Section 6 of this Article II.</w:t>
      </w:r>
    </w:p>
    <w:p>
      <w:pPr>
        <w:spacing w:after="0" w:line="158" w:lineRule="exact"/>
        <w:rPr>
          <w:sz w:val="20"/>
          <w:szCs w:val="20"/>
          <w:color w:val="auto"/>
        </w:rPr>
      </w:pPr>
    </w:p>
    <w:p>
      <w:pPr>
        <w:ind w:right="240" w:firstLine="656"/>
        <w:spacing w:after="0" w:line="262" w:lineRule="auto"/>
        <w:tabs>
          <w:tab w:leader="none" w:pos="1291"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qualification, for business to be properly brought before an annual meeting by a stockholder, the stockholder must (i) provide Timely Notice (as defined below) thereof in writing and in proper form to the secretary of the Corporation, (ii) provide any updates or supplements to such notice at the times and in the forms required by this Section 5 and</w:t>
      </w:r>
    </w:p>
    <w:p>
      <w:pPr>
        <w:spacing w:after="0" w:line="2" w:lineRule="exact"/>
        <w:rPr>
          <w:rFonts w:ascii="Times New Roman" w:cs="Times New Roman" w:eastAsia="Times New Roman" w:hAnsi="Times New Roman"/>
          <w:sz w:val="21"/>
          <w:szCs w:val="21"/>
          <w:color w:val="auto"/>
        </w:rPr>
      </w:pPr>
    </w:p>
    <w:p>
      <w:pPr>
        <w:ind w:right="220" w:firstLine="8"/>
        <w:spacing w:after="0" w:line="256" w:lineRule="auto"/>
        <w:tabs>
          <w:tab w:leader="none" w:pos="37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constitute a proper matter for stockholder action. To be timely, a stockholder’s notice must be delivered to, or mailed and received at, the principal executive offices of the Corporation not later than the close of business on the ninetieth (90th) day nor earlier than the one hundred twentieth (120th) day prior to the one (1)-year anniversary of the preceding year’s annual meeting;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if the date of the annual meeting is more than thirty (30) days before or more than sixty (60) days after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anniversary date, notice by the stockholder to be timely must be so delivered, or mailed and received, not earlier than the close of business on the one hundred twentieth (120th) day prior to such annual meeting and not later than the close of business on the ninetieth (90th) day prior to such annual meeting or, if later, the tenth (10th) day following the day on which public disclosure of the date of such annual meeting was first made (such notice within such time periods, “</w:t>
      </w:r>
      <w:r>
        <w:rPr>
          <w:rFonts w:ascii="Times New Roman" w:cs="Times New Roman" w:eastAsia="Times New Roman" w:hAnsi="Times New Roman"/>
          <w:sz w:val="21"/>
          <w:szCs w:val="21"/>
          <w:b w:val="1"/>
          <w:bCs w:val="1"/>
          <w:color w:val="auto"/>
        </w:rPr>
        <w:t>Timely Notice</w:t>
      </w:r>
      <w:r>
        <w:rPr>
          <w:rFonts w:ascii="Times New Roman" w:cs="Times New Roman" w:eastAsia="Times New Roman" w:hAnsi="Times New Roman"/>
          <w:sz w:val="21"/>
          <w:szCs w:val="21"/>
          <w:color w:val="auto"/>
        </w:rPr>
        <w:t>”). In no event shall any adjournment or postponement of an annual meeting or the announcement thereof commence a new time period (or extend any time period) for the giving of Timely Notice as described above.</w:t>
      </w:r>
    </w:p>
    <w:p>
      <w:pPr>
        <w:spacing w:after="0" w:line="18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form for purposes of this Section 5, a stockholder’s notice to the secretary of the Corporation shall</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set forth:</w:t>
      </w:r>
    </w:p>
    <w:p>
      <w:pPr>
        <w:spacing w:after="0" w:line="207" w:lineRule="exact"/>
        <w:rPr>
          <w:rFonts w:ascii="Times New Roman" w:cs="Times New Roman" w:eastAsia="Times New Roman" w:hAnsi="Times New Roman"/>
          <w:sz w:val="21"/>
          <w:szCs w:val="21"/>
          <w:color w:val="auto"/>
        </w:rPr>
      </w:pPr>
    </w:p>
    <w:p>
      <w:pPr>
        <w:ind w:right="240" w:firstLine="1304"/>
        <w:spacing w:after="0" w:line="247" w:lineRule="auto"/>
        <w:tabs>
          <w:tab w:leader="none" w:pos="1932"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Securities Exchange Act of 1934, as amended, and the rules and regulations thereunder (as so amended and inclusive of such rules and regulations,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22"/>
          <w:szCs w:val="22"/>
          <w:b w:val="1"/>
          <w:bCs w:val="1"/>
          <w:color w:val="auto"/>
        </w:rPr>
        <w:t>Stockholder Information</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Proposing Person:</w:t>
      </w:r>
    </w:p>
    <w:p>
      <w:pPr>
        <w:spacing w:after="0" w:line="179" w:lineRule="exact"/>
        <w:rPr>
          <w:rFonts w:ascii="Times New Roman" w:cs="Times New Roman" w:eastAsia="Times New Roman" w:hAnsi="Times New Roman"/>
          <w:sz w:val="22"/>
          <w:szCs w:val="22"/>
          <w:color w:val="auto"/>
        </w:rPr>
      </w:pPr>
    </w:p>
    <w:p>
      <w:pPr>
        <w:ind w:firstLine="2600"/>
        <w:spacing w:after="0" w:line="250" w:lineRule="auto"/>
        <w:tabs>
          <w:tab w:leader="none" w:pos="3229" w:val="left"/>
        </w:tabs>
        <w:numPr>
          <w:ilvl w:val="3"/>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Times New Roman" w:cs="Times New Roman" w:eastAsia="Times New Roman" w:hAnsi="Times New Roman"/>
          <w:sz w:val="22"/>
          <w:szCs w:val="22"/>
          <w:b w:val="1"/>
          <w:bCs w:val="1"/>
          <w:color w:val="auto"/>
        </w:rPr>
        <w:t>Derivative Instrument</w:t>
      </w:r>
      <w:r>
        <w:rPr>
          <w:rFonts w:ascii="Times New Roman" w:cs="Times New Roman" w:eastAsia="Times New Roman" w:hAnsi="Times New Roman"/>
          <w:sz w:val="22"/>
          <w:szCs w:val="22"/>
          <w:color w:val="auto"/>
        </w:rPr>
        <w:t>”), that is, directly or indirectly, owned of record or beneficially owned by such Proposing Person, and any other direct or indirect opportunity to profit or share in any profit derived from any increase or decrease in the value of shares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22" w:right="339" w:bottom="1440" w:gutter="0" w:footer="0" w:header="0"/>
        </w:sectPr>
      </w:pPr>
    </w:p>
    <w:bookmarkStart w:id="40" w:name="page41"/>
    <w:bookmarkEnd w:id="40"/>
    <w:p>
      <w:pPr>
        <w:ind w:right="160" w:firstLine="2600"/>
        <w:spacing w:after="0" w:line="271" w:lineRule="auto"/>
        <w:tabs>
          <w:tab w:leader="none" w:pos="323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proxy, agreement, arrangement, understanding, or relationship pursuant to which such Proposing Person has or shares a right to vote any shares of any security of any class or series of the Corporation;</w:t>
      </w:r>
    </w:p>
    <w:p>
      <w:pPr>
        <w:spacing w:after="0" w:line="157" w:lineRule="exact"/>
        <w:rPr>
          <w:rFonts w:ascii="Times New Roman" w:cs="Times New Roman" w:eastAsia="Times New Roman" w:hAnsi="Times New Roman"/>
          <w:sz w:val="22"/>
          <w:szCs w:val="22"/>
          <w:color w:val="auto"/>
        </w:rPr>
      </w:pPr>
    </w:p>
    <w:p>
      <w:pPr>
        <w:ind w:firstLine="1952"/>
        <w:spacing w:after="0" w:line="252" w:lineRule="auto"/>
        <w:tabs>
          <w:tab w:leader="none" w:pos="258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short interest in any security of the Corporation held by such Proposing Person (for purposes of this Section 5(c) a Proposing Person shall be deemed to have a short interest in a security if such person, directly or indirectly, through any agreement, arrangement, understanding, relationship or otherwise, has the opportunity to profit or share in any profit derived from any decrease in the value of the subject security) (“</w:t>
      </w:r>
      <w:r>
        <w:rPr>
          <w:rFonts w:ascii="Times New Roman" w:cs="Times New Roman" w:eastAsia="Times New Roman" w:hAnsi="Times New Roman"/>
          <w:sz w:val="22"/>
          <w:szCs w:val="22"/>
          <w:b w:val="1"/>
          <w:bCs w:val="1"/>
          <w:color w:val="auto"/>
        </w:rPr>
        <w:t>Short Interests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80" w:firstLine="1952"/>
        <w:spacing w:after="0" w:line="257" w:lineRule="auto"/>
        <w:tabs>
          <w:tab w:leader="none" w:pos="25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dividends on the shares of any class or series of the Corporation that are, directly or indirectly, owned of record or beneficially owned by such Proposing Person that are separated or separable from the underlying shares of the Corporation;</w:t>
      </w:r>
    </w:p>
    <w:p>
      <w:pPr>
        <w:spacing w:after="0" w:line="172" w:lineRule="exact"/>
        <w:rPr>
          <w:rFonts w:ascii="Times New Roman" w:cs="Times New Roman" w:eastAsia="Times New Roman" w:hAnsi="Times New Roman"/>
          <w:sz w:val="22"/>
          <w:szCs w:val="22"/>
          <w:color w:val="auto"/>
        </w:rPr>
      </w:pPr>
    </w:p>
    <w:p>
      <w:pPr>
        <w:ind w:right="100" w:firstLine="1952"/>
        <w:spacing w:after="0" w:line="257" w:lineRule="auto"/>
        <w:tabs>
          <w:tab w:leader="none" w:pos="258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proportionate interest in shares of the Corporation or Derivative Instruments held, directly or indirectly, by a general or limited partnership in which such Proposing Person is a general partner or, directly or indirectly, is the owner of record or beneficially owns an interest in a general partner;</w:t>
      </w:r>
    </w:p>
    <w:p>
      <w:pPr>
        <w:spacing w:after="0" w:line="172" w:lineRule="exact"/>
        <w:rPr>
          <w:rFonts w:ascii="Times New Roman" w:cs="Times New Roman" w:eastAsia="Times New Roman" w:hAnsi="Times New Roman"/>
          <w:sz w:val="22"/>
          <w:szCs w:val="22"/>
          <w:color w:val="auto"/>
        </w:rPr>
      </w:pPr>
    </w:p>
    <w:p>
      <w:pPr>
        <w:ind w:firstLine="1952"/>
        <w:spacing w:after="0" w:line="253" w:lineRule="auto"/>
        <w:tabs>
          <w:tab w:leader="none" w:pos="258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performance related fees (other than an asset based fee) that such Proposing Person is entitled to based on any increase or decrease in the price or value of shares of any class or series of the Corporation, or any Derivative Instruments or Short Interests, if any, in each case with respect to clauses (A) through (F) herein as of the close of business on the date of such notice, including without limitation any such interests held by members of each such Proposing Person’s immediate family sharing the same household;</w:t>
      </w:r>
    </w:p>
    <w:p>
      <w:pPr>
        <w:spacing w:after="0" w:line="178" w:lineRule="exact"/>
        <w:rPr>
          <w:rFonts w:ascii="Times New Roman" w:cs="Times New Roman" w:eastAsia="Times New Roman" w:hAnsi="Times New Roman"/>
          <w:sz w:val="22"/>
          <w:szCs w:val="22"/>
          <w:color w:val="auto"/>
        </w:rPr>
      </w:pPr>
    </w:p>
    <w:p>
      <w:pPr>
        <w:ind w:right="200" w:firstLine="1952"/>
        <w:spacing w:after="0" w:line="271" w:lineRule="auto"/>
        <w:tabs>
          <w:tab w:leader="none" w:pos="25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pending or threatened legal proceeding in which such Proposing Person is a party or material participant involving the Corporation or any of its officers or directors, or any affiliate of the Corporation;</w:t>
      </w:r>
    </w:p>
    <w:p>
      <w:pPr>
        <w:spacing w:after="0" w:line="157" w:lineRule="exact"/>
        <w:rPr>
          <w:rFonts w:ascii="Times New Roman" w:cs="Times New Roman" w:eastAsia="Times New Roman" w:hAnsi="Times New Roman"/>
          <w:sz w:val="22"/>
          <w:szCs w:val="22"/>
          <w:color w:val="auto"/>
        </w:rPr>
      </w:pPr>
    </w:p>
    <w:p>
      <w:pPr>
        <w:ind w:right="940" w:firstLine="1952"/>
        <w:spacing w:after="0" w:line="271" w:lineRule="auto"/>
        <w:tabs>
          <w:tab w:leader="none" w:pos="25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relationship between such Proposing Person, on the one hand, and the Corporation, any affiliate of the Corporation or any principal competitor of the Corporation, on the other hand;</w:t>
      </w:r>
    </w:p>
    <w:p>
      <w:pPr>
        <w:spacing w:after="0" w:line="157" w:lineRule="exact"/>
        <w:rPr>
          <w:rFonts w:ascii="Times New Roman" w:cs="Times New Roman" w:eastAsia="Times New Roman" w:hAnsi="Times New Roman"/>
          <w:sz w:val="22"/>
          <w:szCs w:val="22"/>
          <w:color w:val="auto"/>
        </w:rPr>
      </w:pPr>
    </w:p>
    <w:p>
      <w:pPr>
        <w:jc w:val="both"/>
        <w:ind w:right="100" w:firstLine="1952"/>
        <w:spacing w:after="0" w:line="257" w:lineRule="auto"/>
        <w:tabs>
          <w:tab w:leader="none" w:pos="259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material interest in any contract or agreement of such Proposing Person with the Corporation, any affiliate of the Corporation or any principal competitor of the Corporation (including, in any such case, any employment agreement, collective bargaining agreement or consulting agreement); and</w:t>
      </w:r>
    </w:p>
    <w:p>
      <w:pPr>
        <w:spacing w:after="0" w:line="172" w:lineRule="exact"/>
        <w:rPr>
          <w:rFonts w:ascii="Times New Roman" w:cs="Times New Roman" w:eastAsia="Times New Roman" w:hAnsi="Times New Roman"/>
          <w:sz w:val="22"/>
          <w:szCs w:val="22"/>
          <w:color w:val="auto"/>
        </w:rPr>
      </w:pPr>
    </w:p>
    <w:p>
      <w:pPr>
        <w:ind w:right="40" w:firstLine="1952"/>
        <w:spacing w:after="0" w:line="248" w:lineRule="auto"/>
        <w:tabs>
          <w:tab w:leader="none" w:pos="259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(I) and this clause (J) are referred to as “</w:t>
      </w:r>
      <w:r>
        <w:rPr>
          <w:rFonts w:ascii="Times New Roman" w:cs="Times New Roman" w:eastAsia="Times New Roman" w:hAnsi="Times New Roman"/>
          <w:sz w:val="22"/>
          <w:szCs w:val="22"/>
          <w:b w:val="1"/>
          <w:bCs w:val="1"/>
          <w:color w:val="auto"/>
        </w:rPr>
        <w:t>Disclosable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Interests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Disclosable Interests shall not include any such disclosures with respect to the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course business activities of any broker, dealer, commercial bank, trust company, or other nominee who is a Proposing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00"/>
          </w:cols>
          <w:pgMar w:left="320" w:top="1422" w:right="379" w:bottom="1440" w:gutter="0" w:footer="0" w:header="0"/>
        </w:sectPr>
      </w:pPr>
    </w:p>
    <w:bookmarkStart w:id="41" w:name="page42"/>
    <w:bookmarkEnd w:id="41"/>
    <w:p>
      <w:pPr>
        <w:ind w:right="560"/>
        <w:spacing w:after="0" w:line="271" w:lineRule="auto"/>
        <w:rPr>
          <w:sz w:val="20"/>
          <w:szCs w:val="20"/>
          <w:color w:val="auto"/>
        </w:rPr>
      </w:pPr>
      <w:r>
        <w:rPr>
          <w:rFonts w:ascii="Times New Roman" w:cs="Times New Roman" w:eastAsia="Times New Roman" w:hAnsi="Times New Roman"/>
          <w:sz w:val="22"/>
          <w:szCs w:val="22"/>
          <w:color w:val="auto"/>
        </w:rPr>
        <w:t>solely as a result of being the stockholder directed to prepare and submit the notice required by these Bylaws on behalf of a beneficial owner;</w:t>
      </w:r>
    </w:p>
    <w:p>
      <w:pPr>
        <w:spacing w:after="0" w:line="158" w:lineRule="exact"/>
        <w:rPr>
          <w:sz w:val="20"/>
          <w:szCs w:val="20"/>
          <w:color w:val="auto"/>
        </w:rPr>
      </w:pPr>
    </w:p>
    <w:p>
      <w:pPr>
        <w:jc w:val="both"/>
        <w:ind w:right="60" w:firstLine="1304"/>
        <w:spacing w:after="0" w:line="266" w:lineRule="auto"/>
        <w:tabs>
          <w:tab w:leader="none" w:pos="1944"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Proposing Person, (A) a representation that the stockholder is a holder of record of stock of the Corporation entitled to vote at such meeting and intends to appear in person or by proxy at the meeting to propose such business;</w:t>
      </w:r>
    </w:p>
    <w:p>
      <w:pPr>
        <w:spacing w:after="0" w:line="1" w:lineRule="exact"/>
        <w:rPr>
          <w:rFonts w:ascii="Times New Roman" w:cs="Times New Roman" w:eastAsia="Times New Roman" w:hAnsi="Times New Roman"/>
          <w:sz w:val="21"/>
          <w:szCs w:val="21"/>
          <w:color w:val="auto"/>
        </w:rPr>
      </w:pPr>
    </w:p>
    <w:p>
      <w:pPr>
        <w:ind w:right="140" w:firstLine="8"/>
        <w:spacing w:after="0" w:line="254" w:lineRule="auto"/>
        <w:tabs>
          <w:tab w:leader="none" w:pos="342"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as to whether the Proposing Person intends or is part of a group which intends (1) to deliver a proxy statement and/or form of proxy to holders of at least the percentage of the Corporation’s outstanding capital stock required to approve or adopt the proposal and/or (2) otherwise to solicit proxies or votes from stockholders in support of such proposal; and</w:t>
      </w:r>
    </w:p>
    <w:p>
      <w:pPr>
        <w:spacing w:after="0" w:line="2" w:lineRule="exact"/>
        <w:rPr>
          <w:rFonts w:ascii="Times New Roman" w:cs="Times New Roman" w:eastAsia="Times New Roman" w:hAnsi="Times New Roman"/>
          <w:sz w:val="21"/>
          <w:szCs w:val="21"/>
          <w:color w:val="auto"/>
        </w:rPr>
      </w:pPr>
    </w:p>
    <w:p>
      <w:pPr>
        <w:ind w:firstLine="8"/>
        <w:spacing w:after="0" w:line="248" w:lineRule="auto"/>
        <w:tabs>
          <w:tab w:leader="none" w:pos="34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stockholder, in proposing business in accordance with these Bylaws, shall comply with the Exchange Act, including the Universal Proxy Rules adopted thereunder (as applicable); and</w:t>
      </w:r>
    </w:p>
    <w:p>
      <w:pPr>
        <w:spacing w:after="0" w:line="182" w:lineRule="exact"/>
        <w:rPr>
          <w:rFonts w:ascii="Times New Roman" w:cs="Times New Roman" w:eastAsia="Times New Roman" w:hAnsi="Times New Roman"/>
          <w:sz w:val="22"/>
          <w:szCs w:val="22"/>
          <w:color w:val="auto"/>
        </w:rPr>
      </w:pPr>
    </w:p>
    <w:p>
      <w:pPr>
        <w:ind w:right="20" w:firstLine="1304"/>
        <w:spacing w:after="0" w:line="258" w:lineRule="auto"/>
        <w:tabs>
          <w:tab w:leader="none" w:pos="1932"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direct or indirect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(C) a reasonably detailed description of all agreements, arrangements, and understandings (x) between or among any of the Proposing Persons or</w:t>
      </w:r>
    </w:p>
    <w:p>
      <w:pPr>
        <w:spacing w:after="0" w:line="5" w:lineRule="exact"/>
        <w:rPr>
          <w:rFonts w:ascii="Times New Roman" w:cs="Times New Roman" w:eastAsia="Times New Roman" w:hAnsi="Times New Roman"/>
          <w:sz w:val="21"/>
          <w:szCs w:val="21"/>
          <w:color w:val="auto"/>
        </w:rPr>
      </w:pPr>
    </w:p>
    <w:p>
      <w:pPr>
        <w:ind w:right="380"/>
        <w:spacing w:after="0" w:line="26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or consents in support of the business proposed to be brought before the meeting pursuant to Section 14(a) of the Exchange Act.</w:t>
      </w:r>
    </w:p>
    <w:p>
      <w:pPr>
        <w:spacing w:after="0" w:line="16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For purposes of this Section 5, the term “</w:t>
      </w:r>
      <w:r>
        <w:rPr>
          <w:rFonts w:ascii="Times New Roman" w:cs="Times New Roman" w:eastAsia="Times New Roman" w:hAnsi="Times New Roman"/>
          <w:sz w:val="22"/>
          <w:szCs w:val="22"/>
          <w:b w:val="1"/>
          <w:bCs w:val="1"/>
          <w:color w:val="auto"/>
        </w:rPr>
        <w:t>Proposing Person</w:t>
      </w:r>
      <w:r>
        <w:rPr>
          <w:rFonts w:ascii="Times New Roman" w:cs="Times New Roman" w:eastAsia="Times New Roman" w:hAnsi="Times New Roman"/>
          <w:sz w:val="22"/>
          <w:szCs w:val="22"/>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 (ii)-(vi) of Instruction 3 to Item 4 of Schedule 14A) with such stockholder in such solicitation or associate (within the meaning of Rule 12b-2 under the Exchange Act for purposes of these Bylaws) of such stockholder or beneficial owner, and (d) any other person with whom such stockholder or beneficial owner (or any of their respective associates or other participants in such solicitation) is Acting in Concert (as defined below).</w:t>
      </w:r>
    </w:p>
    <w:p>
      <w:pPr>
        <w:spacing w:after="0" w:line="14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1"/>
          <w:szCs w:val="21"/>
          <w:color w:val="auto"/>
        </w:rPr>
        <w:t>A person shall be deemed to be “</w:t>
      </w:r>
      <w:r>
        <w:rPr>
          <w:rFonts w:ascii="Times New Roman" w:cs="Times New Roman" w:eastAsia="Times New Roman" w:hAnsi="Times New Roman"/>
          <w:sz w:val="21"/>
          <w:szCs w:val="21"/>
          <w:b w:val="1"/>
          <w:bCs w:val="1"/>
          <w:color w:val="auto"/>
        </w:rPr>
        <w:t>Acting in Concert</w:t>
      </w:r>
      <w:r>
        <w:rPr>
          <w:rFonts w:ascii="Times New Roman" w:cs="Times New Roman" w:eastAsia="Times New Roman" w:hAnsi="Times New Roman"/>
          <w:sz w:val="21"/>
          <w:szCs w:val="21"/>
          <w:color w:val="auto"/>
        </w:rPr>
        <w:t>”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(a) each person is conscious of the other person’s conduct or intent and this awareness is an element in their decision-making processes and (b) at least one (1) additional factor suggests that such persons intend to act in concert or in parallel, which such additional factor(s) may include, without limitation, exchanging information (whether publicly or privately), attending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20"/>
          </w:cols>
          <w:pgMar w:left="320" w:top="1422" w:right="359" w:bottom="1440" w:gutter="0" w:footer="0" w:header="0"/>
        </w:sectPr>
      </w:pPr>
    </w:p>
    <w:bookmarkStart w:id="42" w:name="page43"/>
    <w:bookmarkEnd w:id="42"/>
    <w:p>
      <w:pPr>
        <w:ind w:right="440"/>
        <w:spacing w:after="0" w:line="248" w:lineRule="auto"/>
        <w:rPr>
          <w:sz w:val="20"/>
          <w:szCs w:val="20"/>
          <w:color w:val="auto"/>
        </w:rPr>
      </w:pPr>
      <w:r>
        <w:rPr>
          <w:rFonts w:ascii="Times New Roman" w:cs="Times New Roman" w:eastAsia="Times New Roman" w:hAnsi="Times New Roman"/>
          <w:sz w:val="22"/>
          <w:szCs w:val="22"/>
          <w:color w:val="auto"/>
        </w:rPr>
        <w:t>conducting discussions, or making or soliciting invitations to act in concert or in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160" w:lineRule="exact"/>
        <w:rPr>
          <w:sz w:val="20"/>
          <w:szCs w:val="20"/>
          <w:color w:val="auto"/>
        </w:rPr>
      </w:pPr>
    </w:p>
    <w:p>
      <w:pPr>
        <w:ind w:right="80" w:firstLine="656"/>
        <w:spacing w:after="0" w:line="246" w:lineRule="auto"/>
        <w:tabs>
          <w:tab w:leader="none" w:pos="12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business proposed to be brought before an annual meeting shall further update and supplement such notice, if necessary, so that the information provided or required to be provided in such notice pursuant to this Section 5 shall be true and correct as of the record date for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following the later of the record date for the meeting or the date notice of the record date for the meeting is first publicly disclosed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44" w:lineRule="exact"/>
        <w:rPr>
          <w:rFonts w:ascii="Times New Roman" w:cs="Times New Roman" w:eastAsia="Times New Roman" w:hAnsi="Times New Roman"/>
          <w:sz w:val="22"/>
          <w:szCs w:val="22"/>
          <w:color w:val="auto"/>
        </w:rPr>
      </w:pPr>
    </w:p>
    <w:p>
      <w:pPr>
        <w:ind w:right="200" w:firstLine="656"/>
        <w:spacing w:after="0" w:line="250" w:lineRule="auto"/>
        <w:tabs>
          <w:tab w:leader="none" w:pos="12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notice requirements of this Section 5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53" w:lineRule="exact"/>
        <w:rPr>
          <w:rFonts w:ascii="Times New Roman" w:cs="Times New Roman" w:eastAsia="Times New Roman" w:hAnsi="Times New Roman"/>
          <w:sz w:val="22"/>
          <w:szCs w:val="22"/>
          <w:color w:val="auto"/>
        </w:rPr>
      </w:pPr>
    </w:p>
    <w:p>
      <w:pPr>
        <w:ind w:firstLine="656"/>
        <w:spacing w:after="0" w:line="245" w:lineRule="auto"/>
        <w:tabs>
          <w:tab w:leader="none" w:pos="129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any applicable rule or regulation promulgated under the Exchange Act, no business shall be conducted at an annual meeting except in accordance with this Section 5. Except as otherwise provided by law, the chairperson of the meeting shall have the power and duty, if the facts warrant, (i) to determine whether business was properly brought before the meeting in accordance with this Section 5 (including whether the Proposing Person solicited (or is part of a group which solicited) or did not so solicit, as the case may be, proxies or votes in support of such Proposing Person’s proposal in compliance with such Proposing Person’s representation as required by clause (c)(iii)(B) of this Section 5), and (ii) if he or she should so determine that the business was not proposed in compliance with this Section 5, he or she shall so declare to the meeting and any such business not properly brought before the meeting shall not be transacted. Notwithstanding the foregoing provisions of this Section 5, unless otherwise required by law,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these Bylaws, to be considered a qualified representative of the stockholder, a person must be a duly authorized officer, manager, or partner of such stockholder or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22" w:right="339" w:bottom="1440" w:gutter="0" w:footer="0" w:header="0"/>
        </w:sectPr>
      </w:pPr>
    </w:p>
    <w:bookmarkStart w:id="43" w:name="page44"/>
    <w:bookmarkEnd w:id="43"/>
    <w:p>
      <w:pPr>
        <w:jc w:val="both"/>
        <w:ind w:right="120"/>
        <w:spacing w:after="0" w:line="257" w:lineRule="auto"/>
        <w:rPr>
          <w:sz w:val="20"/>
          <w:szCs w:val="20"/>
          <w:color w:val="auto"/>
        </w:rPr>
      </w:pPr>
      <w:r>
        <w:rPr>
          <w:rFonts w:ascii="Times New Roman" w:cs="Times New Roman" w:eastAsia="Times New Roman" w:hAnsi="Times New Roman"/>
          <w:sz w:val="22"/>
          <w:szCs w:val="22"/>
          <w:color w:val="auto"/>
        </w:rPr>
        <w:t>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3" w:lineRule="exact"/>
        <w:rPr>
          <w:sz w:val="20"/>
          <w:szCs w:val="20"/>
          <w:color w:val="auto"/>
        </w:rPr>
      </w:pPr>
    </w:p>
    <w:p>
      <w:pPr>
        <w:ind w:firstLine="656"/>
        <w:spacing w:after="0" w:line="246"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Section 5 with respect to any business proposed to be brought before an annual meeting, each Proposing Person shall comply with all applicable requirements of the Exchange Act with respect to any such business proposals;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references in these Bylaws to the Exchange Act, or the rules and regulations promulgated thereunder, are not intended to and shall not limit the requirements of these Bylaws applicable to proposals or any other business to be considered pursuant to this Section 5 (including paragraphs (a)(iii) and (b) of this Section 5), and compliance with paragraphs (a)(iii) and (b) of this Section 5 shall be the exclusive means for a stockholder to submit other business (other than, as provided in paragraph (e) of this Section 5, business other than nominations brought properly under and in compliance with Rule 14a-8 of the Exchange Act). Nothing in this Section 5 shall be deemed to affect any rights of stockholders to request inclusion of proposals in the Corporation’s proxy statement pursuant to any applicable rules and regulations promulgated under the Exchange Act.</w:t>
      </w:r>
    </w:p>
    <w:p>
      <w:pPr>
        <w:spacing w:after="0" w:line="183" w:lineRule="exact"/>
        <w:rPr>
          <w:rFonts w:ascii="Times New Roman" w:cs="Times New Roman" w:eastAsia="Times New Roman" w:hAnsi="Times New Roman"/>
          <w:sz w:val="22"/>
          <w:szCs w:val="22"/>
          <w:color w:val="auto"/>
        </w:rPr>
      </w:pPr>
    </w:p>
    <w:p>
      <w:pPr>
        <w:jc w:val="both"/>
        <w:ind w:right="40" w:firstLine="656"/>
        <w:spacing w:after="0" w:line="259"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w:t>
      </w:r>
      <w:r>
        <w:rPr>
          <w:rFonts w:ascii="Times New Roman" w:cs="Times New Roman" w:eastAsia="Times New Roman" w:hAnsi="Times New Roman"/>
          <w:sz w:val="22"/>
          <w:szCs w:val="22"/>
          <w:b w:val="1"/>
          <w:bCs w:val="1"/>
          <w:color w:val="auto"/>
        </w:rPr>
        <w:t>public disclosure</w:t>
      </w:r>
      <w:r>
        <w:rPr>
          <w:rFonts w:ascii="Times New Roman" w:cs="Times New Roman" w:eastAsia="Times New Roman" w:hAnsi="Times New Roman"/>
          <w:sz w:val="22"/>
          <w:szCs w:val="22"/>
          <w:color w:val="auto"/>
        </w:rPr>
        <w:t>” shall include disclosure in a press release reported by the Dow Jones News Service, Associated Press, or other national news service or in a document publicly filed by the Corporation with the Securities and Exchange Commission pursuant to Sections 13, 14, or 15(d) of the Exchange Act.</w:t>
      </w:r>
    </w:p>
    <w:p>
      <w:pPr>
        <w:spacing w:after="0" w:line="18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Advance Notice Provisions for Nominations of Directors.</w:t>
      </w:r>
    </w:p>
    <w:p>
      <w:pPr>
        <w:spacing w:after="0" w:line="224" w:lineRule="exact"/>
        <w:rPr>
          <w:sz w:val="20"/>
          <w:szCs w:val="20"/>
          <w:color w:val="auto"/>
        </w:rPr>
      </w:pPr>
    </w:p>
    <w:p>
      <w:pPr>
        <w:ind w:firstLine="656"/>
        <w:spacing w:after="0" w:line="248"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(ii) pursuant to the Corporation’s notice of meeting (or any supplement or amendment thereto), or (iii) by a stockholder who (A) was a stockholder of record of the Corporation both at the time of giving the notice provided for in this Section 6 and at the time of the meeting, (B) is entitled to vote at the meeting, and (C) has complied with this Section 6 as to such nomination.</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qualification:</w:t>
      </w:r>
    </w:p>
    <w:p>
      <w:pPr>
        <w:spacing w:after="0" w:line="219" w:lineRule="exact"/>
        <w:rPr>
          <w:rFonts w:ascii="Times New Roman" w:cs="Times New Roman" w:eastAsia="Times New Roman" w:hAnsi="Times New Roman"/>
          <w:sz w:val="22"/>
          <w:szCs w:val="22"/>
          <w:color w:val="auto"/>
        </w:rPr>
      </w:pPr>
    </w:p>
    <w:p>
      <w:pPr>
        <w:ind w:right="60" w:firstLine="1304"/>
        <w:spacing w:after="0" w:line="252" w:lineRule="auto"/>
        <w:tabs>
          <w:tab w:leader="none" w:pos="193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stockholder to make any nomination of a person or persons for election to the Board at an annual meeting, the stockholder must (A) provide Timely Notice (as defined in Section 5(b) of this Article II) thereof in writing and in proper form to the secretary of the Corporation and (B) provide any updates or supplements to such notice at the times and in the forms required by this Section 6.</w:t>
      </w:r>
    </w:p>
    <w:p>
      <w:pPr>
        <w:spacing w:after="0" w:line="179" w:lineRule="exact"/>
        <w:rPr>
          <w:rFonts w:ascii="Times New Roman" w:cs="Times New Roman" w:eastAsia="Times New Roman" w:hAnsi="Times New Roman"/>
          <w:sz w:val="22"/>
          <w:szCs w:val="22"/>
          <w:color w:val="auto"/>
        </w:rPr>
      </w:pPr>
    </w:p>
    <w:p>
      <w:pPr>
        <w:ind w:right="640" w:firstLine="1304"/>
        <w:spacing w:after="0" w:line="257" w:lineRule="auto"/>
        <w:tabs>
          <w:tab w:leader="none" w:pos="193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election of directors is a matter specified in the notice of a special meeting given by or at the direction of the person calling a special meeting, then for a stockholder to make any nomination of a person or persons for election to the Board at a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00"/>
          </w:cols>
          <w:pgMar w:left="320" w:top="1422" w:right="379" w:bottom="1440" w:gutter="0" w:footer="0" w:header="0"/>
        </w:sectPr>
      </w:pPr>
    </w:p>
    <w:bookmarkStart w:id="44" w:name="page45"/>
    <w:bookmarkEnd w:id="44"/>
    <w:p>
      <w:pPr>
        <w:ind w:right="20"/>
        <w:spacing w:after="0" w:line="257" w:lineRule="auto"/>
        <w:rPr>
          <w:sz w:val="20"/>
          <w:szCs w:val="20"/>
          <w:color w:val="auto"/>
        </w:rPr>
      </w:pPr>
      <w:r>
        <w:rPr>
          <w:rFonts w:ascii="Times New Roman" w:cs="Times New Roman" w:eastAsia="Times New Roman" w:hAnsi="Times New Roman"/>
          <w:sz w:val="22"/>
          <w:szCs w:val="22"/>
          <w:color w:val="auto"/>
        </w:rPr>
        <w:t xml:space="preserve">meeting, the stockholder must (A) provide timely notice thereof in writing and in proper form to the secretary of the Corporation at the principal executive offices of the Corporation and (B) </w:t>
      </w:r>
      <w:r>
        <w:rPr>
          <w:rFonts w:ascii="Times New Roman" w:cs="Times New Roman" w:eastAsia="Times New Roman" w:hAnsi="Times New Roman"/>
          <w:sz w:val="19"/>
          <w:szCs w:val="19"/>
          <w:color w:val="auto"/>
        </w:rPr>
        <w:t>provide any updates or supplements to such notice at the times and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forms required by this Section </w:t>
      </w:r>
      <w:r>
        <w:rPr>
          <w:rFonts w:ascii="Times New Roman" w:cs="Times New Roman" w:eastAsia="Times New Roman" w:hAnsi="Times New Roman"/>
          <w:sz w:val="21"/>
          <w:szCs w:val="21"/>
          <w:color w:val="auto"/>
        </w:rPr>
        <w:t>6. To be timely, a stockholder’s notice for nominations to be made at a special meeting must be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5(h) of this Article II) of the date of such special meeting and of the nominees proposed by the Board to be elected at such meeting was first made.</w:t>
      </w:r>
    </w:p>
    <w:p>
      <w:pPr>
        <w:spacing w:after="0" w:line="178" w:lineRule="exact"/>
        <w:rPr>
          <w:sz w:val="20"/>
          <w:szCs w:val="20"/>
          <w:color w:val="auto"/>
        </w:rPr>
      </w:pPr>
    </w:p>
    <w:p>
      <w:pPr>
        <w:ind w:right="120" w:firstLine="656"/>
        <w:spacing w:after="0" w:line="295" w:lineRule="auto"/>
        <w:tabs>
          <w:tab w:leader="none" w:pos="1293"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3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form for purposes of this Section 6, a stockholder’s notice to the secretary of the Corporation shall</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set forth:</w:t>
      </w:r>
    </w:p>
    <w:p>
      <w:pPr>
        <w:spacing w:after="0" w:line="19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Nominating Person (as defined below), the Stockholder Information (as defined in Section 5(c)</w:t>
      </w:r>
    </w:p>
    <w:p>
      <w:pPr>
        <w:spacing w:after="0" w:line="39" w:lineRule="exact"/>
        <w:rPr>
          <w:rFonts w:ascii="Times New Roman" w:cs="Times New Roman" w:eastAsia="Times New Roman" w:hAnsi="Times New Roman"/>
          <w:sz w:val="21"/>
          <w:szCs w:val="21"/>
          <w:color w:val="auto"/>
        </w:rPr>
      </w:pPr>
    </w:p>
    <w:p>
      <w:pPr>
        <w:ind w:right="460" w:firstLine="8"/>
        <w:spacing w:after="0" w:line="248" w:lineRule="auto"/>
        <w:tabs>
          <w:tab w:leader="none" w:pos="25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Article II, except that for purposes of this Section 6 the term “Nominating Person” shall be substituted for the term “Proposing Person” in all places it appears in Section 5(c)(i) of this Article II);</w:t>
      </w:r>
    </w:p>
    <w:p>
      <w:pPr>
        <w:spacing w:after="0" w:line="18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8"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Nominating Person, any Disclosable Interests (as defined in Section 5(c)(ii) of this Article II, except that for purposes of this Section 6 the term “Nominating Person” shall be substituted for the term “Proposing Person” in all places it appears in Section 5(c)(ii) of this Article II and the disclosure in clause (J) of Section 5(c)(ii) of this Article II shall be made with respect to the election of directors at the meeting);</w:t>
      </w:r>
    </w:p>
    <w:p>
      <w:pPr>
        <w:spacing w:after="0" w:line="179" w:lineRule="exact"/>
        <w:rPr>
          <w:rFonts w:ascii="Times New Roman" w:cs="Times New Roman" w:eastAsia="Times New Roman" w:hAnsi="Times New Roman"/>
          <w:sz w:val="22"/>
          <w:szCs w:val="22"/>
          <w:color w:val="auto"/>
        </w:rPr>
      </w:pPr>
    </w:p>
    <w:p>
      <w:pPr>
        <w:ind w:right="40" w:firstLine="1304"/>
        <w:spacing w:after="0" w:line="256" w:lineRule="auto"/>
        <w:tabs>
          <w:tab w:leader="none" w:pos="1944"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Nominating Person, the information required to be disclosed pursuant to Section 5(c)(iii) of this Article II, except that for purposes of this Section 6, the term “Nominating Person” shall be substituted for the term “Proposing Person” in all places it appears in Section 5(c)(iii) of this Article II and the references to “proposal” or “business” shall be deemed to be reference to “nomination”; and</w:t>
      </w:r>
    </w:p>
    <w:p>
      <w:pPr>
        <w:spacing w:after="0" w:line="176" w:lineRule="exact"/>
        <w:rPr>
          <w:rFonts w:ascii="Times New Roman" w:cs="Times New Roman" w:eastAsia="Times New Roman" w:hAnsi="Times New Roman"/>
          <w:sz w:val="22"/>
          <w:szCs w:val="22"/>
          <w:color w:val="auto"/>
        </w:rPr>
      </w:pPr>
    </w:p>
    <w:p>
      <w:pPr>
        <w:ind w:right="80" w:firstLine="1304"/>
        <w:spacing w:after="0" w:line="260" w:lineRule="auto"/>
        <w:tabs>
          <w:tab w:leader="none" w:pos="1932"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person whom a Nominating Person proposes to nominate for election as a director, (A) all information with respect to such proposed nominee that would be required to be set forth in a stockholder’s notice pursuant to this Section 6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(C) a description of all direct and indirect compensation and other material agreements, arrangements, and understandings during the past three (3) years, and any other material relationships, between or among any Nominating Person, on the one hand, and each proposed nominee, his or her respective associates or any other participants in such solicitation, and any other persons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22" w:right="339" w:bottom="1440" w:gutter="0" w:footer="0" w:header="0"/>
        </w:sectPr>
      </w:pPr>
    </w:p>
    <w:bookmarkStart w:id="45" w:name="page46"/>
    <w:bookmarkEnd w:id="45"/>
    <w:p>
      <w:pPr>
        <w:ind w:right="40"/>
        <w:spacing w:after="0" w:line="248" w:lineRule="auto"/>
        <w:rPr>
          <w:sz w:val="20"/>
          <w:szCs w:val="20"/>
          <w:color w:val="auto"/>
        </w:rPr>
      </w:pPr>
      <w:r>
        <w:rPr>
          <w:rFonts w:ascii="Times New Roman" w:cs="Times New Roman" w:eastAsia="Times New Roman" w:hAnsi="Times New Roman"/>
          <w:sz w:val="22"/>
          <w:szCs w:val="22"/>
          <w:color w:val="auto"/>
        </w:rPr>
        <w:t>whom such proposed nominee (or any of his or her respective associates or other participants in such solicitation) is Acting in Concert,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and (D) a completed and signed questionnaire, representation, and agreement as provided in Section 6(h) below (the disclosures and documents to be made or provided pursuant to the foregoing clauses (A) through (D) are referred to as “</w:t>
      </w:r>
      <w:r>
        <w:rPr>
          <w:rFonts w:ascii="Times New Roman" w:cs="Times New Roman" w:eastAsia="Times New Roman" w:hAnsi="Times New Roman"/>
          <w:sz w:val="22"/>
          <w:szCs w:val="22"/>
          <w:b w:val="1"/>
          <w:bCs w:val="1"/>
          <w:color w:val="auto"/>
        </w:rPr>
        <w:t>Nominee Information</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2"/>
          <w:szCs w:val="22"/>
          <w:color w:val="auto"/>
        </w:rPr>
        <w:t>For purposes of this Section 6, the term “</w:t>
      </w:r>
      <w:r>
        <w:rPr>
          <w:rFonts w:ascii="Times New Roman" w:cs="Times New Roman" w:eastAsia="Times New Roman" w:hAnsi="Times New Roman"/>
          <w:sz w:val="22"/>
          <w:szCs w:val="22"/>
          <w:b w:val="1"/>
          <w:bCs w:val="1"/>
          <w:color w:val="auto"/>
        </w:rPr>
        <w:t>Nominating Person</w:t>
      </w:r>
      <w:r>
        <w:rPr>
          <w:rFonts w:ascii="Times New Roman" w:cs="Times New Roman" w:eastAsia="Times New Roman" w:hAnsi="Times New Roman"/>
          <w:sz w:val="22"/>
          <w:szCs w:val="22"/>
          <w:color w:val="auto"/>
        </w:rPr>
        <w:t>” shall mean (a) the stockholder providing the notice of the nomination proposed to be made at the meeting, (b) the beneficial owner or beneficial owners, if different, on whose behalf the notice of the nomination proposed to be made at the meeting is made, (c) any participant with such stockholder in such solicitation or associate of such stockholder or beneficial owner, and (d) any other person with whom such stockholder or such beneficial owner (or any of their respective associates or other participants in such solicitation) is Acting in Concert.</w:t>
      </w:r>
    </w:p>
    <w:p>
      <w:pPr>
        <w:spacing w:after="0" w:line="139" w:lineRule="exact"/>
        <w:rPr>
          <w:sz w:val="20"/>
          <w:szCs w:val="20"/>
          <w:color w:val="auto"/>
        </w:rPr>
      </w:pPr>
    </w:p>
    <w:p>
      <w:pPr>
        <w:ind w:right="220" w:firstLine="656"/>
        <w:spacing w:after="0" w:line="252" w:lineRule="auto"/>
        <w:tabs>
          <w:tab w:leader="none" w:pos="12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require any proposed nominee to furnish such other information (i) as may reasonably be required by the Corporation to determine the eligibility of such proposed nominee to serve as an independent director of the Corporation or (ii) that could be material to a reasonable stockholder’s understanding of the independence or lack of independence of such proposed nominee.</w:t>
      </w:r>
    </w:p>
    <w:p>
      <w:pPr>
        <w:spacing w:after="0" w:line="179" w:lineRule="exact"/>
        <w:rPr>
          <w:rFonts w:ascii="Times New Roman" w:cs="Times New Roman" w:eastAsia="Times New Roman" w:hAnsi="Times New Roman"/>
          <w:sz w:val="22"/>
          <w:szCs w:val="22"/>
          <w:color w:val="auto"/>
        </w:rPr>
      </w:pPr>
    </w:p>
    <w:p>
      <w:pPr>
        <w:ind w:right="40" w:firstLine="656"/>
        <w:spacing w:after="0" w:line="246"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any nomination proposed to be made at an annual or special meeting shall further update and supplement such notice, if necessary, so that the information provided or required to be provided in such notice pursuant to this Section 6 shall be true and correct as of the record date for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following the later of the record date for the meeting or the date notice of the record date for the meeting is first publicly disclosed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85" w:lineRule="exact"/>
        <w:rPr>
          <w:rFonts w:ascii="Times New Roman" w:cs="Times New Roman" w:eastAsia="Times New Roman" w:hAnsi="Times New Roman"/>
          <w:sz w:val="22"/>
          <w:szCs w:val="22"/>
          <w:color w:val="auto"/>
        </w:rPr>
      </w:pPr>
    </w:p>
    <w:p>
      <w:pPr>
        <w:ind w:firstLine="656"/>
        <w:spacing w:after="0" w:line="250" w:lineRule="auto"/>
        <w:tabs>
          <w:tab w:leader="none" w:pos="12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in any applicable rule or regulation promulgated under the Exchange Act, no person shall be eligible for election as a director of the Corporation unless nominated in accordance with this Section 6. Except as otherwise provided by law, the chairperson of the meeting shall have the power and duty, if the facts warrant, (i) to determine whether a nomination was properly made in accordance with this Section 6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(c)(iii) of this Section 6), and (ii) if he or she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140"/>
          </w:cols>
          <w:pgMar w:left="320" w:top="1422" w:right="439" w:bottom="1440" w:gutter="0" w:footer="0" w:header="0"/>
        </w:sectPr>
      </w:pPr>
    </w:p>
    <w:bookmarkStart w:id="46" w:name="page47"/>
    <w:bookmarkEnd w:id="46"/>
    <w:p>
      <w:pPr>
        <w:ind w:right="160"/>
        <w:spacing w:after="0" w:line="265" w:lineRule="auto"/>
        <w:rPr>
          <w:sz w:val="20"/>
          <w:szCs w:val="20"/>
          <w:color w:val="auto"/>
        </w:rPr>
      </w:pPr>
      <w:r>
        <w:rPr>
          <w:rFonts w:ascii="Times New Roman" w:cs="Times New Roman" w:eastAsia="Times New Roman" w:hAnsi="Times New Roman"/>
          <w:sz w:val="21"/>
          <w:szCs w:val="21"/>
          <w:color w:val="auto"/>
        </w:rPr>
        <w:t>should so determine that any proposed nomination was not made in compliance with this Section 6, he or she shall so declare such determination to the meeting and the defective nomination shall be disregarded. Notwithstanding the foregoing provisions of this Section 6,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w:t>
      </w:r>
    </w:p>
    <w:p>
      <w:pPr>
        <w:spacing w:after="0" w:line="125" w:lineRule="exact"/>
        <w:rPr>
          <w:sz w:val="20"/>
          <w:szCs w:val="20"/>
          <w:color w:val="auto"/>
        </w:rPr>
      </w:pPr>
    </w:p>
    <w:p>
      <w:pPr>
        <w:ind w:firstLine="656"/>
        <w:spacing w:after="0" w:line="245"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eligible to be a nominee for election as a director of the Corporation, the proposed nominee must deliver (in accordance with the time periods prescribed for delivery of notice under this Section 6) to the secretary of the Corporation at the principal executive offices of the Corporation a written questionnaire with respect to the background, qualifications, stock ownership, and independence of such proposed nominee (which questionnaire shall be provided by the secretary of the Corporation upon written request) and a written representation and agreement (in the form provided by the secretary of the Corporation upon written request) that such proposed nominee (i) is not and, if elected as a director, will not, during his or her term, become a party to (A) any agreement, arrangement, or understanding with, and has not given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22"/>
          <w:szCs w:val="22"/>
          <w:b w:val="1"/>
          <w:bCs w:val="1"/>
          <w:color w:val="auto"/>
        </w:rPr>
        <w:t>Voting Commitment</w:t>
      </w:r>
      <w:r>
        <w:rPr>
          <w:rFonts w:ascii="Times New Roman" w:cs="Times New Roman" w:eastAsia="Times New Roman" w:hAnsi="Times New Roman"/>
          <w:sz w:val="22"/>
          <w:szCs w:val="22"/>
          <w:color w:val="auto"/>
        </w:rPr>
        <w:t>”) that has not been disclosed to the Corporation or (B)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(iii) in such proposed nominee’s individual capacity and on behalf of the stockholder (or the beneficial owner, if different) on whose behalf the nomination is made, would be in compliance, if elected to a director of the Corporation, and will comply with applicable publicly disclosed corporate governance, conflict of interest, confidentiality, and stock ownership and trading policies and guidelines of the Corporation, and (iv) consents to be named in any proxy statement of the Corporation as a nominee.</w:t>
      </w:r>
    </w:p>
    <w:p>
      <w:pPr>
        <w:spacing w:after="0" w:line="157" w:lineRule="exact"/>
        <w:rPr>
          <w:rFonts w:ascii="Times New Roman" w:cs="Times New Roman" w:eastAsia="Times New Roman" w:hAnsi="Times New Roman"/>
          <w:sz w:val="22"/>
          <w:szCs w:val="22"/>
          <w:color w:val="auto"/>
        </w:rPr>
      </w:pPr>
    </w:p>
    <w:p>
      <w:pPr>
        <w:ind w:right="140" w:firstLine="656"/>
        <w:spacing w:after="0" w:line="238" w:lineRule="auto"/>
        <w:tabs>
          <w:tab w:leader="none" w:pos="12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Section 6 to the contrary, in the event that the number of directors to be elected to the Board at an annual meeting is increased effective after the time period for which nominations would otherwise be due under Section 6(b) a stockholder’s notice required by this Section 6 shall also be considered timely, but only with respect to nominees for the additional directorships, if it shall be delivered to the secretary at the principal executive offices of the Corporation not later than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such public disclosure is first made by the Corporation.</w:t>
      </w:r>
    </w:p>
    <w:p>
      <w:pPr>
        <w:spacing w:after="0" w:line="154" w:lineRule="exact"/>
        <w:rPr>
          <w:rFonts w:ascii="Times New Roman" w:cs="Times New Roman" w:eastAsia="Times New Roman" w:hAnsi="Times New Roman"/>
          <w:sz w:val="22"/>
          <w:szCs w:val="22"/>
          <w:color w:val="auto"/>
        </w:rPr>
      </w:pPr>
    </w:p>
    <w:p>
      <w:pPr>
        <w:ind w:right="20" w:firstLine="656"/>
        <w:spacing w:after="0" w:line="248" w:lineRule="auto"/>
        <w:tabs>
          <w:tab w:leader="none" w:pos="12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to the requirements of this Section 6 with respect to any nomination proposed to be made at a meeting, each Nominating Person shall comply with all applicable requirements of the Exchange Act with respect to any such nominations;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references in these Bylaws to the Exchange Act, or the rules and regulations promulgated thereunder, are not intended to and shall not limit the requirements of these Bylaws applicable to nominations to be considered pursuant to these Bylaws (including paragraphs (a)(iii) and (b) of this Section 6), and compliance with paragraphs (a)(iii) and (b) of this Section 6 shall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180"/>
          </w:cols>
          <w:pgMar w:left="320" w:top="1422" w:right="399" w:bottom="1440" w:gutter="0" w:footer="0" w:header="0"/>
        </w:sectPr>
      </w:pPr>
    </w:p>
    <w:bookmarkStart w:id="47" w:name="page48"/>
    <w:bookmarkEnd w:id="47"/>
    <w:p>
      <w:pPr>
        <w:ind w:right="100"/>
        <w:spacing w:after="0" w:line="252" w:lineRule="auto"/>
        <w:rPr>
          <w:sz w:val="20"/>
          <w:szCs w:val="20"/>
          <w:color w:val="auto"/>
        </w:rPr>
      </w:pPr>
      <w:r>
        <w:rPr>
          <w:rFonts w:ascii="Times New Roman" w:cs="Times New Roman" w:eastAsia="Times New Roman" w:hAnsi="Times New Roman"/>
          <w:sz w:val="22"/>
          <w:szCs w:val="22"/>
          <w:color w:val="auto"/>
        </w:rPr>
        <w:t>exclusive means for a stockholder to make nominations. Nothing in this Section 6 shall be deemed to affect any rights (i) of stockholders to request inclusion of nominations in the Corporation’s proxy statement pursuant to any applicable rules and regulations promulgated under the Exchange Act or (ii) of the holders of any series of Preferred Stock to elect directors pursuant to any applicable provisions of the Certificate of Incorporation.</w:t>
      </w:r>
    </w:p>
    <w:p>
      <w:pPr>
        <w:spacing w:after="0" w:line="17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Quorum and Adjournment.</w:t>
      </w:r>
    </w:p>
    <w:p>
      <w:pPr>
        <w:spacing w:after="0" w:line="224" w:lineRule="exact"/>
        <w:rPr>
          <w:sz w:val="20"/>
          <w:szCs w:val="20"/>
          <w:color w:val="auto"/>
        </w:rPr>
      </w:pPr>
    </w:p>
    <w:p>
      <w:pPr>
        <w:ind w:firstLine="656"/>
        <w:spacing w:after="0" w:line="247" w:lineRule="auto"/>
        <w:tabs>
          <w:tab w:leader="none" w:pos="12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meeting of the stockholders, the holders of a majority in voting power of the stock issued and outstanding and entitled to vote at the meeting, present in person, present by any means of remote communication authorized by the Board in its sole discretion, or represented by proxy, shall constitute a quorum for all purposes, unless or except to the extent that the presence of a larger number may be required by law, the Certificate of Incorporation, or these Bylaws. Where a separate vote by a class or classes or series is required, a majority of the voting power of the shares of such class or classes or series present in person, present by any means of remote communication authorized by the Board in its sole discretion, or represented by proxy, shall constitute a quorum entitled to take action with respect to that vote on that matter. A quorum, once established at a meeting, shall not be broken by the withdrawal of enough votes to leave less than a quorum.</w:t>
      </w:r>
    </w:p>
    <w:p>
      <w:pPr>
        <w:spacing w:after="0" w:line="185" w:lineRule="exact"/>
        <w:rPr>
          <w:rFonts w:ascii="Times New Roman" w:cs="Times New Roman" w:eastAsia="Times New Roman" w:hAnsi="Times New Roman"/>
          <w:sz w:val="22"/>
          <w:szCs w:val="22"/>
          <w:color w:val="auto"/>
        </w:rPr>
      </w:pPr>
    </w:p>
    <w:p>
      <w:pPr>
        <w:ind w:right="20" w:firstLine="656"/>
        <w:spacing w:after="0" w:line="257" w:lineRule="auto"/>
        <w:tabs>
          <w:tab w:leader="none" w:pos="129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quorum shall not be present or represented at any annual or special meeting of the stockholders, the chairperson of the meeting, or the holders of a majority in voting power of the shares of stock of the Corporation, which are entitled to vote at the meeting and are present in person, present by any means of remote communication authorized by the Board in its sole discretion, or represented by proxy, shall have power to adjourn the meeting from time to time until a quorum is present or represented. When a meeting is adjourned to another time or place, (including an adjournment taken to address a technical failure to convene or continue a meeting using remote communication), notice need not be given of the adjourned meeting if the time and place, if any,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3 of this Article II;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the date of any adjourned meeting is more than thirty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in conformity herewith.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any adjourned meeting, any business may be transacted that might have been transacted at the original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20"/>
          </w:cols>
          <w:pgMar w:left="320" w:top="1422" w:right="359" w:bottom="1440" w:gutter="0" w:footer="0" w:header="0"/>
        </w:sectPr>
      </w:pPr>
    </w:p>
    <w:bookmarkStart w:id="48" w:name="page49"/>
    <w:bookmarkEnd w:id="48"/>
    <w:p>
      <w:pP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8. Voting. </w:t>
      </w:r>
      <w:r>
        <w:rPr>
          <w:rFonts w:ascii="Times New Roman" w:cs="Times New Roman" w:eastAsia="Times New Roman" w:hAnsi="Times New Roman"/>
          <w:sz w:val="22"/>
          <w:szCs w:val="22"/>
          <w:color w:val="auto"/>
        </w:rPr>
        <w:t>The stockholders entitled to vote at any meeting of stockholders shall be determined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Section 9 of this Article II, Section 217 (relating to voting rights of fiduciaries, pledgers, and joint owners of stock) and Section 218 (relating to voting trusts and other voting agreements) of the DGCL. Except as may be otherwise provided in the Certificate of Incorporation or these Bylaws, each stockholder voting shall be entitled to one (1) vote for each share of capital stock of the Corporation held by such stockholder that has voting power upon the matter in question. At all meetings of stockholders for the election of directors at which a quorum is present, a plurality of the votes cast shall be sufficient to elect a director.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entitled to vote on the subject matter and are present in person, present by any means of remote communication authorized by the Board in its sole discretion, or represented by proxy.</w:t>
      </w:r>
    </w:p>
    <w:p>
      <w:pPr>
        <w:spacing w:after="0" w:line="12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color w:val="auto"/>
        </w:rPr>
        <w:t>Record Date</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firstLine="656"/>
        <w:spacing w:after="0" w:line="261" w:lineRule="auto"/>
        <w:tabs>
          <w:tab w:leader="none" w:pos="129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notice of any meeting of stockholders or any adjournment thereof, the Board may, except as otherwise required by law, fix a record date, which record date shall not precede the date on which the resolution fixing the record date is adopted and which record date shall, unless otherwise required by law, not be more than sixty (60) nor less than ten (10) days before the date of any meeting of stockholders.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20" w:lineRule="exact"/>
        <w:rPr>
          <w:rFonts w:ascii="Times New Roman" w:cs="Times New Roman" w:eastAsia="Times New Roman" w:hAnsi="Times New Roman"/>
          <w:sz w:val="21"/>
          <w:szCs w:val="21"/>
          <w:color w:val="auto"/>
        </w:rPr>
      </w:pPr>
    </w:p>
    <w:p>
      <w:pPr>
        <w:ind w:firstLine="656"/>
        <w:spacing w:after="0" w:line="263" w:lineRule="auto"/>
        <w:tabs>
          <w:tab w:leader="none" w:pos="129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shall not be more than sixty (60) days prior to such other action. If no such record date is fixed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adopts a resolution relating thereto.</w:t>
      </w:r>
    </w:p>
    <w:p>
      <w:pPr>
        <w:spacing w:after="0" w:line="113" w:lineRule="exact"/>
        <w:rPr>
          <w:rFonts w:ascii="Times New Roman" w:cs="Times New Roman" w:eastAsia="Times New Roman" w:hAnsi="Times New Roman"/>
          <w:sz w:val="21"/>
          <w:szCs w:val="21"/>
          <w:color w:val="auto"/>
        </w:rPr>
      </w:pPr>
    </w:p>
    <w:p>
      <w:pPr>
        <w:ind w:right="160" w:firstLine="656"/>
        <w:spacing w:after="0" w:line="250" w:lineRule="auto"/>
        <w:tabs>
          <w:tab w:leader="none" w:pos="12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20"/>
          </w:cols>
          <w:pgMar w:left="320" w:top="1418" w:right="359" w:bottom="1440" w:gutter="0" w:footer="0" w:header="0"/>
        </w:sectPr>
      </w:pPr>
    </w:p>
    <w:bookmarkStart w:id="49" w:name="page50"/>
    <w:bookmarkEnd w:id="49"/>
    <w:p>
      <w:pPr>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Section 10. Proxies and Voting. </w:t>
      </w:r>
      <w:r>
        <w:rPr>
          <w:rFonts w:ascii="Times New Roman" w:cs="Times New Roman" w:eastAsia="Times New Roman" w:hAnsi="Times New Roman"/>
          <w:sz w:val="22"/>
          <w:szCs w:val="22"/>
          <w:color w:val="auto"/>
        </w:rPr>
        <w:t>Each stockholder entitled to vote at a meeting of stockholders may authorize another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stockholder may revoke any proxy that is not irrevocable by attending the meeting and voting in person or by delivering to the secretary of the Corporation a revocation of the proxy or a new proxy bearing a later date.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b w:val="1"/>
          <w:bCs w:val="1"/>
          <w:color w:val="auto"/>
        </w:rPr>
        <w:t>Section 11. Conduct of Business</w:t>
      </w:r>
      <w:r>
        <w:rPr>
          <w:rFonts w:ascii="Times New Roman" w:cs="Times New Roman" w:eastAsia="Times New Roman" w:hAnsi="Times New Roman"/>
          <w:sz w:val="21"/>
          <w:szCs w:val="21"/>
          <w:color w:val="auto"/>
        </w:rPr>
        <w:t>. The date and time of the opening and the closing of the polls for each matter upon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stockholders will vote at a meeting shall be announced at the meeting by the chairperson of the meeting. The Board may adopt by resolution such rules and regulations for the conduct of the meeting of stockholders as it shall deem appropriate. Except to the extent inconsistent with such rules and regulations as adopted by the Board, the chairperson of the meeting shall have the right and authority to convene and to adjourn the meeting whether or not a quorum is present,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individuals as the individual presiding over the meeting of stockholders shall determine; (d) restrictions on entry to the meeting after the time fixed for the commencement thereof; and (e) limitations on the time allotted to questions or comments by participants. The chairperson of the meeting, in addition to making any other determinations that may be appropriate to the conduct of the meeting, shall, if the facts warrant, determine and declare to the meeting that a matter or business was not properly brought before the meeting and, if such individual should so determine, such individual shall so declare to the meeting, and any such matter or business not properly brought before the meeting shall not be transacted or considered. Unless and to the extent determined by the Board or the chairperson of the meeting, meetings of stockholders shall not be required to be held in accordance with the rules of parliamentary procedure. The Board may cancel, postpone, or reschedule any previously scheduled meeting of stockholders at any time, before or after the notice for such meeting has been given to the stockholders.</w:t>
      </w:r>
    </w:p>
    <w:p>
      <w:pPr>
        <w:spacing w:after="0" w:line="17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12. List of Stockholders Entitled to Vote. </w:t>
      </w:r>
      <w:r>
        <w:rPr>
          <w:rFonts w:ascii="Times New Roman" w:cs="Times New Roman" w:eastAsia="Times New Roman" w:hAnsi="Times New Roman"/>
          <w:sz w:val="22"/>
          <w:szCs w:val="22"/>
          <w:color w:val="auto"/>
        </w:rPr>
        <w:t>The Corporation shall prepare, no later than the tenth day before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of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day before the meeting date, arranged in alphabetical order, and showing the address of each stockholder and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20"/>
          </w:cols>
          <w:pgMar w:left="320" w:top="1418" w:right="35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21"/>
          <w:szCs w:val="21"/>
          <w:color w:val="auto"/>
        </w:rPr>
        <w:t>registered in the name of each stockholder. Nothing contained in this section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For purposes of these Bylaws, “stock ledger” means 1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 The stock ledger shall be the only evidence as to who are the stockholders entitled by this section to examine the list required by this section or to vote in person or by proxy at any meeting of stockholders.</w:t>
      </w:r>
    </w:p>
    <w:p>
      <w:pPr>
        <w:spacing w:after="0" w:line="1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 Powers. </w:t>
      </w:r>
      <w:r>
        <w:rPr>
          <w:rFonts w:ascii="Times New Roman" w:cs="Times New Roman" w:eastAsia="Times New Roman" w:hAnsi="Times New Roman"/>
          <w:sz w:val="22"/>
          <w:szCs w:val="22"/>
          <w:color w:val="auto"/>
        </w:rPr>
        <w:t>Subject to the provisions of the DGCL and any limitations in the Certificate of Incorporation or these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Bylaws relating to action required to be approved by the stockholders or by the outstanding shares, the business and affairs of the Corporation shall be managed and all corporate powers shall be exercised by or under the direction of the Board.</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2. Number of Directors. </w:t>
      </w:r>
      <w:r>
        <w:rPr>
          <w:rFonts w:ascii="Times New Roman" w:cs="Times New Roman" w:eastAsia="Times New Roman" w:hAnsi="Times New Roman"/>
          <w:sz w:val="22"/>
          <w:szCs w:val="22"/>
          <w:color w:val="auto"/>
        </w:rPr>
        <w:t>The number of directors which shall constitute the whole Board shall be eight (8),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may be changed exclusively by resolution of the Board, acting by the vote of not less than a majority of the directors then in office. No decrease in the number of directors constituting the Board shall shorten the term of any incumbent director.</w:t>
      </w:r>
    </w:p>
    <w:p>
      <w:pPr>
        <w:spacing w:after="0" w:line="16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Section 3. Election, Qualification, and Term of Office of Directors. </w:t>
      </w:r>
      <w:r>
        <w:rPr>
          <w:rFonts w:ascii="Times New Roman" w:cs="Times New Roman" w:eastAsia="Times New Roman" w:hAnsi="Times New Roman"/>
          <w:sz w:val="21"/>
          <w:szCs w:val="21"/>
          <w:color w:val="auto"/>
        </w:rPr>
        <w:t>Except as provided in Section 4 of this Article III,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unless otherwise provided in the Certificate of Incorporation, each director shall be elected at each annual meeting of stockholders to hold office until the next annual meeting and until such director’s successor is duly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6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Resignations and Vacancies.</w:t>
      </w:r>
    </w:p>
    <w:p>
      <w:pPr>
        <w:spacing w:after="0" w:line="224" w:lineRule="exact"/>
        <w:rPr>
          <w:sz w:val="20"/>
          <w:szCs w:val="20"/>
          <w:color w:val="auto"/>
        </w:rPr>
      </w:pPr>
    </w:p>
    <w:p>
      <w:pPr>
        <w:ind w:right="40" w:firstLine="656"/>
        <w:spacing w:after="0" w:line="250" w:lineRule="auto"/>
        <w:tabs>
          <w:tab w:leader="none" w:pos="129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may resign at any time by giving notice in writing or by electronic transmission to the chairperson of the board, the president, or the secretary of the Corporation. Such resignation shall take effect at the time specified therein or upon the happening of an event or events specified therein, or if the time is not specified and the resignation is not made contingent upon the happening of an event or events, upon receipt thereof; and, unless otherwise specified therein, the acceptance of such resignation shall not be necessary to make it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22" w:right="339" w:bottom="1440" w:gutter="0" w:footer="0" w:header="0"/>
        </w:sectPr>
      </w:pPr>
    </w:p>
    <w:bookmarkStart w:id="51" w:name="page52"/>
    <w:bookmarkEnd w:id="51"/>
    <w:p>
      <w:pPr>
        <w:ind w:right="40" w:firstLine="656"/>
        <w:spacing w:after="0" w:line="248"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Certificate of Incorporation (i) vacancies resulting from death, resignation, disqualification, removal, or other causes and (ii) newly created directorships resulting from any increase in the authorized number of directors shall be filled by the affirmative vote of a majority of the remaining directors then in office, even though less than a quorum of the Board, or by a sole remaining director. Any director elected in accordance with the preceding sentence shall hold office for the remainder of the full term in which the vacancy occurred or new directorship was created and until such director’s successor is duly elected and qualified or until such director’s earlier death, resignation, or removal.</w:t>
      </w:r>
    </w:p>
    <w:p>
      <w:pPr>
        <w:spacing w:after="0" w:line="186" w:lineRule="exact"/>
        <w:rPr>
          <w:rFonts w:ascii="Times New Roman" w:cs="Times New Roman" w:eastAsia="Times New Roman" w:hAnsi="Times New Roman"/>
          <w:sz w:val="22"/>
          <w:szCs w:val="22"/>
          <w:color w:val="auto"/>
        </w:rPr>
      </w:pPr>
    </w:p>
    <w:p>
      <w:pPr>
        <w:ind w:right="80" w:firstLine="656"/>
        <w:spacing w:after="0" w:line="247"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 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Section 5. Place of Meetings; Meetings by Telephone. </w:t>
      </w:r>
      <w:r>
        <w:rPr>
          <w:rFonts w:ascii="Times New Roman" w:cs="Times New Roman" w:eastAsia="Times New Roman" w:hAnsi="Times New Roman"/>
          <w:sz w:val="21"/>
          <w:szCs w:val="21"/>
          <w:color w:val="auto"/>
        </w:rPr>
        <w:t>The Board may hold meetings, both regular and special, either within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outside of the state of Delaware. 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Section 5 shall constitute presence in person at the meeting.</w:t>
      </w:r>
    </w:p>
    <w:p>
      <w:pPr>
        <w:spacing w:after="0" w:line="160"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6. Regular Meetings. </w:t>
      </w:r>
      <w:r>
        <w:rPr>
          <w:rFonts w:ascii="Times New Roman" w:cs="Times New Roman" w:eastAsia="Times New Roman" w:hAnsi="Times New Roman"/>
          <w:sz w:val="22"/>
          <w:szCs w:val="22"/>
          <w:color w:val="auto"/>
        </w:rPr>
        <w:t>Regular meetings of the Board may be held without notice at such time and at such place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from time to time be determined by the Board.</w:t>
      </w:r>
    </w:p>
    <w:p>
      <w:pPr>
        <w:spacing w:after="0" w:line="14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Section 7. Special Meetings; Notice. </w:t>
      </w:r>
      <w:r>
        <w:rPr>
          <w:rFonts w:ascii="Times New Roman" w:cs="Times New Roman" w:eastAsia="Times New Roman" w:hAnsi="Times New Roman"/>
          <w:sz w:val="21"/>
          <w:szCs w:val="21"/>
          <w:color w:val="auto"/>
        </w:rPr>
        <w:t>Special meetings of the Board may be called by the chairperson of the board or the chief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officer on two (2) days’ notice to each director if provided either by mail or overnight courier, or upon twenty-four (24) hours advance notice if provided either personally, by telephone, or email. Special meetings of the Board shall be called by the chairperson of the board or the chief executive officer in like manner and on like notice on the written request of two (2) directors unless the Board consists of only one (1) director, in which case special meetings shall be called by the chairperson of the board or the chief executive officer in like manner and on like notice on the written request of the sole director. The notice need not specify the purpose or place of the meeting, if the meeting is to be held at the principal executive office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20"/>
          </w:cols>
          <w:pgMar w:left="320" w:top="1422" w:right="359" w:bottom="1440" w:gutter="0" w:footer="0" w:header="0"/>
        </w:sectPr>
      </w:pPr>
    </w:p>
    <w:bookmarkStart w:id="52" w:name="page53"/>
    <w:bookmarkEnd w:id="52"/>
    <w:p>
      <w:pPr>
        <w:ind w:right="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8. Quorum. </w:t>
      </w:r>
      <w:r>
        <w:rPr>
          <w:rFonts w:ascii="Times New Roman" w:cs="Times New Roman" w:eastAsia="Times New Roman" w:hAnsi="Times New Roman"/>
          <w:sz w:val="22"/>
          <w:szCs w:val="22"/>
          <w:color w:val="auto"/>
        </w:rPr>
        <w:t>At all meetings of the Board, a majority of the authorized number of directors shall constitute a quorum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transaction of business and the act of a majority of the directors present at any meeting at which there is a quorum shall be the act of the Board, except as may be otherwise specifically provided by statute or by the Certificate of Incorporation.</w:t>
      </w:r>
    </w:p>
    <w:p>
      <w:pPr>
        <w:spacing w:after="0" w:line="1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9. Board Action by Written Consent Without a Meeting. </w:t>
      </w:r>
      <w:r>
        <w:rPr>
          <w:rFonts w:ascii="Times New Roman" w:cs="Times New Roman" w:eastAsia="Times New Roman" w:hAnsi="Times New Roman"/>
          <w:sz w:val="22"/>
          <w:szCs w:val="22"/>
          <w:color w:val="auto"/>
        </w:rPr>
        <w:t>Unless otherwise restricted by the Certificate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10. Fees and Compensation of Directors. </w:t>
      </w:r>
      <w:r>
        <w:rPr>
          <w:rFonts w:ascii="Times New Roman" w:cs="Times New Roman" w:eastAsia="Times New Roman" w:hAnsi="Times New Roman"/>
          <w:sz w:val="22"/>
          <w:szCs w:val="22"/>
          <w:color w:val="auto"/>
        </w:rPr>
        <w:t>Unless otherwise restricted by the Certificate of Incorporation or these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Bylaws, the Board shall have the authority to fix stated salaries for directors for their service in such capacity and to provide for payment of a fixed sum and expenses of attendance, if any, for attendance at each regular or special meeting of the Board. The Board shall also have the authority to provide for payment of a fixed sum and expenses of attendance, if any, payable to members of committees for attending committee meetings. No such compensation shall preclude any director from serving the Corporation in any other capacity and receiving compensation therefor.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Section 11. Removal of Directors. </w:t>
      </w:r>
      <w:r>
        <w:rPr>
          <w:rFonts w:ascii="Times New Roman" w:cs="Times New Roman" w:eastAsia="Times New Roman" w:hAnsi="Times New Roman"/>
          <w:sz w:val="22"/>
          <w:szCs w:val="22"/>
          <w:color w:val="auto"/>
        </w:rPr>
        <w:t>Unless otherwise restricted by statute, by the Certificate of Incorporation, or by these Bylaws,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director or the entire Board may be removed, with or without cause, by the holders of a majority of the shares then entitled to vote at an election of directors. No reduction of the authorized number of directors shall have the effect of removing any director prior to the expiration of such director’s term of office.</w:t>
      </w:r>
    </w:p>
    <w:p>
      <w:pPr>
        <w:spacing w:after="0" w:line="16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12. Waivers. </w:t>
      </w:r>
      <w:r>
        <w:rPr>
          <w:rFonts w:ascii="Times New Roman" w:cs="Times New Roman" w:eastAsia="Times New Roman" w:hAnsi="Times New Roman"/>
          <w:sz w:val="22"/>
          <w:szCs w:val="22"/>
          <w:color w:val="auto"/>
        </w:rPr>
        <w:t>A written waiver of any notice, signed by a director entitled to notice, or waiver by electronic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shall constitute a waiver of notice except attendance for the sole purpose of objecting, at the beginning of the meeting, to the transaction of any business because the meeting is not lawfully called or convened.</w:t>
      </w:r>
    </w:p>
    <w:p>
      <w:pPr>
        <w:spacing w:after="0" w:line="18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b w:val="1"/>
          <w:bCs w:val="1"/>
          <w:color w:val="auto"/>
        </w:rPr>
        <w:t>Section 13. Approval of Loans to Officers</w:t>
      </w:r>
      <w:r>
        <w:rPr>
          <w:rFonts w:ascii="Times New Roman" w:cs="Times New Roman" w:eastAsia="Times New Roman" w:hAnsi="Times New Roman"/>
          <w:sz w:val="22"/>
          <w:szCs w:val="22"/>
          <w:color w:val="auto"/>
        </w:rPr>
        <w:t>. The Corporation may lend money to, or guarantee any obligation of,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shall approve, including, without limitation, a pledge of shares of stock of the Corporation. Nothing in this Section 13 contained shall be deemed to deny, limit or restrict the powers of guaranty or warranty of the 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18" w:right="339" w:bottom="1440" w:gutter="0" w:footer="0" w:header="0"/>
        </w:sectPr>
      </w:pPr>
    </w:p>
    <w:bookmarkStart w:id="53" w:name="page54"/>
    <w:bookmarkEnd w:id="53"/>
    <w:p>
      <w:pPr>
        <w:ind w:right="100"/>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14. Chairperson of the Board of Directors. </w:t>
      </w:r>
      <w:r>
        <w:rPr>
          <w:rFonts w:ascii="Times New Roman" w:cs="Times New Roman" w:eastAsia="Times New Roman" w:hAnsi="Times New Roman"/>
          <w:sz w:val="22"/>
          <w:szCs w:val="22"/>
          <w:color w:val="auto"/>
        </w:rPr>
        <w:t>The Corporation may also have, at the discretion of the Board,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chairperson of the board of directors who shall be considered an officer of the Corporation. The chairperson of the board shall, if present, preside at meetings of the Board and exercise and perform such other powers and duties as may from time to time be assigned to him by the Board or as may be prescribed by these Bylaws.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 OF DIRECTORS</w:t>
      </w:r>
    </w:p>
    <w:p>
      <w:pPr>
        <w:spacing w:after="0" w:line="22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Section 1. Committees of Directors. </w:t>
      </w:r>
      <w:r>
        <w:rPr>
          <w:rFonts w:ascii="Times New Roman" w:cs="Times New Roman" w:eastAsia="Times New Roman" w:hAnsi="Times New Roman"/>
          <w:sz w:val="21"/>
          <w:szCs w:val="21"/>
          <w:color w:val="auto"/>
        </w:rPr>
        <w:t>The Board may, by resolution passed by a majority of the Board, designate one (1)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more committees, each committee to consist of one (1) or more of the directors of the Corporation. The Board may designate one</w:t>
      </w:r>
    </w:p>
    <w:p>
      <w:pPr>
        <w:spacing w:after="0" w:line="2" w:lineRule="exact"/>
        <w:rPr>
          <w:sz w:val="20"/>
          <w:szCs w:val="20"/>
          <w:color w:val="auto"/>
        </w:rPr>
      </w:pPr>
    </w:p>
    <w:p>
      <w:pPr>
        <w:ind w:firstLine="8"/>
        <w:spacing w:after="0" w:line="245" w:lineRule="auto"/>
        <w:tabs>
          <w:tab w:leader="none" w:pos="30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expressly required by the DGCL to be submitted to stockholders for approval or (b) adopt, amend, or repeal any bylaw of the Corporation.</w:t>
      </w:r>
    </w:p>
    <w:p>
      <w:pPr>
        <w:spacing w:after="0" w:line="186"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2. Committee Minutes. </w:t>
      </w:r>
      <w:r>
        <w:rPr>
          <w:rFonts w:ascii="Times New Roman" w:cs="Times New Roman" w:eastAsia="Times New Roman" w:hAnsi="Times New Roman"/>
          <w:sz w:val="22"/>
          <w:szCs w:val="22"/>
          <w:color w:val="auto"/>
        </w:rPr>
        <w:t>Each committee shall keep regular minutes of its meetings and report the same to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required.</w:t>
      </w:r>
    </w:p>
    <w:p>
      <w:pPr>
        <w:spacing w:after="0" w:line="14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Section 3. Meetings and Action of Committees. </w:t>
      </w:r>
      <w:r>
        <w:rPr>
          <w:rFonts w:ascii="Times New Roman" w:cs="Times New Roman" w:eastAsia="Times New Roman" w:hAnsi="Times New Roman"/>
          <w:sz w:val="21"/>
          <w:szCs w:val="21"/>
          <w:color w:val="auto"/>
        </w:rPr>
        <w:t>Meetings and actions of committees shall be governed by, and held and taken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accordance with, the provisions of: Section 5 of Article III (Place of Meetings; Meetings by Telephone), Section 6 of Article</w:t>
      </w:r>
    </w:p>
    <w:p>
      <w:pPr>
        <w:spacing w:after="0" w:line="2" w:lineRule="exact"/>
        <w:rPr>
          <w:sz w:val="20"/>
          <w:szCs w:val="20"/>
          <w:color w:val="auto"/>
        </w:rPr>
      </w:pPr>
    </w:p>
    <w:p>
      <w:pPr>
        <w:ind w:right="20" w:firstLine="8"/>
        <w:spacing w:after="0" w:line="254" w:lineRule="auto"/>
        <w:tabs>
          <w:tab w:leader="none" w:pos="27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(Regular Meetings), Section 7 of Article III (Special Meetings; Notice), Section 8 of Article III (Quorum), Section 9 of Article III (Board Action by Written Consent Without a Meeting), and Section 12 of Article III (Waivers), with such changes in the context of those Bylaws as are necessary to substitute the committee and its members for the Board and its members. However,</w:t>
      </w:r>
    </w:p>
    <w:p>
      <w:pPr>
        <w:spacing w:after="0" w:line="2" w:lineRule="exact"/>
        <w:rPr>
          <w:rFonts w:ascii="Times New Roman" w:cs="Times New Roman" w:eastAsia="Times New Roman" w:hAnsi="Times New Roman"/>
          <w:sz w:val="21"/>
          <w:szCs w:val="21"/>
          <w:color w:val="auto"/>
        </w:rPr>
      </w:pPr>
    </w:p>
    <w:p>
      <w:pPr>
        <w:ind w:right="16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time of regular meetings of committees may be determined either by resolution of the Board or by resolution of the committee, (b) special meetings of committees may also be called by resolution of the Board, and (c) 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17</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18" w:right="339" w:bottom="1440" w:gutter="0" w:footer="0" w:header="0"/>
        </w:sectPr>
      </w:pPr>
    </w:p>
    <w:bookmarkStart w:id="54" w:name="page55"/>
    <w:bookmarkEnd w:id="54"/>
    <w:p>
      <w:pPr>
        <w:ind w:right="6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Section 1. Officers. </w:t>
      </w:r>
      <w:r>
        <w:rPr>
          <w:rFonts w:ascii="Times New Roman" w:cs="Times New Roman" w:eastAsia="Times New Roman" w:hAnsi="Times New Roman"/>
          <w:sz w:val="22"/>
          <w:szCs w:val="22"/>
          <w:color w:val="auto"/>
        </w:rPr>
        <w:t>The officers of the Corporation shall be a chief executive officer, a president, a chief financial officer,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secretary. The Corporation may also have, at the discretion of the Board, a chairperson of the board, one (1) or more vice presidents, one (1) or more assistant secretaries, one (1) or more assistant treasurers, and any such other officers as may be appointed in accordance with the provisions of these Bylaws. Any number of offices may be held by the same person, unless the Certificate of Incorporation or these Bylaws otherwise provide.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2. Appointment of Officers. </w:t>
      </w:r>
      <w:r>
        <w:rPr>
          <w:rFonts w:ascii="Times New Roman" w:cs="Times New Roman" w:eastAsia="Times New Roman" w:hAnsi="Times New Roman"/>
          <w:sz w:val="22"/>
          <w:szCs w:val="22"/>
          <w:color w:val="auto"/>
        </w:rPr>
        <w:t>The officers of the Corporation, except such officers as may be appointed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provisions of Section 3 of this Article V, shall be appointed by the Board, subject to the rights, if any, of an officer under any contract of employment.</w:t>
      </w:r>
    </w:p>
    <w:p>
      <w:pPr>
        <w:spacing w:after="0" w:line="16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Section 3. Subordinate Officers. </w:t>
      </w:r>
      <w:r>
        <w:rPr>
          <w:rFonts w:ascii="Times New Roman" w:cs="Times New Roman" w:eastAsia="Times New Roman" w:hAnsi="Times New Roman"/>
          <w:sz w:val="21"/>
          <w:szCs w:val="21"/>
          <w:color w:val="auto"/>
        </w:rPr>
        <w:t>The Board may appoint, or empower the chief executive officer or the president, to appoint,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such other officers and agents as the business of the Corporation may require, each of whom shall hold office for such period, have such authority, and perform such duties as are provided in these Bylaws or as the Board may from time to time determine.</w:t>
      </w:r>
    </w:p>
    <w:p>
      <w:pPr>
        <w:spacing w:after="0" w:line="14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Removal and Resignation of Officers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ind w:right="200" w:firstLine="656"/>
        <w:spacing w:after="0" w:line="252"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if any, of an officer under any contract of employment, any officer may be removed, either with or without cause, by an affirmative vote of the majority of the Board then in office at any regular or special meeting of the Board or, except in the case of an officer chosen by the Board, by any officer upon whom such power of removal may be conferred by the Board.</w:t>
      </w:r>
    </w:p>
    <w:p>
      <w:pPr>
        <w:spacing w:after="0" w:line="192" w:lineRule="exact"/>
        <w:rPr>
          <w:rFonts w:ascii="Times New Roman" w:cs="Times New Roman" w:eastAsia="Times New Roman" w:hAnsi="Times New Roman"/>
          <w:sz w:val="22"/>
          <w:szCs w:val="22"/>
          <w:color w:val="auto"/>
        </w:rPr>
      </w:pPr>
    </w:p>
    <w:p>
      <w:pPr>
        <w:ind w:right="100" w:firstLine="656"/>
        <w:spacing w:after="0" w:line="252" w:lineRule="auto"/>
        <w:tabs>
          <w:tab w:leader="none" w:pos="129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22"/>
          <w:szCs w:val="22"/>
          <w:b w:val="1"/>
          <w:bCs w:val="1"/>
          <w:color w:val="auto"/>
        </w:rPr>
        <w:t>Section 5. Vacancies in Offices</w:t>
      </w:r>
      <w:r>
        <w:rPr>
          <w:rFonts w:ascii="Times New Roman" w:cs="Times New Roman" w:eastAsia="Times New Roman" w:hAnsi="Times New Roman"/>
          <w:sz w:val="22"/>
          <w:szCs w:val="22"/>
          <w:color w:val="auto"/>
        </w:rPr>
        <w:t>. Any vacancy occurring in any office of the Corporation shall be filled by the Board or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Section 3 of this Article V.</w:t>
      </w:r>
    </w:p>
    <w:p>
      <w:pPr>
        <w:spacing w:after="0" w:line="12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Section 6. Chief Executive Officer. </w:t>
      </w:r>
      <w:r>
        <w:rPr>
          <w:rFonts w:ascii="Times New Roman" w:cs="Times New Roman" w:eastAsia="Times New Roman" w:hAnsi="Times New Roman"/>
          <w:sz w:val="21"/>
          <w:szCs w:val="21"/>
          <w:color w:val="auto"/>
        </w:rPr>
        <w:t>Subject to such supervisory powers, if any, as may be given by the Board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chairperson of the board, if any, the chief executive officer of the Corporation shall, subject to the control of the Board, have general supervision, direction, and control of the business, property, affairs, and the officers of the Corporation. He or she shall preside at all meetings of the stockholders and, in the absence or non-existence of a chairperson of the board, at all meetings of the Board and shall have the general powers and duties of management usually vested in the office of chief executive officer of a corporation and shall have such other powers and duties as may be prescribed by the Board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160"/>
          </w:cols>
          <w:pgMar w:left="320" w:top="1418" w:right="419" w:bottom="1440" w:gutter="0" w:footer="0" w:header="0"/>
        </w:sectPr>
      </w:pPr>
    </w:p>
    <w:bookmarkStart w:id="55" w:name="page56"/>
    <w:bookmarkEnd w:id="55"/>
    <w:p>
      <w:pPr>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Section 7. President. </w:t>
      </w:r>
      <w:r>
        <w:rPr>
          <w:rFonts w:ascii="Times New Roman" w:cs="Times New Roman" w:eastAsia="Times New Roman" w:hAnsi="Times New Roman"/>
          <w:sz w:val="22"/>
          <w:szCs w:val="22"/>
          <w:color w:val="auto"/>
        </w:rPr>
        <w:t>Subject to such supervisory powers, if any, as may be given by the Board to the chairperson of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or the chief executive officer, the president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or these Bylaws.</w:t>
      </w:r>
    </w:p>
    <w:p>
      <w:pPr>
        <w:spacing w:after="0" w:line="13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Chief Financial Officer.</w:t>
      </w:r>
    </w:p>
    <w:p>
      <w:pPr>
        <w:spacing w:after="0" w:line="210" w:lineRule="exact"/>
        <w:rPr>
          <w:sz w:val="20"/>
          <w:szCs w:val="20"/>
          <w:color w:val="auto"/>
        </w:rPr>
      </w:pPr>
    </w:p>
    <w:p>
      <w:pPr>
        <w:ind w:right="80" w:firstLine="656"/>
        <w:spacing w:after="0" w:line="250"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set forth in a resolution of the Board, the chief financial officer shall be the treasurer of the Corporation. 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53" w:lineRule="exact"/>
        <w:rPr>
          <w:rFonts w:ascii="Times New Roman" w:cs="Times New Roman" w:eastAsia="Times New Roman" w:hAnsi="Times New Roman"/>
          <w:sz w:val="22"/>
          <w:szCs w:val="22"/>
          <w:color w:val="auto"/>
        </w:rPr>
      </w:pPr>
    </w:p>
    <w:p>
      <w:pPr>
        <w:ind w:right="180" w:firstLine="656"/>
        <w:spacing w:after="0" w:line="250"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financial officer shall deposit all moneys and other valuables in the name and to the credit of the Corporation with such depositories as may be designated by the Board. He or she shall disburse the funds of the Corporation as may be ordered by the Board, shall render to the president, the chief executive officer, or the directors, upon request, an account of all his or her transactions as chief financial officer and of the financial condition of the Corporation, and shall have other powers and perform such other duties as may be prescribed by the Board or these Bylaws.</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Section 9. Vice President. </w:t>
      </w:r>
      <w:r>
        <w:rPr>
          <w:rFonts w:ascii="Times New Roman" w:cs="Times New Roman" w:eastAsia="Times New Roman" w:hAnsi="Times New Roman"/>
          <w:sz w:val="22"/>
          <w:szCs w:val="22"/>
          <w:color w:val="auto"/>
        </w:rPr>
        <w:t>In the absence of the chief executive officer and president or in the event of the chief executive’s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president’s inability or refusal to act, the vice presidents, if any, in order of their rank as fixed by the Board or, if not ranked, a vice president designated by the Board, or in the absences of any designation, then in order of their election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these Bylaws, the president or the chairperson of the board.</w:t>
      </w:r>
    </w:p>
    <w:p>
      <w:pPr>
        <w:spacing w:after="0" w:line="18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b w:val="1"/>
          <w:bCs w:val="1"/>
          <w:color w:val="auto"/>
        </w:rPr>
        <w:t>Section 10.</w:t>
      </w:r>
      <w:r>
        <w:rPr>
          <w:sz w:val="20"/>
          <w:szCs w:val="20"/>
          <w:color w:val="auto"/>
        </w:rPr>
        <w:tab/>
      </w:r>
      <w:r>
        <w:rPr>
          <w:rFonts w:ascii="Times New Roman" w:cs="Times New Roman" w:eastAsia="Times New Roman" w:hAnsi="Times New Roman"/>
          <w:sz w:val="21"/>
          <w:szCs w:val="21"/>
          <w:b w:val="1"/>
          <w:bCs w:val="1"/>
          <w:color w:val="auto"/>
        </w:rPr>
        <w:t>Secretary.</w:t>
      </w:r>
    </w:p>
    <w:p>
      <w:pPr>
        <w:spacing w:after="0" w:line="224" w:lineRule="exact"/>
        <w:rPr>
          <w:sz w:val="20"/>
          <w:szCs w:val="20"/>
          <w:color w:val="auto"/>
        </w:rPr>
      </w:pPr>
    </w:p>
    <w:p>
      <w:pPr>
        <w:ind w:right="360" w:firstLine="656"/>
        <w:spacing w:after="0" w:line="268" w:lineRule="auto"/>
        <w:tabs>
          <w:tab w:leader="none" w:pos="137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shall keep or cause to be kept, at the principal executive office of the Corporation or such other place as the Board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63" w:lineRule="exact"/>
        <w:rPr>
          <w:rFonts w:ascii="Times New Roman" w:cs="Times New Roman" w:eastAsia="Times New Roman" w:hAnsi="Times New Roman"/>
          <w:sz w:val="21"/>
          <w:szCs w:val="21"/>
          <w:color w:val="auto"/>
        </w:rPr>
      </w:pPr>
    </w:p>
    <w:p>
      <w:pPr>
        <w:ind w:right="240" w:firstLine="656"/>
        <w:spacing w:after="0" w:line="256" w:lineRule="auto"/>
        <w:tabs>
          <w:tab w:leader="none" w:pos="137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secretary shall keep, or cause to be kept, at the principal executive office of the Corporation or at the office of the Corporation’s transfer agent or registrar, as determined by resolution of the Board, a share register, or a duplicate share register, showing the names of all stockholders and their addresses, the number and classes of shares held by each, the number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19</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18" w:right="339" w:bottom="1440" w:gutter="0" w:footer="0" w:header="0"/>
        </w:sectPr>
      </w:pPr>
    </w:p>
    <w:bookmarkStart w:id="56" w:name="page57"/>
    <w:bookmarkEnd w:id="56"/>
    <w:p>
      <w:pPr>
        <w:ind w:right="960"/>
        <w:spacing w:after="0" w:line="271" w:lineRule="auto"/>
        <w:rPr>
          <w:sz w:val="20"/>
          <w:szCs w:val="20"/>
          <w:color w:val="auto"/>
        </w:rPr>
      </w:pPr>
      <w:r>
        <w:rPr>
          <w:rFonts w:ascii="Times New Roman" w:cs="Times New Roman" w:eastAsia="Times New Roman" w:hAnsi="Times New Roman"/>
          <w:sz w:val="22"/>
          <w:szCs w:val="22"/>
          <w:color w:val="auto"/>
        </w:rPr>
        <w:t>date of certificates evidencing such shares, and the number and date of cancellation of every certificate surrendered for cancellation.</w:t>
      </w:r>
    </w:p>
    <w:p>
      <w:pPr>
        <w:spacing w:after="0" w:line="158" w:lineRule="exact"/>
        <w:rPr>
          <w:sz w:val="20"/>
          <w:szCs w:val="20"/>
          <w:color w:val="auto"/>
        </w:rPr>
      </w:pPr>
    </w:p>
    <w:p>
      <w:pPr>
        <w:ind w:right="20" w:firstLine="656"/>
        <w:spacing w:after="0" w:line="275" w:lineRule="auto"/>
        <w:tabs>
          <w:tab w:leader="none" w:pos="137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secretary shall give, or cause to be given, notice of all meetings of the stockholders and of the Board required to be given by law or by these Bylaws. He or she shall keep the seal of the Corporation, if one be adopted, in safe custody and shall have such other powers and perform such other duties as may be prescribed by the Board or by these Bylaws.</w:t>
      </w:r>
    </w:p>
    <w:p>
      <w:pPr>
        <w:spacing w:after="0" w:line="15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1"/>
          <w:szCs w:val="21"/>
          <w:b w:val="1"/>
          <w:bCs w:val="1"/>
          <w:color w:val="auto"/>
        </w:rPr>
        <w:t>Section 11. Representation of Shares of Other Corporations</w:t>
      </w:r>
      <w:r>
        <w:rPr>
          <w:rFonts w:ascii="Times New Roman" w:cs="Times New Roman" w:eastAsia="Times New Roman" w:hAnsi="Times New Roman"/>
          <w:sz w:val="21"/>
          <w:szCs w:val="21"/>
          <w:color w:val="auto"/>
        </w:rPr>
        <w:t>. The chairperson of the board, the chief executive officer,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president, any vice president, the chief financial officer, the secretary or assistant secretary of this Corporation, or any other person authorized by the Board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16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Section 12. Authority and Duties of Officers. </w:t>
      </w:r>
      <w:r>
        <w:rPr>
          <w:rFonts w:ascii="Times New Roman" w:cs="Times New Roman" w:eastAsia="Times New Roman" w:hAnsi="Times New Roman"/>
          <w:sz w:val="22"/>
          <w:szCs w:val="22"/>
          <w:color w:val="auto"/>
        </w:rPr>
        <w:t>In addition to the foregoing authority and duties, all officers of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respectively have such authority and perform such duties in the management of the business of the Corporation as may be designated from time to time by the Board or the stockholders.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b w:val="1"/>
          <w:bCs w:val="1"/>
          <w:color w:val="auto"/>
        </w:rPr>
        <w:t>Section 1. Indemnification of Directors and Officers</w:t>
      </w:r>
      <w:r>
        <w:rPr>
          <w:rFonts w:ascii="Times New Roman" w:cs="Times New Roman" w:eastAsia="Times New Roman" w:hAnsi="Times New Roman"/>
          <w:sz w:val="22"/>
          <w:szCs w:val="22"/>
          <w:color w:val="auto"/>
        </w:rPr>
        <w:t>. The Corporation shall, to the maximum extent and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by the DGCL,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45"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b w:val="1"/>
          <w:bCs w:val="1"/>
          <w:color w:val="auto"/>
        </w:rPr>
        <w:t>Section 2. Indemnification of Others</w:t>
      </w:r>
      <w:r>
        <w:rPr>
          <w:rFonts w:ascii="Times New Roman" w:cs="Times New Roman" w:eastAsia="Times New Roman" w:hAnsi="Times New Roman"/>
          <w:sz w:val="22"/>
          <w:szCs w:val="22"/>
          <w:color w:val="auto"/>
        </w:rPr>
        <w:t>. The Corporation shall have the power, to the maximum extent and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by the DGCL,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20</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22" w:right="339" w:bottom="1440" w:gutter="0" w:footer="0" w:header="0"/>
        </w:sectPr>
      </w:pPr>
    </w:p>
    <w:bookmarkStart w:id="57" w:name="page58"/>
    <w:bookmarkEnd w:id="57"/>
    <w:p>
      <w:pPr>
        <w:ind w:right="20"/>
        <w:spacing w:after="0" w:line="271" w:lineRule="auto"/>
        <w:rPr>
          <w:sz w:val="20"/>
          <w:szCs w:val="20"/>
          <w:color w:val="auto"/>
        </w:rPr>
      </w:pPr>
      <w:r>
        <w:rPr>
          <w:rFonts w:ascii="Times New Roman" w:cs="Times New Roman" w:eastAsia="Times New Roman" w:hAnsi="Times New Roman"/>
          <w:sz w:val="22"/>
          <w:szCs w:val="22"/>
          <w:color w:val="auto"/>
        </w:rPr>
        <w:t>employee or agent of a corporation which was a predecessor corporation of the Corporation or of another enterprise at the request of such predecessor corporation.</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b w:val="1"/>
          <w:bCs w:val="1"/>
          <w:color w:val="auto"/>
        </w:rPr>
        <w:t>Section 3. Payment of Expenses in Advance</w:t>
      </w:r>
      <w:r>
        <w:rPr>
          <w:rFonts w:ascii="Times New Roman" w:cs="Times New Roman" w:eastAsia="Times New Roman" w:hAnsi="Times New Roman"/>
          <w:sz w:val="22"/>
          <w:szCs w:val="22"/>
          <w:color w:val="auto"/>
        </w:rPr>
        <w:t>. Expenses incurred in defending any action or proceeding for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is required pursuant to Section 1 of this Article VI or for which indemnification is permitted pursuant to Section 2 of this Article VI following authorization thereof by the Board shall be paid by the Corporation in advance of the final disposition of such action or proceeding upon receipt of an undertaking by or on behalf of the indemnified party to repay such amount if it shall ultimately be determined that the indemnified party is not entitled to be indemnified as authorized in this Article VI.</w:t>
      </w:r>
    </w:p>
    <w:p>
      <w:pPr>
        <w:spacing w:after="0" w:line="134"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1"/>
          <w:szCs w:val="21"/>
          <w:b w:val="1"/>
          <w:bCs w:val="1"/>
          <w:color w:val="auto"/>
        </w:rPr>
        <w:t>Section 4. Indemnity Not Exclusive</w:t>
      </w:r>
      <w:r>
        <w:rPr>
          <w:rFonts w:ascii="Times New Roman" w:cs="Times New Roman" w:eastAsia="Times New Roman" w:hAnsi="Times New Roman"/>
          <w:sz w:val="21"/>
          <w:szCs w:val="21"/>
          <w:color w:val="auto"/>
        </w:rPr>
        <w:t>. The indemnification provided by this Article VI shall not be deemed exclusive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rights to which those seeking indemnification may be entitled under any bylaw, agreement, vote of shareholders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1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b w:val="1"/>
          <w:bCs w:val="1"/>
          <w:color w:val="auto"/>
        </w:rPr>
        <w:t>Section 5. Insurance</w:t>
      </w:r>
      <w:r>
        <w:rPr>
          <w:rFonts w:ascii="Times New Roman" w:cs="Times New Roman" w:eastAsia="Times New Roman" w:hAnsi="Times New Roman"/>
          <w:sz w:val="22"/>
          <w:szCs w:val="22"/>
          <w:color w:val="auto"/>
        </w:rPr>
        <w:t>. The Corporation may purchase and maintain insurance on behalf of any person who is or was a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4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b w:val="1"/>
          <w:bCs w:val="1"/>
          <w:color w:val="auto"/>
        </w:rPr>
        <w:t>Section 6. Conflicts</w:t>
      </w:r>
      <w:r>
        <w:rPr>
          <w:rFonts w:ascii="Times New Roman" w:cs="Times New Roman" w:eastAsia="Times New Roman" w:hAnsi="Times New Roman"/>
          <w:sz w:val="22"/>
          <w:szCs w:val="22"/>
          <w:color w:val="auto"/>
        </w:rPr>
        <w:t>. No indemnification or advance shall be made under this Article VI, except where such indemnification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advance is mandated by law or the order, judgment or decree of any court of competent jurisdiction, in any circumstance where it appears: (a) that it would be inconsistent with a provision of the Certificate of Incorporation, these Bylaws, a resolution of the stockholders or an agreement in effect at the time of the alleged cause of the action asserted in the proceeding in which the expenses were incurred or other amounts were paid, which prohibits or otherwise limits indemnification; or (b) that it would be inconsistent with any condition expressly imposed by a court in approving a settlement.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RECORDS AND REPORTS</w:t>
      </w:r>
    </w:p>
    <w:p>
      <w:pPr>
        <w:spacing w:after="0" w:line="26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1"/>
          <w:szCs w:val="21"/>
          <w:b w:val="1"/>
          <w:bCs w:val="1"/>
          <w:color w:val="auto"/>
        </w:rPr>
        <w:t>Section 1. Maintenance and Inspection of Records</w:t>
      </w:r>
      <w:r>
        <w:rPr>
          <w:rFonts w:ascii="Times New Roman" w:cs="Times New Roman" w:eastAsia="Times New Roman" w:hAnsi="Times New Roman"/>
          <w:sz w:val="21"/>
          <w:szCs w:val="21"/>
          <w:color w:val="auto"/>
        </w:rPr>
        <w:t>. The Corporation shall, either at its principal executive offices or at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place or places as designated by the Board, keep a record of its stockholders listing their names and addresses and the number and class(es) of shares held by each stockholder, a copy of these Bylaws as amended to date, accounting books, and other records. Any stockholder,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40"/>
          </w:cols>
          <w:pgMar w:left="320" w:top="1422" w:right="339" w:bottom="1440" w:gutter="0" w:footer="0" w:header="0"/>
        </w:sectPr>
      </w:pPr>
    </w:p>
    <w:bookmarkStart w:id="58" w:name="page59"/>
    <w:bookmarkEnd w:id="58"/>
    <w:p>
      <w:pPr>
        <w:ind w:right="80"/>
        <w:spacing w:after="0" w:line="252" w:lineRule="auto"/>
        <w:rPr>
          <w:sz w:val="20"/>
          <w:szCs w:val="20"/>
          <w:color w:val="auto"/>
        </w:rPr>
      </w:pPr>
      <w:r>
        <w:rPr>
          <w:rFonts w:ascii="Times New Roman" w:cs="Times New Roman" w:eastAsia="Times New Roman" w:hAnsi="Times New Roman"/>
          <w:sz w:val="22"/>
          <w:szCs w:val="22"/>
          <w:color w:val="auto"/>
        </w:rPr>
        <w:t>purpose reasonably related to such person’s interests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7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b w:val="1"/>
          <w:bCs w:val="1"/>
          <w:color w:val="auto"/>
        </w:rPr>
        <w:t>Section 2. Inspection by Directors</w:t>
      </w:r>
      <w:r>
        <w:rPr>
          <w:rFonts w:ascii="Times New Roman" w:cs="Times New Roman" w:eastAsia="Times New Roman" w:hAnsi="Times New Roman"/>
          <w:sz w:val="22"/>
          <w:szCs w:val="22"/>
          <w:color w:val="auto"/>
        </w:rPr>
        <w:t>. Any director shall have the right to examine the Corporation’s stock ledger, a list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8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2"/>
          <w:szCs w:val="22"/>
          <w:b w:val="1"/>
          <w:bCs w:val="1"/>
          <w:color w:val="auto"/>
        </w:rPr>
        <w:t>Section 3. Annual Statement to Stockholders</w:t>
      </w:r>
      <w:r>
        <w:rPr>
          <w:rFonts w:ascii="Times New Roman" w:cs="Times New Roman" w:eastAsia="Times New Roman" w:hAnsi="Times New Roman"/>
          <w:sz w:val="22"/>
          <w:szCs w:val="22"/>
          <w:color w:val="auto"/>
        </w:rPr>
        <w:t>. The Board shall present at each annual meeting, and at any special meeting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stockholders when called for by vote of the stockholders, a full and clear statement of the business and condition of the Corporation.</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4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2"/>
          <w:szCs w:val="22"/>
          <w:b w:val="1"/>
          <w:bCs w:val="1"/>
          <w:color w:val="auto"/>
        </w:rPr>
        <w:t>Section 1. Checks</w:t>
      </w:r>
      <w:r>
        <w:rPr>
          <w:rFonts w:ascii="Times New Roman" w:cs="Times New Roman" w:eastAsia="Times New Roman" w:hAnsi="Times New Roman"/>
          <w:sz w:val="22"/>
          <w:szCs w:val="22"/>
          <w:color w:val="auto"/>
        </w:rPr>
        <w:t>. From time to time, the Board shall determine by resolution which person or persons may sign or endorse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checks, drafts, other orders for payment of money, notes or other evidences of indebtedness that are issued in the name of or payable to the Corporation, and only the persons so authorized shall sign or endorse those instruments.</w:t>
      </w:r>
    </w:p>
    <w:p>
      <w:pPr>
        <w:spacing w:after="0" w:line="16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1"/>
          <w:szCs w:val="21"/>
          <w:b w:val="1"/>
          <w:bCs w:val="1"/>
          <w:color w:val="auto"/>
        </w:rPr>
        <w:t>Section 2. Execution of Corporate Contracts and Instruments</w:t>
      </w:r>
      <w:r>
        <w:rPr>
          <w:rFonts w:ascii="Times New Roman" w:cs="Times New Roman" w:eastAsia="Times New Roman" w:hAnsi="Times New Roman"/>
          <w:sz w:val="21"/>
          <w:szCs w:val="21"/>
          <w:color w:val="auto"/>
        </w:rPr>
        <w:t>. The Board, except as otherwise provided in these Bylaws,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te Corporation by any contract or engagement or to pledge its credit or to render it liable for any purpose or for any amount.</w:t>
      </w:r>
    </w:p>
    <w:p>
      <w:pPr>
        <w:spacing w:after="0" w:line="16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b w:val="1"/>
          <w:bCs w:val="1"/>
          <w:color w:val="auto"/>
        </w:rPr>
        <w:t>Section 3. Stock Certificates; Partly Paid Shares</w:t>
      </w:r>
      <w:r>
        <w:rPr>
          <w:rFonts w:ascii="Times New Roman" w:cs="Times New Roman" w:eastAsia="Times New Roman" w:hAnsi="Times New Roman"/>
          <w:sz w:val="22"/>
          <w:szCs w:val="22"/>
          <w:color w:val="auto"/>
        </w:rPr>
        <w:t>. The shares of the Corporation shall be represented by certificates,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Board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by, or in the name of the Corporation by any two officers of the Corporation certifying the number of shares owned by such stockholder. Any or all of the signatures on the certificate may be a facsimile. In case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20"/>
          </w:cols>
          <w:pgMar w:left="320" w:top="1422" w:right="359" w:bottom="1440" w:gutter="0" w:footer="0" w:header="0"/>
        </w:sectPr>
      </w:pPr>
    </w:p>
    <w:bookmarkStart w:id="59" w:name="page60"/>
    <w:bookmarkEnd w:id="59"/>
    <w:p>
      <w:pPr>
        <w:spacing w:after="0" w:line="257" w:lineRule="auto"/>
        <w:rPr>
          <w:sz w:val="20"/>
          <w:szCs w:val="20"/>
          <w:color w:val="auto"/>
        </w:rPr>
      </w:pPr>
      <w:r>
        <w:rPr>
          <w:rFonts w:ascii="Times New Roman" w:cs="Times New Roman" w:eastAsia="Times New Roman" w:hAnsi="Times New Roman"/>
          <w:sz w:val="22"/>
          <w:szCs w:val="22"/>
          <w:color w:val="auto"/>
        </w:rPr>
        <w:t>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73"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1"/>
          <w:szCs w:val="21"/>
          <w:b w:val="1"/>
          <w:bCs w:val="1"/>
          <w:color w:val="auto"/>
        </w:rPr>
        <w:t>Section 4. Special Designation on Certificates</w:t>
      </w:r>
      <w:r>
        <w:rPr>
          <w:rFonts w:ascii="Times New Roman" w:cs="Times New Roman" w:eastAsia="Times New Roman" w:hAnsi="Times New Roman"/>
          <w:sz w:val="21"/>
          <w:szCs w:val="21"/>
          <w:color w:val="auto"/>
        </w:rPr>
        <w:t>. If the Corporation is authorized to issue more than one class of stock or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b w:val="1"/>
          <w:bCs w:val="1"/>
          <w:color w:val="auto"/>
        </w:rPr>
        <w:t>Section 5. Lost Certificates</w:t>
      </w:r>
      <w:r>
        <w:rPr>
          <w:rFonts w:ascii="Times New Roman" w:cs="Times New Roman" w:eastAsia="Times New Roman" w:hAnsi="Times New Roman"/>
          <w:sz w:val="22"/>
          <w:szCs w:val="22"/>
          <w:color w:val="auto"/>
        </w:rPr>
        <w:t>. Except as provided in this Section 5, no new certificates for shares shall be issued to replace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previously issued certificate unless the latter is surrendered to the Corporation and canceled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2"/>
          <w:szCs w:val="22"/>
          <w:b w:val="1"/>
          <w:bCs w:val="1"/>
          <w:color w:val="auto"/>
        </w:rPr>
        <w:t>Section 6. Construction; Definitions</w:t>
      </w:r>
      <w:r>
        <w:rPr>
          <w:rFonts w:ascii="Times New Roman" w:cs="Times New Roman" w:eastAsia="Times New Roman" w:hAnsi="Times New Roman"/>
          <w:sz w:val="22"/>
          <w:szCs w:val="22"/>
          <w:color w:val="auto"/>
        </w:rPr>
        <w:t>. Unless the context requires otherwise, the general provisions, rules of construction,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202"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22"/>
          <w:szCs w:val="22"/>
          <w:b w:val="1"/>
          <w:bCs w:val="1"/>
          <w:color w:val="auto"/>
        </w:rPr>
        <w:t>Section 7. Dividends</w:t>
      </w:r>
      <w:r>
        <w:rPr>
          <w:rFonts w:ascii="Times New Roman" w:cs="Times New Roman" w:eastAsia="Times New Roman" w:hAnsi="Times New Roman"/>
          <w:sz w:val="22"/>
          <w:szCs w:val="22"/>
          <w:color w:val="auto"/>
        </w:rPr>
        <w:t>. The directors of the Corporation, subject to any restrictions contained in (a) the DGCL or (b)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Certificate of Incorporation, may declare and pay dividends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20"/>
          </w:cols>
          <w:pgMar w:left="320" w:top="1422" w:right="359" w:bottom="1440" w:gutter="0" w:footer="0" w:header="0"/>
        </w:sectPr>
      </w:pPr>
    </w:p>
    <w:bookmarkStart w:id="60" w:name="page61"/>
    <w:bookmarkEnd w:id="60"/>
    <w:p>
      <w:pPr>
        <w:ind w:right="40"/>
        <w:spacing w:after="0" w:line="252" w:lineRule="auto"/>
        <w:rPr>
          <w:sz w:val="20"/>
          <w:szCs w:val="20"/>
          <w:color w:val="auto"/>
        </w:rPr>
      </w:pPr>
      <w:r>
        <w:rPr>
          <w:rFonts w:ascii="Times New Roman" w:cs="Times New Roman" w:eastAsia="Times New Roman" w:hAnsi="Times New Roman"/>
          <w:sz w:val="22"/>
          <w:szCs w:val="22"/>
          <w:color w:val="auto"/>
        </w:rPr>
        <w:t>shares of its capital stock. Dividends may be paid in cash, in property, or in shares of the Corporation’s capital stock. 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2"/>
          <w:szCs w:val="22"/>
          <w:b w:val="1"/>
          <w:bCs w:val="1"/>
          <w:color w:val="auto"/>
        </w:rPr>
        <w:t>Section 8. Fiscal Year</w:t>
      </w:r>
      <w:r>
        <w:rPr>
          <w:rFonts w:ascii="Times New Roman" w:cs="Times New Roman" w:eastAsia="Times New Roman" w:hAnsi="Times New Roman"/>
          <w:sz w:val="22"/>
          <w:szCs w:val="22"/>
          <w:color w:val="auto"/>
        </w:rPr>
        <w:t>. The fiscal year of the Corporation shall be fixed by resolution of the Board and may be changed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w:t>
      </w:r>
    </w:p>
    <w:p>
      <w:pPr>
        <w:spacing w:after="0" w:line="176"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2"/>
          <w:szCs w:val="22"/>
          <w:b w:val="1"/>
          <w:bCs w:val="1"/>
          <w:color w:val="auto"/>
        </w:rPr>
        <w:t>Section 9. Seal</w:t>
      </w:r>
      <w:r>
        <w:rPr>
          <w:rFonts w:ascii="Times New Roman" w:cs="Times New Roman" w:eastAsia="Times New Roman" w:hAnsi="Times New Roman"/>
          <w:sz w:val="22"/>
          <w:szCs w:val="22"/>
          <w:color w:val="auto"/>
        </w:rPr>
        <w:t>. The Corporation may adopt a corporate seal, which may be altered at pleasure, and may use the same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causing it or a facsimile thereof, to be impressed or affixed or in any other manner reproduced.</w:t>
      </w:r>
    </w:p>
    <w:p>
      <w:pPr>
        <w:spacing w:after="0" w:line="1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b w:val="1"/>
          <w:bCs w:val="1"/>
          <w:color w:val="auto"/>
        </w:rPr>
        <w:t>Section 10. Transfer of Stock</w:t>
      </w:r>
      <w:r>
        <w:rPr>
          <w:rFonts w:ascii="Times New Roman" w:cs="Times New Roman" w:eastAsia="Times New Roman" w:hAnsi="Times New Roman"/>
          <w:sz w:val="22"/>
          <w:szCs w:val="22"/>
          <w:color w:val="auto"/>
        </w:rPr>
        <w:t>. Upon surrender to the Corporation or the transfer agent of the Corporation of a certificate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Section 11. Stock Transfer Agreements</w:t>
      </w:r>
      <w:r>
        <w:rPr>
          <w:rFonts w:ascii="Times New Roman" w:cs="Times New Roman" w:eastAsia="Times New Roman" w:hAnsi="Times New Roman"/>
          <w:sz w:val="22"/>
          <w:szCs w:val="22"/>
          <w:color w:val="auto"/>
        </w:rPr>
        <w:t>. The Corporation shall have power to enter into and perform any agreement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number of stockholders of any one or more classes of stock of the Corporation to restrict the transfer of shares of stock of the Corporation of any one or more classes owned by such stockholders in any manner not prohibited by the DGCL.</w:t>
      </w:r>
    </w:p>
    <w:p>
      <w:pPr>
        <w:spacing w:after="0" w:line="18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b w:val="1"/>
          <w:bCs w:val="1"/>
          <w:color w:val="auto"/>
        </w:rPr>
        <w:t>Section 12. Registered Stockholders</w:t>
      </w:r>
      <w:r>
        <w:rPr>
          <w:rFonts w:ascii="Times New Roman" w:cs="Times New Roman" w:eastAsia="Times New Roman" w:hAnsi="Times New Roman"/>
          <w:sz w:val="22"/>
          <w:szCs w:val="22"/>
          <w:color w:val="auto"/>
        </w:rPr>
        <w:t>. The Corporation shall be entitled to recognize the exclusive right of a person registered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DGCL.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FORUM FOR ADJUDICATION OF DISPUTES</w:t>
      </w:r>
    </w:p>
    <w:p>
      <w:pPr>
        <w:spacing w:after="0" w:line="22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arising pursuant to any provision of the DGCL, or (d) any action asserting a claim governed by the internal affairs doctrine, shall be a state or federal court located within the state of Delaware, in all cases subject to the court’s having personal jurisdiction over the indispensable parties named as defendants, except for, as to each of (a) through (d) above, any claim as to which such court determines that there is an indispensable party not subject to the jurisdiction of such court (and any such indispensable party does not consent to the personal jurisdiction of such court within ten (10) days following such determination). Unless the Corporation consents in writing to the selection of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24</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200"/>
          </w:cols>
          <w:pgMar w:left="320" w:top="1422" w:right="379" w:bottom="1440" w:gutter="0" w:footer="0" w:header="0"/>
        </w:sectPr>
      </w:pPr>
    </w:p>
    <w:bookmarkStart w:id="61" w:name="page62"/>
    <w:bookmarkEnd w:id="61"/>
    <w:p>
      <w:pPr>
        <w:spacing w:after="0" w:line="248" w:lineRule="auto"/>
        <w:rPr>
          <w:sz w:val="20"/>
          <w:szCs w:val="20"/>
          <w:color w:val="auto"/>
        </w:rPr>
      </w:pPr>
      <w:r>
        <w:rPr>
          <w:rFonts w:ascii="Times New Roman" w:cs="Times New Roman" w:eastAsia="Times New Roman" w:hAnsi="Times New Roman"/>
          <w:sz w:val="22"/>
          <w:szCs w:val="22"/>
          <w:color w:val="auto"/>
        </w:rPr>
        <w:t>forum, to the fullest extent permitted by law, (x) the federal district courts of the United States of America shall be the sole and exclusive forum for the resolution of any complaint asserting a cause of action arising under the Securities Act of 1933, as amended, and (y) the Court of Chancery and the federal district court for the District of Delaware shall be the sole and exclusive fora for the resolution of any derivative claim arising under the Securities and Exchange Act of 1934, as amended. Any person or entity purchasing or otherwise acquiring any interest in shares of capital stock of the Corporation shall be deemed to have notice of and consented to the provisions of this Article IX.</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2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These Bylaws may be altered, amended, or repealed or new bylaws may be adopted by the affirmative vote of at least sixty-six and two-thirds percent (66 2/3%) of the voting power of all of the then-outstanding shares of the voting stock of the Corporation entitled to vote or by the Board, when such power is conferred upon the Board by the Certificate of Incorporation. If the power to adopt, amend, or repeal bylaws is conferred upon the Board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25</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710259605v2</w:t>
      </w:r>
    </w:p>
    <w:p>
      <w:pPr>
        <w:sectPr>
          <w:pgSz w:w="11900" w:h="16838" w:orient="portrait"/>
          <w:cols w:equalWidth="0" w:num="1">
            <w:col w:w="11180"/>
          </w:cols>
          <w:pgMar w:left="320" w:top="1422" w:right="3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certify that:</w:t>
      </w:r>
    </w:p>
    <w:p>
      <w:pPr>
        <w:spacing w:after="0" w:line="171" w:lineRule="exact"/>
        <w:rPr>
          <w:sz w:val="20"/>
          <w:szCs w:val="20"/>
          <w:color w:val="auto"/>
        </w:rPr>
      </w:pPr>
    </w:p>
    <w:p>
      <w:pPr>
        <w:ind w:left="680" w:hanging="186"/>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060" w:right="160" w:hanging="230"/>
        <w:spacing w:after="0" w:line="231"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1060" w:right="280" w:hanging="240"/>
        <w:spacing w:after="0" w:line="231"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31"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60" w:right="700" w:hanging="230"/>
        <w:spacing w:after="0" w:line="237"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380" w:hanging="240"/>
        <w:spacing w:after="0" w:line="237" w:lineRule="auto"/>
        <w:tabs>
          <w:tab w:leader="none" w:pos="10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certify that:</w:t>
      </w:r>
    </w:p>
    <w:p>
      <w:pPr>
        <w:spacing w:after="0" w:line="171" w:lineRule="exact"/>
        <w:rPr>
          <w:sz w:val="20"/>
          <w:szCs w:val="20"/>
          <w:color w:val="auto"/>
        </w:rPr>
      </w:pPr>
    </w:p>
    <w:p>
      <w:pPr>
        <w:ind w:left="680" w:hanging="186"/>
        <w:spacing w:after="0"/>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60" w:right="160" w:hanging="230"/>
        <w:spacing w:after="0" w:line="226"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280" w:hanging="240"/>
        <w:spacing w:after="0" w:line="226"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26"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230"/>
        <w:spacing w:after="0" w:line="250"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060" w:right="380" w:hanging="240"/>
        <w:spacing w:after="0" w:line="250" w:lineRule="auto"/>
        <w:tabs>
          <w:tab w:leader="none" w:pos="10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8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Chief Executive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500" w:right="460" w:hanging="833"/>
        <w:spacing w:after="0" w:line="237" w:lineRule="auto"/>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2025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500" w:right="140" w:hanging="833"/>
        <w:spacing w:after="0" w:line="237" w:lineRule="auto"/>
        <w:tabs>
          <w:tab w:leader="none" w:pos="1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8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20" w:right="620" w:hanging="822"/>
        <w:spacing w:after="0" w:line="237"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2025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320" w:right="320" w:hanging="822"/>
        <w:spacing w:after="0" w:line="237" w:lineRule="auto"/>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4">
    <w:nsid w:val="71F32454"/>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5">
    <w:nsid w:val="2CA88611"/>
    <w:multiLevelType w:val="hybridMultilevel"/>
    <w:lvl w:ilvl="0">
      <w:lvlJc w:val="left"/>
      <w:lvlText w:val="%1"/>
      <w:numFmt w:val="upperLetter"/>
      <w:start w:val="1"/>
    </w:lvl>
    <w:lvl w:ilvl="1">
      <w:lvlJc w:val="left"/>
      <w:lvlText w:val="(%2)"/>
      <w:numFmt w:val="upperLetter"/>
      <w:start w:val="2"/>
    </w:lvl>
  </w:abstractNum>
  <w:abstractNum w:abstractNumId="16">
    <w:nsid w:val="836C40E"/>
    <w:multiLevelType w:val="hybridMultilevel"/>
    <w:lvl w:ilvl="0">
      <w:lvlJc w:val="left"/>
      <w:lvlText w:val="(%1)"/>
      <w:numFmt w:val="upperLetter"/>
      <w:start w:val="3"/>
    </w:lvl>
    <w:lvl w:ilvl="1">
      <w:lvlJc w:val="left"/>
      <w:lvlText w:val="%2"/>
      <w:numFmt w:val="upperLetter"/>
      <w:start w:val="1"/>
    </w:lvl>
  </w:abstractNum>
  <w:abstractNum w:abstractNumId="17">
    <w:nsid w:val="2901D82"/>
    <w:multiLevelType w:val="hybridMultilevel"/>
    <w:lvl w:ilvl="0">
      <w:lvlJc w:val="left"/>
      <w:lvlText w:val="%1"/>
      <w:numFmt w:val="upperLetter"/>
      <w:start w:val="1"/>
    </w:lvl>
    <w:lvl w:ilvl="1">
      <w:lvlJc w:val="left"/>
      <w:lvlText w:val="(%2)"/>
      <w:numFmt w:val="lowerRoman"/>
      <w:start w:val="3"/>
    </w:lvl>
  </w:abstractNum>
  <w:abstractNum w:abstractNumId="18">
    <w:nsid w:val="3A95F874"/>
    <w:multiLevelType w:val="hybridMultilevel"/>
    <w:lvl w:ilvl="0">
      <w:lvlJc w:val="left"/>
      <w:lvlText w:val="(%1)"/>
      <w:numFmt w:val="upperLetter"/>
      <w:start w:val="2"/>
    </w:lvl>
    <w:lvl w:ilvl="1">
      <w:lvlJc w:val="left"/>
      <w:lvlText w:val="(%2)"/>
      <w:numFmt w:val="lowerRoman"/>
      <w:start w:val="4"/>
    </w:lvl>
  </w:abstractNum>
  <w:abstractNum w:abstractNumId="19">
    <w:nsid w:val="8138641"/>
    <w:multiLevelType w:val="hybridMultilevel"/>
    <w:lvl w:ilvl="0">
      <w:lvlJc w:val="left"/>
      <w:lvlText w:val="(%1)"/>
      <w:numFmt w:val="lowerLetter"/>
      <w:start w:val="4"/>
    </w:lvl>
  </w:abstractNum>
  <w:abstractNum w:abstractNumId="20">
    <w:nsid w:val="1E7FF521"/>
    <w:multiLevelType w:val="hybridMultilevel"/>
    <w:lvl w:ilvl="0">
      <w:lvlJc w:val="left"/>
      <w:lvlText w:val="(%1)"/>
      <w:numFmt w:val="lowerLetter"/>
      <w:start w:val="7"/>
    </w:lvl>
  </w:abstractNum>
  <w:abstractNum w:abstractNumId="21">
    <w:nsid w:val="7C3DBD3D"/>
    <w:multiLevelType w:val="hybridMultilevel"/>
    <w:lvl w:ilvl="0">
      <w:lvlJc w:val="left"/>
      <w:lvlText w:val="(%1)"/>
      <w:numFmt w:val="lowerLetter"/>
      <w:start w:val="1"/>
    </w:lvl>
    <w:lvl w:ilvl="1">
      <w:lvlJc w:val="left"/>
      <w:lvlText w:val="(%2)"/>
      <w:numFmt w:val="lowerRoman"/>
      <w:start w:val="1"/>
    </w:lvl>
  </w:abstractNum>
  <w:abstractNum w:abstractNumId="22">
    <w:nsid w:val="737B8DDC"/>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3">
    <w:nsid w:val="6CEAF08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4">
    <w:nsid w:val="22221A70"/>
    <w:multiLevelType w:val="hybridMultilevel"/>
    <w:lvl w:ilvl="0">
      <w:lvlJc w:val="left"/>
      <w:lvlText w:val="(%1)"/>
      <w:numFmt w:val="lowerLetter"/>
      <w:start w:val="5"/>
    </w:lvl>
  </w:abstractNum>
  <w:abstractNum w:abstractNumId="25">
    <w:nsid w:val="4516DDE9"/>
    <w:multiLevelType w:val="hybridMultilevel"/>
    <w:lvl w:ilvl="0">
      <w:lvlJc w:val="left"/>
      <w:lvlText w:val="(%1)"/>
      <w:numFmt w:val="lowerLetter"/>
      <w:start w:val="8"/>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2"/>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upperLetter"/>
      <w:start w:val="6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3"/>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50" Type="http://schemas.openxmlformats.org/officeDocument/2006/relationships/hyperlink" Target="https://www.sec.gov/Archives/edgar/data/1022652/000119312516763609/d261554dex31.htm" TargetMode="External"/><Relationship Id="rId51" Type="http://schemas.openxmlformats.org/officeDocument/2006/relationships/hyperlink" Target="https://www.sec.gov/Archives/edgar/data/1022652/000119312519219943/d792529dex31.htm" TargetMode="External"/><Relationship Id="rId52" Type="http://schemas.openxmlformats.org/officeDocument/2006/relationships/hyperlink" Target="https://www.sec.gov/Archives/edgar/data/1022652/000119312520067668/d824727dex31.htm" TargetMode="External"/><Relationship Id="rId53" Type="http://schemas.openxmlformats.org/officeDocument/2006/relationships/hyperlink" Target="https://www.sec.gov/Archives/edgar/data/1022652/000168316824000396/inseego_ex0301.htm" TargetMode="External"/><Relationship Id="rId54" Type="http://schemas.openxmlformats.org/officeDocument/2006/relationships/hyperlink" Target="https://www.sec.gov/Archives/edgar/data/1022652/000168316825000095/inseeg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2025-05-09T05:19:46Z</dcterms:created>
  <dcterms:modified xsi:type="dcterms:W3CDTF">2025-05-09T05:19:46Z</dcterms:modified>
</cp:coreProperties>
</file>