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140" w:right="2040" w:hanging="4132"/>
        <w:spacing w:after="0" w:line="441"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2011</w:t>
      </w:r>
    </w:p>
    <w:p>
      <w:pPr>
        <w:spacing w:after="0" w:line="1"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396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w w:val="91"/>
              </w:rPr>
              <w:t>For the transition period from</w:t>
            </w:r>
          </w:p>
        </w:tc>
        <w:tc>
          <w:tcPr>
            <w:tcW w:w="5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7"/>
        </w:trPr>
        <w:tc>
          <w:tcPr>
            <w:tcW w:w="3420" w:type="dxa"/>
            <w:vAlign w:val="bottom"/>
            <w:gridSpan w:val="4"/>
          </w:tcPr>
          <w:p>
            <w:pPr>
              <w:ind w:left="460"/>
              <w:spacing w:after="0"/>
              <w:rPr>
                <w:sz w:val="20"/>
                <w:szCs w:val="20"/>
                <w:color w:val="auto"/>
              </w:rPr>
            </w:pPr>
            <w:r>
              <w:rPr>
                <w:rFonts w:ascii="Arial" w:cs="Arial" w:eastAsia="Arial" w:hAnsi="Arial"/>
                <w:sz w:val="18"/>
                <w:szCs w:val="18"/>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80" w:type="dxa"/>
            <w:vAlign w:val="bottom"/>
          </w:tcPr>
          <w:p>
            <w:pPr>
              <w:jc w:val="center"/>
              <w:ind w:right="1904"/>
              <w:spacing w:after="0" w:line="149" w:lineRule="exact"/>
              <w:rPr>
                <w:sz w:val="20"/>
                <w:szCs w:val="20"/>
                <w:color w:val="auto"/>
              </w:rPr>
            </w:pPr>
            <w:r>
              <w:rPr>
                <w:rFonts w:ascii="Arial" w:cs="Arial" w:eastAsia="Arial" w:hAnsi="Arial"/>
                <w:sz w:val="14"/>
                <w:szCs w:val="14"/>
                <w:color w:val="auto"/>
                <w:w w:val="87"/>
              </w:rPr>
              <w:t>(State or Other Jurisdiction</w:t>
            </w:r>
          </w:p>
        </w:tc>
        <w:tc>
          <w:tcPr>
            <w:tcW w:w="2980" w:type="dxa"/>
            <w:vAlign w:val="bottom"/>
          </w:tcPr>
          <w:p>
            <w:pPr>
              <w:jc w:val="center"/>
              <w:ind w:left="190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of Incorporation or Organization)</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1"/>
              </w:rPr>
              <w:t>Identification No.)</w:t>
            </w:r>
          </w:p>
        </w:tc>
      </w:tr>
      <w:tr>
        <w:trPr>
          <w:trHeight w:val="408"/>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7"/>
              </w:rPr>
              <w:t>9645 Scranton Road, San Diego, CA</w:t>
            </w:r>
          </w:p>
        </w:tc>
        <w:tc>
          <w:tcPr>
            <w:tcW w:w="298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(Address of Principal Executive Offices)</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0"/>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060" w:type="dxa"/>
            <w:vAlign w:val="bottom"/>
          </w:tcPr>
          <w:p>
            <w:pPr>
              <w:ind w:left="11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060" w:type="dxa"/>
            <w:vAlign w:val="bottom"/>
          </w:tcPr>
          <w:p>
            <w:pPr>
              <w:ind w:left="11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0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060" w:type="dxa"/>
            <w:vAlign w:val="bottom"/>
          </w:tcPr>
          <w:p>
            <w:pPr>
              <w:ind w:left="460"/>
              <w:spacing w:after="0"/>
              <w:rPr>
                <w:sz w:val="20"/>
                <w:szCs w:val="20"/>
                <w:color w:val="auto"/>
              </w:rPr>
            </w:pPr>
            <w:r>
              <w:rPr>
                <w:rFonts w:ascii="Arial" w:cs="Arial" w:eastAsia="Arial" w:hAnsi="Arial"/>
                <w:sz w:val="18"/>
                <w:szCs w:val="18"/>
                <w:color w:val="auto"/>
                <w:w w:val="89"/>
              </w:rPr>
              <w:t>The number of shares of the registrant’s common stock outstanding as of August 4, 2011 was 32,056,487.</w:t>
            </w:r>
          </w:p>
        </w:tc>
        <w:tc>
          <w:tcPr>
            <w:tcW w:w="3360" w:type="dxa"/>
            <w:vAlign w:val="bottom"/>
          </w:tcPr>
          <w:p>
            <w:pPr>
              <w:spacing w:after="0"/>
              <w:rPr>
                <w:sz w:val="24"/>
                <w:szCs w:val="24"/>
                <w:color w:val="auto"/>
              </w:rPr>
            </w:pPr>
          </w:p>
        </w:tc>
      </w:tr>
      <w:tr>
        <w:trPr>
          <w:trHeight w:val="205"/>
        </w:trPr>
        <w:tc>
          <w:tcPr>
            <w:tcW w:w="80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76"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Enfora and any other business, products, technologies or personnel that we may acquire in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respectively,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companies and achieve expected acquisition synergies;</w:t>
      </w:r>
    </w:p>
    <w:p>
      <w:pPr>
        <w:spacing w:after="0" w:line="90"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 including some of our product component suppliers in Japan that have been unable to deliver sufficient quantities of components as a result of the effects of the earthquake and tsunami that occurred in Japan in March 2011;</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unexpected deterioration of global economic conditions on the demand for our products.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2010. If one or more events related to these or other risks or uncertainties materialize, or if our underlying assumptions prove to be incorrect, actual results may differ materially from what we anticipate. We undertake no obligation to publicly update or revise any forward-looking statements, except to the extent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“Freedom Box”, “Merlin”, “MiFi.Freedom. My Way”, “Conversa”, “TotalMobileInternet”,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33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26,112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59,775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$297 at June 30, 2011 and $228 at December 31, 2010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50,145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43,094</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154,177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190,993</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5"/>
              </w:rPr>
              <w:t>Property and equipment, net of accumulated depreciation of $53,962 at June 30, 2011 and $48,223 at December 31, 2010</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21,281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20,676</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$7,941 at June 30, 2011 and $4,019 at December 31, 2010</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40,367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44,265</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22,258</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256,651</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302,108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77,769</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103,819</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95,364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116,705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par value $0.001; 50,000 shares authorized, 32,056 and 31,852 shares issued and outstanding at June 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2011 and December 31, 2010, respectively</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426,134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424,270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(239,906)</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(213,920)</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186,287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2,436 common shares at June 30, 2011 and December 31, 2010, respectively</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161,287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256,651</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302,108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118,021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71,823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 of net revenues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91,839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58,231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147,629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13,592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31,361</w:t>
            </w: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29,283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(25,171)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(7,228)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(25,413)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(11,859)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14,811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gridSpan w:val="2"/>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(3,898)</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(25,986)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loss per share: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used in computation of basic and diluted net loss per share: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32,048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31,439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32,048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(25,986)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Accrued interest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loss on intangible assets and equipment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impairment loss on marketable securities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Excess tax benefits from equity based compensation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(7,371)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(20,965)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(17,519)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(3,835)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(10,959)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47,674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Proceeds from stock option exercises net of taxes paid on vested restricted stock units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equity based compensation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Deposit of restricted funds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(188,890)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Accrued debt issuance costs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2011 and the results of the Company’s operations for the three and six months ended June 30, 2011 and 2010 are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2010 (“2010 Form 10-K”). The accounting policies used in preparing these consolidated financial statements are the same as those described in the 2010 Form 10-K with the exception of new accounting pronouncements adopted in 2011.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valuation of contingent consideration, royalty costs, provision for warranty costs, income taxes and share-based compensation expense.</w:t>
      </w:r>
    </w:p>
    <w:p>
      <w:pPr>
        <w:spacing w:after="0" w:line="1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In June 2011, the Financial Accounting Standards Board (FASB) issued Accounting Standards Update (ASU) No. 2011-05 </w:t>
      </w:r>
      <w:r>
        <w:rPr>
          <w:rFonts w:ascii="Arial" w:cs="Arial" w:eastAsia="Arial" w:hAnsi="Arial"/>
          <w:sz w:val="15"/>
          <w:szCs w:val="15"/>
          <w:i w:val="1"/>
          <w:iCs w:val="1"/>
          <w:color w:val="auto"/>
        </w:rPr>
        <w:t>“Comprehensive Income (Topic</w:t>
      </w:r>
    </w:p>
    <w:p>
      <w:pPr>
        <w:spacing w:after="0" w:line="50" w:lineRule="exact"/>
        <w:rPr>
          <w:sz w:val="20"/>
          <w:szCs w:val="20"/>
          <w:color w:val="auto"/>
        </w:rPr>
      </w:pPr>
    </w:p>
    <w:p>
      <w:pPr>
        <w:ind w:right="40" w:firstLine="8"/>
        <w:spacing w:after="0" w:line="292" w:lineRule="auto"/>
        <w:tabs>
          <w:tab w:leader="none" w:pos="366"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 Presentation of Comprehensive Income.” </w:t>
      </w:r>
      <w:r>
        <w:rPr>
          <w:rFonts w:ascii="Arial" w:cs="Arial" w:eastAsia="Arial" w:hAnsi="Arial"/>
          <w:sz w:val="16"/>
          <w:szCs w:val="16"/>
          <w:color w:val="auto"/>
        </w:rPr>
        <w:t>ASU 2011-05 requires that all nonowner changes in stockholders’ equity be presented either in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is effective retrospectively for fiscal years, and interim periods within those years, beginning after December 15, 2011. We are assessing the impact of ASU 2011-05 on our comprehensive income presentation.</w:t>
      </w:r>
    </w:p>
    <w:p>
      <w:pPr>
        <w:spacing w:after="0" w:line="192" w:lineRule="exact"/>
        <w:rPr>
          <w:sz w:val="20"/>
          <w:szCs w:val="20"/>
          <w:color w:val="auto"/>
        </w:rPr>
      </w:pPr>
    </w:p>
    <w:p>
      <w:pPr>
        <w:ind w:left="460" w:right="8660" w:hanging="452"/>
        <w:spacing w:after="0" w:line="391" w:lineRule="auto"/>
        <w:tabs>
          <w:tab w:leader="none" w:pos="17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 and Acquisition Activities </w:t>
      </w:r>
      <w:r>
        <w:rPr>
          <w:rFonts w:ascii="Arial" w:cs="Arial" w:eastAsia="Arial" w:hAnsi="Arial"/>
          <w:sz w:val="16"/>
          <w:szCs w:val="16"/>
          <w:i w:val="1"/>
          <w:iCs w:val="1"/>
          <w:color w:val="auto"/>
        </w:rPr>
        <w:t>Acquisition of Enfora</w:t>
      </w:r>
    </w:p>
    <w:p>
      <w:pPr>
        <w:spacing w:after="0" w:line="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November 30, 2010, the Company completed the acquisition of Enfora, Inc. (“Enfora”), a provider of intelligent asset-management solutions utilizing wireless technology and machine-to-machine (M2M) communications. The acquisition of Enfora diversifies the Company’s customer base and product lines into adjacent markets and advances the Company’s strategy of providing intelligent devices to all end markets - enterprise, consumer and vertical applications.</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Enfora’s results of operations and estimated fair value of assets acquired and liabilities assumed are included in the Company’s consolidated financial statements from the date of acquisition. The Company may adjust the preliminary purchase price allocation after obtaining more information regarding preliminary estimates of net deferred tax assets and potential limitations on their use. The revenue and operating results contributed by Enfora during the three and six months ended June 30, 2011 are disclosed in the Company’s Segment Information and Concentrations of Risk footnote (see Note 7).</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Actual and Pro Forma Results of Enfora Acquisition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following table presents the unaudited results for the three and six months ended June 30, 2011 and pro forma financial information for the three and six months ended June 30, 2010. The unaudited pro forma financial information for the three and six months ended June 30, 2010 combines the results of operations of Novatel Wireless and Enfora as though the companies had been combined as of the beginning of fiscal 2009 as previously reported in the 2010 Form 10-K. The pro forma financial information is presented for informational purposes only. The pro forma financial information is not indicative of the results of operations that would have been achieved if the acquisition had taken place at the beginning of fiscal 2009. The following unaudited results and pro forma financial information presented include amortization charges for acquired intangible assets, inventory fair value adjustments, eliminations of intercompany transactions, adjustments to interest expense, reduction in share-based compensation and related tax effects (in thousands):</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1"/>
              </w:rPr>
              <w:t>(1)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6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 (1)</w:t>
            </w:r>
          </w:p>
        </w:tc>
        <w:tc>
          <w:tcPr>
            <w:tcW w:w="120" w:type="dxa"/>
            <w:vAlign w:val="bottom"/>
          </w:tcPr>
          <w:p>
            <w:pPr>
              <w:spacing w:after="0"/>
              <w:rPr>
                <w:sz w:val="12"/>
                <w:szCs w:val="12"/>
                <w:color w:val="auto"/>
              </w:rPr>
            </w:pPr>
          </w:p>
        </w:tc>
      </w:tr>
      <w:tr>
        <w:trPr>
          <w:trHeight w:val="210"/>
        </w:trPr>
        <w:tc>
          <w:tcPr>
            <w:tcW w:w="2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$118,021</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$ 87,328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$179,805</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$175,292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2940" w:type="dxa"/>
            <w:vAlign w:val="bottom"/>
            <w:gridSpan w:val="3"/>
          </w:tcPr>
          <w:p>
            <w:pPr>
              <w:jc w:val="right"/>
              <w:ind w:right="420"/>
              <w:spacing w:after="0"/>
              <w:rPr>
                <w:sz w:val="20"/>
                <w:szCs w:val="20"/>
                <w:color w:val="auto"/>
              </w:rPr>
            </w:pPr>
            <w:r>
              <w:rPr>
                <w:rFonts w:ascii="Arial" w:cs="Arial" w:eastAsia="Arial" w:hAnsi="Arial"/>
                <w:sz w:val="18"/>
                <w:szCs w:val="18"/>
                <w:color w:val="auto"/>
              </w:rPr>
              <w:t>(3,898)</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(23,600)</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(25,986)</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(28,672)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 forma results</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Enfora acquisition consideration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of $64.5 million and additional cash of $13.0 million for an agreed upon amount of Enfora working capital. The Company also agreed to pay additional consideration (“contingent consideration”) of up to $6.0 million based on the operating results of Enfora for the 15 month period from October 1, 2010 to December 31, 2011. The estimated fair value of this contingent consideration at the acquisition date was $0.9 million, resulting in total estimated cash to be paid of $78.4 million. During the quarter ended March 31, 2011, the Company revised its estimate of contingent consideration to $0 and accordingly reflected this change as a benefit to general and administrative expenses for the quarter ended March 31, 2011. There were no changes in the fair value recorded in the three months ended June 30, 2011 as the Company continues to believe the operating results necessary to receive payment of the contingent consideration will not be achieved.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Cinterion</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June 2010, the Company submitted a bid to purchase certain assets of Cinterion Wireless Modules (“Cinterion”), a company in the cellular machine-to-machine communications industry. The Company was not the successful bidder at the conclusion of the process on June 28, 2010.</w:t>
      </w:r>
    </w:p>
    <w:p>
      <w:pPr>
        <w:spacing w:after="0" w:line="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June 2010, the Company borrowed $30 million, net of $2.2 million in lender fees, under a bridge loan facility in connection with its bid. In accordance with bidding procedures during June 2010, the Company deposited into escrow an amount in Euros equal to its bid price using cash and cash equivalents, proceeds from the sale of marketable securities, and borrowings under the $30 million bridge loan facility. The escrowed funds are reflected as a deposit of restricted funds in the accompanying Consolidated Statement of Cash Flows for the six months ended June 30, 2010. The escrowed funds were returned to the Company in July 2010.</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While the Company’s Euro funds were held in escrow, the Company engaged in hedging transactions to address foreign currency risk at a cost of $1.2 million, which amount was recorded in other income (expense), net, in the Consolidated Statement of Operations for the three months ended June 30, 2010.</w:t>
      </w:r>
    </w:p>
    <w:p>
      <w:pPr>
        <w:spacing w:after="0" w:line="6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June 30, 2010, the Company recorded a foreign currency gain of $2.9 million, which was recorded in other income (expense), net, in connection with the conversion of its Euro-denominated escrowed funds into U.S. dollars following completion of the auction on June 28, 2010.</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authoritative accounting guidance, the $2.2 million in lender fees on the $30 million bridge loan facility were recorded as a discount to amounts outstanding under the facility and amortized over the stated term of the facility which was scheduled to mature on September 8, 2010. During June 2010, the Company also incurred $660,000 in professional fees attributable to the bridge facility, which were capitalized and amortized over the stated term of the facility. For the three months ended June 30, 2010, the Company recognized $687,000 in interest expense related to this facility, which primarily consisted of the amortization of lender and professional fees.</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connection with its bid, the Company incurred $2.0 million in legal, advisory and professional fees unrelated to the bridge loan facility, which were recorded in general and administrative expenses in the Consolidated Statement of Operations for the three months ended June 30,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2010, the Company repaid all amounts outstanding under the bridge loan facility.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left="460" w:right="9400" w:hanging="452"/>
        <w:spacing w:after="0" w:line="391" w:lineRule="auto"/>
        <w:tabs>
          <w:tab w:leader="none" w:pos="17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2011</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Amortized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620" w:type="dxa"/>
            <w:vAlign w:val="bottom"/>
            <w:gridSpan w:val="4"/>
            <w:vMerge w:val="continue"/>
          </w:tcPr>
          <w:p>
            <w:pPr>
              <w:spacing w:after="0"/>
              <w:rPr>
                <w:sz w:val="12"/>
                <w:szCs w:val="12"/>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in Years</w:t>
            </w:r>
          </w:p>
        </w:tc>
        <w:tc>
          <w:tcPr>
            <w:tcW w:w="10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2"/>
                <w:szCs w:val="12"/>
                <w:color w:val="auto"/>
              </w:rPr>
            </w:pPr>
          </w:p>
        </w:tc>
        <w:tc>
          <w:tcPr>
            <w:tcW w:w="92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74"/>
              </w:rPr>
              <w:t>Losses</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$ 18,337</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$ 18,355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2,255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Marketable equity securities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4"/>
          </w:tcPr>
          <w:p>
            <w:pPr>
              <w:spacing w:after="0"/>
              <w:rPr>
                <w:sz w:val="20"/>
                <w:szCs w:val="20"/>
                <w:color w:val="auto"/>
              </w:rPr>
            </w:pPr>
            <w:r>
              <w:rPr>
                <w:rFonts w:ascii="Arial" w:cs="Arial" w:eastAsia="Arial" w:hAnsi="Arial"/>
                <w:sz w:val="18"/>
                <w:szCs w:val="18"/>
                <w:color w:val="auto"/>
              </w:rPr>
              <w:t>Available-for-sale:</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tcPr>
          <w:p>
            <w:pPr>
              <w:jc w:val="right"/>
              <w:spacing w:after="0"/>
              <w:rPr>
                <w:sz w:val="20"/>
                <w:szCs w:val="20"/>
                <w:color w:val="auto"/>
              </w:rPr>
            </w:pPr>
            <w:r>
              <w:rPr>
                <w:rFonts w:ascii="Arial" w:cs="Arial" w:eastAsia="Arial" w:hAnsi="Arial"/>
                <w:sz w:val="18"/>
                <w:szCs w:val="18"/>
                <w:color w:val="auto"/>
              </w:rPr>
              <w:t>8,638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Muncipal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$ 43,175</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$ 43,202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62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Corporate debenture/bonds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$ 33,356</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$ 33,384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59,747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580" w:type="dxa"/>
            <w:vAlign w:val="bottom"/>
          </w:tcPr>
          <w:p>
            <w:pPr>
              <w:jc w:val="right"/>
              <w:spacing w:after="0"/>
              <w:rPr>
                <w:sz w:val="20"/>
                <w:szCs w:val="20"/>
                <w:color w:val="auto"/>
              </w:rPr>
            </w:pPr>
            <w:r>
              <w:rPr>
                <w:rFonts w:ascii="Arial" w:cs="Arial" w:eastAsia="Arial" w:hAnsi="Arial"/>
                <w:sz w:val="18"/>
                <w:szCs w:val="18"/>
                <w:color w:val="auto"/>
              </w:rPr>
              <w:t>59,775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Corporate debenture/bonds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tcPr>
          <w:p>
            <w:pPr>
              <w:jc w:val="right"/>
              <w:spacing w:after="0"/>
              <w:rPr>
                <w:sz w:val="20"/>
                <w:szCs w:val="20"/>
                <w:color w:val="auto"/>
              </w:rPr>
            </w:pPr>
            <w:r>
              <w:rPr>
                <w:rFonts w:ascii="Arial" w:cs="Arial" w:eastAsia="Arial" w:hAnsi="Arial"/>
                <w:sz w:val="18"/>
                <w:szCs w:val="18"/>
                <w:color w:val="auto"/>
              </w:rPr>
              <w:t>8,808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580" w:type="dxa"/>
            <w:vAlign w:val="bottom"/>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$ 80,430</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$ 80,451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available-for-sale securities are carried at fair value market value with the related unrealized gains and losses included in accumulated other comprehensive income (loss), which is a separate component of stockholders’ equity. Realized gains and losses on the sale of available-for-sale marketable securities are determined using the specific-identification method.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June 30, 2011, the Company had a net unrealized gain of $27,000 in accumulated other comprehensive (loss) income. The Company’s net unrealized gain is the result of market conditions affecting its fixed-income, debt and equity securities, which are included in accumulated other comprehensive (loss) income in the Consolidated Balance Sheet.</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June 30, 2011, the Company’s investment portfolio included $385,000 of marketable equity securities at original cost, with a fair value of $231,000. These securities are currently traded on the Over the Counter Bulletin Board (OTCBB) and are not traded on major exchanges such as the New York Stock Exchange. For the three months ended June 30, 2011, the Company recorded an other-than-temporary loss of $154,000 within other income (expense), net on the Consolidated Statement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Borders>
              <w:bottom w:val="single" w:sz="8" w:color="CCEEFF"/>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$46,970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36,764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3,175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50,145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43,094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460"/>
              <w:spacing w:after="0"/>
              <w:rPr>
                <w:sz w:val="20"/>
                <w:szCs w:val="20"/>
                <w:color w:val="auto"/>
              </w:rPr>
            </w:pPr>
            <w:r>
              <w:rPr>
                <w:rFonts w:ascii="Arial" w:cs="Arial" w:eastAsia="Arial" w:hAnsi="Arial"/>
                <w:sz w:val="18"/>
                <w:szCs w:val="18"/>
                <w:i w:val="1"/>
                <w:iCs w:val="1"/>
                <w:color w:val="auto"/>
              </w:rPr>
              <w:t>Accrued Expenses</w:t>
            </w: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80" w:type="dxa"/>
            <w:vAlign w:val="bottom"/>
            <w:gridSpan w:val="2"/>
          </w:tcPr>
          <w:p>
            <w:pPr>
              <w:ind w:left="460"/>
              <w:spacing w:after="0"/>
              <w:rPr>
                <w:sz w:val="20"/>
                <w:szCs w:val="20"/>
                <w:color w:val="auto"/>
              </w:rPr>
            </w:pPr>
            <w:r>
              <w:rPr>
                <w:rFonts w:ascii="Arial" w:cs="Arial" w:eastAsia="Arial" w:hAnsi="Arial"/>
                <w:sz w:val="18"/>
                <w:szCs w:val="18"/>
                <w:color w:val="auto"/>
                <w:w w:val="98"/>
              </w:rPr>
              <w:t>Accrued expenses consist of the following (in thousands):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24"/>
                <w:szCs w:val="24"/>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Borders>
              <w:bottom w:val="single" w:sz="8" w:color="CCEEFF"/>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6,366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1,448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7,443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25,479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460"/>
              <w:spacing w:after="0"/>
              <w:rPr>
                <w:sz w:val="20"/>
                <w:szCs w:val="20"/>
                <w:color w:val="auto"/>
              </w:rPr>
            </w:pPr>
            <w:r>
              <w:rPr>
                <w:rFonts w:ascii="Arial" w:cs="Arial" w:eastAsia="Arial" w:hAnsi="Arial"/>
                <w:sz w:val="18"/>
                <w:szCs w:val="18"/>
                <w:i w:val="1"/>
                <w:iCs w:val="1"/>
                <w:color w:val="auto"/>
              </w:rPr>
              <w:t>Accrued Warranty Obligations</w:t>
            </w: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20" w:type="dxa"/>
            <w:vAlign w:val="bottom"/>
            <w:gridSpan w:val="6"/>
          </w:tcPr>
          <w:p>
            <w:pPr>
              <w:ind w:left="460"/>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 June</w:t>
            </w: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right"/>
              <w:ind w:right="108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64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2"/>
                <w:szCs w:val="12"/>
                <w:color w:val="auto"/>
              </w:rPr>
            </w:pPr>
          </w:p>
        </w:tc>
        <w:tc>
          <w:tcPr>
            <w:tcW w:w="1360" w:type="dxa"/>
            <w:vAlign w:val="bottom"/>
            <w:gridSpan w:val="5"/>
          </w:tcPr>
          <w:p>
            <w:pPr>
              <w:ind w:left="280"/>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46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4"/>
              </w:rPr>
              <w:t>2,279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Additions charged to operations</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229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center"/>
              <w:ind w:left="35"/>
              <w:spacing w:after="0"/>
              <w:rPr>
                <w:sz w:val="20"/>
                <w:szCs w:val="20"/>
                <w:color w:val="auto"/>
              </w:rPr>
            </w:pPr>
            <w:r>
              <w:rPr>
                <w:rFonts w:ascii="Arial" w:cs="Arial" w:eastAsia="Arial" w:hAnsi="Arial"/>
                <w:sz w:val="18"/>
                <w:szCs w:val="18"/>
                <w:color w:val="auto"/>
                <w:w w:val="84"/>
              </w:rPr>
              <w:t>1,197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7"/>
              </w:rPr>
              <w:t>(1,767)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2,467</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gridSpan w:val="2"/>
          </w:tcPr>
          <w:p>
            <w:pPr>
              <w:jc w:val="center"/>
              <w:ind w:left="35"/>
              <w:spacing w:after="0"/>
              <w:rPr>
                <w:sz w:val="20"/>
                <w:szCs w:val="20"/>
                <w:color w:val="auto"/>
              </w:rPr>
            </w:pPr>
            <w:r>
              <w:rPr>
                <w:rFonts w:ascii="Arial" w:cs="Arial" w:eastAsia="Arial" w:hAnsi="Arial"/>
                <w:sz w:val="18"/>
                <w:szCs w:val="18"/>
                <w:color w:val="auto"/>
                <w:w w:val="84"/>
              </w:rPr>
              <w:t>1,709</w:t>
            </w:r>
          </w:p>
        </w:tc>
        <w:tc>
          <w:tcPr>
            <w:tcW w:w="300" w:type="dxa"/>
            <w:vAlign w:val="bottom"/>
          </w:tcPr>
          <w:p>
            <w:pPr>
              <w:spacing w:after="0"/>
              <w:rPr>
                <w:sz w:val="19"/>
                <w:szCs w:val="19"/>
                <w:color w:val="auto"/>
              </w:rPr>
            </w:pP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revenues in the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 - Modules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$17,150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 - Integrated Products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Covenant-not-to-compete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Backlog</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44,220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44,220</w:t>
            </w:r>
          </w:p>
        </w:tc>
        <w:tc>
          <w:tcPr>
            <w:tcW w:w="5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43,386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of Enfora included in the cost of net revenues and operating costs and expenses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5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2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$2,439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6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amortizable purchased intangible assets of Enfora that is currently estimated to be expensed in the remainder of 2011 and thereafter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91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9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2011 (remaining 6 months)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3,239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2016</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39,892</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Additionally, at June 30, 2011 and December 31, 2010, the Company had $475,000 and $879,000, respectively, of acquired software licenses, net, representing rights to use certain software necessary for the development and commercial sale of the Company’s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Company’s cash equivalents consist of its investment in money market securities and treasury bills. The Company values its investments in money market and equity securities based on quoted market prices in active markets (Level 1 of the fair value hierarchy).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marketable debt securities consist primarily of investment-grade corporate bonds, municipal bonds, time deposits, and government agency securities. These types of financial instruments are valued based on quoted prices in markets that are not active, broker or dealer quotations, or alternative pricing sources with reasonable levels of price transparency (Level 2 of the fair value hierarchy). From time to time, the Company may utilize foreign exchange forward contracts. These contracts are valued using pricing models that take into account the currency rates as of the balance sheet date (Level 2 of the fair value hierarchy).</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June 30, 2011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June 30, 2011</w:t>
            </w:r>
          </w:p>
        </w:tc>
        <w:tc>
          <w:tcPr>
            <w:tcW w:w="4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Level 3</w:t>
            </w: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0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US Treasury notes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18,355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18,355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Muncipal bonds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Marketable equity securities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26,112</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25,881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5,215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Muncipal bonds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2,266</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17,090</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47,422</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six months ended June 30, 2011. All of our long-term marketable debt securities had maturities of between one and two years in duration at June 30,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 Level 3 activity for our contingent consideration liability for the six months ended June 30, 2011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 2011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(880)</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Adjustments</w:t>
            </w:r>
          </w:p>
        </w:tc>
        <w:tc>
          <w:tcPr>
            <w:tcW w:w="2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June 30, 2011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-179705</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-25400</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-8255</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2011, the Company had no outstanding foreign exchange forward contracts. On December 31, 2010, the Company recorded an unrealized loss of $8,000 on its outstanding foreign currency exchange forward contracts. These contracts were utilized to hedge the Company’s Euro-denominated cash and accounts receivable balances.</w:t>
      </w:r>
    </w:p>
    <w:p>
      <w:pPr>
        <w:spacing w:after="0" w:line="14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During the three and six months ended June 30, 2011, the Company recorded foreign currency losses on its Euro-denominated foreign exchange forward contracts of approximately $0 and $19,000, respectively. During the same periods in 2010, the Company recorded gains on its foreign exchange forward contracts of approximately $180,000 and $336,000, respectively. All recorded gains and losses on foreign exchange transactions are recorded in other (income) expense.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included the following amounts for share-based compensation awards in the accompanying unaudited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six months ended June 30, 2011 and 2010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520" w:hanging="452"/>
        <w:spacing w:after="0" w:line="347" w:lineRule="auto"/>
        <w:tabs>
          <w:tab w:leader="none" w:pos="17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management for making decisions and assessing performance as the source of the Company’s reportable segments.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and services via cellular wireless networks. All products within the segment represent a single product family.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M2M Products and Solutions segment - includes our intelligent asset-management solutions utilizing wireless technology and M2M communications acquired with our acquisition of Enfora.</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Segment revenues and segment operating income (loss) represent the primary financial measures used by senior management to assess performance and include the net revenues, cost of net revenues, sales and operating costs and expenses for which management is held accountable. Segment expenses include sales and marketing, research and development, general and administrative, and amortization expenses that are directly related to individual segments. Segment operating income (loss) also includes acquisition-related costs, purchased intangible asset amortization, restructuring and integration costs.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presents net revenues, operating income (loss) and identifiable assets for our reportable segments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3360" w:type="dxa"/>
            <w:vAlign w:val="bottom"/>
            <w:tcBorders>
              <w:bottom w:val="single" w:sz="8" w:color="CCEEFF"/>
            </w:tcBorders>
            <w:gridSpan w:val="3"/>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105,781</w:t>
            </w:r>
          </w:p>
        </w:tc>
        <w:tc>
          <w:tcPr>
            <w:tcW w:w="6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71,823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$155,577</w:t>
            </w: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4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5"/>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118,021</w:t>
            </w:r>
          </w:p>
        </w:tc>
        <w:tc>
          <w:tcPr>
            <w:tcW w:w="60" w:type="dxa"/>
            <w:vAlign w:val="bottom"/>
          </w:tcPr>
          <w:p>
            <w:pPr>
              <w:spacing w:after="0"/>
              <w:rPr>
                <w:sz w:val="19"/>
                <w:szCs w:val="19"/>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71,823</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179,805</w:t>
            </w:r>
          </w:p>
        </w:tc>
        <w:tc>
          <w:tcPr>
            <w:tcW w:w="4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income (loss) by reportable segment: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2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(8,014)</w:t>
            </w:r>
          </w:p>
        </w:tc>
        <w:tc>
          <w:tcPr>
            <w:tcW w:w="1380" w:type="dxa"/>
            <w:vAlign w:val="bottom"/>
            <w:tcBorders>
              <w:top w:val="single" w:sz="8" w:color="CCEEFF"/>
            </w:tcBorders>
            <w:gridSpan w:val="3"/>
          </w:tcPr>
          <w:p>
            <w:pPr>
              <w:jc w:val="right"/>
              <w:ind w:right="372"/>
              <w:spacing w:after="0"/>
              <w:rPr>
                <w:sz w:val="20"/>
                <w:szCs w:val="20"/>
                <w:color w:val="auto"/>
              </w:rPr>
            </w:pPr>
            <w:r>
              <w:rPr>
                <w:rFonts w:ascii="Arial" w:cs="Arial" w:eastAsia="Arial" w:hAnsi="Arial"/>
                <w:sz w:val="18"/>
                <w:szCs w:val="18"/>
                <w:color w:val="auto"/>
              </w:rPr>
              <w:t>$ (15,670)</w:t>
            </w:r>
          </w:p>
        </w:tc>
        <w:tc>
          <w:tcPr>
            <w:tcW w:w="7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87"/>
              </w:rPr>
              <w:t>$ (12,704)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(9,501)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1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5"/>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(3,101)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(8,014)</w:t>
            </w:r>
          </w:p>
        </w:tc>
        <w:tc>
          <w:tcPr>
            <w:tcW w:w="1380" w:type="dxa"/>
            <w:vAlign w:val="bottom"/>
            <w:gridSpan w:val="3"/>
          </w:tcPr>
          <w:p>
            <w:pPr>
              <w:jc w:val="right"/>
              <w:ind w:right="372"/>
              <w:spacing w:after="0"/>
              <w:rPr>
                <w:sz w:val="20"/>
                <w:szCs w:val="20"/>
                <w:color w:val="auto"/>
              </w:rPr>
            </w:pPr>
            <w:r>
              <w:rPr>
                <w:rFonts w:ascii="Arial" w:cs="Arial" w:eastAsia="Arial" w:hAnsi="Arial"/>
                <w:sz w:val="18"/>
                <w:szCs w:val="18"/>
                <w:color w:val="auto"/>
              </w:rPr>
              <w:t>$ (25,171)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(12,704)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 Computing Products</w:t>
            </w:r>
          </w:p>
        </w:tc>
        <w:tc>
          <w:tcPr>
            <w:tcW w:w="30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181,538</w:t>
            </w: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2"/>
              </w:rPr>
              <w:t>217,445</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5"/>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256,651</w:t>
            </w:r>
          </w:p>
        </w:tc>
        <w:tc>
          <w:tcPr>
            <w:tcW w:w="60" w:type="dxa"/>
            <w:vAlign w:val="bottom"/>
          </w:tcPr>
          <w:p>
            <w:pPr>
              <w:spacing w:after="0"/>
              <w:rPr>
                <w:sz w:val="19"/>
                <w:szCs w:val="19"/>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302,108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and Asia. The following table details the geographic concentration of the Company’s assets in the United States, Canada, Europe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700" w:type="dxa"/>
            <w:vAlign w:val="bottom"/>
          </w:tcPr>
          <w:p>
            <w:pPr>
              <w:spacing w:after="0"/>
              <w:rPr>
                <w:sz w:val="14"/>
                <w:szCs w:val="14"/>
                <w:color w:val="auto"/>
              </w:rPr>
            </w:pPr>
          </w:p>
        </w:tc>
        <w:tc>
          <w:tcPr>
            <w:tcW w:w="44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$248,291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Canada</w:t>
            </w:r>
          </w:p>
        </w:tc>
        <w:tc>
          <w:tcPr>
            <w:tcW w:w="4660" w:type="dxa"/>
            <w:vAlign w:val="bottom"/>
            <w:gridSpan w:val="3"/>
          </w:tcPr>
          <w:p>
            <w:pPr>
              <w:jc w:val="right"/>
              <w:ind w:right="260"/>
              <w:spacing w:after="0"/>
              <w:rPr>
                <w:sz w:val="20"/>
                <w:szCs w:val="20"/>
                <w:color w:val="auto"/>
              </w:rPr>
            </w:pPr>
            <w:r>
              <w:rPr>
                <w:rFonts w:ascii="Arial" w:cs="Arial" w:eastAsia="Arial" w:hAnsi="Arial"/>
                <w:sz w:val="18"/>
                <w:szCs w:val="18"/>
                <w:color w:val="auto"/>
              </w:rPr>
              <w:t>7,186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Asia</w:t>
            </w:r>
          </w:p>
        </w:tc>
        <w:tc>
          <w:tcPr>
            <w:tcW w:w="37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r>
      <w:tr>
        <w:trPr>
          <w:trHeight w:val="27"/>
        </w:trPr>
        <w:tc>
          <w:tcPr>
            <w:tcW w:w="4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256,651</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302,108</w:t>
            </w:r>
          </w:p>
        </w:tc>
        <w:tc>
          <w:tcPr>
            <w:tcW w:w="10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concentration of the Company’s net revenues by geographic region based on the ship to location: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1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7"/>
              </w:rPr>
              <w:t>Three months ended</w:t>
            </w:r>
          </w:p>
        </w:tc>
        <w:tc>
          <w:tcPr>
            <w:tcW w:w="1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6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95.2%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93.3%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1060" w:type="dxa"/>
            <w:vAlign w:val="bottom"/>
            <w:gridSpan w:val="2"/>
          </w:tcPr>
          <w:p>
            <w:pPr>
              <w:jc w:val="right"/>
              <w:ind w:right="492"/>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060" w:type="dxa"/>
            <w:vAlign w:val="bottom"/>
            <w:gridSpan w:val="2"/>
          </w:tcPr>
          <w:p>
            <w:pPr>
              <w:jc w:val="right"/>
              <w:ind w:right="492"/>
              <w:spacing w:after="0"/>
              <w:rPr>
                <w:sz w:val="20"/>
                <w:szCs w:val="20"/>
                <w:color w:val="auto"/>
              </w:rPr>
            </w:pPr>
            <w:r>
              <w:rPr>
                <w:rFonts w:ascii="Arial" w:cs="Arial" w:eastAsia="Arial" w:hAnsi="Arial"/>
                <w:sz w:val="18"/>
                <w:szCs w:val="18"/>
                <w:color w:val="auto"/>
              </w:rPr>
              <w:t>4.2</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6640" w:type="dxa"/>
            <w:vAlign w:val="bottom"/>
          </w:tcPr>
          <w:p>
            <w:pPr>
              <w:spacing w:after="0"/>
              <w:rPr>
                <w:sz w:val="19"/>
                <w:szCs w:val="19"/>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w w:val="93"/>
              </w:rPr>
              <w:t>100.0 %</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100.0 %</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w w:val="96"/>
              </w:rPr>
              <w:t>100.0 %</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100.0 %</w:t>
            </w:r>
          </w:p>
        </w:tc>
      </w:tr>
      <w:tr>
        <w:trPr>
          <w:trHeight w:val="20"/>
        </w:trPr>
        <w:tc>
          <w:tcPr>
            <w:tcW w:w="6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net revenues are derived from a small number of customers. For the three months ended June 30, 2011, sales to our three largest customers accounted for 46.9%, 19.4%, and 12.3% of net revenues. In the same period in 2010, sales to our two largest customers accounted for 62.2% and 20.9% of net revenues. No other customer accounted for more than ten percent of total net revenues in the three months ended June 30, 2011 and 2010. For the six months ended June 30, 2011, sales to</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3" w:name="page14"/>
    <w:bookmarkEnd w:id="13"/>
    <w:p>
      <w:pPr>
        <w:jc w:val="both"/>
        <w:ind w:right="1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three largest customers accounted for 42.7%, 20.2%, and 11.5% of net revenues. In the same period in 2010, sales to our two largest customers accounted for 59.1% and 12.9% of net revenues. No other customer accounted for more than ten percent of total net revenues in the six months ended June 30, 2011 and 2010.</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outsources its manufacturing to five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contracts with a number of suppliers in Japan. Some of these suppliers have been unable to deliver sufficient quantities of components as a result of the effects of the earthquake and tsunami that occurred in Japan in March 2011. The Company’s M2M products are being impacted significantly by these component shortages. The shortages have limited the Company’s ability to deliver against sales opportunities, negatively impacting gross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For the three and six months ended June 30, 2011, basic and diluted weighted-average common shares outstanding were 32,048,141 and 31,978,771, respectively. During these same periods, weighted-average options and RSUs shares to acquire a total of 4,792,540 and 3,953,808 shares of common stock, respectively, were outstanding but not included in the computation of diluted earnings per share as their effect was anti-dilutive.</w:t>
      </w:r>
    </w:p>
    <w:p>
      <w:pPr>
        <w:spacing w:after="0" w:line="107" w:lineRule="exact"/>
        <w:rPr>
          <w:sz w:val="20"/>
          <w:szCs w:val="20"/>
          <w:color w:val="auto"/>
        </w:rPr>
      </w:pPr>
    </w:p>
    <w:p>
      <w:pPr>
        <w:jc w:val="both"/>
        <w:ind w:right="480" w:firstLine="456"/>
        <w:spacing w:after="0" w:line="335" w:lineRule="auto"/>
        <w:rPr>
          <w:sz w:val="20"/>
          <w:szCs w:val="20"/>
          <w:color w:val="auto"/>
        </w:rPr>
      </w:pPr>
      <w:r>
        <w:rPr>
          <w:rFonts w:ascii="Arial" w:cs="Arial" w:eastAsia="Arial" w:hAnsi="Arial"/>
          <w:sz w:val="15"/>
          <w:szCs w:val="15"/>
          <w:color w:val="auto"/>
        </w:rPr>
        <w:t>For the three and six months ended June 30, 2010, basic and diluted weighted-average common shares outstanding were 31,438,514 and 31,312,416, respectively. During these same periods, weighted-average options RSUs, and unissued ESPP shares to acquire a total of 4,898,809 and 4,337,627 shares of common stock, respectively, were outstanding but not included in the computation of diluted earnings per share as their effect was anti-dilutive.</w:t>
      </w:r>
    </w:p>
    <w:p>
      <w:pPr>
        <w:spacing w:after="0" w:line="163" w:lineRule="exact"/>
        <w:rPr>
          <w:sz w:val="20"/>
          <w:szCs w:val="20"/>
          <w:color w:val="auto"/>
        </w:rPr>
      </w:pPr>
    </w:p>
    <w:p>
      <w:pPr>
        <w:ind w:left="460" w:right="8740" w:hanging="452"/>
        <w:spacing w:after="0" w:line="391" w:lineRule="auto"/>
        <w:tabs>
          <w:tab w:leader="none" w:pos="17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after which the court took the matter under submission. The court has not yet issued a ruling on the motion. The Company intends to defend this litigation vigorously. We are unable at this time to estimate the effects of this lawsuit on our financial position, results of operations or cash flows.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an award of legal fees as part of the terms to be included in a stipulation of settlement. Plaintiffs have since purported to terminate the memorandum of understanding. On January 28, 2011, the court held an informal status conference, at which plaintiffs requested that the court lift the stay of the action. The court declined plaintiffs’ request. Following certain additional confirmatory discovery, the Company anticipates seeking to enforce the terms of the parties’ memorandum of understanding. At this time the Company is unable to estimate the amount of attorney’s fees that may be approved by the court.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July 2011, the Company entered into a credit facility with a bank to allow margin borrowings based on the Company’s investments in cash equivalents and marketable securities held with the bank. This facility is collateralized by the Company’s cash equivalents and marketable securities held with the bank. Borrowings under the facility incur interest rate at the bank’s base rate plus 1%. This margin account facility provides us with the flexibility to access cash for short periods of time and avoid the need to sell marketable securities for these short-term requirements. At August 1, 2011, the Company had approximately $25 million in cash equivalents and marketable securities held at this bank. Any monies borrowed and interest incurred are payable on demand, and there is no express expiration date to the credit facility. As of August 1, 2011, the Company has outstanding borrowings of $8 million under the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2"/>
              </w:rPr>
              <w:t>June 30,</w:t>
            </w:r>
          </w:p>
        </w:tc>
        <w:tc>
          <w:tcPr>
            <w:tcW w:w="18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7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$(3,898)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(22,039)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(25,986)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(25,428)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Unrealized gain on cash equivalents and marketable securities, net of tax</w:t>
            </w:r>
          </w:p>
        </w:tc>
        <w:tc>
          <w:tcPr>
            <w:tcW w:w="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5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(3,794)</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(22,075)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(25,980)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(25,443)</w:t>
            </w:r>
          </w:p>
        </w:tc>
      </w:tr>
      <w:tr>
        <w:trPr>
          <w:trHeight w:val="20"/>
        </w:trPr>
        <w:tc>
          <w:tcPr>
            <w:tcW w:w="5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a review of the four sources of taxable income as of June 30, 2011 (as described above), the Company recognized an increase in the valuation allowance primarily related to its U.S.-based deferred tax amounts resulting from carryforward net operating losses generated during the three and six months ended June 30, 2011. These deferred tax benefits, combined with a corresponding charge to income tax expense of $1.6 and $10.1 million related to the increased valuation allowance, during the three and six months ended June 30, 2011, respectively, resulted in an insignificant effective income tax rate for the three and six months ended June 30, 2011. The Company’s valuation allowance was $31.8 million on gross deferred tax assets of $34.2 million at June 30, 2011. The net unreserved portion of the Company’s remaining deferred tax assets at June 30, 2011 primarily related to research and development tax credits associated with the Company’s Canadian subsidiary.</w:t>
      </w:r>
    </w:p>
    <w:p>
      <w:pPr>
        <w:spacing w:after="0" w:line="11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For the three and six months ended June 30, 2011, the Company recorded income tax expense, including discrete items, of $275,000, and $573,000, respectively. These amounts vary from the income tax benefit that would be computed at the U.S. statutory rate resulting from its operating losses during the same period primarily due to an offsetting increase in the Company’s U.S.-based deferred tax valuation allowance and expenses attributable to foreign operations.</w:t>
      </w:r>
    </w:p>
    <w:p>
      <w:pPr>
        <w:spacing w:after="0" w:line="8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at the largest amount that is more-likely-than-not to be sustained upon audit by the relevant taxing authority. An uncertain income tax position will not be recognized if it has less than a 50% likelihood of being sustained. As of June 30, 2011 and December 31, 2010, the total liability for unrecognized tax benefits was $12.3 million and $12.0 million, respectively, and is included in other long-term liabilities. For the three and six months ended June 30, 2011, the Company included $145,000 and $299,000 respectively, of interest expense related to uncertain tax positions in its Consolidated Statements of Operations.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third quarter of 2011, the Company expects to release $11.8 million of its liability for unrecognized tax benefits due to the expiration of the statute of limitations applicable to the 2007 taxable year.</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Internal Revenue Service is currently conducting an examination of the Company’s U.S. income tax return for 2009. The Company is also subject to various income federal tax examinations for the 2001 through 2009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2010 contained in our 2010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mobile computing products principally includes intelligent mobile hotspots, USB modems, embedded PCI and wireless PC-card modems, and communications and applications software. In addition, through our acquisition of Enfora, Inc. (“Enfora”) on November 30, 2010, our product portfolio was expanded to include asset-management solutions utilizing wireless technology and machine-to-machine (M2M) communications devices.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products operate on a majority of the world’s wireless networks. Our mobile hotspots and modems provide subscribers with secure and convenient high speed access to corporate, public and personal information through the Internet and enterprise networks. Our M2M products enable devices to communicate with end users and machines and with server-based application infrastructure.</w:t>
      </w:r>
    </w:p>
    <w:p>
      <w:pPr>
        <w:spacing w:after="0" w:line="14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Telefonica, Verizon Wireless, Virgin Mobile, and Vodafone; laptop PC and other original equipment manufacturers (OEMs), including Dell; as well as distributors and various companies in other vertical markets. Our M2M customer base is comprised of transportation companies, industrial companies, manufacturers of medical devices and geographical-location aware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hardware components used in our solutions are produced by contract manufacturers. Their services include component procurement, assembly, testing, quality control, fulfillment and delivery. We have agreements with LG Innotek; Inventec Appliances Corporation, or IAC; Hon Hai Precision Industry co., LTD; Benchmark Electronics; and Flextronics for the outsourced manufacturing of our products. In addition, we have an agreement with Mobiltron for certain distribution, fulfillment and repair services related to our business in Europe, the Middle East and Africa, or EMEA.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introducing additional products during 2011, including 4G broadband-access products, M2M solutions and software applications and platforms. We continue to develop and maintain strategic relationships with wireless and computing industry leaders like Alcatel-Lucent, Dell, QUALCOMM, Sprint Nextel, Verizon Wireless, Virgin Mobile, Vodafone, Telefonica, Texas Instruments, Motorola Mobility Holdings and major software vendors. Through strategic relationships, we have been able to increase market penetration by leveraging the resources of our channel partners, including their access to distribution resources, increased sales opportunities and market opportunities. We have entered into and expect to continue to enter into new customer contracts for the development and supply of our products. This may place significant demands on our resources.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extremely competitive market for wireless devices, we have experienced and expect to continue to experience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 We have experienced significant fluctuations in our quarterly results of operations. Demand for our products may continue to fluctuate unexpectedly, which could materially adversely affect our results of operations and financial condition.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contract with a number of suppliers in Japan. Some of these suppliers have been unable to deliver sufficient quantities of components as a result of the effects of the earthquake and tsunami that occurred in Japan in March 2011. Our M2M products are being impacted significantly by these component shortages. The shortages have limited our ability to deliver against sales opportunities, negatively impacting gross margins. We have implemented mitigation plans, and currently expect a recovery during the second half of 2011.</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additional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Amortization of purchased intangible assets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valuation of contingent consideration, royalty costs, provision for warranty costs, income taxes, and share-based compensation expense. The significant accounting policies used in preparation of these consolidated financial statements for the three and six months ended June 30, 2011 are consistent with those discussed in Note 1 to the consolidated financial statements included in our 2010 Form 10-K in all material respects and in Note 1 to the consolidated financial statements included in this report. The critical accounting policies and the significant judgments and estimates used in the preparation of our consolidated financial statements for the three and six months ended June 30, 2011 are consistent with those discussed in our 2010 Form 10-K in the section captioned “Management’s Discussion and Analysis of Financial Condition and Results of Operations — Critical Accounting Policies and Estimates.”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2011 Compared to Three Months Ended June 30, 2010</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June 30, 2011 were $118.0 million, an increase of $46.2 million or 64.3%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2010.</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three months ended June 30, 2011 and June 30, 2010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$105,781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40" w:type="dxa"/>
            <w:vAlign w:val="bottom"/>
            <w:gridSpan w:val="4"/>
            <w:vMerge w:val="continue"/>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$ 118,021</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604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$101,309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Modules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Solutions &amp; Services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4,894</w:t>
            </w:r>
          </w:p>
        </w:tc>
        <w:tc>
          <w:tcPr>
            <w:tcW w:w="5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$ 118,021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three months ended June 30, 2011 were $105.8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$34.0 million or 47.3% compared to the same period in 2010. The increase is primarily attributable to new product rollouts of our next generation 4G MiFi Intelligent Mobile Hotspot.</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three months ended June 30, 2011 were $12.2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no net revenues from the same period last year. The increase is attributable to our acquisition of Enfora during the fourth quarter of 2010. The net revenues consist primarily of 2G Global System for Mobile Communications (“GSM”) embedded modules, and solutions and services.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Product Categories. </w:t>
      </w:r>
      <w:r>
        <w:rPr>
          <w:rFonts w:ascii="Arial" w:cs="Arial" w:eastAsia="Arial" w:hAnsi="Arial"/>
          <w:sz w:val="16"/>
          <w:szCs w:val="16"/>
          <w:color w:val="auto"/>
        </w:rPr>
        <w:t>Net revenues from our Mobile Broadband Devices category for the three months ended June 30, 2011 were $101.3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$30.3 million or 42.8% compared to the same period in 2010. The increase in net revenues was driven by higher sales of our Mobile Broadband Devices, which includes MiFi products, USB modems and combination-card products. The Embedded Modules category accounted for 10% of total net revenues for the three months ended June 30, 2011. This included $7.8 million in sales of M2M modules and $4.0 million of embedded modules products. Net revenues from Solutions &amp; Services were $4.8 million and accounted for approximately 4% of total net revenues for the three months ended June 30, 2011. The increases in net revenues in Embedded Modules and Solutions and Services compared to the same period in 2010 were primarily related to the Enfora acquisition.</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Cost of net revenues. </w:t>
      </w:r>
      <w:r>
        <w:rPr>
          <w:rFonts w:ascii="Arial" w:cs="Arial" w:eastAsia="Arial" w:hAnsi="Arial"/>
          <w:sz w:val="15"/>
          <w:szCs w:val="15"/>
          <w:color w:val="auto"/>
        </w:rPr>
        <w:t>Cost of net revenues for the three months ended June 30, 2011 was $91.8 million, or 77.8% of net revenues, as compared to $58.2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81.1% of net revenues, for the same period in 2010. During the second quarter of 2011, the cost of revenues as a percentage of net revenues benefitted from a favorable mix of MiFi products and USB modems sold that included recently launched next generation 4G products and from a higher revenue level in proportion to fixed manufacturing overhead costs. However, the cost of net revenues as a percentage of revenues was negatively impacted by relatively lower gross margins in our M2M Products and Solutions segment due to unfavorable product mix, higher fixed overhead costs relative to net revenues, and amortization costs of $1.1 million related to purchased intangibles in connection with our Enfora acquisition. Cost of revenues as a percentage of net revenues is expected to fluctuate in future quarters depending on revenue levels, the mix of products sold, competitive pricing, new product introduction costs and other factors.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Increased competitive pressures may negatively impact the average sales prices of our products, and consequently, also impact the gross margins of future sales. This may also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2011 was $26.2 million, or 22.2% of net revenues, compared to $13.6 million, or 18.9%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2010. The increase was primarily attributable to the changes in net revenues and cost of net revenues as discussed above. We expect that our gross profit percentage will continue to fluctuate from quarter to quarter depending on revenue levels, product mix, competitive selling prices, our ability to reduce product costs and changes in unit volumes.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Research and development expenses. </w:t>
      </w:r>
      <w:r>
        <w:rPr>
          <w:rFonts w:ascii="Arial" w:cs="Arial" w:eastAsia="Arial" w:hAnsi="Arial"/>
          <w:sz w:val="18"/>
          <w:szCs w:val="18"/>
          <w:color w:val="auto"/>
        </w:rPr>
        <w:t>Research and development expenses for the three months ended June 30, 2011 were $14.8 million, or 12.6%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$11.2 million, or 15.6% of net revenues, for the same period in 2010. The increase in dollar spending was due to our Enfora acquisition and additional engineering headcount in our Mobile Computing Products segment to support expanded development activities during the three months ended June 30, 2011 compared to the same period in 2010.</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We expect to maintain or increase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3"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three months ended June 30, 2011 were $8.2 million, or 7.0% of net revenues,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$4.4 million, or 6.1% of net revenues, for the same period in 2010. The increase for the three months ended June 30, 2011 compared to the same period in 2010 related to our Enfora acquisition, and higher cooperative advertising expenses in our Mobile Computing Products segment.</w:t>
      </w:r>
    </w:p>
    <w:p>
      <w:pPr>
        <w:spacing w:after="0" w:line="8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2011 were $5.7 million, or 4.8%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$6.1 million, or 8.5% of net revenues, for the same period in 2010. General and administrative expenses for the three months ended June 30, 2011 declined as compared to the same period in 2010, despite the expense in 2011 of $950,000 related to our M2M Products and Solutions segment. However, in the second quarter of 2010, general and administrative expenses contained approximately $2 million in legal, professional, and advisory fees related to our attempted acquisition of Cinterion.</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we are closely monitoring and undertaking to control general and administrative costs, we expect these costs to be negatively impacted by legal fees incurred by the Company to defend the claims described in Note 9 to our Consolidated Financial Statements included in this report.</w:t>
      </w:r>
    </w:p>
    <w:p>
      <w:pPr>
        <w:spacing w:after="0" w:line="7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amortization expense for the three months ended June 30, 2011 was due to the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purchased intangible assets from the Enfora acquisition completed during the fourth quarter of 2010.</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(expense), net. </w:t>
      </w:r>
      <w:r>
        <w:rPr>
          <w:rFonts w:ascii="Arial" w:cs="Arial" w:eastAsia="Arial" w:hAnsi="Arial"/>
          <w:sz w:val="16"/>
          <w:szCs w:val="16"/>
          <w:color w:val="auto"/>
        </w:rPr>
        <w:t>Interest income (expense), net, for the three months ended June 30, 2011 was $85,000 of income as compared to $604,000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expense, net for the same period in 2010. The higher expense in 2010 related to interest expense and the amortization of debt issuance costs on a $30 million short-term bridge loan facility associated with our attempted acquisition of Cinterion. The weighted-average interest rate earned by the Company on its cash, cash equivalents and marketable securities was 0.13% and 0.07% in the second quarter of 2011 and 2010,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June 30, 2011 was $607,000 of expense as compared to $1.4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income for the same period in 2010. The other expense in 2011 related to foreign currency losses on South Korean won denominated trade payables. The other income, net, in 2010 related to net foreign exchange related gains on Euro-based currency holdings in escrow associated a bid deposit on our attempted acquisition of Cinterion.</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for the three months ended June 30, 2011 was $275,000, as compared to $14.8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During the second quarter of 2010, the Company recorded a $14.8 million valuation allowance against its previously unreserved U.S.-based deferred tax assets.</w:t>
      </w:r>
    </w:p>
    <w:p>
      <w:pPr>
        <w:spacing w:after="0" w:line="140"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effective tax rate for the three months ended June 30, 2011 is different than the U.S. statutory rate primarily due to a valuation allowance recorded against additional U.S.-based deferred tax assets generated in the second quarter of 2011, net of income tax expenses attributable to foreign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Net loss. </w:t>
      </w:r>
      <w:r>
        <w:rPr>
          <w:rFonts w:ascii="Arial" w:cs="Arial" w:eastAsia="Arial" w:hAnsi="Arial"/>
          <w:sz w:val="15"/>
          <w:szCs w:val="15"/>
          <w:color w:val="auto"/>
        </w:rPr>
        <w:t>For the three months ended June 30, 2011, we reported a net loss of $3.9 million, as compared to a net loss of $22.0 million for the same period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 Months Ended June 30, 2011 Compared to Six Months Ended June 30, 2010</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six months ended June 30, 2011 were $179.8 million, an increase of $35.7 million or 24.8%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2010.</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six months ended June 30, 2011 and June 30, 2010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$155,577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179,805</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596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$149,547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Modules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Solutions &amp;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179,805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six months ended June 30, 2011 were $155.6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$11.5 million or 8.0% compared to the same period in 2010. The rise in net revenues of our Mobile Computing Products segment was attributable primarily to product rollouts of our next generation 4G products, especially the MiFi Intelligent Mobile Hotspot.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six months ended June 30, 2011 were $24.2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no net revenues from the same period last year, as our acquisition of Enfora did not occur until the fourth quarter of 2010. The net revenues consist primarily of GSM embedded modules, and solutions and services.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i w:val="1"/>
          <w:iCs w:val="1"/>
          <w:color w:val="auto"/>
        </w:rPr>
        <w:t xml:space="preserve">Product Categories. </w:t>
      </w:r>
      <w:r>
        <w:rPr>
          <w:rFonts w:ascii="Arial" w:cs="Arial" w:eastAsia="Arial" w:hAnsi="Arial"/>
          <w:sz w:val="18"/>
          <w:szCs w:val="18"/>
          <w:color w:val="auto"/>
        </w:rPr>
        <w:t>Net revenues from our Mobile Broadband Devices category for the six months ended June 30, 2011 were $149.5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$9.0 million or 6.4% compared to the same period in 2010. The increase in net revenues was driven by higher sales of our MiFi products, USB modems and combination-card products. Net revenues for our Embedded Modules products were $18.2 million, an increase of $15.7 million compared to the same period in 2010. The increase in net revenues was related primarily to the Enfora acquisition. Net revenues from Solutions &amp; Services for the six months ended June 30, 2011 were $12.1 million, an increase of $11.1 million compared to the same period in 2010. The increase in net revenues was primarily related to the Enfora acquisition.</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six months ended June 30, 2011 was $147.6 million, or 82.1% of net revenues, as compared to $112.7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78.2% of net revenues, for the same period in 2010. The increase in cost of net revenues as a percentage of net revenues in 2011 resulted from sales of end of life 3G products in our Mobile Computing Products segment during the first quarter of 2011. The cost of net revenues as a percentage of revenues was also negatively impacted by lower gross margins in our M2M Products and Solutions segment due to unfavorable product mix, higher fixed overhead costs relative to net revenues, and amortization costs of $2.4 million related to purchased intangibles related to our Enfora acquisition. Cost of net revenues as a percentage of net revenues is expected to fluctuate in future quarters depending on revenue levels, the mix of products sold, competitive pricing, new product introduction costs and other factors.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Increased competitive pressures may negatively impact the average sales prices of our products, and consequently also impact the gross margins of future sales. This may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six months ended June 30, 2011 was $32.2 million, or 17.9% of net revenues, compared to $31.4 million, or 21.8%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for the same period in 2010. The decrease in percentage to revenue was primarily attributable to the changes in net revenues and cost of net revenues as discussed above. We expect that our gross profit percentage will continue to fluctuate from quarter to quarter depending on revenue levels, product mix, competitive selling prices, our ability to reduce product costs and changes in unit volumes.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Research and development expenses. </w:t>
      </w:r>
      <w:r>
        <w:rPr>
          <w:rFonts w:ascii="Arial" w:cs="Arial" w:eastAsia="Arial" w:hAnsi="Arial"/>
          <w:sz w:val="16"/>
          <w:szCs w:val="16"/>
          <w:color w:val="auto"/>
        </w:rPr>
        <w:t>Research and development expenses for the six months ended June 30, 2011 were $30.4 million, or 16.9%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$22.5 million, or 15.6% of net revenues, for the same period in 2010. The increase was due to our Enfora acquisition and additional engineering headcount in our Mobile Computing Products segment. In addition, we incurred higher consulting, testing and certification fees to support expanded development and 4G product introduction activities during the six months ended June 30, 2011 compared to the same period in 2010.</w:t>
      </w:r>
    </w:p>
    <w:p>
      <w:pPr>
        <w:spacing w:after="0" w:line="11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We expect to maintain or increase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2011 were $15.6 million, or 8.7%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$11.1 million, or 7.7% of net revenues, for the same period in 2010. The increase for the six months ended June 30, 2011 compared to the same period in 2010 was due primarily to our Enfora acquisition.</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six months ended June 30, 2011 were $10.3 million, or 5.7%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$10.5 million, or 7.3% of net revenues, for the same period in 2010. The decrease in expenses for the 2011 period was due to an $880,000 benefit related to the revision of estimated contingent consideration related to the acquisition of Enfora, partially offset by the increase in compensation expenses related to the acquisition, as well as higher legal costs. Also, general and administrative expense in 2010 contained approximately $2 million in legal, professional, and advisory fees related to our attempted acquisition of Cinterion.</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While we are closely monitoring and undertaking to control general and administrative costs, we expect these costs to be negatively impacted by legal fees incurred by the Company to defend the claims described in Note 9 to our Consolidated Financial Statements included in this report.</w:t>
      </w:r>
    </w:p>
    <w:p>
      <w:pPr>
        <w:spacing w:after="0" w:line="79"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amortization expense for the six months ended June 30, 2011 was due to the amortization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intangible assets from the Enfora acquisition completed during the fourth quarter of 2010.</w:t>
      </w:r>
    </w:p>
    <w:p>
      <w:pPr>
        <w:spacing w:after="0" w:line="12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(expense), net. </w:t>
      </w:r>
      <w:r>
        <w:rPr>
          <w:rFonts w:ascii="Arial" w:cs="Arial" w:eastAsia="Arial" w:hAnsi="Arial"/>
          <w:sz w:val="16"/>
          <w:szCs w:val="16"/>
          <w:color w:val="auto"/>
        </w:rPr>
        <w:t>Interest income (expense), net, for the six months ended June 30, 2011 was $243,000 of income as compared to $406,000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expense, net for the same period in 2010. The net interest expense in 2010 related to interest expense and the amortization of debt issuance costs on a $30 million short-term bridge loan facility associated with our attempted acquisition of Cinterion. The weighted-average interest rate earned by the Company on its cash, cash equivalents and marketable securities was 0.28% and 0.18% in the second quarter of 2011 and 2010,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six months ended June 30, 2011 was $485,000 of expense as compared to $1.3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income for the same period in 2010. The other expense in 2011 related to foreign currency losses on South Korean won denominated trade payables. The other income, net, in 2010 related to net foreign exchange related gains on Euro-based currency holdings in escrow associated a bid deposit on our attempted acquisition of Cinterion.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for the six months ended June 30, 2011 was $573,000, as compared to $13.6 million for the same period in 2010.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2010, the Company recorded a $14.8 million valuation allowance against its previously unreserved U.S.-based deferred tax assets.</w:t>
      </w:r>
    </w:p>
    <w:p>
      <w:pPr>
        <w:spacing w:after="0" w:line="18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effective tax rate for the six months ended June 30, 2011 is different than the U.S. statutory rate primarily due to a valuation allowance recorded against additional U.S.-based deferred tax assets generated in the first six months of 2011, and expenses attributable to foreign operations.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six months ended June 30, 2011, we reported a net loss of $26.0 million, as compared to a net loss of $25.4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Net income was negatively impacted due to a substantial decline in revenues in the first quarter of 2011 and increases in operating expenses as discussed above.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Beginning in the first quarter of 2011 and continuing through the second quarter of 2011, the Company engaged in significant product launch efforts to commercialize 4G mobile computing products, while experiencing declining demand for its end of life 3G mobile computing products. The delayed launch of certain 4G products resulted in higher than planned inventory at June 30, 2011.</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believe as our 4G products continue to ship to customers during the remainder of the year, our inventory levels will be reduced and accounts receivable and cash receipts will increase. Based on our current expectations, total cash and cash equivalents and marketable securities will be lower at September 30, 2011 than at June 30, 2011, but are expected to increase in the fourth quarter of 2011 as compared to September 30, 2011.</w:t>
      </w:r>
    </w:p>
    <w:p>
      <w:pPr>
        <w:spacing w:after="0" w:line="10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To address short term liquidity requirements resulting from working capital changes as we continue launching our 4G products, in July 2011, the Company entered into a margin credit facility with a bank. The use of this margin credit facility allows the Company to meet short-term cash requirements and avoid selling cash equivalents and marketable securities. Borrowings under this facility are collateralized by Company cash equivalents and marketable securities on deposit at the bank. At August 1, 2011, the Company had outstanding borrowings of $8.0 million under this facility.</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presently believe that our cash, cash equivalents, and marketable securities, together with anticipated cash flows from operations, will be sufficient to meet our working capital needs for the next 12 months. Our liquidity could be impaired if there is a material interruption of our business operations, a material failure to satisfy our contractual commitments or a failure to generate adequate revenue from our new and existing products.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71,341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gridSpan w:val="3"/>
            <w:vMerge w:val="continue"/>
          </w:tcPr>
          <w:p>
            <w:pPr>
              <w:spacing w:after="0"/>
              <w:rPr>
                <w:sz w:val="18"/>
                <w:szCs w:val="18"/>
                <w:color w:val="auto"/>
              </w:rPr>
            </w:pPr>
          </w:p>
        </w:tc>
        <w:tc>
          <w:tcPr>
            <w:tcW w:w="2200" w:type="dxa"/>
            <w:vAlign w:val="bottom"/>
            <w:gridSpan w:val="2"/>
          </w:tcPr>
          <w:p>
            <w:pPr>
              <w:ind w:left="21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32,013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26,112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3"/>
              </w:rPr>
              <w:t>17,090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75,215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Working capital is defined as the excess of current assets over current liabilities.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Included in working capital.</w:t>
      </w:r>
    </w:p>
    <w:p>
      <w:pPr>
        <w:spacing w:after="0" w:line="16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working capital decreased $15.8 million from December 31, 2010 to June 30, 2011. The decrease was primarily due to the operating loss in the six months ended June 30, 2011. Our working capital was also affected by the expanded development of our 4G products.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2011, cash and cash equivalents and marketable securities decreased by $22.6 million from December 31, 2010. The principal component of this net decrease was the cash used by our operating activities of $17.5 million, and cash used to pay for acquisition of property, plant and equipment of $3.8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(17,519)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32,780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72,210</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(160,981)</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1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(84,804)</w:t>
            </w: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9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$ 32,013</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15,221</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$17.5 million for the six months ended June 30, 2011 as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of $4.0 million for the same period in 2010. Net cash used for the six months ended June 30, 2011 was primarily attributable to our net loss of $26.0 million, along with the unfavorable impact of a significant</w:t>
      </w:r>
    </w:p>
    <w:p>
      <w:pPr>
        <w:sectPr>
          <w:pgSz w:w="11900" w:h="16838" w:orient="portrait"/>
          <w:cols w:equalWidth="0" w:num="1">
            <w:col w:w="11400"/>
          </w:cols>
          <w:pgMar w:left="240" w:top="274"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274" w:right="259" w:bottom="1440" w:gutter="0" w:footer="0" w:header="0"/>
          <w:type w:val="continuous"/>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reduction in accounts payable as we paid for product purchased in the fourth quarter of 2010 to support the higher fourth quarter 2010 sales activity, and an increase in our inventory at the end of second quarter 2011. The unfavorable impact during the six months ended June 30, 2011 was partially offset by the net cash collected from accounts receivable, and non-cash charges including depreciation and amortization, and share-based compensation. During the same period in 2010, the difference between our net loss of $25.4 million and our net cash provided by operating activities of $4.0 million was primarily due to cash provided by working capital changes, and the favorable impact of non-cash charges, including depreciation and amortization, non-cash income tax benefit, and share-based compensation.</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during the six months ended June 30, 2011 was $32.8 million compared to $72.2 million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same period in 2010. Cash provided by investing activities during the six months ended June 30, 2011 was related to net sales of marketable securities of $36.7 million, partially offset by purchases of property, plant, and equipment for approximately $3.8 million. Cash provided by investing activities during the same period in 2010 was primarily related to net sales of marketable securities of $76.0 million.</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during the six months ended June 30, 2011 was $677,000, compared to $160.9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2010. Net cash used in financing activities in 2011 was primarily related to taxes paid on behalf of employees for restricted stock units which vested during the period. Net cash used in financing activities in 2010 was primarily related to the transfer of funds to an escrow account in connection with the attempted acquisition of Cinterion. The Company was not the successful bidder and the escrow funds where returned to the Company in July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9 to our consolidated financial statements included in this report. These costs cannot be estimated at this time.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$11.0 million for discretionary capital expenditures, including the acquisition of additional software licenses.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Since December 31, 2010,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2010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2011,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2011,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re Novatel Wireless Securities Litigation.</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February 14, 2011,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after which the court took the matter under submission. The court has not yet issued a ruling on the motion. Except as described above, there have been no material developments in our legal proceedings since December 31, 2010. For additional information regarding the Company’s legal proceedings, see Item 3, “Legal Proceedings” in our 2010 Form 10-K.</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risk factors from those disclosed in Item 1A of the Company’s 2010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40" w:firstLine="464"/>
        <w:spacing w:after="0" w:line="288"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June 16, 2011, the Compensation Committee (the “Committee”) of the Board of Directors of Novatel Wireless, Inc. (the “Company”) adopted a bonus plan applicable to the Company’s executive officers for the fiscal year ending December 31, 2011. Under the terms of the plan, each participant is eligible to receive a discretionary cash bonus from the Company in a dollar amount equal to a percentage of his or her annual base salary in effect as of the end of 2011. The award of a bonus is subject to the achievement of a Company-wide financial goal and commercial milestones applicable to each executive officer and an individual performance goal established for each executive officer. The target awards for the 2011 fiscal year, as a percentage of base salary, are 100% for the Company’s Chief Executive Officer and 50% for all other participants. Each participant is eligible to earn up to 70% of the target award if the Company achieves its performance goals and up to 30% of the target award if the participant achieves his or her own individual goals. All bonuses are expected to be determined and paid following the end of the Company’s 2011 fiscal year. In approving awards under the plan, the Committee may also use its discretion to increase or decrease the amounts that otherwise would be payable based upon Company and individual performance.</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foregoing summary of the plan is qualified in its entirety by reference to the full text of the plan, which is filed as Exhibit 10.1 to this report and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ectPr>
          <w:pgSz w:w="11900" w:h="16838" w:orient="portrait"/>
          <w:cols w:equalWidth="0" w:num="1">
            <w:col w:w="11420"/>
          </w:cols>
          <w:pgMar w:left="240" w:top="274" w:right="239" w:bottom="171"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Number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569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Novatel Wireless, Inc. Senior Management Incentive Plan for fiscal year 2011.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our Principal Executive Officer pursuant to Section 302 of the Sarbanes-Oxley Act of 2002.</w:t>
      </w:r>
    </w:p>
    <w:p>
      <w:pPr>
        <w:spacing w:after="0" w:line="133" w:lineRule="exact"/>
        <w:rPr>
          <w:sz w:val="20"/>
          <w:szCs w:val="20"/>
          <w:color w:val="auto"/>
        </w:rPr>
      </w:pPr>
    </w:p>
    <w:p>
      <w:pPr>
        <w:sectPr>
          <w:pgSz w:w="11900" w:h="16838" w:orient="portrait"/>
          <w:cols w:equalWidth="0" w:num="2">
            <w:col w:w="480" w:space="600"/>
            <w:col w:w="10340"/>
          </w:cols>
          <w:pgMar w:left="240" w:top="274" w:right="239" w:bottom="171"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31.2</w:t>
            </w:r>
          </w:p>
        </w:tc>
        <w:tc>
          <w:tcPr>
            <w:tcW w:w="10160" w:type="dxa"/>
            <w:vAlign w:val="bottom"/>
          </w:tcPr>
          <w:p>
            <w:pPr>
              <w:ind w:left="380"/>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32.1</w:t>
            </w:r>
          </w:p>
        </w:tc>
        <w:tc>
          <w:tcPr>
            <w:tcW w:w="10160" w:type="dxa"/>
            <w:vAlign w:val="bottom"/>
          </w:tcPr>
          <w:p>
            <w:pPr>
              <w:ind w:left="380"/>
              <w:spacing w:after="0"/>
              <w:rPr>
                <w:sz w:val="20"/>
                <w:szCs w:val="20"/>
                <w:color w:val="auto"/>
              </w:rPr>
            </w:pPr>
            <w:r>
              <w:rPr>
                <w:rFonts w:ascii="Arial" w:cs="Arial" w:eastAsia="Arial" w:hAnsi="Arial"/>
                <w:sz w:val="18"/>
                <w:szCs w:val="18"/>
                <w:color w:val="auto"/>
                <w:w w:val="89"/>
              </w:rPr>
              <w:t>Certification of our Principal Executive Officer and Principal Financial Officer pursuant to Section 906 of the Sarbanes-Oxley Act of 2002.</w:t>
            </w:r>
          </w:p>
        </w:tc>
      </w:tr>
    </w:tbl>
    <w:p>
      <w:pPr>
        <w:spacing w:after="0" w:line="102" w:lineRule="exact"/>
        <w:rPr>
          <w:sz w:val="20"/>
          <w:szCs w:val="20"/>
          <w:color w:val="auto"/>
        </w:rPr>
      </w:pPr>
    </w:p>
    <w:p>
      <w:pPr>
        <w:ind w:left="1080" w:right="40" w:hanging="107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June 30, 2011 formatted in Extensible Business Reporting Language (XBRL): (i) Consolidated Balance Sheets; (ii) Consolidated Statements of Operations; (iii) Consolidated Statements of Cash Flows; and (iv) the Notes to Consolidated Financial Statements, tagged as blocks of text.</w:t>
      </w:r>
    </w:p>
    <w:p>
      <w:pPr>
        <w:sectPr>
          <w:pgSz w:w="11900" w:h="16838" w:orient="portrait"/>
          <w:cols w:equalWidth="0" w:num="1">
            <w:col w:w="11420"/>
          </w:cols>
          <w:pgMar w:left="240" w:top="274" w:right="239" w:bottom="171"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74" w:right="239" w:bottom="171"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Novatel Wireless, Inc.</w:t>
      </w:r>
    </w:p>
    <w:p>
      <w:pPr>
        <w:spacing w:after="0" w:line="225"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 August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5560" w:val="left"/>
          <w:tab w:leader="none" w:pos="7640" w:val="left"/>
          <w:tab w:leader="none" w:pos="8020" w:val="left"/>
        </w:tabs>
        <w:rPr>
          <w:sz w:val="20"/>
          <w:szCs w:val="20"/>
          <w:color w:val="auto"/>
        </w:rPr>
      </w:pPr>
      <w:r>
        <w:rPr>
          <w:rFonts w:ascii="Arial" w:cs="Arial" w:eastAsia="Arial" w:hAnsi="Arial"/>
          <w:sz w:val="18"/>
          <w:szCs w:val="18"/>
          <w:color w:val="auto"/>
        </w:rPr>
        <w:t>Date: August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Kenneth Leddon</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MANAGEMENT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9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A. Objective of the Bonus Targets: </w:t>
      </w:r>
      <w:r>
        <w:rPr>
          <w:rFonts w:ascii="Arial" w:cs="Arial" w:eastAsia="Arial" w:hAnsi="Arial"/>
          <w:sz w:val="16"/>
          <w:szCs w:val="16"/>
          <w:color w:val="auto"/>
        </w:rPr>
        <w:t>This Plan is intended to provide eligible senior management of Novatel Wireless, Inc. and its subsidiaries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target metrics in connection with their respective bonus opportunity related to their contributions to the success and strategic growth of the Company. Participation in the Plan and the payment of any sums hereunder shall be at the sole and absolute discretion of the Company.</w:t>
      </w:r>
    </w:p>
    <w:p>
      <w:pPr>
        <w:spacing w:after="0" w:line="9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B. Participants: </w:t>
      </w:r>
      <w:r>
        <w:rPr>
          <w:rFonts w:ascii="Arial" w:cs="Arial" w:eastAsia="Arial" w:hAnsi="Arial"/>
          <w:sz w:val="18"/>
          <w:szCs w:val="18"/>
          <w:color w:val="auto"/>
        </w:rPr>
        <w:t>This Plan, as determined by the Company on a fully discretionary basis, applies solely to regular employees of the Company who are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(“Plan Participants”), whom the Company determines meet the eligibility requirements set forth in Section III. For purposes of this Plan and unless otherwise prohibited by applicable law, the term “regular employee” means an individual who is deemed by the Company to be both an employee of the Company and employed for an unspecified or indefinite period of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Effective Date: </w:t>
      </w:r>
      <w:r>
        <w:rPr>
          <w:rFonts w:ascii="Arial" w:cs="Arial" w:eastAsia="Arial" w:hAnsi="Arial"/>
          <w:sz w:val="18"/>
          <w:szCs w:val="18"/>
          <w:color w:val="auto"/>
        </w:rPr>
        <w:t>Fiscal Year 2011 (January 1, 2011 – December 31, 2011).</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D. Changes in Targets: </w:t>
      </w:r>
      <w:r>
        <w:rPr>
          <w:rFonts w:ascii="Arial" w:cs="Arial" w:eastAsia="Arial" w:hAnsi="Arial"/>
          <w:sz w:val="18"/>
          <w:szCs w:val="18"/>
          <w:color w:val="auto"/>
        </w:rPr>
        <w:t>The Company reserves the right to modify the targets in whole or in part, at any time. Any such modification or termination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in writing by either (i) the CEO, except with respect to his own targets or bonus payments, or (ii) resolution of the Compensation Committee or Board of Directors.</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E. Authority: </w:t>
      </w:r>
      <w:r>
        <w:rPr>
          <w:rFonts w:ascii="Arial" w:cs="Arial" w:eastAsia="Arial" w:hAnsi="Arial"/>
          <w:sz w:val="18"/>
          <w:szCs w:val="18"/>
          <w:color w:val="auto"/>
        </w:rPr>
        <w:t>The Company reserves the right to interpret this document on a fully discretionary basis. Nothing in this Plan is intended to create an entitlement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employee for any incentive payment hereunder except as the Company may determine in its discretion.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BONUS TARGET FACTOR</w:t>
      </w:r>
    </w:p>
    <w:p>
      <w:pPr>
        <w:spacing w:after="0" w:line="90" w:lineRule="exact"/>
        <w:rPr>
          <w:sz w:val="20"/>
          <w:szCs w:val="20"/>
          <w:color w:val="auto"/>
        </w:rPr>
      </w:pPr>
    </w:p>
    <w:p>
      <w:pPr>
        <w:ind w:right="120"/>
        <w:spacing w:after="0" w:line="339" w:lineRule="auto"/>
        <w:rPr>
          <w:sz w:val="20"/>
          <w:szCs w:val="20"/>
          <w:color w:val="auto"/>
        </w:rPr>
      </w:pPr>
      <w:r>
        <w:rPr>
          <w:rFonts w:ascii="Arial" w:cs="Arial" w:eastAsia="Arial" w:hAnsi="Arial"/>
          <w:sz w:val="15"/>
          <w:szCs w:val="15"/>
          <w:b w:val="1"/>
          <w:bCs w:val="1"/>
          <w:color w:val="auto"/>
        </w:rPr>
        <w:t xml:space="preserve">A. Bonus Target Factor </w:t>
      </w:r>
      <w:r>
        <w:rPr>
          <w:rFonts w:ascii="Arial" w:cs="Arial" w:eastAsia="Arial" w:hAnsi="Arial"/>
          <w:sz w:val="15"/>
          <w:szCs w:val="15"/>
          <w:color w:val="auto"/>
        </w:rPr>
        <w:t>will be determined by reference to Corporate Targets and Individual Objectives. Corporate Targets will be determined by assigning a</w:t>
      </w:r>
      <w:r>
        <w:rPr>
          <w:rFonts w:ascii="Arial" w:cs="Arial" w:eastAsia="Arial" w:hAnsi="Arial"/>
          <w:sz w:val="15"/>
          <w:szCs w:val="15"/>
          <w:b w:val="1"/>
          <w:bCs w:val="1"/>
          <w:color w:val="auto"/>
        </w:rPr>
        <w:t xml:space="preserve"> </w:t>
      </w:r>
      <w:r>
        <w:rPr>
          <w:rFonts w:ascii="Arial" w:cs="Arial" w:eastAsia="Arial" w:hAnsi="Arial"/>
          <w:sz w:val="15"/>
          <w:szCs w:val="15"/>
          <w:color w:val="auto"/>
        </w:rPr>
        <w:t>weight of between 0 and 0.70 based on achievement of Corporate Targets. Individual Objectives will be determined by assigning a weight of between 0 and 0.30 based on achievement of Individual Objectives. The Bonus Target Factor will be the sum of the Corporate Target Factor and the Individual Objectives Factor.</w:t>
      </w:r>
    </w:p>
    <w:p>
      <w:pPr>
        <w:sectPr>
          <w:pgSz w:w="11900" w:h="16838" w:orient="portrait"/>
          <w:cols w:equalWidth="0" w:num="1">
            <w:col w:w="11420"/>
          </w:cols>
          <w:pgMar w:left="240" w:top="125" w:right="239" w:bottom="1440" w:gutter="0" w:footer="0" w:header="0"/>
        </w:sectPr>
      </w:pPr>
    </w:p>
    <w:bookmarkStart w:id="27" w:name="page28"/>
    <w:bookmarkEnd w:id="27"/>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Corporate Targets </w:t>
      </w:r>
      <w:r>
        <w:rPr>
          <w:rFonts w:ascii="Arial" w:cs="Arial" w:eastAsia="Arial" w:hAnsi="Arial"/>
          <w:sz w:val="18"/>
          <w:szCs w:val="18"/>
          <w:color w:val="auto"/>
        </w:rPr>
        <w:t>are based on the achievement of a Company-wide financial metric for the Fiscal Year and the achievement of commercial milestones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Annex A hereto.</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C. Individual Objectives </w:t>
      </w:r>
      <w:r>
        <w:rPr>
          <w:rFonts w:ascii="Arial" w:cs="Arial" w:eastAsia="Arial" w:hAnsi="Arial"/>
          <w:sz w:val="18"/>
          <w:szCs w:val="18"/>
          <w:color w:val="auto"/>
        </w:rPr>
        <w:t>are based on an evaluation of a Plan Participant’s performance and contributions for the Fiscal Year based on the criteria for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position as set forth in Annex A hereto.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 Eligibility: </w:t>
      </w:r>
      <w:r>
        <w:rPr>
          <w:rFonts w:ascii="Arial" w:cs="Arial" w:eastAsia="Arial" w:hAnsi="Arial"/>
          <w:sz w:val="16"/>
          <w:szCs w:val="16"/>
          <w:color w:val="auto"/>
        </w:rPr>
        <w:t>A Plan Participant must satisfy each of the following eligibility requirements to be considered for the Incentive Payment hereunder.</w:t>
      </w:r>
    </w:p>
    <w:p>
      <w:pPr>
        <w:spacing w:after="0" w:line="200" w:lineRule="exact"/>
        <w:rPr>
          <w:sz w:val="20"/>
          <w:szCs w:val="20"/>
          <w:color w:val="auto"/>
        </w:rPr>
      </w:pPr>
    </w:p>
    <w:p>
      <w:pPr>
        <w:ind w:right="80" w:firstLine="8"/>
        <w:spacing w:after="0" w:line="289"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Plan Participant must be deemed by the Company to be employed by the Company as a regular employee in an incentive-eligible position before the first working day of the last fiscal quarter of the Fiscal Year, and must be employed as a regular employee in an incentive-eligible position on the last working day of the Fiscal Year; a person is not eligible to be a Plan Participant during any period in which such person is providing services to the Company as a temporary employee, intern or as an independent contractor, consultant, or agent under a written or oral contract, and must not be classified by the Company as a temporary employee, independent contractor, consultant, or agent (whether or not such classification is upheld upon review by a governmental, judicial or other agency); provided however, that should such person become a regular employee at any time during the Fiscal Year before the first working day of the last fiscal quarter of the Fiscal Year, and remain employed as a regular employee in an incentive-eligible position on the last working day of the Fiscal Year, such person would be eligible to be considered for an Incentive Payment for such portion of the Fiscal Year.</w:t>
      </w:r>
    </w:p>
    <w:p>
      <w:pPr>
        <w:spacing w:after="0" w:line="118" w:lineRule="exact"/>
        <w:rPr>
          <w:rFonts w:ascii="Arial" w:cs="Arial" w:eastAsia="Arial" w:hAnsi="Arial"/>
          <w:sz w:val="16"/>
          <w:szCs w:val="16"/>
          <w:color w:val="auto"/>
        </w:rPr>
      </w:pPr>
    </w:p>
    <w:p>
      <w:pPr>
        <w:ind w:right="40" w:firstLine="8"/>
        <w:spacing w:after="0" w:line="370" w:lineRule="auto"/>
        <w:tabs>
          <w:tab w:leader="none" w:pos="176"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Unless otherwise required by law, in no event will an employee be eligible to receive an incentive hereunder unless he/she is employed on the last working day of the Fiscal Year in the capacity, or comparable capacity, such Plan Participant is employed on the date such person becomes eligible as a Plan Participant.</w:t>
      </w:r>
    </w:p>
    <w:p>
      <w:pPr>
        <w:spacing w:after="0" w:line="62" w:lineRule="exact"/>
        <w:rPr>
          <w:rFonts w:ascii="Arial" w:cs="Arial" w:eastAsia="Arial" w:hAnsi="Arial"/>
          <w:sz w:val="15"/>
          <w:szCs w:val="15"/>
          <w:color w:val="auto"/>
        </w:rPr>
      </w:pPr>
    </w:p>
    <w:p>
      <w:pPr>
        <w:jc w:val="both"/>
        <w:ind w:right="80" w:firstLine="8"/>
        <w:spacing w:after="0" w:line="298"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Plan Participants meeting all eligibility requirements hereunder who have less than one year of service will be eligible to receive a discretionary incentive that is prorated from the effective date of participation in the plan up to and including the last working day of the Fiscal Year. Unless otherwise required by law, in no event will an employee be eligible to receive an incentive hereunder unless he/she is employed on the last working day of the Fiscal Year in the capacity, or comparable capacity, such Plan Participant was employed when such he or she became eligible as a Plan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PARTICIPANTS AND INCENTIVE TARGET PERCENTAGE</w:t>
      </w:r>
    </w:p>
    <w:p>
      <w:pPr>
        <w:spacing w:after="0" w:line="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A. Participants and Incentive Target Percentage. </w:t>
      </w:r>
      <w:r>
        <w:rPr>
          <w:rFonts w:ascii="Arial" w:cs="Arial" w:eastAsia="Arial" w:hAnsi="Arial"/>
          <w:sz w:val="18"/>
          <w:szCs w:val="18"/>
          <w:color w:val="auto"/>
        </w:rPr>
        <w:t>The current Plan Participants in the Plan are those set forth below. The Incentive Target Percentage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 is a target percentage of each Participant’s base salary as follows and may be changed at the discretion of the Company at any time during the Fiscal Year. The actual percentage</w:t>
      </w:r>
    </w:p>
    <w:p>
      <w:pPr>
        <w:sectPr>
          <w:pgSz w:w="11900" w:h="16838" w:orient="portrait"/>
          <w:cols w:equalWidth="0" w:num="1">
            <w:col w:w="11400"/>
          </w:cols>
          <w:pgMar w:left="240" w:top="274" w:right="259" w:bottom="1440" w:gutter="0" w:footer="0" w:header="0"/>
        </w:sectPr>
      </w:pPr>
    </w:p>
    <w:bookmarkStart w:id="28" w:name="page29"/>
    <w:bookmarkEnd w:id="28"/>
    <w:p>
      <w:pPr>
        <w:ind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base salary eventually paid to any Plan Participant pursuant to the Plan may be smaller or larger than the percentages shown below, depending on the achievement of Corporate Targets and Individual Objectives in the Fiscal Year.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Plan Participant</w:t>
            </w:r>
          </w:p>
        </w:tc>
        <w:tc>
          <w:tcPr>
            <w:tcW w:w="3640" w:type="dxa"/>
            <w:vAlign w:val="bottom"/>
          </w:tcPr>
          <w:p>
            <w:pPr>
              <w:spacing w:after="0"/>
              <w:rPr>
                <w:sz w:val="14"/>
                <w:szCs w:val="14"/>
                <w:color w:val="auto"/>
              </w:rPr>
            </w:pPr>
          </w:p>
        </w:tc>
        <w:tc>
          <w:tcPr>
            <w:tcW w:w="3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Incentive Target Percentage</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1300" w:type="dxa"/>
            <w:vAlign w:val="bottom"/>
            <w:vMerge w:val="restart"/>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CFO</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VP Research and Development</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Chief Marketing Officer</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VP Business Affairs &amp; General Counsel</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Senior VP Operations</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Elements of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Incentives under this Plan are calculated on a fully discretionary basis, in accordance with the following formula:</w:t>
      </w: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86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b w:val="1"/>
                <w:bCs w:val="1"/>
                <w:color w:val="auto"/>
              </w:rPr>
              <w:t>Bonus</w:t>
            </w:r>
          </w:p>
        </w:tc>
        <w:tc>
          <w:tcPr>
            <w:tcW w:w="9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Pro-</w:t>
            </w:r>
          </w:p>
        </w:tc>
        <w:tc>
          <w:tcPr>
            <w:tcW w:w="23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Base Salary</w:t>
            </w:r>
          </w:p>
        </w:tc>
        <w:tc>
          <w:tcPr>
            <w:tcW w:w="92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860" w:type="dxa"/>
            <w:vAlign w:val="bottom"/>
          </w:tcPr>
          <w:p>
            <w:pPr>
              <w:ind w:left="320"/>
              <w:spacing w:after="0"/>
              <w:rPr>
                <w:sz w:val="20"/>
                <w:szCs w:val="20"/>
                <w:color w:val="auto"/>
              </w:rPr>
            </w:pPr>
            <w:r>
              <w:rPr>
                <w:rFonts w:ascii="Arial" w:cs="Arial" w:eastAsia="Arial" w:hAnsi="Arial"/>
                <w:sz w:val="18"/>
                <w:szCs w:val="18"/>
                <w:b w:val="1"/>
                <w:bCs w:val="1"/>
                <w:color w:val="auto"/>
              </w:rPr>
              <w:t>X</w:t>
            </w: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Target</w:t>
            </w:r>
          </w:p>
        </w:tc>
        <w:tc>
          <w:tcPr>
            <w:tcW w:w="920" w:type="dxa"/>
            <w:vAlign w:val="bottom"/>
          </w:tcPr>
          <w:p>
            <w:pPr>
              <w:ind w:left="420"/>
              <w:spacing w:after="0"/>
              <w:rPr>
                <w:sz w:val="20"/>
                <w:szCs w:val="20"/>
                <w:color w:val="auto"/>
              </w:rPr>
            </w:pPr>
            <w:r>
              <w:rPr>
                <w:rFonts w:ascii="Arial" w:cs="Arial" w:eastAsia="Arial" w:hAnsi="Arial"/>
                <w:sz w:val="18"/>
                <w:szCs w:val="18"/>
                <w:b w:val="1"/>
                <w:bCs w:val="1"/>
                <w:color w:val="auto"/>
              </w:rPr>
              <w:t>X</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ration</w:t>
            </w:r>
          </w:p>
        </w:tc>
        <w:tc>
          <w:tcPr>
            <w:tcW w:w="2360" w:type="dxa"/>
            <w:vAlign w:val="bottom"/>
          </w:tcPr>
          <w:p>
            <w:pPr>
              <w:ind w:left="380"/>
              <w:spacing w:after="0"/>
              <w:rPr>
                <w:sz w:val="20"/>
                <w:szCs w:val="20"/>
                <w:color w:val="auto"/>
              </w:rPr>
            </w:pPr>
            <w:r>
              <w:rPr>
                <w:rFonts w:ascii="Arial" w:cs="Arial" w:eastAsia="Arial" w:hAnsi="Arial"/>
                <w:sz w:val="18"/>
                <w:szCs w:val="18"/>
                <w:b w:val="1"/>
                <w:bCs w:val="1"/>
                <w:color w:val="auto"/>
                <w:w w:val="92"/>
              </w:rPr>
              <w:t>=  Total Annual Incentive</w:t>
            </w:r>
          </w:p>
        </w:tc>
      </w:tr>
      <w:tr>
        <w:trPr>
          <w:trHeight w:val="228"/>
        </w:trPr>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4"/>
              </w:rPr>
              <w:t>Percentage</w:t>
            </w:r>
          </w:p>
        </w:tc>
        <w:tc>
          <w:tcPr>
            <w:tcW w:w="860" w:type="dxa"/>
            <w:vAlign w:val="bottom"/>
          </w:tcPr>
          <w:p>
            <w:pPr>
              <w:spacing w:after="0"/>
              <w:rPr>
                <w:sz w:val="19"/>
                <w:szCs w:val="19"/>
                <w:color w:val="auto"/>
              </w:rPr>
            </w:pP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Factor</w:t>
            </w:r>
          </w:p>
        </w:tc>
        <w:tc>
          <w:tcPr>
            <w:tcW w:w="9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Factor</w:t>
            </w:r>
          </w:p>
        </w:tc>
        <w:tc>
          <w:tcPr>
            <w:tcW w:w="2360" w:type="dxa"/>
            <w:vAlign w:val="bottom"/>
          </w:tcPr>
          <w:p>
            <w:pPr>
              <w:spacing w:after="0"/>
              <w:rPr>
                <w:sz w:val="19"/>
                <w:szCs w:val="19"/>
                <w:color w:val="auto"/>
              </w:rPr>
            </w:pPr>
          </w:p>
        </w:tc>
      </w:tr>
    </w:tbl>
    <w:p>
      <w:pPr>
        <w:spacing w:after="0" w:line="16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shall mean the annual base salary for each Plan Participant set forth above in effect at the end of Q4 2011.</w:t>
      </w:r>
    </w:p>
    <w:p>
      <w:pPr>
        <w:spacing w:after="0" w:line="171" w:lineRule="exact"/>
        <w:rPr>
          <w:rFonts w:ascii="Arial" w:cs="Arial" w:eastAsia="Arial" w:hAnsi="Arial"/>
          <w:sz w:val="18"/>
          <w:szCs w:val="18"/>
          <w:color w:val="auto"/>
        </w:rPr>
      </w:pPr>
    </w:p>
    <w:p>
      <w:pPr>
        <w:jc w:val="both"/>
        <w:ind w:right="60" w:firstLine="8"/>
        <w:spacing w:after="0" w:line="259"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Proration Factor accounts for the number of calendar days during the Fiscal Year that such Plan Participant was in an incentive-eligible position. For example, the Proration Factor for a Plan Participant who has been in the Plan the entire year will be 1.00. For a Plan Participant who has been in the Plan for 6 months, this factor will be 0.50.</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 Incentive Formula and Calculation Example: </w:t>
      </w:r>
      <w:r>
        <w:rPr>
          <w:rFonts w:ascii="Arial" w:cs="Arial" w:eastAsia="Arial" w:hAnsi="Arial"/>
          <w:sz w:val="18"/>
          <w:szCs w:val="18"/>
          <w:color w:val="auto"/>
        </w:rPr>
        <w:t>Assuming a base salary of $250,000, Incentive Target Percentage of 50%, Corporate Target Factor of 0.70 and</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Objective Factor of 0.20, and a Proration Factor of 1.00, the Total Annual Incentive for such a Plan Participant meeting all eligibility requirements, would be calculated as follows:</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20" w:type="dxa"/>
            <w:vAlign w:val="bottom"/>
            <w:gridSpan w:val="2"/>
          </w:tcPr>
          <w:p>
            <w:pPr>
              <w:ind w:left="380"/>
              <w:spacing w:after="0"/>
              <w:rPr>
                <w:sz w:val="20"/>
                <w:szCs w:val="20"/>
                <w:color w:val="auto"/>
              </w:rPr>
            </w:pPr>
            <w:r>
              <w:rPr>
                <w:rFonts w:ascii="Arial" w:cs="Arial" w:eastAsia="Arial" w:hAnsi="Arial"/>
                <w:sz w:val="18"/>
                <w:szCs w:val="18"/>
                <w:b w:val="1"/>
                <w:bCs w:val="1"/>
                <w:color w:val="auto"/>
              </w:rPr>
              <w:t>Sample Calculation</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06"/>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8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2"/>
              </w:rPr>
              <w:t>Bonus</w:t>
            </w:r>
          </w:p>
        </w:tc>
        <w:tc>
          <w:tcPr>
            <w:tcW w:w="9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Pro-</w:t>
            </w:r>
          </w:p>
        </w:tc>
        <w:tc>
          <w:tcPr>
            <w:tcW w:w="820" w:type="dxa"/>
            <w:vAlign w:val="bottom"/>
          </w:tcPr>
          <w:p>
            <w:pPr>
              <w:spacing w:after="0"/>
              <w:rPr>
                <w:sz w:val="24"/>
                <w:szCs w:val="24"/>
                <w:color w:val="auto"/>
              </w:rPr>
            </w:pPr>
          </w:p>
        </w:tc>
        <w:tc>
          <w:tcPr>
            <w:tcW w:w="1060" w:type="dxa"/>
            <w:vAlign w:val="bottom"/>
          </w:tcPr>
          <w:p>
            <w:pPr>
              <w:jc w:val="center"/>
              <w:ind w:left="232"/>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1360" w:type="dxa"/>
            <w:vAlign w:val="bottom"/>
          </w:tcPr>
          <w:p>
            <w:pPr>
              <w:jc w:val="center"/>
              <w:ind w:right="392"/>
              <w:spacing w:after="0"/>
              <w:rPr>
                <w:sz w:val="20"/>
                <w:szCs w:val="20"/>
                <w:color w:val="auto"/>
              </w:rPr>
            </w:pPr>
            <w:r>
              <w:rPr>
                <w:rFonts w:ascii="Arial" w:cs="Arial" w:eastAsia="Arial" w:hAnsi="Arial"/>
                <w:sz w:val="18"/>
                <w:szCs w:val="18"/>
                <w:b w:val="1"/>
                <w:bCs w:val="1"/>
                <w:color w:val="auto"/>
                <w:w w:val="86"/>
              </w:rPr>
              <w:t>Base Salary</w:t>
            </w:r>
          </w:p>
        </w:tc>
        <w:tc>
          <w:tcPr>
            <w:tcW w:w="9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Objective</w:t>
            </w: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9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ration</w:t>
            </w:r>
          </w:p>
        </w:tc>
        <w:tc>
          <w:tcPr>
            <w:tcW w:w="820" w:type="dxa"/>
            <w:vAlign w:val="bottom"/>
          </w:tcPr>
          <w:p>
            <w:pPr>
              <w:spacing w:after="0"/>
              <w:rPr>
                <w:sz w:val="18"/>
                <w:szCs w:val="18"/>
                <w:color w:val="auto"/>
              </w:rPr>
            </w:pPr>
          </w:p>
        </w:tc>
        <w:tc>
          <w:tcPr>
            <w:tcW w:w="1060" w:type="dxa"/>
            <w:vAlign w:val="bottom"/>
          </w:tcPr>
          <w:p>
            <w:pPr>
              <w:jc w:val="center"/>
              <w:ind w:left="232"/>
              <w:spacing w:after="0"/>
              <w:rPr>
                <w:sz w:val="20"/>
                <w:szCs w:val="20"/>
                <w:color w:val="auto"/>
              </w:rPr>
            </w:pPr>
            <w:r>
              <w:rPr>
                <w:rFonts w:ascii="Arial" w:cs="Arial" w:eastAsia="Arial" w:hAnsi="Arial"/>
                <w:sz w:val="18"/>
                <w:szCs w:val="18"/>
                <w:b w:val="1"/>
                <w:bCs w:val="1"/>
                <w:color w:val="auto"/>
                <w:w w:val="88"/>
              </w:rPr>
              <w:t>Annual</w:t>
            </w:r>
          </w:p>
        </w:tc>
      </w:tr>
      <w:tr>
        <w:trPr>
          <w:trHeight w:val="228"/>
        </w:trPr>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4"/>
              </w:rPr>
              <w:t>Percentage</w:t>
            </w:r>
          </w:p>
        </w:tc>
        <w:tc>
          <w:tcPr>
            <w:tcW w:w="8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Factor</w:t>
            </w:r>
          </w:p>
        </w:tc>
        <w:tc>
          <w:tcPr>
            <w:tcW w:w="9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Factor</w:t>
            </w:r>
          </w:p>
        </w:tc>
        <w:tc>
          <w:tcPr>
            <w:tcW w:w="820" w:type="dxa"/>
            <w:vAlign w:val="bottom"/>
          </w:tcPr>
          <w:p>
            <w:pPr>
              <w:spacing w:after="0"/>
              <w:rPr>
                <w:sz w:val="19"/>
                <w:szCs w:val="19"/>
                <w:color w:val="auto"/>
              </w:rPr>
            </w:pPr>
          </w:p>
        </w:tc>
        <w:tc>
          <w:tcPr>
            <w:tcW w:w="106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Incentive</w:t>
            </w:r>
          </w:p>
        </w:tc>
      </w:tr>
      <w:tr>
        <w:trPr>
          <w:trHeight w:val="230"/>
        </w:trPr>
        <w:tc>
          <w:tcPr>
            <w:tcW w:w="1360" w:type="dxa"/>
            <w:vAlign w:val="bottom"/>
          </w:tcPr>
          <w:p>
            <w:pPr>
              <w:jc w:val="right"/>
              <w:ind w:right="492"/>
              <w:spacing w:after="0"/>
              <w:rPr>
                <w:sz w:val="20"/>
                <w:szCs w:val="20"/>
                <w:color w:val="auto"/>
              </w:rPr>
            </w:pPr>
            <w:r>
              <w:rPr>
                <w:rFonts w:ascii="Arial" w:cs="Arial" w:eastAsia="Arial" w:hAnsi="Arial"/>
                <w:sz w:val="18"/>
                <w:szCs w:val="18"/>
                <w:b w:val="1"/>
                <w:bCs w:val="1"/>
                <w:color w:val="auto"/>
              </w:rPr>
              <w:t>$250,000</w:t>
            </w:r>
          </w:p>
        </w:tc>
        <w:tc>
          <w:tcPr>
            <w:tcW w:w="92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0.50</w:t>
            </w:r>
          </w:p>
        </w:tc>
        <w:tc>
          <w:tcPr>
            <w:tcW w:w="860" w:type="dxa"/>
            <w:vAlign w:val="bottom"/>
          </w:tcPr>
          <w:p>
            <w:pPr>
              <w:ind w:left="320"/>
              <w:spacing w:after="0"/>
              <w:rPr>
                <w:sz w:val="20"/>
                <w:szCs w:val="20"/>
                <w:color w:val="auto"/>
              </w:rPr>
            </w:pPr>
            <w:r>
              <w:rPr>
                <w:rFonts w:ascii="Arial" w:cs="Arial" w:eastAsia="Arial" w:hAnsi="Arial"/>
                <w:sz w:val="18"/>
                <w:szCs w:val="18"/>
                <w:b w:val="1"/>
                <w:bCs w:val="1"/>
                <w:color w:val="auto"/>
              </w:rPr>
              <w:t>X</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0.90</w:t>
            </w:r>
          </w:p>
        </w:tc>
        <w:tc>
          <w:tcPr>
            <w:tcW w:w="900" w:type="dxa"/>
            <w:vAlign w:val="bottom"/>
          </w:tcPr>
          <w:p>
            <w:pPr>
              <w:ind w:left="400"/>
              <w:spacing w:after="0"/>
              <w:rPr>
                <w:sz w:val="20"/>
                <w:szCs w:val="20"/>
                <w:color w:val="auto"/>
              </w:rPr>
            </w:pPr>
            <w:r>
              <w:rPr>
                <w:rFonts w:ascii="Arial" w:cs="Arial" w:eastAsia="Arial" w:hAnsi="Arial"/>
                <w:sz w:val="18"/>
                <w:szCs w:val="18"/>
                <w:b w:val="1"/>
                <w:bCs w:val="1"/>
                <w:color w:val="auto"/>
              </w:rPr>
              <w:t>X</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1.0</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center"/>
              <w:ind w:left="232"/>
              <w:spacing w:after="0"/>
              <w:rPr>
                <w:sz w:val="20"/>
                <w:szCs w:val="20"/>
                <w:color w:val="auto"/>
              </w:rPr>
            </w:pPr>
            <w:r>
              <w:rPr>
                <w:rFonts w:ascii="Arial" w:cs="Arial" w:eastAsia="Arial" w:hAnsi="Arial"/>
                <w:sz w:val="18"/>
                <w:szCs w:val="18"/>
                <w:b w:val="1"/>
                <w:bCs w:val="1"/>
                <w:color w:val="auto"/>
                <w:w w:val="90"/>
              </w:rPr>
              <w:t>$112,500*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less any appropriate withholdings.</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example, the total incentive equals 45% of base salary.</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D. At Will Employment</w:t>
      </w:r>
      <w:r>
        <w:rPr>
          <w:rFonts w:ascii="Arial" w:cs="Arial" w:eastAsia="Arial" w:hAnsi="Arial"/>
          <w:sz w:val="16"/>
          <w:szCs w:val="16"/>
          <w:color w:val="auto"/>
        </w:rPr>
        <w:t>. Subject to any written employment agreement or other written agreement between the Company and any employee, (1)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an at-will employer, which means that an employee’s employment can be terminated by an employee or the Company at any time with or without cause, (2) the Company reserves the right to modify an employee’s duties, title or other terms and conditions of employment with or without cause, (3) this Plan cannot and should not be interpreted to alter the at-will nature of the employment relationship between the Company and any Plan Participant and (4) the at-will nature of any employment relationship cannot be modified except in a written document signed by the Company’s CEO.</w:t>
      </w:r>
    </w:p>
    <w:p>
      <w:pPr>
        <w:sectPr>
          <w:pgSz w:w="11900" w:h="16838" w:orient="portrait"/>
          <w:cols w:equalWidth="0" w:num="1">
            <w:col w:w="11400"/>
          </w:cols>
          <w:pgMar w:left="240" w:top="2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Peter Leparulo</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2011</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Kenneth Leddon</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2011</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June 30, 2011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p>
      <w:pPr>
        <w:spacing w:after="0"/>
        <w:tabs>
          <w:tab w:leader="none" w:pos="7660" w:val="left"/>
          <w:tab w:leader="none" w:pos="8000" w:val="left"/>
        </w:tabs>
        <w:rPr>
          <w:sz w:val="20"/>
          <w:szCs w:val="20"/>
          <w:color w:val="auto"/>
        </w:rPr>
      </w:pPr>
      <w:r>
        <w:rPr>
          <w:rFonts w:ascii="Arial" w:cs="Arial" w:eastAsia="Arial" w:hAnsi="Arial"/>
          <w:sz w:val="18"/>
          <w:szCs w:val="18"/>
          <w:color w:val="auto"/>
        </w:rPr>
        <w:t>Date: August 8,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P</w:t>
      </w:r>
      <w:r>
        <w:rPr>
          <w:rFonts w:ascii="Arial" w:cs="Arial" w:eastAsia="Arial" w:hAnsi="Arial"/>
          <w:sz w:val="21"/>
          <w:szCs w:val="21"/>
          <w:color w:val="auto"/>
          <w:vertAlign w:val="superscript"/>
        </w:rPr>
        <w:t>ETER</w:t>
      </w:r>
      <w:r>
        <w:rPr>
          <w:rFonts w:ascii="Arial" w:cs="Arial" w:eastAsia="Arial" w:hAnsi="Arial"/>
          <w:sz w:val="14"/>
          <w:szCs w:val="14"/>
          <w:color w:val="auto"/>
        </w:rPr>
        <w:t xml:space="preserve"> L</w:t>
      </w:r>
      <w:r>
        <w:rPr>
          <w:rFonts w:ascii="Arial" w:cs="Arial" w:eastAsia="Arial" w:hAnsi="Arial"/>
          <w:sz w:val="21"/>
          <w:szCs w:val="21"/>
          <w:color w:val="auto"/>
          <w:vertAlign w:val="superscript"/>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-10160</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8"/>
          <w:szCs w:val="18"/>
          <w:b w:val="1"/>
          <w:bCs w:val="1"/>
          <w:color w:val="auto"/>
        </w:rPr>
        <w:t>Peter Leparulo</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ind w:left="7620"/>
        <w:spacing w:after="0"/>
        <w:tabs>
          <w:tab w:leader="none" w:pos="794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Kenneth Leddon</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220"/>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5"/>
    </w:lvl>
  </w:abstractNum>
  <w:abstractNum w:abstractNumId="12">
    <w:nsid w:val="3F2DBA31"/>
    <w:multiLevelType w:val="hybridMultilevel"/>
    <w:lvl w:ilvl="0">
      <w:lvlJc w:val="left"/>
      <w:lvlText w:val="%1"/>
      <w:numFmt w:val="decimal"/>
      <w:start w:val="10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2019-12-10T15:54:52Z</dcterms:created>
  <dcterms:modified xsi:type="dcterms:W3CDTF">2019-12-10T15:54:52Z</dcterms:modified>
</cp:coreProperties>
</file>