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133350</wp:posOffset>
            </wp:positionV>
            <wp:extent cx="14579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spacing w:after="0" w:line="270"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41275</wp:posOffset>
            </wp:positionV>
            <wp:extent cx="14579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spacing w:after="0" w:line="184" w:lineRule="exact"/>
        <w:rPr>
          <w:sz w:val="24"/>
          <w:szCs w:val="24"/>
          <w:color w:val="auto"/>
        </w:rPr>
      </w:pPr>
    </w:p>
    <w:p>
      <w:pPr>
        <w:ind w:left="500" w:hanging="465"/>
        <w:spacing w:after="0"/>
        <w:tabs>
          <w:tab w:leader="none" w:pos="500" w:val="left"/>
        </w:tabs>
        <w:numPr>
          <w:ilvl w:val="0"/>
          <w:numId w:val="1"/>
        </w:numPr>
        <w:rPr>
          <w:rFonts w:ascii="Arial" w:cs="Arial" w:eastAsia="Arial" w:hAnsi="Arial"/>
          <w:sz w:val="22"/>
          <w:szCs w:val="22"/>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6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March 31, 2017</w:t>
      </w:r>
    </w:p>
    <w:p>
      <w:pPr>
        <w:spacing w:after="0" w:line="3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ind w:left="380" w:hanging="345"/>
        <w:spacing w:after="0" w:line="226" w:lineRule="auto"/>
        <w:tabs>
          <w:tab w:leader="none" w:pos="380" w:val="left"/>
        </w:tabs>
        <w:numPr>
          <w:ilvl w:val="0"/>
          <w:numId w:val="2"/>
        </w:numPr>
        <w:rPr>
          <w:rFonts w:ascii="MS PGothic" w:cs="MS PGothic" w:eastAsia="MS PGothic" w:hAnsi="MS PGothic"/>
          <w:sz w:val="43"/>
          <w:szCs w:val="43"/>
          <w:color w:val="auto"/>
          <w:vertAlign w:val="subscript"/>
        </w:rPr>
      </w:pPr>
      <w:r>
        <w:rPr>
          <w:rFonts w:ascii="Arial" w:cs="Arial" w:eastAsia="Arial" w:hAnsi="Arial"/>
          <w:sz w:val="18"/>
          <w:szCs w:val="18"/>
          <w:b w:val="1"/>
          <w:bCs w:val="1"/>
          <w:color w:val="auto"/>
        </w:rPr>
        <w:t>TRANSITION REPORT PURSUANT TO SECTION 13 OR 15(d) OF THE SECURITIES EXCHANGE ACT OF 1934</w:t>
      </w:r>
    </w:p>
    <w:p>
      <w:pPr>
        <w:spacing w:after="0" w:line="64" w:lineRule="exact"/>
        <w:rPr>
          <w:sz w:val="24"/>
          <w:szCs w:val="24"/>
          <w:color w:val="auto"/>
        </w:rPr>
      </w:pPr>
    </w:p>
    <w:tbl>
      <w:tblPr>
        <w:tblLayout w:type="fixed"/>
        <w:tblInd w:w="3360" w:type="dxa"/>
        <w:tblCellMar>
          <w:top w:w="0" w:type="dxa"/>
          <w:left w:w="0" w:type="dxa"/>
          <w:bottom w:w="0" w:type="dxa"/>
          <w:right w:w="0" w:type="dxa"/>
        </w:tblCellMar>
      </w:tblPr>
      <w:tr>
        <w:trPr>
          <w:trHeight w:val="207"/>
        </w:trPr>
        <w:tc>
          <w:tcPr>
            <w:tcW w:w="2400" w:type="dxa"/>
            <w:vAlign w:val="bottom"/>
          </w:tcPr>
          <w:p>
            <w:pPr>
              <w:spacing w:after="0"/>
              <w:rPr>
                <w:sz w:val="20"/>
                <w:szCs w:val="20"/>
                <w:color w:val="auto"/>
              </w:rPr>
            </w:pPr>
            <w:r>
              <w:rPr>
                <w:rFonts w:ascii="Arial" w:cs="Arial" w:eastAsia="Arial" w:hAnsi="Arial"/>
                <w:sz w:val="18"/>
                <w:szCs w:val="18"/>
                <w:b w:val="1"/>
                <w:bCs w:val="1"/>
                <w:color w:val="auto"/>
                <w:w w:val="94"/>
              </w:rPr>
              <w:t>For the transition period from</w:t>
            </w:r>
          </w:p>
        </w:tc>
        <w:tc>
          <w:tcPr>
            <w:tcW w:w="960" w:type="dxa"/>
            <w:vAlign w:val="bottom"/>
            <w:tcBorders>
              <w:bottom w:val="single" w:sz="8" w:color="auto"/>
            </w:tcBorders>
          </w:tcPr>
          <w:p>
            <w:pPr>
              <w:spacing w:after="0"/>
              <w:rPr>
                <w:sz w:val="17"/>
                <w:szCs w:val="17"/>
                <w:color w:val="auto"/>
              </w:rPr>
            </w:pPr>
          </w:p>
        </w:tc>
        <w:tc>
          <w:tcPr>
            <w:tcW w:w="320" w:type="dxa"/>
            <w:vAlign w:val="bottom"/>
          </w:tcPr>
          <w:p>
            <w:pPr>
              <w:ind w:left="120"/>
              <w:spacing w:after="0"/>
              <w:rPr>
                <w:sz w:val="20"/>
                <w:szCs w:val="20"/>
                <w:color w:val="auto"/>
              </w:rPr>
            </w:pPr>
            <w:r>
              <w:rPr>
                <w:rFonts w:ascii="Arial" w:cs="Arial" w:eastAsia="Arial" w:hAnsi="Arial"/>
                <w:sz w:val="18"/>
                <w:szCs w:val="18"/>
                <w:b w:val="1"/>
                <w:bCs w:val="1"/>
                <w:color w:val="auto"/>
              </w:rPr>
              <w:t>to</w:t>
            </w:r>
          </w:p>
        </w:tc>
        <w:tc>
          <w:tcPr>
            <w:tcW w:w="860" w:type="dxa"/>
            <w:vAlign w:val="bottom"/>
            <w:tcBorders>
              <w:bottom w:val="single" w:sz="8" w:color="auto"/>
            </w:tcBorders>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4540" w:type="dxa"/>
            <w:vAlign w:val="bottom"/>
            <w:gridSpan w:val="4"/>
          </w:tcPr>
          <w:p>
            <w:pPr>
              <w:ind w:left="960"/>
              <w:spacing w:after="0"/>
              <w:rPr>
                <w:sz w:val="20"/>
                <w:szCs w:val="20"/>
                <w:color w:val="auto"/>
              </w:rPr>
            </w:pPr>
            <w:r>
              <w:rPr>
                <w:rFonts w:ascii="Arial" w:cs="Arial" w:eastAsia="Arial" w:hAnsi="Arial"/>
                <w:sz w:val="18"/>
                <w:szCs w:val="18"/>
                <w:b w:val="1"/>
                <w:bCs w:val="1"/>
                <w:color w:val="auto"/>
              </w:rPr>
              <w:t>Commission file number: 000-31659</w:t>
            </w:r>
          </w:p>
        </w:tc>
        <w:tc>
          <w:tcPr>
            <w:tcW w:w="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2003425</wp:posOffset>
            </wp:positionH>
            <wp:positionV relativeFrom="paragraph">
              <wp:posOffset>120015</wp:posOffset>
            </wp:positionV>
            <wp:extent cx="3327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249" w:lineRule="exact"/>
        <w:rPr>
          <w:sz w:val="24"/>
          <w:szCs w:val="24"/>
          <w:color w:val="auto"/>
        </w:rPr>
      </w:pPr>
    </w:p>
    <w:tbl>
      <w:tblPr>
        <w:tblLayout w:type="fixed"/>
        <w:tblInd w:w="1580" w:type="dxa"/>
        <w:tblCellMar>
          <w:top w:w="0" w:type="dxa"/>
          <w:left w:w="0" w:type="dxa"/>
          <w:bottom w:w="0" w:type="dxa"/>
          <w:right w:w="0" w:type="dxa"/>
        </w:tblCellMar>
      </w:tblPr>
      <w:tr>
        <w:trPr>
          <w:trHeight w:val="383"/>
        </w:trPr>
        <w:tc>
          <w:tcPr>
            <w:tcW w:w="1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60" w:type="dxa"/>
            <w:vAlign w:val="bottom"/>
            <w:gridSpan w:val="2"/>
          </w:tcPr>
          <w:p>
            <w:pPr>
              <w:jc w:val="center"/>
              <w:ind w:right="1848"/>
              <w:spacing w:after="0"/>
              <w:rPr>
                <w:sz w:val="20"/>
                <w:szCs w:val="20"/>
                <w:color w:val="auto"/>
              </w:rPr>
            </w:pPr>
            <w:r>
              <w:rPr>
                <w:rFonts w:ascii="Arial" w:cs="Arial" w:eastAsia="Arial" w:hAnsi="Arial"/>
                <w:sz w:val="32"/>
                <w:szCs w:val="32"/>
                <w:b w:val="1"/>
                <w:bCs w:val="1"/>
                <w:color w:val="auto"/>
                <w:w w:val="99"/>
              </w:rPr>
              <w:t>INSEEGO CORP.</w:t>
            </w:r>
          </w:p>
        </w:tc>
      </w:tr>
      <w:tr>
        <w:trPr>
          <w:trHeight w:val="192"/>
        </w:trPr>
        <w:tc>
          <w:tcPr>
            <w:tcW w:w="158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4300" w:type="dxa"/>
            <w:vAlign w:val="bottom"/>
            <w:tcBorders>
              <w:bottom w:val="single" w:sz="8" w:color="auto"/>
            </w:tcBorders>
          </w:tcPr>
          <w:p>
            <w:pPr>
              <w:jc w:val="center"/>
              <w:ind w:right="867"/>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c>
          <w:tcPr>
            <w:tcW w:w="960" w:type="dxa"/>
            <w:vAlign w:val="bottom"/>
          </w:tcPr>
          <w:p>
            <w:pPr>
              <w:spacing w:after="0"/>
              <w:rPr>
                <w:sz w:val="16"/>
                <w:szCs w:val="16"/>
                <w:color w:val="auto"/>
              </w:rPr>
            </w:pPr>
          </w:p>
        </w:tc>
      </w:tr>
      <w:tr>
        <w:trPr>
          <w:trHeight w:val="378"/>
        </w:trPr>
        <w:tc>
          <w:tcPr>
            <w:tcW w:w="25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3"/>
              </w:rPr>
              <w:t>Delaware</w:t>
            </w:r>
          </w:p>
        </w:tc>
        <w:tc>
          <w:tcPr>
            <w:tcW w:w="5260" w:type="dxa"/>
            <w:vAlign w:val="bottom"/>
            <w:gridSpan w:val="2"/>
          </w:tcPr>
          <w:p>
            <w:pPr>
              <w:jc w:val="right"/>
              <w:ind w:right="48"/>
              <w:spacing w:after="0"/>
              <w:rPr>
                <w:sz w:val="20"/>
                <w:szCs w:val="20"/>
                <w:color w:val="auto"/>
              </w:rPr>
            </w:pPr>
            <w:r>
              <w:rPr>
                <w:rFonts w:ascii="Arial" w:cs="Arial" w:eastAsia="Arial" w:hAnsi="Arial"/>
                <w:sz w:val="18"/>
                <w:szCs w:val="18"/>
                <w:b w:val="1"/>
                <w:bCs w:val="1"/>
                <w:color w:val="auto"/>
              </w:rPr>
              <w:t>81-3377646</w:t>
            </w:r>
          </w:p>
        </w:tc>
      </w:tr>
      <w:tr>
        <w:trPr>
          <w:trHeight w:val="180"/>
        </w:trPr>
        <w:tc>
          <w:tcPr>
            <w:tcW w:w="25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(State or Other Jurisdiction</w:t>
            </w:r>
          </w:p>
        </w:tc>
        <w:tc>
          <w:tcPr>
            <w:tcW w:w="5260" w:type="dxa"/>
            <w:vAlign w:val="bottom"/>
            <w:gridSpan w:val="2"/>
          </w:tcPr>
          <w:p>
            <w:pPr>
              <w:jc w:val="center"/>
              <w:ind w:left="4047"/>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5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5"/>
              </w:rPr>
              <w:t>of Incorporation or Organization)</w:t>
            </w:r>
          </w:p>
        </w:tc>
        <w:tc>
          <w:tcPr>
            <w:tcW w:w="5260" w:type="dxa"/>
            <w:vAlign w:val="bottom"/>
            <w:gridSpan w:val="2"/>
          </w:tcPr>
          <w:p>
            <w:pPr>
              <w:jc w:val="center"/>
              <w:ind w:left="4047"/>
              <w:spacing w:after="0"/>
              <w:rPr>
                <w:sz w:val="20"/>
                <w:szCs w:val="20"/>
                <w:color w:val="auto"/>
              </w:rPr>
            </w:pPr>
            <w:r>
              <w:rPr>
                <w:rFonts w:ascii="Arial" w:cs="Arial" w:eastAsia="Arial" w:hAnsi="Arial"/>
                <w:sz w:val="14"/>
                <w:szCs w:val="14"/>
                <w:b w:val="1"/>
                <w:bCs w:val="1"/>
                <w:color w:val="auto"/>
                <w:w w:val="94"/>
              </w:rPr>
              <w:t>Identification No.)</w:t>
            </w:r>
          </w:p>
        </w:tc>
      </w:tr>
      <w:tr>
        <w:trPr>
          <w:trHeight w:val="358"/>
        </w:trPr>
        <w:tc>
          <w:tcPr>
            <w:tcW w:w="25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9"/>
              </w:rPr>
              <w:t>9605 Scranton Road, Suite 300</w:t>
            </w:r>
          </w:p>
        </w:tc>
        <w:tc>
          <w:tcPr>
            <w:tcW w:w="4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34"/>
        </w:trPr>
        <w:tc>
          <w:tcPr>
            <w:tcW w:w="25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1"/>
              </w:rPr>
              <w:t>San Diego, California</w:t>
            </w:r>
          </w:p>
        </w:tc>
        <w:tc>
          <w:tcPr>
            <w:tcW w:w="5260" w:type="dxa"/>
            <w:vAlign w:val="bottom"/>
            <w:gridSpan w:val="2"/>
          </w:tcPr>
          <w:p>
            <w:pPr>
              <w:jc w:val="right"/>
              <w:ind w:right="268"/>
              <w:spacing w:after="0"/>
              <w:rPr>
                <w:sz w:val="20"/>
                <w:szCs w:val="20"/>
                <w:color w:val="auto"/>
              </w:rPr>
            </w:pPr>
            <w:r>
              <w:rPr>
                <w:rFonts w:ascii="Arial" w:cs="Arial" w:eastAsia="Arial" w:hAnsi="Arial"/>
                <w:sz w:val="18"/>
                <w:szCs w:val="18"/>
                <w:b w:val="1"/>
                <w:bCs w:val="1"/>
                <w:color w:val="auto"/>
              </w:rPr>
              <w:t>92121</w:t>
            </w:r>
          </w:p>
        </w:tc>
      </w:tr>
      <w:tr>
        <w:trPr>
          <w:trHeight w:val="218"/>
        </w:trPr>
        <w:tc>
          <w:tcPr>
            <w:tcW w:w="25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4300" w:type="dxa"/>
            <w:vAlign w:val="bottom"/>
          </w:tcPr>
          <w:p>
            <w:pPr>
              <w:spacing w:after="0"/>
              <w:rPr>
                <w:sz w:val="18"/>
                <w:szCs w:val="18"/>
                <w:color w:val="auto"/>
              </w:rPr>
            </w:pPr>
          </w:p>
        </w:tc>
        <w:tc>
          <w:tcPr>
            <w:tcW w:w="960" w:type="dxa"/>
            <w:vAlign w:val="bottom"/>
          </w:tcPr>
          <w:p>
            <w:pPr>
              <w:jc w:val="center"/>
              <w:ind w:right="88"/>
              <w:spacing w:after="0"/>
              <w:rPr>
                <w:sz w:val="20"/>
                <w:szCs w:val="20"/>
                <w:color w:val="auto"/>
              </w:rPr>
            </w:pPr>
            <w:r>
              <w:rPr>
                <w:rFonts w:ascii="Arial" w:cs="Arial" w:eastAsia="Arial" w:hAnsi="Arial"/>
                <w:sz w:val="14"/>
                <w:szCs w:val="14"/>
                <w:b w:val="1"/>
                <w:bCs w:val="1"/>
                <w:color w:val="auto"/>
                <w:w w:val="98"/>
              </w:rPr>
              <w:t>(Zip Code)</w:t>
            </w:r>
          </w:p>
        </w:tc>
      </w:tr>
    </w:tbl>
    <w:p>
      <w:pPr>
        <w:spacing w:after="0" w:line="4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Registrant’s telephone number, including area code: (858) 812-3400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189230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58" w:lineRule="exact"/>
        <w:rPr>
          <w:sz w:val="24"/>
          <w:szCs w:val="24"/>
          <w:color w:val="auto"/>
        </w:rPr>
      </w:pPr>
    </w:p>
    <w:p>
      <w:pPr>
        <w:ind w:left="440"/>
        <w:spacing w:after="0"/>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w:t>
      </w:r>
    </w:p>
    <w:p>
      <w:pPr>
        <w:spacing w:after="0" w:line="35" w:lineRule="exact"/>
        <w:rPr>
          <w:sz w:val="24"/>
          <w:szCs w:val="24"/>
          <w:color w:val="auto"/>
        </w:rPr>
      </w:pPr>
    </w:p>
    <w:p>
      <w:pPr>
        <w:ind w:right="20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47" w:lineRule="exact"/>
        <w:rPr>
          <w:sz w:val="24"/>
          <w:szCs w:val="24"/>
          <w:color w:val="auto"/>
        </w:rPr>
      </w:pPr>
    </w:p>
    <w:p>
      <w:pPr>
        <w:ind w:right="220"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x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49" w:lineRule="exact"/>
        <w:rPr>
          <w:sz w:val="24"/>
          <w:szCs w:val="24"/>
          <w:color w:val="auto"/>
        </w:rPr>
      </w:pPr>
    </w:p>
    <w:p>
      <w:pPr>
        <w:jc w:val="both"/>
        <w:ind w:firstLine="432"/>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5" w:lineRule="exact"/>
        <w:rPr>
          <w:sz w:val="24"/>
          <w:szCs w:val="24"/>
          <w:color w:val="auto"/>
        </w:rPr>
      </w:pPr>
    </w:p>
    <w:tbl>
      <w:tblPr>
        <w:tblLayout w:type="fixed"/>
        <w:tblInd w:w="40" w:type="dxa"/>
        <w:tblCellMar>
          <w:top w:w="0" w:type="dxa"/>
          <w:left w:w="0" w:type="dxa"/>
          <w:bottom w:w="0" w:type="dxa"/>
          <w:right w:w="0" w:type="dxa"/>
        </w:tblCellMar>
      </w:tblPr>
      <w:tr>
        <w:trPr>
          <w:trHeight w:val="283"/>
        </w:trPr>
        <w:tc>
          <w:tcPr>
            <w:tcW w:w="18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520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3660" w:type="dxa"/>
            <w:vAlign w:val="bottom"/>
          </w:tcPr>
          <w:p>
            <w:pPr>
              <w:ind w:left="1360"/>
              <w:spacing w:after="0"/>
              <w:rPr>
                <w:sz w:val="20"/>
                <w:szCs w:val="20"/>
                <w:color w:val="auto"/>
              </w:rPr>
            </w:pPr>
            <w:r>
              <w:rPr>
                <w:rFonts w:ascii="Arial" w:cs="Arial" w:eastAsia="Arial" w:hAnsi="Arial"/>
                <w:sz w:val="18"/>
                <w:szCs w:val="18"/>
                <w:color w:val="auto"/>
              </w:rPr>
              <w:t>Accelerated filer</w:t>
            </w:r>
          </w:p>
        </w:tc>
        <w:tc>
          <w:tcPr>
            <w:tcW w:w="500" w:type="dxa"/>
            <w:vAlign w:val="bottom"/>
          </w:tcPr>
          <w:p>
            <w:pPr>
              <w:ind w:left="320"/>
              <w:spacing w:after="0"/>
              <w:rPr>
                <w:sz w:val="20"/>
                <w:szCs w:val="20"/>
                <w:color w:val="auto"/>
              </w:rPr>
            </w:pPr>
            <w:r>
              <w:rPr>
                <w:rFonts w:ascii="Arial" w:cs="Arial" w:eastAsia="Arial" w:hAnsi="Arial"/>
                <w:sz w:val="18"/>
                <w:szCs w:val="18"/>
                <w:color w:val="auto"/>
              </w:rPr>
              <w:t>x</w:t>
            </w:r>
          </w:p>
        </w:tc>
      </w:tr>
      <w:tr>
        <w:trPr>
          <w:trHeight w:val="432"/>
        </w:trPr>
        <w:tc>
          <w:tcPr>
            <w:tcW w:w="1880" w:type="dxa"/>
            <w:vAlign w:val="bottom"/>
          </w:tcPr>
          <w:p>
            <w:pPr>
              <w:spacing w:after="0"/>
              <w:rPr>
                <w:sz w:val="20"/>
                <w:szCs w:val="20"/>
                <w:color w:val="auto"/>
              </w:rPr>
            </w:pPr>
            <w:r>
              <w:rPr>
                <w:rFonts w:ascii="Arial" w:cs="Arial" w:eastAsia="Arial" w:hAnsi="Arial"/>
                <w:sz w:val="18"/>
                <w:szCs w:val="18"/>
                <w:color w:val="auto"/>
              </w:rPr>
              <w:t>Non-accelerated filer</w:t>
            </w:r>
          </w:p>
        </w:tc>
        <w:tc>
          <w:tcPr>
            <w:tcW w:w="5200" w:type="dxa"/>
            <w:vAlign w:val="bottom"/>
          </w:tcPr>
          <w:p>
            <w:pPr>
              <w:ind w:left="2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660" w:type="dxa"/>
            <w:vAlign w:val="bottom"/>
          </w:tcPr>
          <w:p>
            <w:pPr>
              <w:ind w:left="1360"/>
              <w:spacing w:after="0"/>
              <w:rPr>
                <w:sz w:val="20"/>
                <w:szCs w:val="20"/>
                <w:color w:val="auto"/>
              </w:rPr>
            </w:pPr>
            <w:r>
              <w:rPr>
                <w:rFonts w:ascii="Arial" w:cs="Arial" w:eastAsia="Arial" w:hAnsi="Arial"/>
                <w:sz w:val="18"/>
                <w:szCs w:val="18"/>
                <w:color w:val="auto"/>
              </w:rPr>
              <w:t>Smaller reporting company</w:t>
            </w:r>
          </w:p>
        </w:tc>
        <w:tc>
          <w:tcPr>
            <w:tcW w:w="50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92"/>
        </w:trPr>
        <w:tc>
          <w:tcPr>
            <w:tcW w:w="188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3660" w:type="dxa"/>
            <w:vAlign w:val="bottom"/>
          </w:tcPr>
          <w:p>
            <w:pPr>
              <w:ind w:left="1360"/>
              <w:spacing w:after="0"/>
              <w:rPr>
                <w:sz w:val="20"/>
                <w:szCs w:val="20"/>
                <w:color w:val="auto"/>
              </w:rPr>
            </w:pPr>
            <w:r>
              <w:rPr>
                <w:rFonts w:ascii="Arial" w:cs="Arial" w:eastAsia="Arial" w:hAnsi="Arial"/>
                <w:sz w:val="18"/>
                <w:szCs w:val="18"/>
                <w:color w:val="auto"/>
              </w:rPr>
              <w:t>Emerging growth company</w:t>
            </w:r>
          </w:p>
        </w:tc>
        <w:tc>
          <w:tcPr>
            <w:tcW w:w="50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47" w:lineRule="exact"/>
        <w:rPr>
          <w:sz w:val="24"/>
          <w:szCs w:val="24"/>
          <w:color w:val="auto"/>
        </w:rPr>
      </w:pPr>
    </w:p>
    <w:p>
      <w:pPr>
        <w:jc w:val="both"/>
        <w:ind w:right="1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right="2660"/>
        <w:spacing w:after="0" w:line="294" w:lineRule="exact"/>
        <w:rPr>
          <w:sz w:val="20"/>
          <w:szCs w:val="20"/>
          <w:color w:val="auto"/>
        </w:rPr>
      </w:pPr>
      <w:r>
        <w:rPr>
          <w:rFonts w:ascii="Arial" w:cs="Arial" w:eastAsia="Arial" w:hAnsi="Arial"/>
          <w:sz w:val="17"/>
          <w:szCs w:val="17"/>
          <w:color w:val="auto"/>
        </w:rPr>
        <w:t xml:space="preserve">Indicate by check mark whether the registrant is a shell company </w:t>
      </w:r>
      <w:r>
        <w:rPr>
          <w:rFonts w:ascii="Arial" w:cs="Arial" w:eastAsia="Arial" w:hAnsi="Arial"/>
          <w:sz w:val="15"/>
          <w:szCs w:val="15"/>
          <w:color w:val="auto"/>
        </w:rPr>
        <w:t>(as defined in Rule 12b-2 of the Exchange Act)</w:t>
      </w:r>
      <w:r>
        <w:rPr>
          <w:rFonts w:ascii="Arial" w:cs="Arial" w:eastAsia="Arial" w:hAnsi="Arial"/>
          <w:sz w:val="17"/>
          <w:szCs w:val="17"/>
          <w:color w:val="auto"/>
        </w:rPr>
        <w:t>. Yes</w:t>
      </w:r>
      <w:r>
        <w:rPr>
          <w:rFonts w:ascii="MS PGothic" w:cs="MS PGothic" w:eastAsia="MS PGothic" w:hAnsi="MS PGothic"/>
          <w:sz w:val="17"/>
          <w:szCs w:val="17"/>
          <w:color w:val="auto"/>
        </w:rPr>
        <w:t>☐</w:t>
      </w:r>
      <w:r>
        <w:rPr>
          <w:rFonts w:ascii="Arial" w:cs="Arial" w:eastAsia="Arial" w:hAnsi="Arial"/>
          <w:sz w:val="17"/>
          <w:szCs w:val="17"/>
          <w:color w:val="auto"/>
        </w:rPr>
        <w:t xml:space="preserve"> No x The number of shares of the registrant’s common stock outstanding as of May 8, 2017 was 55,971,423.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44" w:right="27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PART I—FINANCIAL INFORMATION</w:t>
      </w:r>
    </w:p>
    <w:p>
      <w:pPr>
        <w:spacing w:after="0" w:line="17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Financial Statements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March 31,</w:t>
            </w:r>
          </w:p>
        </w:tc>
        <w:tc>
          <w:tcPr>
            <w:tcW w:w="140" w:type="dxa"/>
            <w:vAlign w:val="bottom"/>
          </w:tcPr>
          <w:p>
            <w:pPr>
              <w:spacing w:after="0"/>
              <w:rPr>
                <w:sz w:val="14"/>
                <w:szCs w:val="14"/>
                <w:color w:val="auto"/>
              </w:rPr>
            </w:pPr>
          </w:p>
        </w:tc>
        <w:tc>
          <w:tcPr>
            <w:tcW w:w="1100" w:type="dxa"/>
            <w:vAlign w:val="bottom"/>
          </w:tcPr>
          <w:p>
            <w:pPr>
              <w:jc w:val="right"/>
              <w:ind w:right="14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92"/>
        </w:trPr>
        <w:tc>
          <w:tcPr>
            <w:tcW w:w="88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8"/>
        </w:trPr>
        <w:tc>
          <w:tcPr>
            <w:tcW w:w="8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(Unaudited)</w:t>
            </w: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8800" w:type="dxa"/>
            <w:vAlign w:val="bottom"/>
          </w:tcPr>
          <w:p>
            <w:pPr>
              <w:ind w:left="4100"/>
              <w:spacing w:after="0"/>
              <w:rPr>
                <w:sz w:val="20"/>
                <w:szCs w:val="20"/>
                <w:color w:val="auto"/>
              </w:rPr>
            </w:pPr>
            <w:r>
              <w:rPr>
                <w:rFonts w:ascii="Arial" w:cs="Arial" w:eastAsia="Arial" w:hAnsi="Arial"/>
                <w:sz w:val="16"/>
                <w:szCs w:val="16"/>
                <w:b w:val="1"/>
                <w:bCs w:val="1"/>
                <w:color w:val="auto"/>
              </w:rPr>
              <w:t>ASSETS</w:t>
            </w: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880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7"/>
        </w:trPr>
        <w:tc>
          <w:tcPr>
            <w:tcW w:w="88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6,385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9,894</w:t>
            </w:r>
          </w:p>
        </w:tc>
        <w:tc>
          <w:tcPr>
            <w:tcW w:w="0" w:type="dxa"/>
            <w:vAlign w:val="bottom"/>
          </w:tcPr>
          <w:p>
            <w:pPr>
              <w:spacing w:after="0"/>
              <w:rPr>
                <w:sz w:val="1"/>
                <w:szCs w:val="1"/>
                <w:color w:val="auto"/>
              </w:rPr>
            </w:pP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Accounts receivable, net of allowance for doubtful accounts of $2,015 and $1,660, respectively</w:t>
            </w:r>
          </w:p>
        </w:tc>
        <w:tc>
          <w:tcPr>
            <w:tcW w:w="18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30,633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22,203</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Inventories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29,389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31,142</w:t>
            </w:r>
          </w:p>
        </w:tc>
        <w:tc>
          <w:tcPr>
            <w:tcW w:w="0" w:type="dxa"/>
            <w:vAlign w:val="bottom"/>
          </w:tcPr>
          <w:p>
            <w:pPr>
              <w:spacing w:after="0"/>
              <w:rPr>
                <w:sz w:val="1"/>
                <w:szCs w:val="1"/>
                <w:color w:val="auto"/>
              </w:rPr>
            </w:pP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Prepaid expenses and other</w:t>
            </w:r>
          </w:p>
        </w:tc>
        <w:tc>
          <w:tcPr>
            <w:tcW w:w="18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9,028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5,208</w:t>
            </w:r>
          </w:p>
        </w:tc>
        <w:tc>
          <w:tcPr>
            <w:tcW w:w="0" w:type="dxa"/>
            <w:vAlign w:val="bottom"/>
          </w:tcPr>
          <w:p>
            <w:pPr>
              <w:spacing w:after="0"/>
              <w:rPr>
                <w:sz w:val="1"/>
                <w:szCs w:val="1"/>
                <w:color w:val="auto"/>
              </w:rPr>
            </w:pPr>
          </w:p>
        </w:tc>
      </w:tr>
      <w:tr>
        <w:trPr>
          <w:trHeight w:val="33"/>
        </w:trPr>
        <w:tc>
          <w:tcPr>
            <w:tcW w:w="88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75,435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68,447</w:t>
            </w:r>
          </w:p>
        </w:tc>
        <w:tc>
          <w:tcPr>
            <w:tcW w:w="0" w:type="dxa"/>
            <w:vAlign w:val="bottom"/>
          </w:tcPr>
          <w:p>
            <w:pPr>
              <w:spacing w:after="0"/>
              <w:rPr>
                <w:sz w:val="1"/>
                <w:szCs w:val="1"/>
                <w:color w:val="auto"/>
              </w:rPr>
            </w:pPr>
          </w:p>
        </w:tc>
      </w:tr>
      <w:tr>
        <w:trPr>
          <w:trHeight w:val="217"/>
        </w:trPr>
        <w:tc>
          <w:tcPr>
            <w:tcW w:w="8800" w:type="dxa"/>
            <w:vAlign w:val="bottom"/>
          </w:tcPr>
          <w:p>
            <w:pPr>
              <w:ind w:left="40"/>
              <w:spacing w:after="0"/>
              <w:rPr>
                <w:sz w:val="20"/>
                <w:szCs w:val="20"/>
                <w:color w:val="auto"/>
              </w:rPr>
            </w:pPr>
            <w:r>
              <w:rPr>
                <w:rFonts w:ascii="Arial" w:cs="Arial" w:eastAsia="Arial" w:hAnsi="Arial"/>
                <w:sz w:val="16"/>
                <w:szCs w:val="16"/>
                <w:color w:val="auto"/>
              </w:rPr>
              <w:t>Property, plant and equipment, net of accumulated depreciation of $25,873 and $25,032, respectively</w:t>
            </w: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8,300</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8,392</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Rental assets, net of accumulated depreciation of $5,827 and $4,112, respectively</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6,569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7,003</w:t>
            </w:r>
          </w:p>
        </w:tc>
        <w:tc>
          <w:tcPr>
            <w:tcW w:w="0" w:type="dxa"/>
            <w:vAlign w:val="bottom"/>
          </w:tcPr>
          <w:p>
            <w:pPr>
              <w:spacing w:after="0"/>
              <w:rPr>
                <w:sz w:val="1"/>
                <w:szCs w:val="1"/>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Intangible assets, net of accumulated amortization of $19,606 and $17,996, respectively</w:t>
            </w:r>
          </w:p>
        </w:tc>
        <w:tc>
          <w:tcPr>
            <w:tcW w:w="18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40,055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40,283</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35,039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34,428</w:t>
            </w:r>
          </w:p>
        </w:tc>
        <w:tc>
          <w:tcPr>
            <w:tcW w:w="0" w:type="dxa"/>
            <w:vAlign w:val="bottom"/>
          </w:tcPr>
          <w:p>
            <w:pPr>
              <w:spacing w:after="0"/>
              <w:rPr>
                <w:sz w:val="1"/>
                <w:szCs w:val="1"/>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18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162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163</w:t>
            </w:r>
          </w:p>
        </w:tc>
        <w:tc>
          <w:tcPr>
            <w:tcW w:w="0" w:type="dxa"/>
            <w:vAlign w:val="bottom"/>
          </w:tcPr>
          <w:p>
            <w:pPr>
              <w:spacing w:after="0"/>
              <w:rPr>
                <w:sz w:val="1"/>
                <w:szCs w:val="1"/>
                <w:color w:val="auto"/>
              </w:rPr>
            </w:pPr>
          </w:p>
        </w:tc>
      </w:tr>
      <w:tr>
        <w:trPr>
          <w:trHeight w:val="33"/>
        </w:trPr>
        <w:tc>
          <w:tcPr>
            <w:tcW w:w="88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165,560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158,716</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2620"/>
              <w:spacing w:after="0"/>
              <w:rPr>
                <w:sz w:val="20"/>
                <w:szCs w:val="20"/>
                <w:color w:val="auto"/>
              </w:rPr>
            </w:pPr>
            <w:r>
              <w:rPr>
                <w:rFonts w:ascii="Arial" w:cs="Arial" w:eastAsia="Arial" w:hAnsi="Arial"/>
                <w:sz w:val="16"/>
                <w:szCs w:val="16"/>
                <w:b w:val="1"/>
                <w:bCs w:val="1"/>
                <w:color w:val="auto"/>
              </w:rPr>
              <w:t>LIABILITIES AND STOCKHOLDERS’ DEFICIT</w:t>
            </w: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80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Accounts payable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44,953</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31,242</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Accrued expenses and other 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36,085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27,897</w:t>
            </w:r>
          </w:p>
        </w:tc>
        <w:tc>
          <w:tcPr>
            <w:tcW w:w="0" w:type="dxa"/>
            <w:vAlign w:val="bottom"/>
          </w:tcPr>
          <w:p>
            <w:pPr>
              <w:spacing w:after="0"/>
              <w:rPr>
                <w:sz w:val="1"/>
                <w:szCs w:val="1"/>
                <w:color w:val="auto"/>
              </w:rPr>
            </w:pP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DigiCore bank facilities</w:t>
            </w:r>
          </w:p>
        </w:tc>
        <w:tc>
          <w:tcPr>
            <w:tcW w:w="18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3,251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3,238</w:t>
            </w:r>
          </w:p>
        </w:tc>
        <w:tc>
          <w:tcPr>
            <w:tcW w:w="0" w:type="dxa"/>
            <w:vAlign w:val="bottom"/>
          </w:tcPr>
          <w:p>
            <w:pPr>
              <w:spacing w:after="0"/>
              <w:rPr>
                <w:sz w:val="1"/>
                <w:szCs w:val="1"/>
                <w:color w:val="auto"/>
              </w:rPr>
            </w:pPr>
          </w:p>
        </w:tc>
      </w:tr>
      <w:tr>
        <w:trPr>
          <w:trHeight w:val="33"/>
        </w:trPr>
        <w:tc>
          <w:tcPr>
            <w:tcW w:w="88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84,289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62,377</w:t>
            </w:r>
          </w:p>
        </w:tc>
        <w:tc>
          <w:tcPr>
            <w:tcW w:w="0" w:type="dxa"/>
            <w:vAlign w:val="bottom"/>
          </w:tcPr>
          <w:p>
            <w:pPr>
              <w:spacing w:after="0"/>
              <w:rPr>
                <w:sz w:val="1"/>
                <w:szCs w:val="1"/>
                <w:color w:val="auto"/>
              </w:rPr>
            </w:pPr>
          </w:p>
        </w:tc>
      </w:tr>
      <w:tr>
        <w:trPr>
          <w:trHeight w:val="231"/>
        </w:trPr>
        <w:tc>
          <w:tcPr>
            <w:tcW w:w="8800" w:type="dxa"/>
            <w:vAlign w:val="bottom"/>
          </w:tcPr>
          <w:p>
            <w:pPr>
              <w:ind w:left="40"/>
              <w:spacing w:after="0"/>
              <w:rPr>
                <w:sz w:val="20"/>
                <w:szCs w:val="20"/>
                <w:color w:val="auto"/>
              </w:rPr>
            </w:pPr>
            <w:r>
              <w:rPr>
                <w:rFonts w:ascii="Arial" w:cs="Arial" w:eastAsia="Arial" w:hAnsi="Arial"/>
                <w:sz w:val="16"/>
                <w:szCs w:val="16"/>
                <w:color w:val="auto"/>
              </w:rPr>
              <w:t>Long-term liabilities:</w:t>
            </w: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Convertible senior notes, net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89,656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90,908</w:t>
            </w:r>
          </w:p>
        </w:tc>
        <w:tc>
          <w:tcPr>
            <w:tcW w:w="0" w:type="dxa"/>
            <w:vAlign w:val="bottom"/>
          </w:tcPr>
          <w:p>
            <w:pPr>
              <w:spacing w:after="0"/>
              <w:rPr>
                <w:sz w:val="1"/>
                <w:szCs w:val="1"/>
                <w:color w:val="auto"/>
              </w:rPr>
            </w:pP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Revolving credit facility</w:t>
            </w:r>
          </w:p>
        </w:tc>
        <w:tc>
          <w:tcPr>
            <w:tcW w:w="18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2,750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Deferred tax liabilities, net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4,549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4,439</w:t>
            </w:r>
          </w:p>
        </w:tc>
        <w:tc>
          <w:tcPr>
            <w:tcW w:w="0" w:type="dxa"/>
            <w:vAlign w:val="bottom"/>
          </w:tcPr>
          <w:p>
            <w:pPr>
              <w:spacing w:after="0"/>
              <w:rPr>
                <w:sz w:val="1"/>
                <w:szCs w:val="1"/>
                <w:color w:val="auto"/>
              </w:rPr>
            </w:pP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Other long-term liabilities</w:t>
            </w:r>
          </w:p>
        </w:tc>
        <w:tc>
          <w:tcPr>
            <w:tcW w:w="18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10,548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18,719</w:t>
            </w:r>
          </w:p>
        </w:tc>
        <w:tc>
          <w:tcPr>
            <w:tcW w:w="0" w:type="dxa"/>
            <w:vAlign w:val="bottom"/>
          </w:tcPr>
          <w:p>
            <w:pPr>
              <w:spacing w:after="0"/>
              <w:rPr>
                <w:sz w:val="1"/>
                <w:szCs w:val="1"/>
                <w:color w:val="auto"/>
              </w:rPr>
            </w:pPr>
          </w:p>
        </w:tc>
      </w:tr>
      <w:tr>
        <w:trPr>
          <w:trHeight w:val="33"/>
        </w:trPr>
        <w:tc>
          <w:tcPr>
            <w:tcW w:w="88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191,792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176,443</w:t>
            </w:r>
          </w:p>
        </w:tc>
        <w:tc>
          <w:tcPr>
            <w:tcW w:w="0" w:type="dxa"/>
            <w:vAlign w:val="bottom"/>
          </w:tcPr>
          <w:p>
            <w:pPr>
              <w:spacing w:after="0"/>
              <w:rPr>
                <w:sz w:val="1"/>
                <w:szCs w:val="1"/>
                <w:color w:val="auto"/>
              </w:rPr>
            </w:pPr>
          </w:p>
        </w:tc>
      </w:tr>
      <w:tr>
        <w:trPr>
          <w:trHeight w:val="217"/>
        </w:trPr>
        <w:tc>
          <w:tcPr>
            <w:tcW w:w="8800" w:type="dxa"/>
            <w:vAlign w:val="bottom"/>
          </w:tcPr>
          <w:p>
            <w:pPr>
              <w:ind w:left="40"/>
              <w:spacing w:after="0"/>
              <w:rPr>
                <w:sz w:val="20"/>
                <w:szCs w:val="20"/>
                <w:color w:val="auto"/>
              </w:rPr>
            </w:pPr>
            <w:r>
              <w:rPr>
                <w:rFonts w:ascii="Arial" w:cs="Arial" w:eastAsia="Arial" w:hAnsi="Arial"/>
                <w:sz w:val="16"/>
                <w:szCs w:val="16"/>
                <w:color w:val="auto"/>
              </w:rPr>
              <w:t>Commitments and Contingencies</w:t>
            </w: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Stockholders’ deficit: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Preferred stock, par value $0.001; 2,000,000 shares authorized and none outstanding</w:t>
            </w: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8800" w:type="dxa"/>
            <w:vAlign w:val="bottom"/>
            <w:shd w:val="clear" w:color="auto" w:fill="CCEEFF"/>
          </w:tcPr>
          <w:p>
            <w:pPr>
              <w:ind w:left="280"/>
              <w:spacing w:after="0"/>
              <w:rPr>
                <w:sz w:val="20"/>
                <w:szCs w:val="20"/>
                <w:color w:val="auto"/>
              </w:rPr>
            </w:pPr>
            <w:r>
              <w:rPr>
                <w:rFonts w:ascii="Arial" w:cs="Arial" w:eastAsia="Arial" w:hAnsi="Arial"/>
                <w:sz w:val="16"/>
                <w:szCs w:val="16"/>
                <w:color w:val="auto"/>
                <w:w w:val="94"/>
              </w:rPr>
              <w:t>Common stock, par value $0.001; 150,000,000 shares authorized, 55,955,138 and 54,372,080 shares issued and outstanding,</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8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respectively</w:t>
            </w:r>
          </w:p>
        </w:tc>
        <w:tc>
          <w:tcPr>
            <w:tcW w:w="1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56</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Additional paid-in capital</w:t>
            </w:r>
          </w:p>
        </w:tc>
        <w:tc>
          <w:tcPr>
            <w:tcW w:w="18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514,157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507,616</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Accumulated other comprehensive loss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(1,409)</w:t>
            </w:r>
          </w:p>
        </w:tc>
        <w:tc>
          <w:tcPr>
            <w:tcW w:w="0" w:type="dxa"/>
            <w:vAlign w:val="bottom"/>
          </w:tcPr>
          <w:p>
            <w:pPr>
              <w:spacing w:after="0"/>
              <w:rPr>
                <w:sz w:val="1"/>
                <w:szCs w:val="1"/>
                <w:color w:val="auto"/>
              </w:rPr>
            </w:pP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Accumulated deficit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(540,124)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(524,024)</w:t>
            </w:r>
          </w:p>
        </w:tc>
        <w:tc>
          <w:tcPr>
            <w:tcW w:w="0" w:type="dxa"/>
            <w:vAlign w:val="bottom"/>
          </w:tcPr>
          <w:p>
            <w:pPr>
              <w:spacing w:after="0"/>
              <w:rPr>
                <w:sz w:val="1"/>
                <w:szCs w:val="1"/>
                <w:color w:val="auto"/>
              </w:rPr>
            </w:pPr>
          </w:p>
        </w:tc>
      </w:tr>
      <w:tr>
        <w:trPr>
          <w:trHeight w:val="33"/>
        </w:trPr>
        <w:tc>
          <w:tcPr>
            <w:tcW w:w="88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stockholders’ deficit attributable to Inseego Corp.</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(26,273)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(17,763)</w:t>
            </w:r>
          </w:p>
        </w:tc>
        <w:tc>
          <w:tcPr>
            <w:tcW w:w="0" w:type="dxa"/>
            <w:vAlign w:val="bottom"/>
          </w:tcPr>
          <w:p>
            <w:pPr>
              <w:spacing w:after="0"/>
              <w:rPr>
                <w:sz w:val="1"/>
                <w:szCs w:val="1"/>
                <w:color w:val="auto"/>
              </w:rPr>
            </w:pP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Noncontrolling interests</w:t>
            </w:r>
          </w:p>
        </w:tc>
        <w:tc>
          <w:tcPr>
            <w:tcW w:w="18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33"/>
        </w:trPr>
        <w:tc>
          <w:tcPr>
            <w:tcW w:w="88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stockholders’ deficit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(26,232)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(17,727)</w:t>
            </w:r>
          </w:p>
        </w:tc>
        <w:tc>
          <w:tcPr>
            <w:tcW w:w="0" w:type="dxa"/>
            <w:vAlign w:val="bottom"/>
          </w:tcPr>
          <w:p>
            <w:pPr>
              <w:spacing w:after="0"/>
              <w:rPr>
                <w:sz w:val="1"/>
                <w:szCs w:val="1"/>
                <w:color w:val="auto"/>
              </w:rPr>
            </w:pPr>
          </w:p>
        </w:tc>
      </w:tr>
      <w:tr>
        <w:trPr>
          <w:trHeight w:val="244"/>
        </w:trPr>
        <w:tc>
          <w:tcPr>
            <w:tcW w:w="8800" w:type="dxa"/>
            <w:vAlign w:val="bottom"/>
          </w:tcPr>
          <w:p>
            <w:pPr>
              <w:ind w:left="720"/>
              <w:spacing w:after="0"/>
              <w:rPr>
                <w:sz w:val="20"/>
                <w:szCs w:val="20"/>
                <w:color w:val="auto"/>
              </w:rPr>
            </w:pPr>
            <w:r>
              <w:rPr>
                <w:rFonts w:ascii="Arial" w:cs="Arial" w:eastAsia="Arial" w:hAnsi="Arial"/>
                <w:sz w:val="16"/>
                <w:szCs w:val="16"/>
                <w:color w:val="auto"/>
              </w:rPr>
              <w:t>Total liabilities and stockholders’ deficit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165,560</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158,716</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ectPr>
          <w:pgSz w:w="11900" w:h="16838" w:orient="portrait"/>
          <w:cols w:equalWidth="0" w:num="1">
            <w:col w:w="11420"/>
          </w:cols>
          <w:pgMar w:left="240" w:top="44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445" w:right="23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329" w:lineRule="exact"/>
        <w:rPr>
          <w:sz w:val="20"/>
          <w:szCs w:val="20"/>
          <w:color w:val="auto"/>
        </w:rPr>
      </w:pPr>
    </w:p>
    <w:p>
      <w:pPr>
        <w:jc w:val="center"/>
        <w:ind w:left="90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90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5734050</wp:posOffset>
            </wp:positionH>
            <wp:positionV relativeFrom="paragraph">
              <wp:posOffset>13335</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37"/>
        </w:trPr>
        <w:tc>
          <w:tcPr>
            <w:tcW w:w="9020" w:type="dxa"/>
            <w:vAlign w:val="bottom"/>
          </w:tcPr>
          <w:p>
            <w:pPr>
              <w:ind w:left="40"/>
              <w:spacing w:after="0"/>
              <w:rPr>
                <w:sz w:val="20"/>
                <w:szCs w:val="20"/>
                <w:color w:val="auto"/>
              </w:rPr>
            </w:pPr>
            <w:r>
              <w:rPr>
                <w:rFonts w:ascii="Arial" w:cs="Arial" w:eastAsia="Arial" w:hAnsi="Arial"/>
                <w:sz w:val="16"/>
                <w:szCs w:val="16"/>
                <w:color w:val="auto"/>
              </w:rPr>
              <w:t>Net revenues:</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9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Hardware</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41,426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54,161</w:t>
            </w:r>
          </w:p>
        </w:tc>
        <w:tc>
          <w:tcPr>
            <w:tcW w:w="0" w:type="dxa"/>
            <w:vAlign w:val="bottom"/>
          </w:tcPr>
          <w:p>
            <w:pPr>
              <w:spacing w:after="0"/>
              <w:rPr>
                <w:sz w:val="1"/>
                <w:szCs w:val="1"/>
                <w:color w:val="auto"/>
              </w:rPr>
            </w:pPr>
          </w:p>
        </w:tc>
      </w:tr>
      <w:tr>
        <w:trPr>
          <w:trHeight w:val="237"/>
        </w:trPr>
        <w:tc>
          <w:tcPr>
            <w:tcW w:w="9020" w:type="dxa"/>
            <w:vAlign w:val="bottom"/>
          </w:tcPr>
          <w:p>
            <w:pPr>
              <w:ind w:left="280"/>
              <w:spacing w:after="0"/>
              <w:rPr>
                <w:sz w:val="20"/>
                <w:szCs w:val="20"/>
                <w:color w:val="auto"/>
              </w:rPr>
            </w:pPr>
            <w:r>
              <w:rPr>
                <w:rFonts w:ascii="Arial" w:cs="Arial" w:eastAsia="Arial" w:hAnsi="Arial"/>
                <w:sz w:val="16"/>
                <w:szCs w:val="16"/>
                <w:color w:val="auto"/>
              </w:rPr>
              <w:t>SaaS, software and services</w:t>
            </w:r>
          </w:p>
        </w:tc>
        <w:tc>
          <w:tcPr>
            <w:tcW w:w="220" w:type="dxa"/>
            <w:vAlign w:val="bottom"/>
          </w:tcPr>
          <w:p>
            <w:pPr>
              <w:spacing w:after="0"/>
              <w:rPr>
                <w:sz w:val="20"/>
                <w:szCs w:val="20"/>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13,963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12,783</w:t>
            </w:r>
          </w:p>
        </w:tc>
        <w:tc>
          <w:tcPr>
            <w:tcW w:w="0" w:type="dxa"/>
            <w:vAlign w:val="bottom"/>
          </w:tcPr>
          <w:p>
            <w:pPr>
              <w:spacing w:after="0"/>
              <w:rPr>
                <w:sz w:val="1"/>
                <w:szCs w:val="1"/>
                <w:color w:val="auto"/>
              </w:rPr>
            </w:pPr>
          </w:p>
        </w:tc>
      </w:tr>
      <w:tr>
        <w:trPr>
          <w:trHeight w:val="33"/>
        </w:trPr>
        <w:tc>
          <w:tcPr>
            <w:tcW w:w="90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90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net revenues</w:t>
            </w: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55,389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66,944</w:t>
            </w:r>
          </w:p>
        </w:tc>
        <w:tc>
          <w:tcPr>
            <w:tcW w:w="0" w:type="dxa"/>
            <w:vAlign w:val="bottom"/>
          </w:tcPr>
          <w:p>
            <w:pPr>
              <w:spacing w:after="0"/>
              <w:rPr>
                <w:sz w:val="1"/>
                <w:szCs w:val="1"/>
                <w:color w:val="auto"/>
              </w:rPr>
            </w:pPr>
          </w:p>
        </w:tc>
      </w:tr>
      <w:tr>
        <w:trPr>
          <w:trHeight w:val="237"/>
        </w:trPr>
        <w:tc>
          <w:tcPr>
            <w:tcW w:w="9020" w:type="dxa"/>
            <w:vAlign w:val="bottom"/>
          </w:tcPr>
          <w:p>
            <w:pPr>
              <w:ind w:left="40"/>
              <w:spacing w:after="0"/>
              <w:rPr>
                <w:sz w:val="20"/>
                <w:szCs w:val="20"/>
                <w:color w:val="auto"/>
              </w:rPr>
            </w:pPr>
            <w:r>
              <w:rPr>
                <w:rFonts w:ascii="Arial" w:cs="Arial" w:eastAsia="Arial" w:hAnsi="Arial"/>
                <w:sz w:val="16"/>
                <w:szCs w:val="16"/>
                <w:color w:val="auto"/>
              </w:rPr>
              <w:t>Cost of net revenues:</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9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Hardware</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33,492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40,869</w:t>
            </w:r>
          </w:p>
        </w:tc>
        <w:tc>
          <w:tcPr>
            <w:tcW w:w="0" w:type="dxa"/>
            <w:vAlign w:val="bottom"/>
          </w:tcPr>
          <w:p>
            <w:pPr>
              <w:spacing w:after="0"/>
              <w:rPr>
                <w:sz w:val="1"/>
                <w:szCs w:val="1"/>
                <w:color w:val="auto"/>
              </w:rPr>
            </w:pPr>
          </w:p>
        </w:tc>
      </w:tr>
      <w:tr>
        <w:trPr>
          <w:trHeight w:val="237"/>
        </w:trPr>
        <w:tc>
          <w:tcPr>
            <w:tcW w:w="9020" w:type="dxa"/>
            <w:vAlign w:val="bottom"/>
          </w:tcPr>
          <w:p>
            <w:pPr>
              <w:ind w:left="280"/>
              <w:spacing w:after="0"/>
              <w:rPr>
                <w:sz w:val="20"/>
                <w:szCs w:val="20"/>
                <w:color w:val="auto"/>
              </w:rPr>
            </w:pPr>
            <w:r>
              <w:rPr>
                <w:rFonts w:ascii="Arial" w:cs="Arial" w:eastAsia="Arial" w:hAnsi="Arial"/>
                <w:sz w:val="16"/>
                <w:szCs w:val="16"/>
                <w:color w:val="auto"/>
              </w:rPr>
              <w:t>SaaS, software and services</w:t>
            </w:r>
          </w:p>
        </w:tc>
        <w:tc>
          <w:tcPr>
            <w:tcW w:w="220" w:type="dxa"/>
            <w:vAlign w:val="bottom"/>
          </w:tcPr>
          <w:p>
            <w:pPr>
              <w:spacing w:after="0"/>
              <w:rPr>
                <w:sz w:val="20"/>
                <w:szCs w:val="20"/>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5,711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4,892</w:t>
            </w:r>
          </w:p>
        </w:tc>
        <w:tc>
          <w:tcPr>
            <w:tcW w:w="0" w:type="dxa"/>
            <w:vAlign w:val="bottom"/>
          </w:tcPr>
          <w:p>
            <w:pPr>
              <w:spacing w:after="0"/>
              <w:rPr>
                <w:sz w:val="1"/>
                <w:szCs w:val="1"/>
                <w:color w:val="auto"/>
              </w:rPr>
            </w:pPr>
          </w:p>
        </w:tc>
      </w:tr>
      <w:tr>
        <w:trPr>
          <w:trHeight w:val="33"/>
        </w:trPr>
        <w:tc>
          <w:tcPr>
            <w:tcW w:w="90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90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cost of net revenues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39,203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45,761</w:t>
            </w:r>
          </w:p>
        </w:tc>
        <w:tc>
          <w:tcPr>
            <w:tcW w:w="0" w:type="dxa"/>
            <w:vAlign w:val="bottom"/>
          </w:tcPr>
          <w:p>
            <w:pPr>
              <w:spacing w:after="0"/>
              <w:rPr>
                <w:sz w:val="1"/>
                <w:szCs w:val="1"/>
                <w:color w:val="auto"/>
              </w:rPr>
            </w:pPr>
          </w:p>
        </w:tc>
      </w:tr>
      <w:tr>
        <w:trPr>
          <w:trHeight w:val="217"/>
        </w:trPr>
        <w:tc>
          <w:tcPr>
            <w:tcW w:w="9020" w:type="dxa"/>
            <w:vAlign w:val="bottom"/>
          </w:tcPr>
          <w:p>
            <w:pPr>
              <w:ind w:left="720"/>
              <w:spacing w:after="0"/>
              <w:rPr>
                <w:sz w:val="20"/>
                <w:szCs w:val="20"/>
                <w:color w:val="auto"/>
              </w:rPr>
            </w:pPr>
            <w:r>
              <w:rPr>
                <w:rFonts w:ascii="Arial" w:cs="Arial" w:eastAsia="Arial" w:hAnsi="Arial"/>
                <w:sz w:val="16"/>
                <w:szCs w:val="16"/>
                <w:color w:val="auto"/>
              </w:rPr>
              <w:t>Gross profit</w:t>
            </w: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16,186</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21,183</w:t>
            </w:r>
          </w:p>
        </w:tc>
        <w:tc>
          <w:tcPr>
            <w:tcW w:w="0" w:type="dxa"/>
            <w:vAlign w:val="bottom"/>
          </w:tcPr>
          <w:p>
            <w:pPr>
              <w:spacing w:after="0"/>
              <w:rPr>
                <w:sz w:val="1"/>
                <w:szCs w:val="1"/>
                <w:color w:val="auto"/>
              </w:rPr>
            </w:pPr>
          </w:p>
        </w:tc>
      </w:tr>
      <w:tr>
        <w:trPr>
          <w:trHeight w:val="33"/>
        </w:trPr>
        <w:tc>
          <w:tcPr>
            <w:tcW w:w="90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Operating costs and expenses: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9020" w:type="dxa"/>
            <w:vAlign w:val="bottom"/>
          </w:tcPr>
          <w:p>
            <w:pPr>
              <w:ind w:left="280"/>
              <w:spacing w:after="0"/>
              <w:rPr>
                <w:sz w:val="20"/>
                <w:szCs w:val="20"/>
                <w:color w:val="auto"/>
              </w:rPr>
            </w:pPr>
            <w:r>
              <w:rPr>
                <w:rFonts w:ascii="Arial" w:cs="Arial" w:eastAsia="Arial" w:hAnsi="Arial"/>
                <w:sz w:val="16"/>
                <w:szCs w:val="16"/>
                <w:color w:val="auto"/>
              </w:rPr>
              <w:t>Research and development</w:t>
            </w:r>
          </w:p>
        </w:tc>
        <w:tc>
          <w:tcPr>
            <w:tcW w:w="220" w:type="dxa"/>
            <w:vAlign w:val="bottom"/>
          </w:tcPr>
          <w:p>
            <w:pPr>
              <w:spacing w:after="0"/>
              <w:rPr>
                <w:sz w:val="20"/>
                <w:szCs w:val="20"/>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6,289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8,025</w:t>
            </w:r>
          </w:p>
        </w:tc>
        <w:tc>
          <w:tcPr>
            <w:tcW w:w="0" w:type="dxa"/>
            <w:vAlign w:val="bottom"/>
          </w:tcPr>
          <w:p>
            <w:pPr>
              <w:spacing w:after="0"/>
              <w:rPr>
                <w:sz w:val="1"/>
                <w:szCs w:val="1"/>
                <w:color w:val="auto"/>
              </w:rPr>
            </w:pPr>
          </w:p>
        </w:tc>
      </w:tr>
      <w:tr>
        <w:trPr>
          <w:trHeight w:val="33"/>
        </w:trPr>
        <w:tc>
          <w:tcPr>
            <w:tcW w:w="9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Sales and marketing</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7,157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7,753</w:t>
            </w:r>
          </w:p>
        </w:tc>
        <w:tc>
          <w:tcPr>
            <w:tcW w:w="0" w:type="dxa"/>
            <w:vAlign w:val="bottom"/>
          </w:tcPr>
          <w:p>
            <w:pPr>
              <w:spacing w:after="0"/>
              <w:rPr>
                <w:sz w:val="1"/>
                <w:szCs w:val="1"/>
                <w:color w:val="auto"/>
              </w:rPr>
            </w:pPr>
          </w:p>
        </w:tc>
      </w:tr>
      <w:tr>
        <w:trPr>
          <w:trHeight w:val="237"/>
        </w:trPr>
        <w:tc>
          <w:tcPr>
            <w:tcW w:w="9020" w:type="dxa"/>
            <w:vAlign w:val="bottom"/>
          </w:tcPr>
          <w:p>
            <w:pPr>
              <w:ind w:left="280"/>
              <w:spacing w:after="0"/>
              <w:rPr>
                <w:sz w:val="20"/>
                <w:szCs w:val="20"/>
                <w:color w:val="auto"/>
              </w:rPr>
            </w:pPr>
            <w:r>
              <w:rPr>
                <w:rFonts w:ascii="Arial" w:cs="Arial" w:eastAsia="Arial" w:hAnsi="Arial"/>
                <w:sz w:val="16"/>
                <w:szCs w:val="16"/>
                <w:color w:val="auto"/>
              </w:rPr>
              <w:t>General and administrative</w:t>
            </w:r>
          </w:p>
        </w:tc>
        <w:tc>
          <w:tcPr>
            <w:tcW w:w="220" w:type="dxa"/>
            <w:vAlign w:val="bottom"/>
          </w:tcPr>
          <w:p>
            <w:pPr>
              <w:spacing w:after="0"/>
              <w:rPr>
                <w:sz w:val="20"/>
                <w:szCs w:val="20"/>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12,037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10,199</w:t>
            </w:r>
          </w:p>
        </w:tc>
        <w:tc>
          <w:tcPr>
            <w:tcW w:w="0" w:type="dxa"/>
            <w:vAlign w:val="bottom"/>
          </w:tcPr>
          <w:p>
            <w:pPr>
              <w:spacing w:after="0"/>
              <w:rPr>
                <w:sz w:val="1"/>
                <w:szCs w:val="1"/>
                <w:color w:val="auto"/>
              </w:rPr>
            </w:pPr>
          </w:p>
        </w:tc>
      </w:tr>
      <w:tr>
        <w:trPr>
          <w:trHeight w:val="33"/>
        </w:trPr>
        <w:tc>
          <w:tcPr>
            <w:tcW w:w="9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Amortization of purchased intangible assets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928</w:t>
            </w:r>
          </w:p>
        </w:tc>
        <w:tc>
          <w:tcPr>
            <w:tcW w:w="0" w:type="dxa"/>
            <w:vAlign w:val="bottom"/>
          </w:tcPr>
          <w:p>
            <w:pPr>
              <w:spacing w:after="0"/>
              <w:rPr>
                <w:sz w:val="1"/>
                <w:szCs w:val="1"/>
                <w:color w:val="auto"/>
              </w:rPr>
            </w:pPr>
          </w:p>
        </w:tc>
      </w:tr>
      <w:tr>
        <w:trPr>
          <w:trHeight w:val="237"/>
        </w:trPr>
        <w:tc>
          <w:tcPr>
            <w:tcW w:w="9020" w:type="dxa"/>
            <w:vAlign w:val="bottom"/>
          </w:tcPr>
          <w:p>
            <w:pPr>
              <w:ind w:left="280"/>
              <w:spacing w:after="0"/>
              <w:rPr>
                <w:sz w:val="20"/>
                <w:szCs w:val="20"/>
                <w:color w:val="auto"/>
              </w:rPr>
            </w:pPr>
            <w:r>
              <w:rPr>
                <w:rFonts w:ascii="Arial" w:cs="Arial" w:eastAsia="Arial" w:hAnsi="Arial"/>
                <w:sz w:val="16"/>
                <w:szCs w:val="16"/>
                <w:color w:val="auto"/>
              </w:rPr>
              <w:t>Restructuring charges, net of recoveries</w:t>
            </w:r>
          </w:p>
        </w:tc>
        <w:tc>
          <w:tcPr>
            <w:tcW w:w="220" w:type="dxa"/>
            <w:vAlign w:val="bottom"/>
          </w:tcPr>
          <w:p>
            <w:pPr>
              <w:spacing w:after="0"/>
              <w:rPr>
                <w:sz w:val="20"/>
                <w:szCs w:val="20"/>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809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622</w:t>
            </w:r>
          </w:p>
        </w:tc>
        <w:tc>
          <w:tcPr>
            <w:tcW w:w="0" w:type="dxa"/>
            <w:vAlign w:val="bottom"/>
          </w:tcPr>
          <w:p>
            <w:pPr>
              <w:spacing w:after="0"/>
              <w:rPr>
                <w:sz w:val="1"/>
                <w:szCs w:val="1"/>
                <w:color w:val="auto"/>
              </w:rPr>
            </w:pPr>
          </w:p>
        </w:tc>
      </w:tr>
      <w:tr>
        <w:trPr>
          <w:trHeight w:val="33"/>
        </w:trPr>
        <w:tc>
          <w:tcPr>
            <w:tcW w:w="90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90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operating costs and expenses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27,196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27,527</w:t>
            </w:r>
          </w:p>
        </w:tc>
        <w:tc>
          <w:tcPr>
            <w:tcW w:w="0" w:type="dxa"/>
            <w:vAlign w:val="bottom"/>
          </w:tcPr>
          <w:p>
            <w:pPr>
              <w:spacing w:after="0"/>
              <w:rPr>
                <w:sz w:val="1"/>
                <w:szCs w:val="1"/>
                <w:color w:val="auto"/>
              </w:rPr>
            </w:pPr>
          </w:p>
        </w:tc>
      </w:tr>
      <w:tr>
        <w:trPr>
          <w:trHeight w:val="217"/>
        </w:trPr>
        <w:tc>
          <w:tcPr>
            <w:tcW w:w="9020" w:type="dxa"/>
            <w:vAlign w:val="bottom"/>
          </w:tcPr>
          <w:p>
            <w:pPr>
              <w:ind w:left="40"/>
              <w:spacing w:after="0"/>
              <w:rPr>
                <w:sz w:val="20"/>
                <w:szCs w:val="20"/>
                <w:color w:val="auto"/>
              </w:rPr>
            </w:pPr>
            <w:r>
              <w:rPr>
                <w:rFonts w:ascii="Arial" w:cs="Arial" w:eastAsia="Arial" w:hAnsi="Arial"/>
                <w:sz w:val="16"/>
                <w:szCs w:val="16"/>
                <w:color w:val="auto"/>
              </w:rPr>
              <w:t>Operating loss</w:t>
            </w: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(11,010)</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(6,344)</w:t>
            </w:r>
          </w:p>
        </w:tc>
        <w:tc>
          <w:tcPr>
            <w:tcW w:w="0" w:type="dxa"/>
            <w:vAlign w:val="bottom"/>
          </w:tcPr>
          <w:p>
            <w:pPr>
              <w:spacing w:after="0"/>
              <w:rPr>
                <w:sz w:val="1"/>
                <w:szCs w:val="1"/>
                <w:color w:val="auto"/>
              </w:rPr>
            </w:pPr>
          </w:p>
        </w:tc>
      </w:tr>
      <w:tr>
        <w:trPr>
          <w:trHeight w:val="33"/>
        </w:trPr>
        <w:tc>
          <w:tcPr>
            <w:tcW w:w="9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Other income (expense):</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9020" w:type="dxa"/>
            <w:vAlign w:val="bottom"/>
          </w:tcPr>
          <w:p>
            <w:pPr>
              <w:ind w:left="280"/>
              <w:spacing w:after="0"/>
              <w:rPr>
                <w:sz w:val="20"/>
                <w:szCs w:val="20"/>
                <w:color w:val="auto"/>
              </w:rPr>
            </w:pPr>
            <w:r>
              <w:rPr>
                <w:rFonts w:ascii="Arial" w:cs="Arial" w:eastAsia="Arial" w:hAnsi="Arial"/>
                <w:sz w:val="16"/>
                <w:szCs w:val="16"/>
                <w:color w:val="auto"/>
              </w:rPr>
              <w:t>Interest expense, net</w:t>
            </w: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(4,156)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(3,928)</w:t>
            </w:r>
          </w:p>
        </w:tc>
        <w:tc>
          <w:tcPr>
            <w:tcW w:w="0" w:type="dxa"/>
            <w:vAlign w:val="bottom"/>
          </w:tcPr>
          <w:p>
            <w:pPr>
              <w:spacing w:after="0"/>
              <w:rPr>
                <w:sz w:val="1"/>
                <w:szCs w:val="1"/>
                <w:color w:val="auto"/>
              </w:rPr>
            </w:pPr>
          </w:p>
        </w:tc>
      </w:tr>
      <w:tr>
        <w:trPr>
          <w:trHeight w:val="33"/>
        </w:trPr>
        <w:tc>
          <w:tcPr>
            <w:tcW w:w="9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expense, net</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(1,296)</w:t>
            </w:r>
          </w:p>
        </w:tc>
        <w:tc>
          <w:tcPr>
            <w:tcW w:w="0" w:type="dxa"/>
            <w:vAlign w:val="bottom"/>
          </w:tcPr>
          <w:p>
            <w:pPr>
              <w:spacing w:after="0"/>
              <w:rPr>
                <w:sz w:val="1"/>
                <w:szCs w:val="1"/>
                <w:color w:val="auto"/>
              </w:rPr>
            </w:pPr>
          </w:p>
        </w:tc>
      </w:tr>
      <w:tr>
        <w:trPr>
          <w:trHeight w:val="217"/>
        </w:trPr>
        <w:tc>
          <w:tcPr>
            <w:tcW w:w="9020" w:type="dxa"/>
            <w:vAlign w:val="bottom"/>
          </w:tcPr>
          <w:p>
            <w:pPr>
              <w:ind w:left="40"/>
              <w:spacing w:after="0"/>
              <w:rPr>
                <w:sz w:val="20"/>
                <w:szCs w:val="20"/>
                <w:color w:val="auto"/>
              </w:rPr>
            </w:pPr>
            <w:r>
              <w:rPr>
                <w:rFonts w:ascii="Arial" w:cs="Arial" w:eastAsia="Arial" w:hAnsi="Arial"/>
                <w:sz w:val="16"/>
                <w:szCs w:val="16"/>
                <w:color w:val="auto"/>
              </w:rPr>
              <w:t>Loss before income taxes</w:t>
            </w: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(15,809)</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(11,568)</w:t>
            </w:r>
          </w:p>
        </w:tc>
        <w:tc>
          <w:tcPr>
            <w:tcW w:w="0" w:type="dxa"/>
            <w:vAlign w:val="bottom"/>
          </w:tcPr>
          <w:p>
            <w:pPr>
              <w:spacing w:after="0"/>
              <w:rPr>
                <w:sz w:val="1"/>
                <w:szCs w:val="1"/>
                <w:color w:val="auto"/>
              </w:rPr>
            </w:pPr>
          </w:p>
        </w:tc>
      </w:tr>
      <w:tr>
        <w:trPr>
          <w:trHeight w:val="33"/>
        </w:trPr>
        <w:tc>
          <w:tcPr>
            <w:tcW w:w="9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provision</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305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331</w:t>
            </w:r>
          </w:p>
        </w:tc>
        <w:tc>
          <w:tcPr>
            <w:tcW w:w="0" w:type="dxa"/>
            <w:vAlign w:val="bottom"/>
          </w:tcPr>
          <w:p>
            <w:pPr>
              <w:spacing w:after="0"/>
              <w:rPr>
                <w:sz w:val="1"/>
                <w:szCs w:val="1"/>
                <w:color w:val="auto"/>
              </w:rPr>
            </w:pPr>
          </w:p>
        </w:tc>
      </w:tr>
      <w:tr>
        <w:trPr>
          <w:trHeight w:val="217"/>
        </w:trPr>
        <w:tc>
          <w:tcPr>
            <w:tcW w:w="9020" w:type="dxa"/>
            <w:vAlign w:val="bottom"/>
          </w:tcPr>
          <w:p>
            <w:pPr>
              <w:ind w:left="40"/>
              <w:spacing w:after="0"/>
              <w:rPr>
                <w:sz w:val="20"/>
                <w:szCs w:val="20"/>
                <w:color w:val="auto"/>
              </w:rPr>
            </w:pPr>
            <w:r>
              <w:rPr>
                <w:rFonts w:ascii="Arial" w:cs="Arial" w:eastAsia="Arial" w:hAnsi="Arial"/>
                <w:sz w:val="16"/>
                <w:szCs w:val="16"/>
                <w:color w:val="auto"/>
              </w:rPr>
              <w:t>Net loss</w:t>
            </w: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(16,114)</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(11,899)</w:t>
            </w:r>
          </w:p>
        </w:tc>
        <w:tc>
          <w:tcPr>
            <w:tcW w:w="0" w:type="dxa"/>
            <w:vAlign w:val="bottom"/>
          </w:tcPr>
          <w:p>
            <w:pPr>
              <w:spacing w:after="0"/>
              <w:rPr>
                <w:sz w:val="1"/>
                <w:szCs w:val="1"/>
                <w:color w:val="auto"/>
              </w:rPr>
            </w:pPr>
          </w:p>
        </w:tc>
      </w:tr>
      <w:tr>
        <w:trPr>
          <w:trHeight w:val="33"/>
        </w:trPr>
        <w:tc>
          <w:tcPr>
            <w:tcW w:w="9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Net loss (income) attributable to noncontrolling interests</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84"/>
        </w:trPr>
        <w:tc>
          <w:tcPr>
            <w:tcW w:w="90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loss attributable to Inseego Corp.</w:t>
            </w: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(16,100)</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(11,904)</w:t>
            </w:r>
          </w:p>
        </w:tc>
        <w:tc>
          <w:tcPr>
            <w:tcW w:w="0" w:type="dxa"/>
            <w:vAlign w:val="bottom"/>
          </w:tcPr>
          <w:p>
            <w:pPr>
              <w:spacing w:after="0"/>
              <w:rPr>
                <w:sz w:val="1"/>
                <w:szCs w:val="1"/>
                <w:color w:val="auto"/>
              </w:rPr>
            </w:pPr>
          </w:p>
        </w:tc>
      </w:tr>
      <w:tr>
        <w:trPr>
          <w:trHeight w:val="237"/>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Per share data:</w:t>
            </w: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9020" w:type="dxa"/>
            <w:vAlign w:val="bottom"/>
          </w:tcPr>
          <w:p>
            <w:pPr>
              <w:ind w:left="40"/>
              <w:spacing w:after="0"/>
              <w:rPr>
                <w:sz w:val="20"/>
                <w:szCs w:val="20"/>
                <w:color w:val="auto"/>
              </w:rPr>
            </w:pPr>
            <w:r>
              <w:rPr>
                <w:rFonts w:ascii="Arial" w:cs="Arial" w:eastAsia="Arial" w:hAnsi="Arial"/>
                <w:sz w:val="16"/>
                <w:szCs w:val="16"/>
                <w:color w:val="auto"/>
              </w:rPr>
              <w:t>Net loss per share:</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9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9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shd w:val="clear" w:color="auto" w:fill="CCEEFF"/>
              </w:rPr>
              <w:t>Basic and diluted</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(0.22)</w:t>
            </w:r>
          </w:p>
        </w:tc>
        <w:tc>
          <w:tcPr>
            <w:tcW w:w="0" w:type="dxa"/>
            <w:vAlign w:val="bottom"/>
          </w:tcPr>
          <w:p>
            <w:pPr>
              <w:spacing w:after="0"/>
              <w:rPr>
                <w:sz w:val="1"/>
                <w:szCs w:val="1"/>
                <w:color w:val="auto"/>
              </w:rPr>
            </w:pPr>
          </w:p>
        </w:tc>
      </w:tr>
      <w:tr>
        <w:trPr>
          <w:trHeight w:val="20"/>
        </w:trPr>
        <w:tc>
          <w:tcPr>
            <w:tcW w:w="90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Weighted-average shares used in computation of net loss per share:</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90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9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9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shd w:val="clear" w:color="auto" w:fill="CCEEFF"/>
              </w:rPr>
              <w:t>Basic and diluted</w:t>
            </w: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99"/>
              </w:rPr>
              <w:t>57,480,210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9"/>
              </w:rPr>
              <w:t>53,250,668</w:t>
            </w:r>
          </w:p>
        </w:tc>
        <w:tc>
          <w:tcPr>
            <w:tcW w:w="0" w:type="dxa"/>
            <w:vAlign w:val="bottom"/>
          </w:tcPr>
          <w:p>
            <w:pPr>
              <w:spacing w:after="0"/>
              <w:rPr>
                <w:sz w:val="1"/>
                <w:szCs w:val="1"/>
                <w:color w:val="auto"/>
              </w:rPr>
            </w:pPr>
          </w:p>
        </w:tc>
      </w:tr>
      <w:tr>
        <w:trPr>
          <w:trHeight w:val="20"/>
        </w:trPr>
        <w:tc>
          <w:tcPr>
            <w:tcW w:w="90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6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329" w:lineRule="exact"/>
        <w:rPr>
          <w:sz w:val="20"/>
          <w:szCs w:val="20"/>
          <w:color w:val="auto"/>
        </w:rPr>
      </w:pPr>
    </w:p>
    <w:p>
      <w:pPr>
        <w:jc w:val="center"/>
        <w:ind w:left="90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90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5734050</wp:posOffset>
            </wp:positionH>
            <wp:positionV relativeFrom="paragraph">
              <wp:posOffset>13335</wp:posOffset>
            </wp:positionV>
            <wp:extent cx="15176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2016</w:t>
            </w:r>
          </w:p>
        </w:tc>
      </w:tr>
      <w:tr>
        <w:trPr>
          <w:trHeight w:val="236"/>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(16,114)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(11,899)</w:t>
            </w:r>
          </w:p>
        </w:tc>
      </w:tr>
      <w:tr>
        <w:trPr>
          <w:trHeight w:val="237"/>
        </w:trPr>
        <w:tc>
          <w:tcPr>
            <w:tcW w:w="9020" w:type="dxa"/>
            <w:vAlign w:val="bottom"/>
          </w:tcPr>
          <w:p>
            <w:pPr>
              <w:ind w:left="40"/>
              <w:spacing w:after="0"/>
              <w:rPr>
                <w:sz w:val="20"/>
                <w:szCs w:val="20"/>
                <w:color w:val="auto"/>
              </w:rPr>
            </w:pPr>
            <w:r>
              <w:rPr>
                <w:rFonts w:ascii="Arial" w:cs="Arial" w:eastAsia="Arial" w:hAnsi="Arial"/>
                <w:sz w:val="16"/>
                <w:szCs w:val="16"/>
                <w:color w:val="auto"/>
              </w:rPr>
              <w:t>Foreign currency translation adjustment</w:t>
            </w:r>
          </w:p>
        </w:tc>
        <w:tc>
          <w:tcPr>
            <w:tcW w:w="280" w:type="dxa"/>
            <w:vAlign w:val="bottom"/>
          </w:tcPr>
          <w:p>
            <w:pPr>
              <w:spacing w:after="0"/>
              <w:rPr>
                <w:sz w:val="20"/>
                <w:szCs w:val="20"/>
                <w:color w:val="auto"/>
              </w:rPr>
            </w:pPr>
          </w:p>
        </w:tc>
        <w:tc>
          <w:tcPr>
            <w:tcW w:w="900" w:type="dxa"/>
            <w:vAlign w:val="bottom"/>
          </w:tcPr>
          <w:p>
            <w:pPr>
              <w:jc w:val="right"/>
              <w:ind w:right="61"/>
              <w:spacing w:after="0"/>
              <w:rPr>
                <w:sz w:val="20"/>
                <w:szCs w:val="20"/>
                <w:color w:val="auto"/>
              </w:rPr>
            </w:pPr>
            <w:r>
              <w:rPr>
                <w:rFonts w:ascii="Arial" w:cs="Arial" w:eastAsia="Arial" w:hAnsi="Arial"/>
                <w:sz w:val="16"/>
                <w:szCs w:val="16"/>
                <w:color w:val="auto"/>
              </w:rPr>
              <w:t>1,047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2,278</w:t>
            </w:r>
          </w:p>
        </w:tc>
      </w:tr>
      <w:tr>
        <w:trPr>
          <w:trHeight w:val="33"/>
        </w:trPr>
        <w:tc>
          <w:tcPr>
            <w:tcW w:w="9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comprehensive loss</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(15,067)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(9,621)</w:t>
            </w:r>
          </w:p>
        </w:tc>
      </w:tr>
      <w:tr>
        <w:trPr>
          <w:trHeight w:val="20"/>
        </w:trPr>
        <w:tc>
          <w:tcPr>
            <w:tcW w:w="9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6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40" w:lineRule="exact"/>
        <w:rPr>
          <w:sz w:val="20"/>
          <w:szCs w:val="20"/>
          <w:color w:val="auto"/>
        </w:rPr>
      </w:pPr>
    </w:p>
    <w:p>
      <w:pPr>
        <w:jc w:val="center"/>
        <w:ind w:left="88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8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13335</wp:posOffset>
            </wp:positionV>
            <wp:extent cx="1663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Cash flows from operating activities:</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loss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(16,114)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(11,899)</w:t>
            </w:r>
          </w:p>
        </w:tc>
        <w:tc>
          <w:tcPr>
            <w:tcW w:w="0" w:type="dxa"/>
            <w:vAlign w:val="bottom"/>
          </w:tcPr>
          <w:p>
            <w:pPr>
              <w:spacing w:after="0"/>
              <w:rPr>
                <w:sz w:val="1"/>
                <w:szCs w:val="1"/>
                <w:color w:val="auto"/>
              </w:rPr>
            </w:pP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4,079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3,598</w:t>
            </w:r>
          </w:p>
        </w:tc>
        <w:tc>
          <w:tcPr>
            <w:tcW w:w="0" w:type="dxa"/>
            <w:vAlign w:val="bottom"/>
          </w:tcPr>
          <w:p>
            <w:pPr>
              <w:spacing w:after="0"/>
              <w:rPr>
                <w:sz w:val="1"/>
                <w:szCs w:val="1"/>
                <w:color w:val="auto"/>
              </w:rPr>
            </w:pPr>
          </w:p>
        </w:tc>
      </w:tr>
      <w:tr>
        <w:trPr>
          <w:trHeight w:val="237"/>
        </w:trPr>
        <w:tc>
          <w:tcPr>
            <w:tcW w:w="8800" w:type="dxa"/>
            <w:vAlign w:val="bottom"/>
          </w:tcPr>
          <w:p>
            <w:pPr>
              <w:ind w:left="500"/>
              <w:spacing w:after="0"/>
              <w:rPr>
                <w:sz w:val="20"/>
                <w:szCs w:val="20"/>
                <w:color w:val="auto"/>
              </w:rPr>
            </w:pPr>
            <w:r>
              <w:rPr>
                <w:rFonts w:ascii="Arial" w:cs="Arial" w:eastAsia="Arial" w:hAnsi="Arial"/>
                <w:sz w:val="16"/>
                <w:szCs w:val="16"/>
                <w:color w:val="auto"/>
              </w:rPr>
              <w:t>Amortization of acquisition-related inventory step-up</w:t>
            </w:r>
          </w:p>
        </w:tc>
        <w:tc>
          <w:tcPr>
            <w:tcW w:w="30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1,829</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Provision for bad debts, net of recoveries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237"/>
        </w:trPr>
        <w:tc>
          <w:tcPr>
            <w:tcW w:w="8800" w:type="dxa"/>
            <w:vAlign w:val="bottom"/>
          </w:tcPr>
          <w:p>
            <w:pPr>
              <w:ind w:left="500"/>
              <w:spacing w:after="0"/>
              <w:rPr>
                <w:sz w:val="20"/>
                <w:szCs w:val="20"/>
                <w:color w:val="auto"/>
              </w:rPr>
            </w:pPr>
            <w:r>
              <w:rPr>
                <w:rFonts w:ascii="Arial" w:cs="Arial" w:eastAsia="Arial" w:hAnsi="Arial"/>
                <w:sz w:val="16"/>
                <w:szCs w:val="16"/>
                <w:color w:val="auto"/>
              </w:rPr>
              <w:t>Provision for excess and obsolete inventory</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1,311</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Share-based compensation expense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1,091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1,066</w:t>
            </w:r>
          </w:p>
        </w:tc>
        <w:tc>
          <w:tcPr>
            <w:tcW w:w="0" w:type="dxa"/>
            <w:vAlign w:val="bottom"/>
          </w:tcPr>
          <w:p>
            <w:pPr>
              <w:spacing w:after="0"/>
              <w:rPr>
                <w:sz w:val="1"/>
                <w:szCs w:val="1"/>
                <w:color w:val="auto"/>
              </w:rPr>
            </w:pPr>
          </w:p>
        </w:tc>
      </w:tr>
      <w:tr>
        <w:trPr>
          <w:trHeight w:val="237"/>
        </w:trPr>
        <w:tc>
          <w:tcPr>
            <w:tcW w:w="8800" w:type="dxa"/>
            <w:vAlign w:val="bottom"/>
          </w:tcPr>
          <w:p>
            <w:pPr>
              <w:ind w:left="500"/>
              <w:spacing w:after="0"/>
              <w:rPr>
                <w:sz w:val="20"/>
                <w:szCs w:val="20"/>
                <w:color w:val="auto"/>
              </w:rPr>
            </w:pPr>
            <w:r>
              <w:rPr>
                <w:rFonts w:ascii="Arial" w:cs="Arial" w:eastAsia="Arial" w:hAnsi="Arial"/>
                <w:sz w:val="16"/>
                <w:szCs w:val="16"/>
                <w:color w:val="auto"/>
              </w:rPr>
              <w:t>Amortization of debt discount and debt issuance costs</w:t>
            </w: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2,348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2,112</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Loss on disposal of assets, net of gain on divestiture and sale of other assets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37"/>
        </w:trPr>
        <w:tc>
          <w:tcPr>
            <w:tcW w:w="8800" w:type="dxa"/>
            <w:vAlign w:val="bottom"/>
          </w:tcPr>
          <w:p>
            <w:pPr>
              <w:ind w:left="500"/>
              <w:spacing w:after="0"/>
              <w:rPr>
                <w:sz w:val="20"/>
                <w:szCs w:val="20"/>
                <w:color w:val="auto"/>
              </w:rPr>
            </w:pPr>
            <w:r>
              <w:rPr>
                <w:rFonts w:ascii="Arial" w:cs="Arial" w:eastAsia="Arial" w:hAnsi="Arial"/>
                <w:sz w:val="16"/>
                <w:szCs w:val="16"/>
                <w:color w:val="auto"/>
              </w:rPr>
              <w:t>Deferred income taxes</w:t>
            </w: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Unrealized foreign currency transaction loss, net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1,171</w:t>
            </w:r>
          </w:p>
        </w:tc>
        <w:tc>
          <w:tcPr>
            <w:tcW w:w="0" w:type="dxa"/>
            <w:vAlign w:val="bottom"/>
          </w:tcPr>
          <w:p>
            <w:pPr>
              <w:spacing w:after="0"/>
              <w:rPr>
                <w:sz w:val="1"/>
                <w:szCs w:val="1"/>
                <w:color w:val="auto"/>
              </w:rPr>
            </w:pPr>
          </w:p>
        </w:tc>
      </w:tr>
      <w:tr>
        <w:trPr>
          <w:trHeight w:val="237"/>
        </w:trPr>
        <w:tc>
          <w:tcPr>
            <w:tcW w:w="8800" w:type="dxa"/>
            <w:vAlign w:val="bottom"/>
          </w:tcPr>
          <w:p>
            <w:pPr>
              <w:ind w:left="500"/>
              <w:spacing w:after="0"/>
              <w:rPr>
                <w:sz w:val="20"/>
                <w:szCs w:val="20"/>
                <w:color w:val="auto"/>
              </w:rPr>
            </w:pPr>
            <w:r>
              <w:rPr>
                <w:rFonts w:ascii="Arial" w:cs="Arial" w:eastAsia="Arial" w:hAnsi="Arial"/>
                <w:sz w:val="16"/>
                <w:szCs w:val="16"/>
                <w:color w:val="auto"/>
              </w:rPr>
              <w:t>Other</w:t>
            </w: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291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394</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Changes in assets and liabilities, net of effects from divestiture: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800" w:type="dxa"/>
            <w:vAlign w:val="bottom"/>
          </w:tcPr>
          <w:p>
            <w:pPr>
              <w:ind w:left="720"/>
              <w:spacing w:after="0"/>
              <w:rPr>
                <w:sz w:val="20"/>
                <w:szCs w:val="20"/>
                <w:color w:val="auto"/>
              </w:rPr>
            </w:pPr>
            <w:r>
              <w:rPr>
                <w:rFonts w:ascii="Arial" w:cs="Arial" w:eastAsia="Arial" w:hAnsi="Arial"/>
                <w:sz w:val="16"/>
                <w:szCs w:val="16"/>
                <w:color w:val="auto"/>
              </w:rPr>
              <w:t>Accounts receivable</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(8,375)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378</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Inventories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3,649</w:t>
            </w:r>
          </w:p>
        </w:tc>
        <w:tc>
          <w:tcPr>
            <w:tcW w:w="0" w:type="dxa"/>
            <w:vAlign w:val="bottom"/>
          </w:tcPr>
          <w:p>
            <w:pPr>
              <w:spacing w:after="0"/>
              <w:rPr>
                <w:sz w:val="1"/>
                <w:szCs w:val="1"/>
                <w:color w:val="auto"/>
              </w:rPr>
            </w:pPr>
          </w:p>
        </w:tc>
      </w:tr>
      <w:tr>
        <w:trPr>
          <w:trHeight w:val="237"/>
        </w:trPr>
        <w:tc>
          <w:tcPr>
            <w:tcW w:w="8800" w:type="dxa"/>
            <w:vAlign w:val="bottom"/>
          </w:tcPr>
          <w:p>
            <w:pPr>
              <w:ind w:left="720"/>
              <w:spacing w:after="0"/>
              <w:rPr>
                <w:sz w:val="20"/>
                <w:szCs w:val="20"/>
                <w:color w:val="auto"/>
              </w:rPr>
            </w:pPr>
            <w:r>
              <w:rPr>
                <w:rFonts w:ascii="Arial" w:cs="Arial" w:eastAsia="Arial" w:hAnsi="Arial"/>
                <w:sz w:val="16"/>
                <w:szCs w:val="16"/>
                <w:color w:val="auto"/>
              </w:rPr>
              <w:t>Prepaid expenses and other assets</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(3,820)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(922)</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Accounts payable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14,319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(10,063)</w:t>
            </w:r>
          </w:p>
        </w:tc>
        <w:tc>
          <w:tcPr>
            <w:tcW w:w="0" w:type="dxa"/>
            <w:vAlign w:val="bottom"/>
          </w:tcPr>
          <w:p>
            <w:pPr>
              <w:spacing w:after="0"/>
              <w:rPr>
                <w:sz w:val="1"/>
                <w:szCs w:val="1"/>
                <w:color w:val="auto"/>
              </w:rPr>
            </w:pPr>
          </w:p>
        </w:tc>
      </w:tr>
      <w:tr>
        <w:trPr>
          <w:trHeight w:val="237"/>
        </w:trPr>
        <w:tc>
          <w:tcPr>
            <w:tcW w:w="8800" w:type="dxa"/>
            <w:vAlign w:val="bottom"/>
          </w:tcPr>
          <w:p>
            <w:pPr>
              <w:ind w:left="720"/>
              <w:spacing w:after="0"/>
              <w:rPr>
                <w:sz w:val="20"/>
                <w:szCs w:val="20"/>
                <w:color w:val="auto"/>
              </w:rPr>
            </w:pPr>
            <w:r>
              <w:rPr>
                <w:rFonts w:ascii="Arial" w:cs="Arial" w:eastAsia="Arial" w:hAnsi="Arial"/>
                <w:sz w:val="16"/>
                <w:szCs w:val="16"/>
                <w:color w:val="auto"/>
              </w:rPr>
              <w:t>Accrued expenses, income taxes, and other</w:t>
            </w: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2,347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1,010</w:t>
            </w:r>
          </w:p>
        </w:tc>
        <w:tc>
          <w:tcPr>
            <w:tcW w:w="0" w:type="dxa"/>
            <w:vAlign w:val="bottom"/>
          </w:tcPr>
          <w:p>
            <w:pPr>
              <w:spacing w:after="0"/>
              <w:rPr>
                <w:sz w:val="1"/>
                <w:szCs w:val="1"/>
                <w:color w:val="auto"/>
              </w:rPr>
            </w:pP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Net cash used in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(3,177)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(6,338)</w:t>
            </w:r>
          </w:p>
        </w:tc>
        <w:tc>
          <w:tcPr>
            <w:tcW w:w="0" w:type="dxa"/>
            <w:vAlign w:val="bottom"/>
          </w:tcPr>
          <w:p>
            <w:pPr>
              <w:spacing w:after="0"/>
              <w:rPr>
                <w:sz w:val="1"/>
                <w:szCs w:val="1"/>
                <w:color w:val="auto"/>
              </w:rPr>
            </w:pPr>
          </w:p>
        </w:tc>
      </w:tr>
      <w:tr>
        <w:trPr>
          <w:trHeight w:val="231"/>
        </w:trPr>
        <w:tc>
          <w:tcPr>
            <w:tcW w:w="8800" w:type="dxa"/>
            <w:vAlign w:val="bottom"/>
          </w:tcPr>
          <w:p>
            <w:pPr>
              <w:ind w:left="40"/>
              <w:spacing w:after="0"/>
              <w:rPr>
                <w:sz w:val="20"/>
                <w:szCs w:val="20"/>
                <w:color w:val="auto"/>
              </w:rPr>
            </w:pPr>
            <w:r>
              <w:rPr>
                <w:rFonts w:ascii="Arial" w:cs="Arial" w:eastAsia="Arial" w:hAnsi="Arial"/>
                <w:sz w:val="16"/>
                <w:szCs w:val="16"/>
                <w:color w:val="auto"/>
              </w:rPr>
              <w:t>Cash flows from investing activities: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Purchases of property, plant and equipment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(448)</w:t>
            </w:r>
          </w:p>
        </w:tc>
        <w:tc>
          <w:tcPr>
            <w:tcW w:w="0" w:type="dxa"/>
            <w:vAlign w:val="bottom"/>
          </w:tcPr>
          <w:p>
            <w:pPr>
              <w:spacing w:after="0"/>
              <w:rPr>
                <w:sz w:val="1"/>
                <w:szCs w:val="1"/>
                <w:color w:val="auto"/>
              </w:rPr>
            </w:pP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Proceeds from the sale of property, plant and equipment</w:t>
            </w: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Purchases of intangible assets and additions to capitalized software development costs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(656)</w:t>
            </w:r>
          </w:p>
        </w:tc>
        <w:tc>
          <w:tcPr>
            <w:tcW w:w="0" w:type="dxa"/>
            <w:vAlign w:val="bottom"/>
          </w:tcPr>
          <w:p>
            <w:pPr>
              <w:spacing w:after="0"/>
              <w:rPr>
                <w:sz w:val="1"/>
                <w:szCs w:val="1"/>
                <w:color w:val="auto"/>
              </w:rPr>
            </w:pPr>
          </w:p>
        </w:tc>
      </w:tr>
      <w:tr>
        <w:trPr>
          <w:trHeight w:val="217"/>
        </w:trPr>
        <w:tc>
          <w:tcPr>
            <w:tcW w:w="8800" w:type="dxa"/>
            <w:vAlign w:val="bottom"/>
          </w:tcPr>
          <w:p>
            <w:pPr>
              <w:ind w:left="920"/>
              <w:spacing w:after="0"/>
              <w:rPr>
                <w:sz w:val="20"/>
                <w:szCs w:val="20"/>
                <w:color w:val="auto"/>
              </w:rPr>
            </w:pPr>
            <w:r>
              <w:rPr>
                <w:rFonts w:ascii="Arial" w:cs="Arial" w:eastAsia="Arial" w:hAnsi="Arial"/>
                <w:sz w:val="16"/>
                <w:szCs w:val="16"/>
                <w:color w:val="auto"/>
              </w:rPr>
              <w:t>Net cash used in investing activities</w:t>
            </w: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(1,714)</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(989)</w:t>
            </w:r>
          </w:p>
        </w:tc>
        <w:tc>
          <w:tcPr>
            <w:tcW w:w="0" w:type="dxa"/>
            <w:vAlign w:val="bottom"/>
          </w:tcPr>
          <w:p>
            <w:pPr>
              <w:spacing w:after="0"/>
              <w:rPr>
                <w:sz w:val="1"/>
                <w:szCs w:val="1"/>
                <w:color w:val="auto"/>
              </w:rPr>
            </w:pP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Net repayments of DigiCore bank facilities</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(156)</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borrowings from revolving credit facility</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2,750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3,400</w:t>
            </w:r>
          </w:p>
        </w:tc>
        <w:tc>
          <w:tcPr>
            <w:tcW w:w="0" w:type="dxa"/>
            <w:vAlign w:val="bottom"/>
          </w:tcPr>
          <w:p>
            <w:pPr>
              <w:spacing w:after="0"/>
              <w:rPr>
                <w:sz w:val="1"/>
                <w:szCs w:val="1"/>
                <w:color w:val="auto"/>
              </w:rPr>
            </w:pP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Principal payments under capital lease obligations</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(241)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(273)</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Principal payments on mortgage bond</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Taxes paid on vested restricted stock units, net of proceeds from stock option exercises</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(785)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80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Net cash provided by financing activities</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1,570</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2,908</w:t>
            </w:r>
          </w:p>
        </w:tc>
        <w:tc>
          <w:tcPr>
            <w:tcW w:w="0" w:type="dxa"/>
            <w:vAlign w:val="bottom"/>
          </w:tcPr>
          <w:p>
            <w:pPr>
              <w:spacing w:after="0"/>
              <w:rPr>
                <w:sz w:val="1"/>
                <w:szCs w:val="1"/>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Effect of exchange rates on cash and cash equivalents</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80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Net decrease in cash and cash equivalents</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(3,509)</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(4,309)</w:t>
            </w:r>
          </w:p>
        </w:tc>
        <w:tc>
          <w:tcPr>
            <w:tcW w:w="0" w:type="dxa"/>
            <w:vAlign w:val="bottom"/>
          </w:tcPr>
          <w:p>
            <w:pPr>
              <w:spacing w:after="0"/>
              <w:rPr>
                <w:sz w:val="1"/>
                <w:szCs w:val="1"/>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Cash and cash equivalents, beginning of period</w:t>
            </w: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9,894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12,570</w:t>
            </w:r>
          </w:p>
        </w:tc>
        <w:tc>
          <w:tcPr>
            <w:tcW w:w="0" w:type="dxa"/>
            <w:vAlign w:val="bottom"/>
          </w:tcPr>
          <w:p>
            <w:pPr>
              <w:spacing w:after="0"/>
              <w:rPr>
                <w:sz w:val="1"/>
                <w:szCs w:val="1"/>
                <w:color w:val="auto"/>
              </w:rPr>
            </w:pP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end of period</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6,385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8,261</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40"/>
              <w:spacing w:after="0"/>
              <w:rPr>
                <w:sz w:val="20"/>
                <w:szCs w:val="20"/>
                <w:color w:val="auto"/>
              </w:rPr>
            </w:pPr>
            <w:r>
              <w:rPr>
                <w:rFonts w:ascii="Arial" w:cs="Arial" w:eastAsia="Arial" w:hAnsi="Arial"/>
                <w:sz w:val="16"/>
                <w:szCs w:val="16"/>
                <w:color w:val="auto"/>
              </w:rPr>
              <w:t>Supplemental disclosures of cash flow information:</w:t>
            </w: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80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Cash paid during the year for:</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800" w:type="dxa"/>
            <w:vAlign w:val="bottom"/>
          </w:tcPr>
          <w:p>
            <w:pPr>
              <w:ind w:left="500"/>
              <w:spacing w:after="0"/>
              <w:rPr>
                <w:sz w:val="20"/>
                <w:szCs w:val="20"/>
                <w:color w:val="auto"/>
              </w:rPr>
            </w:pPr>
            <w:r>
              <w:rPr>
                <w:rFonts w:ascii="Arial" w:cs="Arial" w:eastAsia="Arial" w:hAnsi="Arial"/>
                <w:sz w:val="16"/>
                <w:szCs w:val="16"/>
                <w:color w:val="auto"/>
              </w:rPr>
              <w:t>Interest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149</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154</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Income taxes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Supplemental disclosures of non-cash activities:</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Transfer of inventories to rental assets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1,274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819</w:t>
            </w:r>
          </w:p>
        </w:tc>
        <w:tc>
          <w:tcPr>
            <w:tcW w:w="0" w:type="dxa"/>
            <w:vAlign w:val="bottom"/>
          </w:tcPr>
          <w:p>
            <w:pPr>
              <w:spacing w:after="0"/>
              <w:rPr>
                <w:sz w:val="1"/>
                <w:szCs w:val="1"/>
                <w:color w:val="auto"/>
              </w:rPr>
            </w:pPr>
          </w:p>
        </w:tc>
      </w:tr>
      <w:tr>
        <w:trPr>
          <w:trHeight w:val="237"/>
        </w:trPr>
        <w:tc>
          <w:tcPr>
            <w:tcW w:w="8800" w:type="dxa"/>
            <w:vAlign w:val="bottom"/>
          </w:tcPr>
          <w:p>
            <w:pPr>
              <w:ind w:left="500"/>
              <w:spacing w:after="0"/>
              <w:rPr>
                <w:sz w:val="20"/>
                <w:szCs w:val="20"/>
                <w:color w:val="auto"/>
              </w:rPr>
            </w:pPr>
            <w:r>
              <w:rPr>
                <w:rFonts w:ascii="Arial" w:cs="Arial" w:eastAsia="Arial" w:hAnsi="Arial"/>
                <w:sz w:val="16"/>
                <w:szCs w:val="16"/>
                <w:color w:val="auto"/>
              </w:rPr>
              <w:t>Issuance of common stock under amended earn-out agreement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2,638</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800" w:type="dxa"/>
            <w:vAlign w:val="bottom"/>
            <w:shd w:val="clear" w:color="auto" w:fill="CCEEFF"/>
          </w:tcPr>
          <w:p>
            <w:pPr>
              <w:ind w:left="500"/>
              <w:spacing w:after="0"/>
              <w:rPr>
                <w:sz w:val="20"/>
                <w:szCs w:val="20"/>
                <w:color w:val="auto"/>
              </w:rPr>
            </w:pPr>
            <w:r>
              <w:rPr>
                <w:rFonts w:ascii="Arial" w:cs="Arial" w:eastAsia="Arial" w:hAnsi="Arial"/>
                <w:sz w:val="16"/>
                <w:szCs w:val="16"/>
                <w:color w:val="auto"/>
              </w:rPr>
              <w:t>Additional debt discount on convertible senior notes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3,600</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8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ectPr>
          <w:pgSz w:w="11900" w:h="16838" w:orient="portrait"/>
          <w:cols w:equalWidth="0" w:num="1">
            <w:col w:w="11420"/>
          </w:cols>
          <w:pgMar w:left="240" w:top="364"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364" w:right="23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75"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The information contained herein has been prepared by Inseego Corp. (the “Company”) in accordance with the rules of the Securities and Exchange Commission (the “SEC”). The information at March 31, 2017 and the results of the Company’s operations for the three months ended March 31, 2017 and 2016 are unaudited. The condensed consolidated financial statements reflect all adjustments, consisting of only normal recurring accruals, which are, in the opinion of management, necessary for a fair statement of the results of the interim periods presented. These condensed consolidated financial statements and notes hereto should be read in conjunction with the audited financial statements from which they were derived and notes thereto included in the Company’s Annual Report on Form 10-K for the year ended December 31, 2016. Except as set forth below, the accounting policies used in preparing these unaudited condensed consolidated financial statements are the same as those described in the Company’s Annual Report on Form 10-K for the year ended December 31, 2016. The results of operations for the interim periods presented are not necessarily indicative of results to be expected for any other interim period or for the year as a whole.</w:t>
      </w:r>
    </w:p>
    <w:p>
      <w:pPr>
        <w:spacing w:after="0" w:line="128" w:lineRule="exact"/>
        <w:rPr>
          <w:sz w:val="20"/>
          <w:szCs w:val="20"/>
          <w:color w:val="auto"/>
        </w:rPr>
      </w:pPr>
    </w:p>
    <w:p>
      <w:pPr>
        <w:ind w:firstLine="432"/>
        <w:spacing w:after="0" w:line="286" w:lineRule="auto"/>
        <w:rPr>
          <w:sz w:val="20"/>
          <w:szCs w:val="20"/>
          <w:color w:val="auto"/>
        </w:rPr>
      </w:pPr>
      <w:r>
        <w:rPr>
          <w:rFonts w:ascii="Arial" w:cs="Arial" w:eastAsia="Arial" w:hAnsi="Arial"/>
          <w:sz w:val="16"/>
          <w:szCs w:val="16"/>
          <w:color w:val="auto"/>
        </w:rPr>
        <w:t xml:space="preserve">For the three months ended March 31, 2017 and 2016, the Company incurred a net loss of $16.1 million and $11.9 million, respectively. The Company’s ability to transition to attaining profitable operations is dependent upon achieving a level and mix of revenues adequate to support its evolving cost structure. If events or circumstances occur such that the Company does not meet its operating plan as expected, the Company may be required to reduce planned research and development activities, incur additional restructuring charges or reduce other operating expenses which could have an adverse impact on its ability to achieve its intended business objectives. These additional reductions in expenditures, if required, could have an adverse impact on the Company’s ability to achieve certain of its business objectives. The Company’s management believes that its cash and cash equivalents, including proceeds received under the Credit Agreement (as defined below) subsequent to the balance sheet date (see Note 6, </w:t>
      </w:r>
      <w:r>
        <w:rPr>
          <w:rFonts w:ascii="Arial" w:cs="Arial" w:eastAsia="Arial" w:hAnsi="Arial"/>
          <w:sz w:val="16"/>
          <w:szCs w:val="16"/>
          <w:i w:val="1"/>
          <w:iCs w:val="1"/>
          <w:color w:val="auto"/>
        </w:rPr>
        <w:t>Debt</w:t>
      </w:r>
      <w:r>
        <w:rPr>
          <w:rFonts w:ascii="Arial" w:cs="Arial" w:eastAsia="Arial" w:hAnsi="Arial"/>
          <w:sz w:val="16"/>
          <w:szCs w:val="16"/>
          <w:color w:val="auto"/>
        </w:rPr>
        <w:t>), together with anticipated cash flows from operations, may not be sufficient to meet its working capital needs for the next twelve months following the filing date of this report without additional sources of cash due to the maturity date of the Credit Agreement on May 8, 2018. These conditions raise substantial doubt about the Company’s ability to continue as a going concern. The Company plans to mitigate the substantial doubt as to its ability to continue as a going concern through the sale of its MiFi Business (as defined below), and may also evaluate other strategic alternatives including, but not limited to, an alternative sale or other strategic transaction relating to the MiFi Business or the Company as a whole, potential joint ventures or licensing arrangements, or the incurrence of additional debt or issuance of additional equity. The accompanying financial statements have been prepared assuming that the Company will continue as a going concern and do not include adjustments that might result from the outcome of this uncertainty. This basis of accounting contemplates the recovery of the Company’s assets and the satisfaction of liabilities in the normal course of business.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225" w:lineRule="exact"/>
        <w:rPr>
          <w:sz w:val="20"/>
          <w:szCs w:val="20"/>
          <w:color w:val="auto"/>
        </w:rPr>
      </w:pPr>
    </w:p>
    <w:p>
      <w:pPr>
        <w:ind w:right="880" w:firstLine="432"/>
        <w:spacing w:after="0" w:line="277" w:lineRule="auto"/>
        <w:rPr>
          <w:sz w:val="20"/>
          <w:szCs w:val="20"/>
          <w:color w:val="auto"/>
        </w:rPr>
      </w:pPr>
      <w:r>
        <w:rPr>
          <w:rFonts w:ascii="Arial" w:cs="Arial" w:eastAsia="Arial" w:hAnsi="Arial"/>
          <w:sz w:val="18"/>
          <w:szCs w:val="18"/>
          <w:color w:val="auto"/>
        </w:rPr>
        <w:t>The condensed consolidated financial statements include the accounts of the Company and its wholly-owned subsidiaries. All intercompany transactions and balances have been eliminated in consolidation.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Information</w:t>
      </w:r>
    </w:p>
    <w:p>
      <w:pPr>
        <w:spacing w:after="0" w:line="117"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Management has determined that the Company has one reportable segment. The Chief Executive Officer, who is also the Chief Operating Decision Maker, does not manage any part of the Company separately, and the allocation of resources and assessment of performance is based solely on the Company’s consolidated operations and operating results.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ind w:right="80" w:firstLine="392"/>
        <w:spacing w:after="0" w:line="297"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U.S. requires management to make estimates and assumptions. These estimates and assumptions affect the reported amounts of assets, liabilities, revenues and expenses, and the disclosure of contingent liabilities. Actual results could differ materially from these estimates. Significant estimates include allowance for doubtful accounts receivable, provision for excess and obsolete inventory, valuation of intangible and long-lived assets, valuation of goodwill, valuation of debt obligations, royalty costs, accruals relating to litigation and restructuring, provision for warranty costs, income taxes and share-based compensation expense.</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53"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w:t>
      </w:r>
    </w:p>
    <w:p>
      <w:pPr>
        <w:spacing w:after="0" w:line="225" w:lineRule="exact"/>
        <w:rPr>
          <w:sz w:val="20"/>
          <w:szCs w:val="20"/>
          <w:color w:val="auto"/>
        </w:rPr>
      </w:pPr>
    </w:p>
    <w:p>
      <w:pPr>
        <w:ind w:right="220" w:firstLine="405"/>
        <w:spacing w:after="0" w:line="286" w:lineRule="auto"/>
        <w:rPr>
          <w:sz w:val="20"/>
          <w:szCs w:val="20"/>
          <w:color w:val="auto"/>
        </w:rPr>
      </w:pPr>
      <w:r>
        <w:rPr>
          <w:rFonts w:ascii="Arial" w:cs="Arial" w:eastAsia="Arial" w:hAnsi="Arial"/>
          <w:sz w:val="17"/>
          <w:szCs w:val="17"/>
          <w:color w:val="auto"/>
        </w:rPr>
        <w:t>From time to time, new accounting pronouncements are issued by the Financial Accounting Standards Board (the “FASB”), which are adopted by the Company as of the specified date. Unless otherwise discussed, management believes the impact of recently issued standards, some of which are not yet effective, will not have a material impact on its unaudited condensed consolidated financial statements upon adoption.</w:t>
      </w:r>
    </w:p>
    <w:p>
      <w:pPr>
        <w:spacing w:after="0" w:line="220" w:lineRule="exact"/>
        <w:rPr>
          <w:sz w:val="20"/>
          <w:szCs w:val="20"/>
          <w:color w:val="auto"/>
        </w:rPr>
      </w:pPr>
    </w:p>
    <w:p>
      <w:pPr>
        <w:ind w:right="120" w:firstLine="405"/>
        <w:spacing w:after="0" w:line="293" w:lineRule="auto"/>
        <w:rPr>
          <w:sz w:val="20"/>
          <w:szCs w:val="20"/>
          <w:color w:val="auto"/>
        </w:rPr>
      </w:pPr>
      <w:r>
        <w:rPr>
          <w:rFonts w:ascii="Arial" w:cs="Arial" w:eastAsia="Arial" w:hAnsi="Arial"/>
          <w:sz w:val="16"/>
          <w:szCs w:val="16"/>
          <w:color w:val="auto"/>
        </w:rPr>
        <w:t xml:space="preserve">In January 2017, the FASB issued Accounting Standards Update (“ASU”) 2017-04, </w:t>
      </w:r>
      <w:r>
        <w:rPr>
          <w:rFonts w:ascii="Arial" w:cs="Arial" w:eastAsia="Arial" w:hAnsi="Arial"/>
          <w:sz w:val="16"/>
          <w:szCs w:val="16"/>
          <w:i w:val="1"/>
          <w:iCs w:val="1"/>
          <w:color w:val="auto"/>
        </w:rPr>
        <w:t>Intangibles</w:t>
      </w:r>
      <w:r>
        <w:rPr>
          <w:rFonts w:ascii="Arial" w:cs="Arial" w:eastAsia="Arial" w:hAnsi="Arial"/>
          <w:sz w:val="16"/>
          <w:szCs w:val="16"/>
          <w:i w:val="1"/>
          <w:iCs w:val="1"/>
          <w:color w:val="252525"/>
        </w:rPr>
        <w:t>—</w:t>
      </w:r>
      <w:r>
        <w:rPr>
          <w:rFonts w:ascii="Arial" w:cs="Arial" w:eastAsia="Arial" w:hAnsi="Arial"/>
          <w:sz w:val="16"/>
          <w:szCs w:val="16"/>
          <w:i w:val="1"/>
          <w:iCs w:val="1"/>
          <w:color w:val="auto"/>
        </w:rPr>
        <w:t>Goodwill and Other (Topic 350): Simplifying the Test</w:t>
      </w:r>
      <w:r>
        <w:rPr>
          <w:rFonts w:ascii="Arial" w:cs="Arial" w:eastAsia="Arial" w:hAnsi="Arial"/>
          <w:sz w:val="16"/>
          <w:szCs w:val="16"/>
          <w:color w:val="auto"/>
        </w:rPr>
        <w:t xml:space="preserve"> </w:t>
      </w:r>
      <w:r>
        <w:rPr>
          <w:rFonts w:ascii="Arial" w:cs="Arial" w:eastAsia="Arial" w:hAnsi="Arial"/>
          <w:sz w:val="16"/>
          <w:szCs w:val="16"/>
          <w:i w:val="1"/>
          <w:iCs w:val="1"/>
          <w:color w:val="auto"/>
        </w:rPr>
        <w:t>for Goodwill Impairment</w:t>
      </w:r>
      <w:r>
        <w:rPr>
          <w:rFonts w:ascii="Arial" w:cs="Arial" w:eastAsia="Arial" w:hAnsi="Arial"/>
          <w:sz w:val="16"/>
          <w:szCs w:val="16"/>
          <w:color w:val="auto"/>
        </w:rPr>
        <w:t>, which simplifies the measurement of goodwill by eliminating the second step from the goodwill impairment test, which requires</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comparison of the implied fair value of goodwill with the current carrying amount of goodwill. Instead, under the amendments in this guidance, an entity shall perform a goodwill impairment test by comparing the fair value of each reporting unit with its carrying amount and an impairment charge is to be recorded for the amount, if any, in which the carrying value exceeds the reporting unit’s fair value. This guidance should be applied prospectively and is effective for fiscal years beginning after December 15, 2019. Early adoption is permitted. The Company is currently assessing the impact of this guidance.</w:t>
      </w:r>
    </w:p>
    <w:p>
      <w:pPr>
        <w:spacing w:after="0" w:line="219" w:lineRule="exact"/>
        <w:rPr>
          <w:sz w:val="20"/>
          <w:szCs w:val="20"/>
          <w:color w:val="auto"/>
        </w:rPr>
      </w:pPr>
    </w:p>
    <w:p>
      <w:pPr>
        <w:ind w:right="260" w:firstLine="405"/>
        <w:spacing w:after="0" w:line="259" w:lineRule="auto"/>
        <w:rPr>
          <w:sz w:val="20"/>
          <w:szCs w:val="20"/>
          <w:color w:val="auto"/>
        </w:rPr>
      </w:pPr>
      <w:r>
        <w:rPr>
          <w:rFonts w:ascii="Arial" w:cs="Arial" w:eastAsia="Arial" w:hAnsi="Arial"/>
          <w:sz w:val="18"/>
          <w:szCs w:val="18"/>
          <w:color w:val="auto"/>
        </w:rPr>
        <w:t xml:space="preserve">In August 2016, the FASB issued ASU 2016-15, </w:t>
      </w:r>
      <w:r>
        <w:rPr>
          <w:rFonts w:ascii="Arial" w:cs="Arial" w:eastAsia="Arial" w:hAnsi="Arial"/>
          <w:sz w:val="18"/>
          <w:szCs w:val="18"/>
          <w:i w:val="1"/>
          <w:iCs w:val="1"/>
          <w:color w:val="auto"/>
        </w:rPr>
        <w:t>Statement of Cash Flows (Topic 230): Classification of Certain Cash Receipts and Cash Payments</w:t>
      </w:r>
      <w:r>
        <w:rPr>
          <w:rFonts w:ascii="Arial" w:cs="Arial" w:eastAsia="Arial" w:hAnsi="Arial"/>
          <w:sz w:val="18"/>
          <w:szCs w:val="18"/>
          <w:color w:val="auto"/>
        </w:rPr>
        <w:t>, which clarifies how companies present and classify certain cash receipts and cash payments in the statement of cash flows. This guidance is effective for fiscal years beginning after December 15, 2017, including interim periods within those fiscal years. Early adoption is permitted. The Company is currently assessing the impact of this guidance.</w:t>
      </w:r>
    </w:p>
    <w:p>
      <w:pPr>
        <w:spacing w:after="0" w:line="241" w:lineRule="exact"/>
        <w:rPr>
          <w:sz w:val="20"/>
          <w:szCs w:val="20"/>
          <w:color w:val="auto"/>
        </w:rPr>
      </w:pPr>
    </w:p>
    <w:p>
      <w:pPr>
        <w:ind w:right="80" w:firstLine="405"/>
        <w:spacing w:after="0" w:line="312"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w:t>
      </w:r>
      <w:r>
        <w:rPr>
          <w:rFonts w:ascii="Arial" w:cs="Arial" w:eastAsia="Arial" w:hAnsi="Arial"/>
          <w:sz w:val="16"/>
          <w:szCs w:val="16"/>
          <w:i w:val="1"/>
          <w:iCs w:val="1"/>
          <w:color w:val="252525"/>
        </w:rPr>
        <w:t>—</w:t>
      </w:r>
      <w:r>
        <w:rPr>
          <w:rFonts w:ascii="Arial" w:cs="Arial" w:eastAsia="Arial" w:hAnsi="Arial"/>
          <w:sz w:val="16"/>
          <w:szCs w:val="16"/>
          <w:i w:val="1"/>
          <w:iCs w:val="1"/>
          <w:color w:val="auto"/>
        </w:rPr>
        <w:t>Credit Losses (Topic 326): Measurement of Credit Losses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Instruments</w:t>
      </w:r>
      <w:r>
        <w:rPr>
          <w:rFonts w:ascii="Arial" w:cs="Arial" w:eastAsia="Arial" w:hAnsi="Arial"/>
          <w:sz w:val="16"/>
          <w:szCs w:val="16"/>
          <w:color w:val="auto"/>
        </w:rPr>
        <w:t>, which requires measurement and recognition of expected credit losses for financial assets held. This guidance is effective for interim and annual</w:t>
      </w:r>
      <w:r>
        <w:rPr>
          <w:rFonts w:ascii="Arial" w:cs="Arial" w:eastAsia="Arial" w:hAnsi="Arial"/>
          <w:sz w:val="16"/>
          <w:szCs w:val="16"/>
          <w:i w:val="1"/>
          <w:iCs w:val="1"/>
          <w:color w:val="auto"/>
        </w:rPr>
        <w:t xml:space="preserve"> </w:t>
      </w:r>
      <w:r>
        <w:rPr>
          <w:rFonts w:ascii="Arial" w:cs="Arial" w:eastAsia="Arial" w:hAnsi="Arial"/>
          <w:sz w:val="16"/>
          <w:szCs w:val="16"/>
          <w:color w:val="auto"/>
        </w:rPr>
        <w:t>reporting periods beginning after December 15, 2019. Early adoption is permitted. The Company is currently assessing the impact of this guidance.</w:t>
      </w:r>
    </w:p>
    <w:p>
      <w:pPr>
        <w:spacing w:after="0" w:line="201"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 xml:space="preserve">In March 2016, the FASB issued ASU 2016-09, </w:t>
      </w:r>
      <w:r>
        <w:rPr>
          <w:rFonts w:ascii="Arial" w:cs="Arial" w:eastAsia="Arial" w:hAnsi="Arial"/>
          <w:sz w:val="18"/>
          <w:szCs w:val="18"/>
          <w:i w:val="1"/>
          <w:iCs w:val="1"/>
          <w:color w:val="auto"/>
        </w:rPr>
        <w:t>Improvements to Employee Share-Based Payment Accounting</w:t>
      </w:r>
      <w:r>
        <w:rPr>
          <w:rFonts w:ascii="Arial" w:cs="Arial" w:eastAsia="Arial" w:hAnsi="Arial"/>
          <w:sz w:val="18"/>
          <w:szCs w:val="18"/>
          <w:color w:val="auto"/>
        </w:rPr>
        <w:t>, which affects entities that issue share-based payment awards to their employees. The guidance is designed to identify areas for simplification involving several aspects of accounting for share-based payment transactions, including the income tax consequences, classification of awards as either equity or liabilities, an option to recognize gross stock compensation expense with actual forfeitures recognized as they occur, as well as certain classifications on the statement of cash flows. The Company implemented this guidance during the first quarter of 2017. This guidance did not have a material impact on the Company’s unaudited condensed consolidated financial statements upon adoption.</w:t>
      </w:r>
    </w:p>
    <w:p>
      <w:pPr>
        <w:spacing w:after="0" w:line="247" w:lineRule="exact"/>
        <w:rPr>
          <w:sz w:val="20"/>
          <w:szCs w:val="20"/>
          <w:color w:val="auto"/>
        </w:rPr>
      </w:pPr>
    </w:p>
    <w:p>
      <w:pPr>
        <w:ind w:right="140" w:firstLine="405"/>
        <w:spacing w:after="0" w:line="273"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which establishes the principles to report transparent and economically neutral information about the assets and liabilities that arise from leases. This guidance results in the Company providing a more faithful representation of the rights and obligations arising from operating and capital leases by requiring lessees to recognize the lease assets and lease liabilities that arise from leases in the statement of financial position and to disclose qualitative and quantitative information about lease transactions, such as information about variable lease payments and options to renew and terminate leases. This guidance is effective prospectively for interim and annual periods beginning after December 15, 2018. Early adoption is permitted. The Company is currently assessing the impact of this guidance.</w:t>
      </w:r>
    </w:p>
    <w:p>
      <w:pPr>
        <w:spacing w:after="0" w:line="232" w:lineRule="exact"/>
        <w:rPr>
          <w:sz w:val="20"/>
          <w:szCs w:val="20"/>
          <w:color w:val="auto"/>
        </w:rPr>
      </w:pPr>
    </w:p>
    <w:p>
      <w:pPr>
        <w:ind w:firstLine="405"/>
        <w:spacing w:after="0" w:line="287" w:lineRule="auto"/>
        <w:rPr>
          <w:sz w:val="20"/>
          <w:szCs w:val="20"/>
          <w:color w:val="auto"/>
        </w:rPr>
      </w:pPr>
      <w:r>
        <w:rPr>
          <w:rFonts w:ascii="Arial" w:cs="Arial" w:eastAsia="Arial" w:hAnsi="Arial"/>
          <w:sz w:val="16"/>
          <w:szCs w:val="16"/>
          <w:color w:val="auto"/>
        </w:rPr>
        <w:t xml:space="preserve">In May 2014, the FASB issued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(“ASU 2014-09”), which provides guidance for revenue recognition. The new standard will require revenue recognized to represent the transfer of promised goods or services to customers in an amount that reflects the consideration the company expects to receive in exchange for those goods or services. The standard also requires new, expanded disclosures regarding revenue recognition. In August 2015, the FASB issued ASU 2015-14, </w:t>
      </w:r>
      <w:r>
        <w:rPr>
          <w:rFonts w:ascii="Arial" w:cs="Arial" w:eastAsia="Arial" w:hAnsi="Arial"/>
          <w:sz w:val="16"/>
          <w:szCs w:val="16"/>
          <w:i w:val="1"/>
          <w:iCs w:val="1"/>
          <w:color w:val="auto"/>
        </w:rPr>
        <w:t>Revenue from Contracts with Customers: Deferral of Effective Date</w:t>
      </w:r>
      <w:r>
        <w:rPr>
          <w:rFonts w:ascii="Arial" w:cs="Arial" w:eastAsia="Arial" w:hAnsi="Arial"/>
          <w:sz w:val="16"/>
          <w:szCs w:val="16"/>
          <w:color w:val="auto"/>
        </w:rPr>
        <w:t xml:space="preserve">, which deferred the effective date of adoption of ASU 2014-09 to interim and annual reporting periods beginning after December 15, 2017. Early adoption is permitted. In April 2016, the FASB issued ASU 2016-10, </w:t>
      </w:r>
      <w:r>
        <w:rPr>
          <w:rFonts w:ascii="Arial" w:cs="Arial" w:eastAsia="Arial" w:hAnsi="Arial"/>
          <w:sz w:val="16"/>
          <w:szCs w:val="16"/>
          <w:i w:val="1"/>
          <w:iCs w:val="1"/>
          <w:color w:val="auto"/>
        </w:rPr>
        <w:t>Revenue from Contracts with Customers (Topic 606): Identifying Performance Obligations and Licensing</w:t>
      </w:r>
      <w:r>
        <w:rPr>
          <w:rFonts w:ascii="Arial" w:cs="Arial" w:eastAsia="Arial" w:hAnsi="Arial"/>
          <w:sz w:val="16"/>
          <w:szCs w:val="16"/>
          <w:color w:val="auto"/>
        </w:rPr>
        <w:t>, which clarifies aspects of ASU 2014-09 pertaining to the identification of performance obligations and the licensing implementation guidance, while retaining the related principles for those areas. There are two adoption methods available for implementation of this guidance. Under one method, the guidance is applied retrospectively to contracts for each reporting period presented, subject to allowable practical expedients. Under the other method, the guidance is applied only to the most current period presented, recognizing the cumulative effect of the change as an adjustment to the beginning balance of retained earnings, and also requires additional disclosures comparing the results to the previous guidance.</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53" w:right="2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46" w:lineRule="exact"/>
        <w:rPr>
          <w:sz w:val="20"/>
          <w:szCs w:val="20"/>
          <w:color w:val="auto"/>
        </w:rPr>
      </w:pPr>
    </w:p>
    <w:p>
      <w:pPr>
        <w:ind w:right="520" w:firstLine="405"/>
        <w:spacing w:after="0" w:line="264" w:lineRule="auto"/>
        <w:rPr>
          <w:sz w:val="20"/>
          <w:szCs w:val="20"/>
          <w:color w:val="auto"/>
        </w:rPr>
      </w:pPr>
      <w:r>
        <w:rPr>
          <w:rFonts w:ascii="Arial" w:cs="Arial" w:eastAsia="Arial" w:hAnsi="Arial"/>
          <w:sz w:val="18"/>
          <w:szCs w:val="18"/>
          <w:color w:val="auto"/>
        </w:rPr>
        <w:t>The Company is evaluating the impact of the new standard on its accounting policies, processes and systems. The Company has assigned internal resources, is in the process of engaging a third-party service provider and has a preliminary project plan to finalize the evaluation and complete the implementation.</w:t>
      </w:r>
    </w:p>
    <w:p>
      <w:pPr>
        <w:spacing w:after="0" w:line="23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Company’s decision on the adoption method will be based on various factors including the significance of the impact of the new standard on the Company’s financial results and system capabilities. The Company has not yet completed the evaluation of these impacts and the adoption method has not been determined.</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Acquisitions and Divestitures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DigiCore Holdings Limited (DBA Ctrack)</w:t>
      </w:r>
    </w:p>
    <w:p>
      <w:pPr>
        <w:spacing w:after="0" w:line="117" w:lineRule="exact"/>
        <w:rPr>
          <w:sz w:val="20"/>
          <w:szCs w:val="20"/>
          <w:color w:val="auto"/>
        </w:rPr>
      </w:pPr>
    </w:p>
    <w:p>
      <w:pPr>
        <w:ind w:right="220" w:firstLine="405"/>
        <w:spacing w:after="0" w:line="279" w:lineRule="auto"/>
        <w:rPr>
          <w:sz w:val="20"/>
          <w:szCs w:val="20"/>
          <w:color w:val="auto"/>
        </w:rPr>
      </w:pPr>
      <w:r>
        <w:rPr>
          <w:rFonts w:ascii="Arial" w:cs="Arial" w:eastAsia="Arial" w:hAnsi="Arial"/>
          <w:sz w:val="17"/>
          <w:szCs w:val="17"/>
          <w:color w:val="auto"/>
        </w:rPr>
        <w:t>On June 18, 2015, the Company entered into a transaction implementation agreement (the “TIA”) with DigiCore Holdings Limited (“DigiCore” or “Ctrack”). Pursuant to the terms of the TIA, the Company acquired 100% of the issued and outstanding ordinary shares of DigiCore (with the exception of certain excluded shares, including treasury shares) for 4.40 South African Rand per ordinary share outstanding on October 5, 2015. Upon consummation of the acquisition, DigiCore became an indirect wholly-owned subsidiary of the Company.</w:t>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R.E.R. Enterprises, Inc.</w:t>
      </w:r>
    </w:p>
    <w:p>
      <w:pPr>
        <w:spacing w:after="0" w:line="117" w:lineRule="exact"/>
        <w:rPr>
          <w:sz w:val="20"/>
          <w:szCs w:val="20"/>
          <w:color w:val="auto"/>
        </w:rPr>
      </w:pPr>
    </w:p>
    <w:p>
      <w:pPr>
        <w:ind w:right="120" w:firstLine="405"/>
        <w:spacing w:after="0" w:line="288" w:lineRule="auto"/>
        <w:rPr>
          <w:sz w:val="20"/>
          <w:szCs w:val="20"/>
          <w:color w:val="auto"/>
        </w:rPr>
      </w:pPr>
      <w:r>
        <w:rPr>
          <w:rFonts w:ascii="Arial" w:cs="Arial" w:eastAsia="Arial" w:hAnsi="Arial"/>
          <w:sz w:val="16"/>
          <w:szCs w:val="16"/>
          <w:color w:val="auto"/>
        </w:rPr>
        <w:t>On March 27, 2015, the Company entered into a merger agreement (“RER Merger Agreement”) with R.E.R. Enterprises, Inc. (“RER”) to acquire all of the issued and outstanding shares of RER and its wholly-owned subsidiary and principal operating asset, Feeney Wireless, LLC, an Oregon limited liability company (collectively, “FW”). The total consideration was approximately $24.8 million and included a cash payment at closing of approximately</w:t>
      </w:r>
    </w:p>
    <w:p>
      <w:pPr>
        <w:ind w:right="220"/>
        <w:spacing w:after="0" w:line="255" w:lineRule="auto"/>
        <w:rPr>
          <w:sz w:val="20"/>
          <w:szCs w:val="20"/>
          <w:color w:val="auto"/>
        </w:rPr>
      </w:pPr>
      <w:r>
        <w:rPr>
          <w:rFonts w:ascii="Arial" w:cs="Arial" w:eastAsia="Arial" w:hAnsi="Arial"/>
          <w:sz w:val="18"/>
          <w:szCs w:val="18"/>
          <w:color w:val="auto"/>
        </w:rPr>
        <w:t>$9.3 million, the Company’s assumption of $0.5 million in certain transaction-related expenses incurred by FW, and the future issuance of shares of the Company’s common stock valued at $15.0 million (the “Deferred Purchase Price”), which would have been payable in March 2016 pursuant to the original terms of the RER Merger Agreement.</w:t>
      </w:r>
    </w:p>
    <w:p>
      <w:pPr>
        <w:spacing w:after="0" w:line="244" w:lineRule="exact"/>
        <w:rPr>
          <w:sz w:val="20"/>
          <w:szCs w:val="20"/>
          <w:color w:val="auto"/>
        </w:rPr>
      </w:pPr>
    </w:p>
    <w:p>
      <w:pPr>
        <w:ind w:right="20" w:firstLine="392"/>
        <w:spacing w:after="0" w:line="257" w:lineRule="auto"/>
        <w:rPr>
          <w:sz w:val="20"/>
          <w:szCs w:val="20"/>
          <w:color w:val="auto"/>
        </w:rPr>
      </w:pPr>
      <w:r>
        <w:rPr>
          <w:rFonts w:ascii="Arial" w:cs="Arial" w:eastAsia="Arial" w:hAnsi="Arial"/>
          <w:sz w:val="18"/>
          <w:szCs w:val="18"/>
          <w:color w:val="auto"/>
        </w:rPr>
        <w:t>The total consideration of $24.8 million did not include amounts, if any, payable under an earn-out arrangement pursuant to which the Company may have been required to pay up to an additional $25.0 million to the former stockholders of RER contingent upon FW’s achievement of certain financial targets for the years ending December 31, 2015, 2016, and 2017 (the “Earn-Out Arrangement”). Such payments, if any, under the Earn-Out Arrangement would have been payable in either cash or shares of the Company’s common stock at the discretion of the Company, and would have been recorded as compensation expense during the service period earned.</w:t>
      </w:r>
    </w:p>
    <w:p>
      <w:pPr>
        <w:spacing w:after="0" w:line="296" w:lineRule="exact"/>
        <w:rPr>
          <w:sz w:val="20"/>
          <w:szCs w:val="20"/>
          <w:color w:val="auto"/>
        </w:rPr>
      </w:pPr>
    </w:p>
    <w:p>
      <w:pPr>
        <w:ind w:right="40" w:firstLine="405"/>
        <w:spacing w:after="0" w:line="289" w:lineRule="auto"/>
        <w:rPr>
          <w:sz w:val="20"/>
          <w:szCs w:val="20"/>
          <w:color w:val="auto"/>
        </w:rPr>
      </w:pPr>
      <w:r>
        <w:rPr>
          <w:rFonts w:ascii="Arial" w:cs="Arial" w:eastAsia="Arial" w:hAnsi="Arial"/>
          <w:sz w:val="16"/>
          <w:szCs w:val="16"/>
          <w:color w:val="auto"/>
        </w:rPr>
        <w:t xml:space="preserve">On January 5, 2016, the Company and RER amended certain payment terms of the RER Merger Agreement. Under the amended agreement, the Deferred Purchase Price that was payable in shares of the Company’s common stock in March 2016 would be paid in five cash installments over a four-year period, beginning in March 2016. In addition, the Earn-Out Arrangement was amended as follows: (a) any amount earned under the Earn-Out Arrangement for the achievement of financial targets for the year ended December 31, 2015 would be paid in five cash installments over a four-year period, beginning in March 2016; and (b) in replacement of the potential earn-out contingent upon FW’s achievement of certain financial targets for the years ended December 31, 2016 and 2017 the Company would issue to the former stockholders of RER approximately 2.9 million shares of the Company’s common stock in three equal installments over a three-year period, beginning in March 2017. On March 15, 2017, the Company issued 973,334 shares of its common stock to the former stockholders of RER in satisfaction of the first installment of this obligation. As of the filing date of this report, the March 2017 cash installments have not been paid and the Company is disputing its obligations to make such payments (see Note 10, </w:t>
      </w:r>
      <w:r>
        <w:rPr>
          <w:rFonts w:ascii="Arial" w:cs="Arial" w:eastAsia="Arial" w:hAnsi="Arial"/>
          <w:sz w:val="16"/>
          <w:szCs w:val="16"/>
          <w:i w:val="1"/>
          <w:iCs w:val="1"/>
          <w:color w:val="auto"/>
        </w:rPr>
        <w:t>Commitments and Contingencies</w:t>
      </w:r>
      <w:r>
        <w:rPr>
          <w:rFonts w:ascii="Arial" w:cs="Arial" w:eastAsia="Arial" w:hAnsi="Arial"/>
          <w:sz w:val="16"/>
          <w:szCs w:val="16"/>
          <w:color w:val="auto"/>
        </w:rPr>
        <w:t>).</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On March 23, 2017, the name of Feeney Wireless, LLC was changed to Inseego North America, LLC.</w:t>
      </w:r>
    </w:p>
    <w:p>
      <w:pPr>
        <w:spacing w:after="0" w:line="171" w:lineRule="exact"/>
        <w:rPr>
          <w:sz w:val="20"/>
          <w:szCs w:val="20"/>
          <w:color w:val="auto"/>
        </w:rPr>
      </w:pPr>
    </w:p>
    <w:p>
      <w:pPr>
        <w:ind w:right="240" w:firstLine="392"/>
        <w:spacing w:after="0" w:line="264" w:lineRule="auto"/>
        <w:rPr>
          <w:sz w:val="20"/>
          <w:szCs w:val="20"/>
          <w:color w:val="auto"/>
        </w:rPr>
      </w:pPr>
      <w:r>
        <w:rPr>
          <w:rFonts w:ascii="Arial" w:cs="Arial" w:eastAsia="Arial" w:hAnsi="Arial"/>
          <w:sz w:val="18"/>
          <w:szCs w:val="18"/>
          <w:color w:val="auto"/>
        </w:rPr>
        <w:t>As of March 31, 2017, the total amount of Deferred Purchase Price that remained outstanding was $11.3 million and the total amount outstanding pursuant to the Earn-Out Arrangement was $9.8 million, both of which are included in accrued expenses and other current liabilities and in other long-term liabilities in the unaudited condensed consolidated balance sheets.</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53"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Divestitures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Modules Business</w:t>
      </w:r>
    </w:p>
    <w:p>
      <w:pPr>
        <w:spacing w:after="0" w:line="279" w:lineRule="exact"/>
        <w:rPr>
          <w:sz w:val="20"/>
          <w:szCs w:val="20"/>
          <w:color w:val="auto"/>
        </w:rPr>
      </w:pPr>
    </w:p>
    <w:p>
      <w:pPr>
        <w:ind w:right="20" w:firstLine="405"/>
        <w:spacing w:after="0" w:line="286" w:lineRule="auto"/>
        <w:rPr>
          <w:sz w:val="20"/>
          <w:szCs w:val="20"/>
          <w:color w:val="auto"/>
        </w:rPr>
      </w:pPr>
      <w:r>
        <w:rPr>
          <w:rFonts w:ascii="Arial" w:cs="Arial" w:eastAsia="Arial" w:hAnsi="Arial"/>
          <w:sz w:val="16"/>
          <w:szCs w:val="16"/>
          <w:color w:val="auto"/>
        </w:rPr>
        <w:t>On April 11, 2016, the Company signed a definitive asset purchase agreement with Telit Technologies (Cyprus) Limited and Telit Wireless Solutions, Inc. (collectively, “Telit”) pursuant to which the Company sold, and Telit acquired, certain hardware modules and related assets for an initial purchase price of $11.0 million in cash, which included $9.0 million that was paid to the Company on the closing date of the transaction, $1.0 million that would be paid to the Company in equal quarterly installments over a two-year period in connection with the provision by the Company of certain transition services and</w:t>
      </w:r>
    </w:p>
    <w:p>
      <w:pPr>
        <w:spacing w:after="0" w:line="2"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$1.0 million that would be paid to the Company following the satisfaction of certain conditions by the Company, including the assignment of specified contracts and the delivery of certain certifications and approvals. The Company also had the potential to receive an additional cash payment of approximately $3.8 million from Telit related to their purchase of module product inventory from the Company, $1.0 million of which would be paid to the Company in equal quarterly installments over the two-year period following the closing date in connection with the provision by the Company of certain transition services. In addition to the above, the Company may have been entitled to receive a subsequent earn-out payment following the closing of the transaction if certain conditions were met.</w:t>
      </w:r>
    </w:p>
    <w:p>
      <w:pPr>
        <w:spacing w:after="0" w:line="248" w:lineRule="exact"/>
        <w:rPr>
          <w:sz w:val="20"/>
          <w:szCs w:val="20"/>
          <w:color w:val="auto"/>
        </w:rPr>
      </w:pPr>
    </w:p>
    <w:p>
      <w:pPr>
        <w:ind w:right="200" w:firstLine="405"/>
        <w:spacing w:after="0" w:line="257" w:lineRule="auto"/>
        <w:rPr>
          <w:sz w:val="20"/>
          <w:szCs w:val="20"/>
          <w:color w:val="auto"/>
        </w:rPr>
      </w:pPr>
      <w:r>
        <w:rPr>
          <w:rFonts w:ascii="Arial" w:cs="Arial" w:eastAsia="Arial" w:hAnsi="Arial"/>
          <w:sz w:val="18"/>
          <w:szCs w:val="18"/>
          <w:color w:val="auto"/>
        </w:rPr>
        <w:t>On September 29, 2016, the Company entered into a Final Resolution Letter Agreement (the “Final Resolution”) with Telit. Per the Final Resolution, Telit agreed to pay the Company $2.1 million in full satisfaction of their payment obligations under certain sections of the original purchase agreement, including all installment payments, and the Company agreed to ship the remainder of the hardware modules and related assets as soon as practicable. Under the Final Resolution, the aggregate purchase consideration totaled $11.7 million, which consisted of $11.3 million in cash and $0.4 million in net settled Company liabilities.</w:t>
      </w:r>
    </w:p>
    <w:p>
      <w:pPr>
        <w:spacing w:after="0" w:line="242" w:lineRule="exact"/>
        <w:rPr>
          <w:sz w:val="20"/>
          <w:szCs w:val="20"/>
          <w:color w:val="auto"/>
        </w:rPr>
      </w:pPr>
    </w:p>
    <w:p>
      <w:pPr>
        <w:ind w:right="220" w:firstLine="405"/>
        <w:spacing w:after="0" w:line="264" w:lineRule="auto"/>
        <w:rPr>
          <w:sz w:val="20"/>
          <w:szCs w:val="20"/>
          <w:color w:val="auto"/>
        </w:rPr>
      </w:pPr>
      <w:r>
        <w:rPr>
          <w:rFonts w:ascii="Arial" w:cs="Arial" w:eastAsia="Arial" w:hAnsi="Arial"/>
          <w:sz w:val="18"/>
          <w:szCs w:val="18"/>
          <w:color w:val="auto"/>
        </w:rPr>
        <w:t>During the three months ended March 31, 2017, the Company shipped the remaining hardware modules and related assets due to Telit under the Final Resolution and recognized a related gain of approximately $45,000, which is included in other expense, net, in the unaudited condensed consolidated statements of operations.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MiFi Business</w:t>
      </w:r>
    </w:p>
    <w:p>
      <w:pPr>
        <w:spacing w:after="0" w:line="333"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On September 21, 2016, the Company entered into a Stock Purchase Agreement (the “Purchase Agreement”), by and among Inseego and Novatel Wireless, Inc. (“Novatel Wireless”), on the one hand, and T.C.L. Industries Holdings (H.K.) Limited and Jade Ocean Global Limited (collectively, the “Purchasers”) on the other hand. The Purchase Agreement relates to the pending sale of the Company’s subsidiary, Novatel Wireless, which includes the Company’s MiFi branded hotspots and USB modem product lines (the “MiFi Business”), to the Purchasers for $50.0 million in cash, subject to potential adjustment for Novatel Wireless’s working capital as of the closing date. The sale may not close until all of the closing conditions set forth in the Purchase Agreement have been satisfied. One of the closing conditions is the approval of the Committee on Foreign Investment in the United States (“CFIUS”). CFIUS has identified national security concerns relating to the Company’s sale of the MiFi Business to the Purchasers. In February 2017, the Company and the Purchasers voluntarily withdrew and re-filed their notice to CFIUS in order to obtain additional time to provide further information to CFIUS and explore potential mitigation measures that may allow the transaction to proceed. In April 2017, subsequent to the balance sheet date, the Company and the Purchasers once again voluntarily withdrew and re-filed their notice to CFIUS in order to obtain additional time to continue negotiations between CFIUS and the Purchasers regarding the final terms of a mitigation agreement, which negotiations remain ongoing.</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Balance Sheet Details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Inventories consist of the following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4"/>
                <w:szCs w:val="14"/>
                <w:color w:val="auto"/>
              </w:rPr>
            </w:pPr>
          </w:p>
        </w:tc>
        <w:tc>
          <w:tcPr>
            <w:tcW w:w="1100" w:type="dxa"/>
            <w:vAlign w:val="bottom"/>
          </w:tcPr>
          <w:p>
            <w:pPr>
              <w:jc w:val="right"/>
              <w:ind w:right="143"/>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92"/>
        </w:trPr>
        <w:tc>
          <w:tcPr>
            <w:tcW w:w="3860" w:type="dxa"/>
            <w:vAlign w:val="bottom"/>
            <w:tcBorders>
              <w:bottom w:val="single" w:sz="8" w:color="CCEEFF"/>
            </w:tcBorders>
          </w:tcPr>
          <w:p>
            <w:pPr>
              <w:spacing w:after="0"/>
              <w:rPr>
                <w:sz w:val="16"/>
                <w:szCs w:val="16"/>
                <w:color w:val="auto"/>
              </w:rPr>
            </w:pPr>
          </w:p>
        </w:tc>
        <w:tc>
          <w:tcPr>
            <w:tcW w:w="49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36"/>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Finished goods</w:t>
            </w:r>
          </w:p>
        </w:tc>
        <w:tc>
          <w:tcPr>
            <w:tcW w:w="51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21,750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19,277</w:t>
            </w:r>
          </w:p>
        </w:tc>
        <w:tc>
          <w:tcPr>
            <w:tcW w:w="0" w:type="dxa"/>
            <w:vAlign w:val="bottom"/>
          </w:tcPr>
          <w:p>
            <w:pPr>
              <w:spacing w:after="0"/>
              <w:rPr>
                <w:sz w:val="1"/>
                <w:szCs w:val="1"/>
                <w:color w:val="auto"/>
              </w:rPr>
            </w:pPr>
          </w:p>
        </w:tc>
      </w:tr>
      <w:tr>
        <w:trPr>
          <w:trHeight w:val="224"/>
        </w:trPr>
        <w:tc>
          <w:tcPr>
            <w:tcW w:w="3860" w:type="dxa"/>
            <w:vAlign w:val="bottom"/>
          </w:tcPr>
          <w:p>
            <w:pPr>
              <w:ind w:left="40"/>
              <w:spacing w:after="0"/>
              <w:rPr>
                <w:sz w:val="20"/>
                <w:szCs w:val="20"/>
                <w:color w:val="auto"/>
              </w:rPr>
            </w:pPr>
            <w:r>
              <w:rPr>
                <w:rFonts w:ascii="Arial" w:cs="Arial" w:eastAsia="Arial" w:hAnsi="Arial"/>
                <w:sz w:val="16"/>
                <w:szCs w:val="16"/>
                <w:color w:val="auto"/>
              </w:rPr>
              <w:t>Raw materials and components</w:t>
            </w:r>
          </w:p>
        </w:tc>
        <w:tc>
          <w:tcPr>
            <w:tcW w:w="4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ind w:right="23"/>
              <w:spacing w:after="0"/>
              <w:rPr>
                <w:sz w:val="20"/>
                <w:szCs w:val="20"/>
                <w:color w:val="auto"/>
              </w:rPr>
            </w:pPr>
            <w:r>
              <w:rPr>
                <w:rFonts w:ascii="Arial" w:cs="Arial" w:eastAsia="Arial" w:hAnsi="Arial"/>
                <w:sz w:val="16"/>
                <w:szCs w:val="16"/>
                <w:color w:val="auto"/>
              </w:rPr>
              <w:t>7,639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23"/>
              <w:spacing w:after="0"/>
              <w:rPr>
                <w:sz w:val="20"/>
                <w:szCs w:val="20"/>
                <w:color w:val="auto"/>
              </w:rPr>
            </w:pPr>
            <w:r>
              <w:rPr>
                <w:rFonts w:ascii="Arial" w:cs="Arial" w:eastAsia="Arial" w:hAnsi="Arial"/>
                <w:sz w:val="16"/>
                <w:szCs w:val="16"/>
                <w:color w:val="auto"/>
              </w:rPr>
              <w:t>11,865</w:t>
            </w:r>
          </w:p>
        </w:tc>
        <w:tc>
          <w:tcPr>
            <w:tcW w:w="0" w:type="dxa"/>
            <w:vAlign w:val="bottom"/>
          </w:tcPr>
          <w:p>
            <w:pPr>
              <w:spacing w:after="0"/>
              <w:rPr>
                <w:sz w:val="1"/>
                <w:szCs w:val="1"/>
                <w:color w:val="auto"/>
              </w:rPr>
            </w:pPr>
          </w:p>
        </w:tc>
      </w:tr>
      <w:tr>
        <w:trPr>
          <w:trHeight w:val="47"/>
        </w:trPr>
        <w:tc>
          <w:tcPr>
            <w:tcW w:w="3860" w:type="dxa"/>
            <w:vAlign w:val="bottom"/>
            <w:tcBorders>
              <w:bottom w:val="single" w:sz="8" w:color="CCEEFF"/>
            </w:tcBorders>
          </w:tcPr>
          <w:p>
            <w:pPr>
              <w:spacing w:after="0"/>
              <w:rPr>
                <w:sz w:val="4"/>
                <w:szCs w:val="4"/>
                <w:color w:val="auto"/>
              </w:rPr>
            </w:pPr>
          </w:p>
        </w:tc>
        <w:tc>
          <w:tcPr>
            <w:tcW w:w="494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inventories</w:t>
            </w:r>
          </w:p>
        </w:tc>
        <w:tc>
          <w:tcPr>
            <w:tcW w:w="51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29,389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31,142</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4940" w:type="dxa"/>
            <w:vAlign w:val="bottom"/>
            <w:tcBorders>
              <w:top w:val="single" w:sz="8" w:color="CCEEFF"/>
              <w:bottom w:val="single" w:sz="8" w:color="CCEEFF"/>
            </w:tcBorders>
            <w:vMerge w:val="restart"/>
          </w:tcPr>
          <w:p>
            <w:pPr>
              <w:jc w:val="right"/>
              <w:ind w:right="2956"/>
              <w:spacing w:after="0"/>
              <w:rPr>
                <w:sz w:val="20"/>
                <w:szCs w:val="20"/>
                <w:color w:val="auto"/>
              </w:rPr>
            </w:pPr>
            <w:r>
              <w:rPr>
                <w:rFonts w:ascii="Arial" w:cs="Arial" w:eastAsia="Arial" w:hAnsi="Arial"/>
                <w:sz w:val="18"/>
                <w:szCs w:val="18"/>
                <w:color w:val="auto"/>
              </w:rPr>
              <w:t>9</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860" w:type="dxa"/>
            <w:vAlign w:val="bottom"/>
          </w:tcPr>
          <w:p>
            <w:pPr>
              <w:spacing w:after="0"/>
              <w:rPr>
                <w:sz w:val="24"/>
                <w:szCs w:val="24"/>
                <w:color w:val="auto"/>
              </w:rPr>
            </w:pPr>
          </w:p>
        </w:tc>
        <w:tc>
          <w:tcPr>
            <w:tcW w:w="49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53"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Accrued Expenses and Other Current Liabilities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Accrued expenses and other current liabilities consist of the following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4"/>
                <w:szCs w:val="14"/>
                <w:color w:val="auto"/>
              </w:rPr>
            </w:pPr>
          </w:p>
        </w:tc>
        <w:tc>
          <w:tcPr>
            <w:tcW w:w="1100" w:type="dxa"/>
            <w:vAlign w:val="bottom"/>
          </w:tcPr>
          <w:p>
            <w:pPr>
              <w:jc w:val="right"/>
              <w:ind w:right="140"/>
              <w:spacing w:after="0"/>
              <w:rPr>
                <w:sz w:val="20"/>
                <w:szCs w:val="20"/>
                <w:color w:val="auto"/>
              </w:rPr>
            </w:pPr>
            <w:r>
              <w:rPr>
                <w:rFonts w:ascii="Arial" w:cs="Arial" w:eastAsia="Arial" w:hAnsi="Arial"/>
                <w:sz w:val="14"/>
                <w:szCs w:val="14"/>
                <w:b w:val="1"/>
                <w:bCs w:val="1"/>
                <w:color w:val="auto"/>
                <w:w w:val="94"/>
              </w:rPr>
              <w:t>December 31,</w:t>
            </w:r>
          </w:p>
        </w:tc>
      </w:tr>
      <w:tr>
        <w:trPr>
          <w:trHeight w:val="192"/>
        </w:trPr>
        <w:tc>
          <w:tcPr>
            <w:tcW w:w="87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2016</w:t>
            </w:r>
          </w:p>
        </w:tc>
      </w:tr>
      <w:tr>
        <w:trPr>
          <w:trHeight w:val="236"/>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Royalties</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3,342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1,544</w:t>
            </w:r>
          </w:p>
        </w:tc>
      </w:tr>
      <w:tr>
        <w:trPr>
          <w:trHeight w:val="224"/>
        </w:trPr>
        <w:tc>
          <w:tcPr>
            <w:tcW w:w="8780" w:type="dxa"/>
            <w:vAlign w:val="bottom"/>
          </w:tcPr>
          <w:p>
            <w:pPr>
              <w:ind w:left="40"/>
              <w:spacing w:after="0"/>
              <w:rPr>
                <w:sz w:val="20"/>
                <w:szCs w:val="20"/>
                <w:color w:val="auto"/>
              </w:rPr>
            </w:pPr>
            <w:r>
              <w:rPr>
                <w:rFonts w:ascii="Arial" w:cs="Arial" w:eastAsia="Arial" w:hAnsi="Arial"/>
                <w:sz w:val="16"/>
                <w:szCs w:val="16"/>
                <w:color w:val="auto"/>
              </w:rPr>
              <w:t>Payroll and related expenses</w:t>
            </w:r>
          </w:p>
        </w:tc>
        <w:tc>
          <w:tcPr>
            <w:tcW w:w="220" w:type="dxa"/>
            <w:vAlign w:val="bottom"/>
          </w:tcPr>
          <w:p>
            <w:pPr>
              <w:spacing w:after="0"/>
              <w:rPr>
                <w:sz w:val="19"/>
                <w:szCs w:val="19"/>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5,571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5,315</w:t>
            </w:r>
          </w:p>
        </w:tc>
      </w:tr>
      <w:tr>
        <w:trPr>
          <w:trHeight w:val="47"/>
        </w:trPr>
        <w:tc>
          <w:tcPr>
            <w:tcW w:w="8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50"/>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Warranty obligations</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480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480</w:t>
            </w:r>
          </w:p>
        </w:tc>
      </w:tr>
      <w:tr>
        <w:trPr>
          <w:trHeight w:val="224"/>
        </w:trPr>
        <w:tc>
          <w:tcPr>
            <w:tcW w:w="8780" w:type="dxa"/>
            <w:vAlign w:val="bottom"/>
          </w:tcPr>
          <w:p>
            <w:pPr>
              <w:ind w:left="40"/>
              <w:spacing w:after="0"/>
              <w:rPr>
                <w:sz w:val="20"/>
                <w:szCs w:val="20"/>
                <w:color w:val="auto"/>
              </w:rPr>
            </w:pPr>
            <w:r>
              <w:rPr>
                <w:rFonts w:ascii="Arial" w:cs="Arial" w:eastAsia="Arial" w:hAnsi="Arial"/>
                <w:sz w:val="16"/>
                <w:szCs w:val="16"/>
                <w:color w:val="auto"/>
              </w:rPr>
              <w:t>Market development funds and price protection</w:t>
            </w:r>
          </w:p>
        </w:tc>
        <w:tc>
          <w:tcPr>
            <w:tcW w:w="220" w:type="dxa"/>
            <w:vAlign w:val="bottom"/>
          </w:tcPr>
          <w:p>
            <w:pPr>
              <w:spacing w:after="0"/>
              <w:rPr>
                <w:sz w:val="19"/>
                <w:szCs w:val="19"/>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320</w:t>
            </w:r>
          </w:p>
        </w:tc>
      </w:tr>
      <w:tr>
        <w:trPr>
          <w:trHeight w:val="47"/>
        </w:trPr>
        <w:tc>
          <w:tcPr>
            <w:tcW w:w="8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50"/>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Professional fees</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3,894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4,793</w:t>
            </w:r>
          </w:p>
        </w:tc>
      </w:tr>
      <w:tr>
        <w:trPr>
          <w:trHeight w:val="224"/>
        </w:trPr>
        <w:tc>
          <w:tcPr>
            <w:tcW w:w="8780" w:type="dxa"/>
            <w:vAlign w:val="bottom"/>
          </w:tcPr>
          <w:p>
            <w:pPr>
              <w:ind w:left="40"/>
              <w:spacing w:after="0"/>
              <w:rPr>
                <w:sz w:val="20"/>
                <w:szCs w:val="20"/>
                <w:color w:val="auto"/>
              </w:rPr>
            </w:pPr>
            <w:r>
              <w:rPr>
                <w:rFonts w:ascii="Arial" w:cs="Arial" w:eastAsia="Arial" w:hAnsi="Arial"/>
                <w:sz w:val="16"/>
                <w:szCs w:val="16"/>
                <w:color w:val="auto"/>
              </w:rPr>
              <w:t>Accrued interest</w:t>
            </w:r>
          </w:p>
        </w:tc>
        <w:tc>
          <w:tcPr>
            <w:tcW w:w="220" w:type="dxa"/>
            <w:vAlign w:val="bottom"/>
          </w:tcPr>
          <w:p>
            <w:pPr>
              <w:spacing w:after="0"/>
              <w:rPr>
                <w:sz w:val="19"/>
                <w:szCs w:val="19"/>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1,929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275</w:t>
            </w:r>
          </w:p>
        </w:tc>
      </w:tr>
      <w:tr>
        <w:trPr>
          <w:trHeight w:val="47"/>
        </w:trPr>
        <w:tc>
          <w:tcPr>
            <w:tcW w:w="8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50"/>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revenue</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1,656</w:t>
            </w:r>
          </w:p>
        </w:tc>
      </w:tr>
      <w:tr>
        <w:trPr>
          <w:trHeight w:val="224"/>
        </w:trPr>
        <w:tc>
          <w:tcPr>
            <w:tcW w:w="8780" w:type="dxa"/>
            <w:vAlign w:val="bottom"/>
          </w:tcPr>
          <w:p>
            <w:pPr>
              <w:ind w:left="40"/>
              <w:spacing w:after="0"/>
              <w:rPr>
                <w:sz w:val="20"/>
                <w:szCs w:val="20"/>
                <w:color w:val="auto"/>
              </w:rPr>
            </w:pPr>
            <w:r>
              <w:rPr>
                <w:rFonts w:ascii="Arial" w:cs="Arial" w:eastAsia="Arial" w:hAnsi="Arial"/>
                <w:sz w:val="16"/>
                <w:szCs w:val="16"/>
                <w:color w:val="auto"/>
              </w:rPr>
              <w:t>Restructuring</w:t>
            </w:r>
          </w:p>
        </w:tc>
        <w:tc>
          <w:tcPr>
            <w:tcW w:w="220" w:type="dxa"/>
            <w:vAlign w:val="bottom"/>
          </w:tcPr>
          <w:p>
            <w:pPr>
              <w:spacing w:after="0"/>
              <w:rPr>
                <w:sz w:val="19"/>
                <w:szCs w:val="19"/>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1,160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837</w:t>
            </w:r>
          </w:p>
        </w:tc>
      </w:tr>
      <w:tr>
        <w:trPr>
          <w:trHeight w:val="47"/>
        </w:trPr>
        <w:tc>
          <w:tcPr>
            <w:tcW w:w="8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50"/>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Acquisition-related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13,186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7,912</w:t>
            </w:r>
          </w:p>
        </w:tc>
      </w:tr>
      <w:tr>
        <w:trPr>
          <w:trHeight w:val="224"/>
        </w:trPr>
        <w:tc>
          <w:tcPr>
            <w:tcW w:w="8780" w:type="dxa"/>
            <w:vAlign w:val="bottom"/>
          </w:tcPr>
          <w:p>
            <w:pPr>
              <w:ind w:left="40"/>
              <w:spacing w:after="0"/>
              <w:rPr>
                <w:sz w:val="20"/>
                <w:szCs w:val="20"/>
                <w:color w:val="auto"/>
              </w:rPr>
            </w:pPr>
            <w:r>
              <w:rPr>
                <w:rFonts w:ascii="Arial" w:cs="Arial" w:eastAsia="Arial" w:hAnsi="Arial"/>
                <w:sz w:val="16"/>
                <w:szCs w:val="16"/>
                <w:color w:val="auto"/>
              </w:rPr>
              <w:t>Divestiture-related liabilities</w:t>
            </w:r>
          </w:p>
        </w:tc>
        <w:tc>
          <w:tcPr>
            <w:tcW w:w="22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463</w:t>
            </w:r>
          </w:p>
        </w:tc>
      </w:tr>
      <w:tr>
        <w:trPr>
          <w:trHeight w:val="47"/>
        </w:trPr>
        <w:tc>
          <w:tcPr>
            <w:tcW w:w="8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70"/>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5,128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4,302</w:t>
            </w:r>
          </w:p>
        </w:tc>
      </w:tr>
      <w:tr>
        <w:trPr>
          <w:trHeight w:val="217"/>
        </w:trPr>
        <w:tc>
          <w:tcPr>
            <w:tcW w:w="8780" w:type="dxa"/>
            <w:vAlign w:val="bottom"/>
          </w:tcPr>
          <w:p>
            <w:pPr>
              <w:ind w:left="40"/>
              <w:spacing w:after="0"/>
              <w:rPr>
                <w:sz w:val="20"/>
                <w:szCs w:val="20"/>
                <w:color w:val="auto"/>
              </w:rPr>
            </w:pPr>
            <w:r>
              <w:rPr>
                <w:rFonts w:ascii="Arial" w:cs="Arial" w:eastAsia="Arial" w:hAnsi="Arial"/>
                <w:sz w:val="16"/>
                <w:szCs w:val="16"/>
                <w:color w:val="auto"/>
              </w:rPr>
              <w:t>Total accrued expenses and other current liabilities</w:t>
            </w: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36,085</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27,897</w:t>
            </w:r>
          </w:p>
        </w:tc>
      </w:tr>
      <w:tr>
        <w:trPr>
          <w:trHeight w:val="33"/>
        </w:trPr>
        <w:tc>
          <w:tcPr>
            <w:tcW w:w="87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8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Accrued Warranty Obligations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Accrued warranty obligations activity during the three months ended March 31, 2017 was as follows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Accrued warranty obligations at beginning of period</w:t>
            </w: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480</w:t>
            </w:r>
          </w:p>
        </w:tc>
      </w:tr>
      <w:tr>
        <w:trPr>
          <w:trHeight w:val="224"/>
        </w:trPr>
        <w:tc>
          <w:tcPr>
            <w:tcW w:w="10280" w:type="dxa"/>
            <w:vAlign w:val="bottom"/>
          </w:tcPr>
          <w:p>
            <w:pPr>
              <w:ind w:left="280"/>
              <w:spacing w:after="0"/>
              <w:rPr>
                <w:sz w:val="20"/>
                <w:szCs w:val="20"/>
                <w:color w:val="auto"/>
              </w:rPr>
            </w:pPr>
            <w:r>
              <w:rPr>
                <w:rFonts w:ascii="Arial" w:cs="Arial" w:eastAsia="Arial" w:hAnsi="Arial"/>
                <w:sz w:val="16"/>
                <w:szCs w:val="16"/>
                <w:color w:val="auto"/>
              </w:rPr>
              <w:t>Additions charged to operations</w:t>
            </w:r>
          </w:p>
        </w:tc>
        <w:tc>
          <w:tcPr>
            <w:tcW w:w="460" w:type="dxa"/>
            <w:vAlign w:val="bottom"/>
          </w:tcPr>
          <w:p>
            <w:pPr>
              <w:spacing w:after="0"/>
              <w:rPr>
                <w:sz w:val="19"/>
                <w:szCs w:val="19"/>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98</w:t>
            </w:r>
          </w:p>
        </w:tc>
      </w:tr>
      <w:tr>
        <w:trPr>
          <w:trHeight w:val="33"/>
        </w:trPr>
        <w:tc>
          <w:tcPr>
            <w:tcW w:w="10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7"/>
        </w:trPr>
        <w:tc>
          <w:tcPr>
            <w:tcW w:w="10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Deductions from liability</w:t>
            </w:r>
          </w:p>
        </w:tc>
        <w:tc>
          <w:tcPr>
            <w:tcW w:w="4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w:t>
            </w:r>
          </w:p>
        </w:tc>
      </w:tr>
      <w:tr>
        <w:trPr>
          <w:trHeight w:val="217"/>
        </w:trPr>
        <w:tc>
          <w:tcPr>
            <w:tcW w:w="10280" w:type="dxa"/>
            <w:vAlign w:val="bottom"/>
          </w:tcPr>
          <w:p>
            <w:pPr>
              <w:ind w:left="40"/>
              <w:spacing w:after="0"/>
              <w:rPr>
                <w:sz w:val="20"/>
                <w:szCs w:val="20"/>
                <w:color w:val="auto"/>
              </w:rPr>
            </w:pPr>
            <w:r>
              <w:rPr>
                <w:rFonts w:ascii="Arial" w:cs="Arial" w:eastAsia="Arial" w:hAnsi="Arial"/>
                <w:sz w:val="16"/>
                <w:szCs w:val="16"/>
                <w:color w:val="auto"/>
              </w:rPr>
              <w:t>Accrued warranty obligations at end of period</w:t>
            </w:r>
          </w:p>
        </w:tc>
        <w:tc>
          <w:tcPr>
            <w:tcW w:w="46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480</w:t>
            </w:r>
          </w:p>
        </w:tc>
      </w:tr>
      <w:tr>
        <w:trPr>
          <w:trHeight w:val="33"/>
        </w:trPr>
        <w:tc>
          <w:tcPr>
            <w:tcW w:w="102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0"/>
        </w:trPr>
        <w:tc>
          <w:tcPr>
            <w:tcW w:w="10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Goodwill and Other Intangible Assets</w:t>
      </w:r>
    </w:p>
    <w:p>
      <w:pPr>
        <w:spacing w:after="0" w:line="121"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 xml:space="preserve">The balances in goodwill and other intangible assets were primarily a result of the Company’s acquisitions of Ctrack and FW. See Note 4, </w:t>
      </w:r>
      <w:r>
        <w:rPr>
          <w:rFonts w:ascii="Arial" w:cs="Arial" w:eastAsia="Arial" w:hAnsi="Arial"/>
          <w:sz w:val="18"/>
          <w:szCs w:val="18"/>
          <w:i w:val="1"/>
          <w:iCs w:val="1"/>
          <w:color w:val="auto"/>
        </w:rPr>
        <w:t>Goodwill and</w:t>
      </w:r>
      <w:r>
        <w:rPr>
          <w:rFonts w:ascii="Arial" w:cs="Arial" w:eastAsia="Arial" w:hAnsi="Arial"/>
          <w:sz w:val="18"/>
          <w:szCs w:val="18"/>
          <w:color w:val="auto"/>
        </w:rPr>
        <w:t xml:space="preserve"> </w:t>
      </w:r>
      <w:r>
        <w:rPr>
          <w:rFonts w:ascii="Arial" w:cs="Arial" w:eastAsia="Arial" w:hAnsi="Arial"/>
          <w:sz w:val="18"/>
          <w:szCs w:val="18"/>
          <w:i w:val="1"/>
          <w:iCs w:val="1"/>
          <w:color w:val="auto"/>
        </w:rPr>
        <w:t>Other Intangible Assets</w:t>
      </w:r>
      <w:r>
        <w:rPr>
          <w:rFonts w:ascii="Arial" w:cs="Arial" w:eastAsia="Arial" w:hAnsi="Arial"/>
          <w:sz w:val="18"/>
          <w:szCs w:val="18"/>
          <w:color w:val="auto"/>
        </w:rPr>
        <w:t>, in the Company’s Annual Report on Form 10-K for the year ended December 31, 2016 for a discussion of the components of</w:t>
      </w:r>
      <w:r>
        <w:rPr>
          <w:rFonts w:ascii="Arial" w:cs="Arial" w:eastAsia="Arial" w:hAnsi="Arial"/>
          <w:sz w:val="18"/>
          <w:szCs w:val="18"/>
          <w:i w:val="1"/>
          <w:iCs w:val="1"/>
          <w:color w:val="auto"/>
        </w:rPr>
        <w:t xml:space="preserve"> </w:t>
      </w:r>
      <w:r>
        <w:rPr>
          <w:rFonts w:ascii="Arial" w:cs="Arial" w:eastAsia="Arial" w:hAnsi="Arial"/>
          <w:sz w:val="18"/>
          <w:szCs w:val="18"/>
          <w:color w:val="auto"/>
        </w:rPr>
        <w:t>goodwill and additional information regarding other intangible assets.</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 of Assets and Liabilities</w:t>
      </w:r>
    </w:p>
    <w:p>
      <w:pPr>
        <w:spacing w:after="0" w:line="229"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(exit price). A fair value measurement reflects the assumptions market participants would use in pricing an asset or liability based on the best available information. These assumptions include the risk inherent in a particular valuation technique (such as a pricing model) and the risks inherent in the inputs to the model.</w:t>
      </w:r>
    </w:p>
    <w:p>
      <w:pPr>
        <w:spacing w:after="0" w:line="214"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The Company classifies inputs to measure fair value using a three-level hierarchy that maximizes the use of observable inputs and minimizes the use of unobservable inputs by requiring that the most observable inputs be used when available. The categorization of financial instruments within the valuation hierarchy is based upon the lowest level of input that is significant to the fair value measurement. The hierarchy is prioritized into three levels (with Level 3 being the lowest) and is defined as follows:</w:t>
      </w:r>
    </w:p>
    <w:p>
      <w:pPr>
        <w:spacing w:after="0" w:line="79" w:lineRule="exact"/>
        <w:rPr>
          <w:sz w:val="20"/>
          <w:szCs w:val="20"/>
          <w:color w:val="auto"/>
        </w:rPr>
      </w:pPr>
    </w:p>
    <w:p>
      <w:pPr>
        <w:jc w:val="both"/>
        <w:ind w:left="1060" w:right="120" w:hanging="647"/>
        <w:spacing w:after="0" w:line="264" w:lineRule="auto"/>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Pricing inputs are based on quoted market prices for identical assets or liabilities in active markets (e.g., NYSE or NASDAQ). Active markets</w:t>
      </w:r>
      <w:r>
        <w:rPr>
          <w:rFonts w:ascii="Arial" w:cs="Arial" w:eastAsia="Arial" w:hAnsi="Arial"/>
          <w:sz w:val="18"/>
          <w:szCs w:val="18"/>
          <w:i w:val="1"/>
          <w:iCs w:val="1"/>
          <w:color w:val="auto"/>
        </w:rPr>
        <w:t xml:space="preserve"> </w:t>
      </w:r>
      <w:r>
        <w:rPr>
          <w:rFonts w:ascii="Arial" w:cs="Arial" w:eastAsia="Arial" w:hAnsi="Arial"/>
          <w:sz w:val="18"/>
          <w:szCs w:val="18"/>
          <w:color w:val="auto"/>
        </w:rPr>
        <w:t>are those in which transactions for the asset or liability occur in sufficient frequency and volume to provide pricing information on an ongoing basis.</w:t>
      </w:r>
    </w:p>
    <w:p>
      <w:pPr>
        <w:spacing w:after="0" w:line="181" w:lineRule="exact"/>
        <w:rPr>
          <w:sz w:val="20"/>
          <w:szCs w:val="20"/>
          <w:color w:val="auto"/>
        </w:rPr>
      </w:pPr>
    </w:p>
    <w:p>
      <w:pPr>
        <w:ind w:left="1060" w:right="280" w:hanging="647"/>
        <w:spacing w:after="0" w:line="259"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Pricing inputs include benchmark yields, trade data, reported trades and broker dealer quotes, two-sided markets and industry and economic</w:t>
      </w:r>
      <w:r>
        <w:rPr>
          <w:rFonts w:ascii="Arial" w:cs="Arial" w:eastAsia="Arial" w:hAnsi="Arial"/>
          <w:sz w:val="18"/>
          <w:szCs w:val="18"/>
          <w:i w:val="1"/>
          <w:iCs w:val="1"/>
          <w:color w:val="auto"/>
        </w:rPr>
        <w:t xml:space="preserve"> </w:t>
      </w:r>
      <w:r>
        <w:rPr>
          <w:rFonts w:ascii="Arial" w:cs="Arial" w:eastAsia="Arial" w:hAnsi="Arial"/>
          <w:sz w:val="18"/>
          <w:szCs w:val="18"/>
          <w:color w:val="auto"/>
        </w:rPr>
        <w:t>events, yield to maturity, Municipal Securities Rule Making Board reported trades and vendor trading platform data. Level 2 includes those financial instruments that are valued using various pricing services and broker pricing information including Electronic Communication Networks and broker feeds.</w:t>
      </w:r>
    </w:p>
    <w:p>
      <w:pPr>
        <w:sectPr>
          <w:pgSz w:w="11900" w:h="16838" w:orient="portrait"/>
          <w:cols w:equalWidth="0" w:num="1">
            <w:col w:w="11420"/>
          </w:cols>
          <w:pgMar w:left="240" w:top="553" w:right="239" w:bottom="1440" w:gutter="0" w:footer="0" w:header="0"/>
        </w:sect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553" w:right="239" w:bottom="1440" w:gutter="0" w:footer="0" w:header="0"/>
          <w:type w:val="continuous"/>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46" w:lineRule="exact"/>
        <w:rPr>
          <w:sz w:val="20"/>
          <w:szCs w:val="20"/>
          <w:color w:val="auto"/>
        </w:rPr>
      </w:pPr>
    </w:p>
    <w:p>
      <w:pPr>
        <w:ind w:left="420"/>
        <w:spacing w:after="0"/>
        <w:rPr>
          <w:sz w:val="20"/>
          <w:szCs w:val="20"/>
          <w:color w:val="auto"/>
        </w:rPr>
      </w:pPr>
      <w:r>
        <w:rPr>
          <w:rFonts w:ascii="Arial" w:cs="Arial" w:eastAsia="Arial" w:hAnsi="Arial"/>
          <w:sz w:val="16"/>
          <w:szCs w:val="16"/>
          <w:i w:val="1"/>
          <w:iCs w:val="1"/>
          <w:color w:val="auto"/>
        </w:rPr>
        <w:t xml:space="preserve">Level 3: </w:t>
      </w:r>
      <w:r>
        <w:rPr>
          <w:rFonts w:ascii="Arial" w:cs="Arial" w:eastAsia="Arial" w:hAnsi="Arial"/>
          <w:sz w:val="16"/>
          <w:szCs w:val="16"/>
          <w:color w:val="auto"/>
        </w:rPr>
        <w:t>Pricing inputs include significant inputs that are generally less observable from objective sources, including the Company’s own assumptions.</w:t>
      </w:r>
    </w:p>
    <w:p>
      <w:pPr>
        <w:spacing w:after="0" w:line="302" w:lineRule="exact"/>
        <w:rPr>
          <w:sz w:val="20"/>
          <w:szCs w:val="20"/>
          <w:color w:val="auto"/>
        </w:rPr>
      </w:pPr>
    </w:p>
    <w:p>
      <w:pPr>
        <w:ind w:right="520" w:firstLine="432"/>
        <w:spacing w:after="0" w:line="264" w:lineRule="auto"/>
        <w:rPr>
          <w:sz w:val="20"/>
          <w:szCs w:val="20"/>
          <w:color w:val="auto"/>
        </w:rPr>
      </w:pPr>
      <w:r>
        <w:rPr>
          <w:rFonts w:ascii="Arial" w:cs="Arial" w:eastAsia="Arial" w:hAnsi="Arial"/>
          <w:sz w:val="18"/>
          <w:szCs w:val="18"/>
          <w:color w:val="auto"/>
        </w:rPr>
        <w:t>The Company reviews the fair value hierarchy classification on a quarterly basis. Changes in the observability of valuation inputs may result in a reclassification of levels for certain securities within the fair value hierarchy. There have been no transfers of assets or liabilities between fair value measurement classifications during the three months ended March 31, 2017.</w:t>
      </w:r>
    </w:p>
    <w:p>
      <w:pPr>
        <w:spacing w:after="0" w:line="208"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The following table summarizes the Company’s financial instruments measured at fair value on a recurring basis in accordance with the authoritative guidance for fair value measurements as of March 31, 2017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Balance as of</w:t>
            </w:r>
          </w:p>
        </w:tc>
        <w:tc>
          <w:tcPr>
            <w:tcW w:w="340" w:type="dxa"/>
            <w:vAlign w:val="bottom"/>
          </w:tcPr>
          <w:p>
            <w:pPr>
              <w:spacing w:after="0"/>
              <w:rPr>
                <w:sz w:val="14"/>
                <w:szCs w:val="14"/>
                <w:color w:val="auto"/>
              </w:rPr>
            </w:pPr>
          </w:p>
        </w:tc>
        <w:tc>
          <w:tcPr>
            <w:tcW w:w="1240" w:type="dxa"/>
            <w:vAlign w:val="bottom"/>
            <w:vMerge w:val="restart"/>
          </w:tcPr>
          <w:p>
            <w:pPr>
              <w:jc w:val="right"/>
              <w:ind w:right="502"/>
              <w:spacing w:after="0"/>
              <w:rPr>
                <w:sz w:val="20"/>
                <w:szCs w:val="20"/>
                <w:color w:val="auto"/>
              </w:rPr>
            </w:pPr>
            <w:r>
              <w:rPr>
                <w:rFonts w:ascii="Arial" w:cs="Arial" w:eastAsia="Arial" w:hAnsi="Arial"/>
                <w:sz w:val="14"/>
                <w:szCs w:val="14"/>
                <w:b w:val="1"/>
                <w:bCs w:val="1"/>
                <w:color w:val="auto"/>
              </w:rPr>
              <w:t>Level 1</w:t>
            </w:r>
          </w:p>
        </w:tc>
        <w:tc>
          <w:tcPr>
            <w:tcW w:w="0" w:type="dxa"/>
            <w:vAlign w:val="bottom"/>
          </w:tcPr>
          <w:p>
            <w:pPr>
              <w:spacing w:after="0"/>
              <w:rPr>
                <w:sz w:val="1"/>
                <w:szCs w:val="1"/>
                <w:color w:val="auto"/>
              </w:rPr>
            </w:pPr>
          </w:p>
        </w:tc>
      </w:tr>
      <w:tr>
        <w:trPr>
          <w:trHeight w:val="192"/>
        </w:trPr>
        <w:tc>
          <w:tcPr>
            <w:tcW w:w="8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March 31, 2017</w:t>
            </w:r>
          </w:p>
        </w:tc>
        <w:tc>
          <w:tcPr>
            <w:tcW w:w="34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color w:val="auto"/>
              </w:rPr>
              <w:t>Assets:</w:t>
            </w:r>
          </w:p>
        </w:tc>
        <w:tc>
          <w:tcPr>
            <w:tcW w:w="20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8120" w:type="dxa"/>
            <w:vAlign w:val="bottom"/>
          </w:tcPr>
          <w:p>
            <w:pPr>
              <w:ind w:left="40"/>
              <w:spacing w:after="0"/>
              <w:rPr>
                <w:sz w:val="20"/>
                <w:szCs w:val="20"/>
                <w:color w:val="auto"/>
              </w:rPr>
            </w:pPr>
            <w:r>
              <w:rPr>
                <w:rFonts w:ascii="Arial" w:cs="Arial" w:eastAsia="Arial" w:hAnsi="Arial"/>
                <w:sz w:val="16"/>
                <w:szCs w:val="16"/>
                <w:color w:val="auto"/>
              </w:rPr>
              <w:t>Cash equivalents</w:t>
            </w:r>
          </w:p>
        </w:tc>
        <w:tc>
          <w:tcPr>
            <w:tcW w:w="2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7"/>
        </w:trPr>
        <w:tc>
          <w:tcPr>
            <w:tcW w:w="8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Money market funds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17"/>
        </w:trPr>
        <w:tc>
          <w:tcPr>
            <w:tcW w:w="8120" w:type="dxa"/>
            <w:vAlign w:val="bottom"/>
          </w:tcPr>
          <w:p>
            <w:pPr>
              <w:ind w:left="500"/>
              <w:spacing w:after="0"/>
              <w:rPr>
                <w:sz w:val="20"/>
                <w:szCs w:val="20"/>
                <w:color w:val="auto"/>
              </w:rPr>
            </w:pPr>
            <w:r>
              <w:rPr>
                <w:rFonts w:ascii="Arial" w:cs="Arial" w:eastAsia="Arial" w:hAnsi="Arial"/>
                <w:sz w:val="16"/>
                <w:szCs w:val="16"/>
                <w:color w:val="auto"/>
              </w:rPr>
              <w:t>Total cash equivalents</w:t>
            </w: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tcBorders>
          </w:tcPr>
          <w:p>
            <w:pPr>
              <w:jc w:val="right"/>
              <w:ind w:right="23"/>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The following table summarizes the Company’s financial instruments measured at fair value on a recurring basis in accordance with the authoritative guidance for fair value measurements as of December 31, 2016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Balance as of</w:t>
            </w:r>
          </w:p>
        </w:tc>
        <w:tc>
          <w:tcPr>
            <w:tcW w:w="340" w:type="dxa"/>
            <w:vAlign w:val="bottom"/>
          </w:tcPr>
          <w:p>
            <w:pPr>
              <w:spacing w:after="0"/>
              <w:rPr>
                <w:sz w:val="14"/>
                <w:szCs w:val="14"/>
                <w:color w:val="auto"/>
              </w:rPr>
            </w:pPr>
          </w:p>
        </w:tc>
        <w:tc>
          <w:tcPr>
            <w:tcW w:w="1240" w:type="dxa"/>
            <w:vAlign w:val="bottom"/>
            <w:vMerge w:val="restart"/>
          </w:tcPr>
          <w:p>
            <w:pPr>
              <w:jc w:val="right"/>
              <w:ind w:right="502"/>
              <w:spacing w:after="0"/>
              <w:rPr>
                <w:sz w:val="20"/>
                <w:szCs w:val="20"/>
                <w:color w:val="auto"/>
              </w:rPr>
            </w:pPr>
            <w:r>
              <w:rPr>
                <w:rFonts w:ascii="Arial" w:cs="Arial" w:eastAsia="Arial" w:hAnsi="Arial"/>
                <w:sz w:val="14"/>
                <w:szCs w:val="14"/>
                <w:b w:val="1"/>
                <w:bCs w:val="1"/>
                <w:color w:val="auto"/>
              </w:rPr>
              <w:t>Level 1</w:t>
            </w:r>
          </w:p>
        </w:tc>
        <w:tc>
          <w:tcPr>
            <w:tcW w:w="0" w:type="dxa"/>
            <w:vAlign w:val="bottom"/>
          </w:tcPr>
          <w:p>
            <w:pPr>
              <w:spacing w:after="0"/>
              <w:rPr>
                <w:sz w:val="1"/>
                <w:szCs w:val="1"/>
                <w:color w:val="auto"/>
              </w:rPr>
            </w:pPr>
          </w:p>
        </w:tc>
      </w:tr>
      <w:tr>
        <w:trPr>
          <w:trHeight w:val="192"/>
        </w:trPr>
        <w:tc>
          <w:tcPr>
            <w:tcW w:w="8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December 31, 2016</w:t>
            </w:r>
          </w:p>
        </w:tc>
        <w:tc>
          <w:tcPr>
            <w:tcW w:w="34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color w:val="auto"/>
              </w:rPr>
              <w:t>Assets:</w:t>
            </w:r>
          </w:p>
        </w:tc>
        <w:tc>
          <w:tcPr>
            <w:tcW w:w="16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8120" w:type="dxa"/>
            <w:vAlign w:val="bottom"/>
          </w:tcPr>
          <w:p>
            <w:pPr>
              <w:ind w:left="40"/>
              <w:spacing w:after="0"/>
              <w:rPr>
                <w:sz w:val="20"/>
                <w:szCs w:val="20"/>
                <w:color w:val="auto"/>
              </w:rPr>
            </w:pPr>
            <w:r>
              <w:rPr>
                <w:rFonts w:ascii="Arial" w:cs="Arial" w:eastAsia="Arial" w:hAnsi="Arial"/>
                <w:sz w:val="16"/>
                <w:szCs w:val="16"/>
                <w:color w:val="auto"/>
              </w:rPr>
              <w:t>Cash equivalents</w:t>
            </w:r>
          </w:p>
        </w:tc>
        <w:tc>
          <w:tcPr>
            <w:tcW w:w="1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7"/>
        </w:trPr>
        <w:tc>
          <w:tcPr>
            <w:tcW w:w="8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Money market funds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17"/>
        </w:trPr>
        <w:tc>
          <w:tcPr>
            <w:tcW w:w="8120" w:type="dxa"/>
            <w:vAlign w:val="bottom"/>
          </w:tcPr>
          <w:p>
            <w:pPr>
              <w:ind w:left="500"/>
              <w:spacing w:after="0"/>
              <w:rPr>
                <w:sz w:val="20"/>
                <w:szCs w:val="20"/>
                <w:color w:val="auto"/>
              </w:rPr>
            </w:pPr>
            <w:r>
              <w:rPr>
                <w:rFonts w:ascii="Arial" w:cs="Arial" w:eastAsia="Arial" w:hAnsi="Arial"/>
                <w:sz w:val="16"/>
                <w:szCs w:val="16"/>
                <w:color w:val="auto"/>
              </w:rPr>
              <w:t>Total cash equivalents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tcBorders>
          </w:tcPr>
          <w:p>
            <w:pPr>
              <w:jc w:val="right"/>
              <w:ind w:right="23"/>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Financial Instruments</w:t>
      </w:r>
    </w:p>
    <w:p>
      <w:pPr>
        <w:spacing w:after="0" w:line="225"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 xml:space="preserve">The Company’s financial assets and liabilities are carried at fair value or at amounts that, because of their short-term nature, approximate current fair value, with the exception of its $120.0 million in Convertible Notes (see Note 6, </w:t>
      </w:r>
      <w:r>
        <w:rPr>
          <w:rFonts w:ascii="Arial" w:cs="Arial" w:eastAsia="Arial" w:hAnsi="Arial"/>
          <w:sz w:val="18"/>
          <w:szCs w:val="18"/>
          <w:i w:val="1"/>
          <w:iCs w:val="1"/>
          <w:color w:val="auto"/>
        </w:rPr>
        <w:t>Debt</w:t>
      </w:r>
      <w:r>
        <w:rPr>
          <w:rFonts w:ascii="Arial" w:cs="Arial" w:eastAsia="Arial" w:hAnsi="Arial"/>
          <w:sz w:val="18"/>
          <w:szCs w:val="18"/>
          <w:color w:val="auto"/>
        </w:rPr>
        <w:t>). The Company carries its Convertible Notes at amortized cost. The debt and equity components of the Convertible Notes were measured using Level 3 inputs and are not measured on a recurring basis. The fair value of the liability component of the Convertible Notes, which approximates the carrying value of such notes, was $89.7 million and $90.9 million as of March 31, 2017 and December 31, 2016, respectively.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117" w:lineRule="exact"/>
        <w:rPr>
          <w:sz w:val="20"/>
          <w:szCs w:val="20"/>
          <w:color w:val="auto"/>
        </w:rPr>
      </w:pPr>
    </w:p>
    <w:p>
      <w:pPr>
        <w:ind w:right="20" w:firstLine="405"/>
        <w:spacing w:after="0" w:line="288" w:lineRule="auto"/>
        <w:rPr>
          <w:sz w:val="20"/>
          <w:szCs w:val="20"/>
          <w:color w:val="auto"/>
        </w:rPr>
      </w:pPr>
      <w:r>
        <w:rPr>
          <w:rFonts w:ascii="Arial" w:cs="Arial" w:eastAsia="Arial" w:hAnsi="Arial"/>
          <w:sz w:val="16"/>
          <w:szCs w:val="16"/>
          <w:color w:val="auto"/>
        </w:rPr>
        <w:t>On October 31, 2014, the Company entered into a five-year senior secured revolving credit facility in the amount of $25.0 million (the “Revolver”) with Wells Fargo Bank, National Association, as lender. Concurrently with the acquisition of FW, the Company amended the Revolver to include FW as a borrower and Loan Party, as defined by the agreement. On November 17, 2015, the Revolver was amended to increase the maximum borrowing capacity</w:t>
      </w:r>
    </w:p>
    <w:p>
      <w:pPr>
        <w:ind w:right="120"/>
        <w:spacing w:after="0" w:line="273" w:lineRule="auto"/>
        <w:rPr>
          <w:sz w:val="20"/>
          <w:szCs w:val="20"/>
          <w:color w:val="auto"/>
        </w:rPr>
      </w:pPr>
      <w:r>
        <w:rPr>
          <w:rFonts w:ascii="Arial" w:cs="Arial" w:eastAsia="Arial" w:hAnsi="Arial"/>
          <w:sz w:val="17"/>
          <w:szCs w:val="17"/>
          <w:color w:val="auto"/>
        </w:rPr>
        <w:t>to $48.0 million. On March 20, 2017, at the Company’s request, the financial covenants with respect to liquidity requirements and EBITDA targets, among other things, were amended in order to enable draw-downs by the Company from time to time. In exchange for such accommodations, the aggregate amount available under the Revolver was decreased from $48.0 million to $10.0 million and the applicable margin was increased to 4.00% when interest is based on the daily three-month LIBOR rate and 1.5% when interest is based on the prime rate.</w:t>
      </w:r>
    </w:p>
    <w:p>
      <w:pPr>
        <w:spacing w:after="0" w:line="231" w:lineRule="exact"/>
        <w:rPr>
          <w:sz w:val="20"/>
          <w:szCs w:val="20"/>
          <w:color w:val="auto"/>
        </w:rPr>
      </w:pPr>
    </w:p>
    <w:p>
      <w:pPr>
        <w:ind w:right="240" w:firstLine="405"/>
        <w:spacing w:after="0" w:line="264" w:lineRule="auto"/>
        <w:rPr>
          <w:sz w:val="20"/>
          <w:szCs w:val="20"/>
          <w:color w:val="auto"/>
        </w:rPr>
      </w:pPr>
      <w:r>
        <w:rPr>
          <w:rFonts w:ascii="Arial" w:cs="Arial" w:eastAsia="Arial" w:hAnsi="Arial"/>
          <w:sz w:val="18"/>
          <w:szCs w:val="18"/>
          <w:color w:val="auto"/>
        </w:rPr>
        <w:t>The amount of borrowings that could have been made under the Revolver was based on a borrowing base comprised of a specified percentage of eligible receivables. The Revolver included $3.0 million available for letters of credit, $0.7 million of which was available for letters of credit at March 31, 2017.</w:t>
      </w:r>
    </w:p>
    <w:p>
      <w:pPr>
        <w:spacing w:after="0" w:line="235" w:lineRule="exact"/>
        <w:rPr>
          <w:sz w:val="20"/>
          <w:szCs w:val="20"/>
          <w:color w:val="auto"/>
        </w:rPr>
      </w:pPr>
    </w:p>
    <w:p>
      <w:pPr>
        <w:ind w:right="360" w:firstLine="405"/>
        <w:spacing w:after="0" w:line="342" w:lineRule="auto"/>
        <w:rPr>
          <w:sz w:val="20"/>
          <w:szCs w:val="20"/>
          <w:color w:val="auto"/>
        </w:rPr>
      </w:pPr>
      <w:r>
        <w:rPr>
          <w:rFonts w:ascii="Arial" w:cs="Arial" w:eastAsia="Arial" w:hAnsi="Arial"/>
          <w:sz w:val="16"/>
          <w:szCs w:val="16"/>
          <w:color w:val="auto"/>
        </w:rPr>
        <w:t>The Revolver was secured by a first priority lien on substantially all of the assets of the Company and certain of its subsidiaries, subject to certain exceptions and permitted liens. The Revolver included customary representations and warranties, as well as customary reporting and financial covenants.</w:t>
      </w: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553" w:right="25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4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There was $2.8 million outstanding under the Revolver at March 31, 2017. There was no balance outstanding under the Revolver at December 31, 2016.</w:t>
      </w:r>
    </w:p>
    <w:p>
      <w:pPr>
        <w:spacing w:after="0" w:line="356" w:lineRule="exact"/>
        <w:rPr>
          <w:sz w:val="20"/>
          <w:szCs w:val="20"/>
          <w:color w:val="auto"/>
        </w:rPr>
      </w:pPr>
    </w:p>
    <w:p>
      <w:pPr>
        <w:ind w:right="80" w:firstLine="392"/>
        <w:spacing w:after="0" w:line="277" w:lineRule="auto"/>
        <w:rPr>
          <w:sz w:val="20"/>
          <w:szCs w:val="20"/>
          <w:color w:val="auto"/>
        </w:rPr>
      </w:pPr>
      <w:r>
        <w:rPr>
          <w:rFonts w:ascii="Arial" w:cs="Arial" w:eastAsia="Arial" w:hAnsi="Arial"/>
          <w:sz w:val="18"/>
          <w:szCs w:val="18"/>
          <w:color w:val="auto"/>
        </w:rPr>
        <w:t>The Company terminated the Revolver on May 8, 2017, subsequent to the balance sheet date, in connection with the execution of the Credit Agreement described below.</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w:t>
      </w:r>
    </w:p>
    <w:p>
      <w:pPr>
        <w:spacing w:after="0" w:line="279"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On May 8, 2017, subsequent to the balance sheet date, the Company and certain of its direct and indirect subsidiaries entered into a credit agreement (the “Credit Agreement”) with Lakestar Semi Inc., a private investment fund managed by Soros Fund Management LLC (the “Lender”). Pursuant to the Credit Agreement, the Lender provided the Company with a single term loan in the principal amount of $20.0 million (the “Loan”) with a maturity date of May 8, 2018 (the “Maturity Date”). The Credit Agreement requires that any proceeds from the pending sale of the MiFi Business be used to repay the Loan. The Company paid a $2.0 million commitment fee in conjunction with the closing of the Loan. The Credit Agreement includes customary representations and warranties, as well as customary reporting and financial covenants.</w:t>
      </w:r>
    </w:p>
    <w:p>
      <w:pPr>
        <w:spacing w:after="0" w:line="301"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Interest on the Loan will be payable on the last business day of each calendar month and on the Maturity Date. The Loan will bear interest at a rate per annum equal to the three-month LIBOR, but in no event less than 1.00%, plus 10.00%.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Senior Notes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Novatel Wireless Notes</w:t>
      </w:r>
    </w:p>
    <w:p>
      <w:pPr>
        <w:spacing w:after="0" w:line="198"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On June 10, 2015, the Company issued $120.0 million of 5.50% convertible senior notes due 2020 (the “Novatel Wireless Notes”). The Company incurred issuance costs of approximately $3.9 million. The Company used a portion of the proceeds from the offering to finance its acquisition of Ctrack, to pay fees and expenses related to the acquisition, and for general corporate purposes.</w:t>
      </w:r>
    </w:p>
    <w:p>
      <w:pPr>
        <w:spacing w:after="0" w:line="235" w:lineRule="exact"/>
        <w:rPr>
          <w:sz w:val="20"/>
          <w:szCs w:val="20"/>
          <w:color w:val="auto"/>
        </w:rPr>
      </w:pPr>
    </w:p>
    <w:p>
      <w:pPr>
        <w:ind w:right="220" w:firstLine="405"/>
        <w:spacing w:after="0" w:line="255" w:lineRule="auto"/>
        <w:rPr>
          <w:sz w:val="20"/>
          <w:szCs w:val="20"/>
          <w:color w:val="auto"/>
        </w:rPr>
      </w:pPr>
      <w:r>
        <w:rPr>
          <w:rFonts w:ascii="Arial" w:cs="Arial" w:eastAsia="Arial" w:hAnsi="Arial"/>
          <w:sz w:val="18"/>
          <w:szCs w:val="18"/>
          <w:color w:val="auto"/>
        </w:rPr>
        <w:t>The Novatel Wireless Notes are governed by the terms of an indenture, dated June 10, 2015 (the “Novatel Wireless Indenture”), among Novatel Wireless, as issuer, the Company and Wilmington Trust, National Association, as trustee. The Novatel Wireless Notes are senior unsecured obligations and bear interest at a rate of 5.50% per year, payable semi-annually in arrears on June 15 and December 15 of each year, beginning on December 15, 2015. The Novatel Wireless Notes will mature on June 15, 2020, unless earlier repurchased or converted. The Novatel Wireless Notes will be convertible into cash, shares of the Company’s common stock, or a combination thereof, at the election of the Company, at an initial conversion price of $5.00 per share of the Company’s common stock.</w:t>
      </w:r>
    </w:p>
    <w:p>
      <w:pPr>
        <w:spacing w:after="0" w:line="301" w:lineRule="exact"/>
        <w:rPr>
          <w:sz w:val="20"/>
          <w:szCs w:val="20"/>
          <w:color w:val="auto"/>
        </w:rPr>
      </w:pPr>
    </w:p>
    <w:p>
      <w:pPr>
        <w:ind w:right="180" w:firstLine="392"/>
        <w:spacing w:after="0" w:line="255" w:lineRule="auto"/>
        <w:rPr>
          <w:sz w:val="20"/>
          <w:szCs w:val="20"/>
          <w:color w:val="auto"/>
        </w:rPr>
      </w:pPr>
      <w:r>
        <w:rPr>
          <w:rFonts w:ascii="Arial" w:cs="Arial" w:eastAsia="Arial" w:hAnsi="Arial"/>
          <w:sz w:val="18"/>
          <w:szCs w:val="18"/>
          <w:color w:val="auto"/>
        </w:rPr>
        <w:t>Following the settlement of the exchange offer and consent solicitation described below, approximately $0.2 million aggregate principal amount of Novatel Wireless Notes remain outstanding. In connection with the exchange offer and consent solicitation, the Novatel Wireless Indenture and the Novatel Wireless Notes were amended to, among other things, eliminate certain events of default and substantially all of the restrictive covenants in the Novatel Wireless Indenture and the Novatel Wireless Notes, including the merger covenant, which sets forth certain requirements that must be met for Novatel Wireless to consolidate, merge or sell all or substantially all of its assets, and the reporting covenant, which requires Novatel Wireless to provide certain periodic reports to noteholders. The Novatel Wireless Indenture, as amended, also provides that the form of settlement of any conversions of the Novatel Wireless Notes will be elected by the Company.</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Inseego Notes</w:t>
      </w:r>
    </w:p>
    <w:p>
      <w:pPr>
        <w:spacing w:after="0" w:line="333" w:lineRule="exact"/>
        <w:rPr>
          <w:sz w:val="20"/>
          <w:szCs w:val="20"/>
          <w:color w:val="auto"/>
        </w:rPr>
      </w:pPr>
    </w:p>
    <w:p>
      <w:pPr>
        <w:ind w:right="40" w:firstLine="405"/>
        <w:spacing w:after="0" w:line="279" w:lineRule="auto"/>
        <w:rPr>
          <w:sz w:val="20"/>
          <w:szCs w:val="20"/>
          <w:color w:val="auto"/>
        </w:rPr>
      </w:pPr>
      <w:r>
        <w:rPr>
          <w:rFonts w:ascii="Arial" w:cs="Arial" w:eastAsia="Arial" w:hAnsi="Arial"/>
          <w:sz w:val="17"/>
          <w:szCs w:val="17"/>
          <w:color w:val="auto"/>
        </w:rPr>
        <w:t>On January 9, 2017, in connection with the settlement of an exchange offer and consent solicitation with respect to the Novatel Wireless Notes, the Company issued approximately $119.8 million of 5.50% convertible senior notes due 2022 (the “Inseego Notes” and collectively with Novatel Wireless Notes, the “Convertible Notes”). The Inseego Notes were issued in exchange for the approximately $119.8 million aggregate principal amount of outstanding Novatel Wireless Notes that were validly tendered and accepted for exchange and subsequently canceled.</w:t>
      </w:r>
    </w:p>
    <w:p>
      <w:pPr>
        <w:spacing w:after="0" w:line="280" w:lineRule="exact"/>
        <w:rPr>
          <w:sz w:val="20"/>
          <w:szCs w:val="20"/>
          <w:color w:val="auto"/>
        </w:rPr>
      </w:pPr>
    </w:p>
    <w:p>
      <w:pPr>
        <w:ind w:right="180" w:firstLine="405"/>
        <w:spacing w:after="0" w:line="279" w:lineRule="auto"/>
        <w:rPr>
          <w:sz w:val="20"/>
          <w:szCs w:val="20"/>
          <w:color w:val="auto"/>
        </w:rPr>
      </w:pPr>
      <w:r>
        <w:rPr>
          <w:rFonts w:ascii="Arial" w:cs="Arial" w:eastAsia="Arial" w:hAnsi="Arial"/>
          <w:sz w:val="17"/>
          <w:szCs w:val="17"/>
          <w:color w:val="auto"/>
        </w:rPr>
        <w:t>The Inseego Notes are governed by the terms of an indenture, dated January 9, 2017 (the “Inseego Indenture”), between the Company, as issuer, and Wilmington Trust, National Association, as trustee (the “Trustee”). The Inseego Notes are senior unsecured obligations of the Company and bear interest from, and including, December 15, 2016, at a rate of 5.50% per year, payable semi-annually in arrears on June 15 and December 15 of each year, beginning on June 15, 2017. The Inseego Notes will mature on June 15, 2022, unless earlier converted, redeemed or repurchased.</w:t>
      </w:r>
    </w:p>
    <w:p>
      <w:pPr>
        <w:spacing w:after="0" w:line="28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Inseego Notes will be convertible into cash, shares of the Company’s common stock, or a combination thereof, at the</w:t>
      </w:r>
    </w:p>
    <w:p>
      <w:pPr>
        <w:sectPr>
          <w:pgSz w:w="11900" w:h="16838" w:orient="portrait"/>
          <w:cols w:equalWidth="0" w:num="1">
            <w:col w:w="11400"/>
          </w:cols>
          <w:pgMar w:left="240" w:top="553" w:right="25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00"/>
          </w:cols>
          <w:pgMar w:left="240" w:top="553" w:right="259" w:bottom="1440" w:gutter="0" w:footer="0" w:header="0"/>
          <w:type w:val="continuous"/>
        </w:sectPr>
      </w:pPr>
    </w:p>
    <w:bookmarkStart w:id="12" w:name="page13"/>
    <w:bookmarkEnd w:id="12"/>
    <w:p>
      <w:pPr>
        <w:jc w:val="center"/>
        <w:ind w:right="-39"/>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400"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election of the Company, at an initial conversion rate of 212.7660 shares of common stock per $1,000 principal amount of the Inseego Notes, which corresponds to an initial conversion price of $4.70 per share of the Company’s common stock.The conversion rate is subject to adjustment from time to time upon the occurrence of certain events, including, but not limited to, the issuance of stock dividends and payment of cash dividends.</w:t>
      </w:r>
    </w:p>
    <w:p>
      <w:pPr>
        <w:spacing w:after="0" w:line="274"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At any time prior to the close of business on the business day immediately preceding December 15, 2021, holders may convert their Inseego Notes at their option only under the following circumstances:</w:t>
      </w:r>
    </w:p>
    <w:p>
      <w:pPr>
        <w:spacing w:after="0" w:line="224" w:lineRule="exact"/>
        <w:rPr>
          <w:sz w:val="20"/>
          <w:szCs w:val="20"/>
          <w:color w:val="auto"/>
        </w:rPr>
      </w:pPr>
    </w:p>
    <w:p>
      <w:pPr>
        <w:ind w:left="580" w:right="80" w:hanging="329"/>
        <w:spacing w:after="0" w:line="264" w:lineRule="auto"/>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during any calendar quarter (and only during such calendar quarter), if the last reported sale price of the Company’s common stock for at least 20 trading days (whether or not consecutive) during a period of 30 consecutive trading days ending on the last trading day of the immediately preceding calendar quarter equals or exceeds 130% of the conversion price on such trading day;</w:t>
      </w:r>
    </w:p>
    <w:p>
      <w:pPr>
        <w:spacing w:after="0" w:line="181" w:lineRule="exact"/>
        <w:rPr>
          <w:rFonts w:ascii="Arial" w:cs="Arial" w:eastAsia="Arial" w:hAnsi="Arial"/>
          <w:sz w:val="18"/>
          <w:szCs w:val="18"/>
          <w:color w:val="auto"/>
        </w:rPr>
      </w:pPr>
    </w:p>
    <w:p>
      <w:pPr>
        <w:jc w:val="both"/>
        <w:ind w:left="580" w:right="160" w:hanging="329"/>
        <w:spacing w:after="0" w:line="286" w:lineRule="auto"/>
        <w:tabs>
          <w:tab w:leader="none" w:pos="580" w:val="left"/>
        </w:tabs>
        <w:numPr>
          <w:ilvl w:val="0"/>
          <w:numId w:val="3"/>
        </w:numPr>
        <w:rPr>
          <w:rFonts w:ascii="Arial" w:cs="Arial" w:eastAsia="Arial" w:hAnsi="Arial"/>
          <w:sz w:val="17"/>
          <w:szCs w:val="17"/>
          <w:color w:val="auto"/>
        </w:rPr>
      </w:pPr>
      <w:r>
        <w:rPr>
          <w:rFonts w:ascii="Arial" w:cs="Arial" w:eastAsia="Arial" w:hAnsi="Arial"/>
          <w:sz w:val="17"/>
          <w:szCs w:val="17"/>
          <w:color w:val="auto"/>
        </w:rPr>
        <w:t>during the five consecutive business day period immediately after any five consecutive trading day period (the “Measurement Period”) in which the trading price per $1,000 principal amount of the Inseego Notes for each trading day of the Measurement Period was less than 98% of the product of the last reported sale price per share of the Company’s common stock and the conversion rate on each such trading day;</w:t>
      </w:r>
    </w:p>
    <w:p>
      <w:pPr>
        <w:spacing w:after="0" w:line="165" w:lineRule="exact"/>
        <w:rPr>
          <w:rFonts w:ascii="Arial" w:cs="Arial" w:eastAsia="Arial" w:hAnsi="Arial"/>
          <w:sz w:val="17"/>
          <w:szCs w:val="17"/>
          <w:color w:val="auto"/>
        </w:rPr>
      </w:pPr>
    </w:p>
    <w:p>
      <w:pPr>
        <w:ind w:left="580" w:hanging="329"/>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upon the occurrence of certain corporate events specified in the Inseego Indenture; or</w:t>
      </w:r>
    </w:p>
    <w:p>
      <w:pPr>
        <w:spacing w:after="0" w:line="225" w:lineRule="exact"/>
        <w:rPr>
          <w:rFonts w:ascii="Arial" w:cs="Arial" w:eastAsia="Arial" w:hAnsi="Arial"/>
          <w:sz w:val="18"/>
          <w:szCs w:val="18"/>
          <w:color w:val="auto"/>
        </w:rPr>
      </w:pPr>
    </w:p>
    <w:p>
      <w:pPr>
        <w:ind w:left="580" w:hanging="329"/>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the Company has called the Inseego Notes for redemption.</w:t>
      </w:r>
    </w:p>
    <w:p>
      <w:pPr>
        <w:spacing w:after="0" w:line="279" w:lineRule="exact"/>
        <w:rPr>
          <w:sz w:val="20"/>
          <w:szCs w:val="20"/>
          <w:color w:val="auto"/>
        </w:rPr>
      </w:pPr>
    </w:p>
    <w:p>
      <w:pPr>
        <w:ind w:right="540" w:firstLine="405"/>
        <w:spacing w:after="0" w:line="277" w:lineRule="auto"/>
        <w:rPr>
          <w:sz w:val="20"/>
          <w:szCs w:val="20"/>
          <w:color w:val="auto"/>
        </w:rPr>
      </w:pPr>
      <w:r>
        <w:rPr>
          <w:rFonts w:ascii="Arial" w:cs="Arial" w:eastAsia="Arial" w:hAnsi="Arial"/>
          <w:sz w:val="18"/>
          <w:szCs w:val="18"/>
          <w:color w:val="auto"/>
        </w:rPr>
        <w:t>On or after December 15, 2021, the holders may convert any of their Inseego Notes at any time prior to the close of business on the business day immediately preceding the maturity date.</w:t>
      </w:r>
    </w:p>
    <w:p>
      <w:pPr>
        <w:spacing w:after="0" w:line="279" w:lineRule="exact"/>
        <w:rPr>
          <w:sz w:val="20"/>
          <w:szCs w:val="20"/>
          <w:color w:val="auto"/>
        </w:rPr>
      </w:pPr>
    </w:p>
    <w:p>
      <w:pPr>
        <w:ind w:right="140" w:firstLine="405"/>
        <w:spacing w:after="0" w:line="291" w:lineRule="auto"/>
        <w:rPr>
          <w:sz w:val="20"/>
          <w:szCs w:val="20"/>
          <w:color w:val="auto"/>
        </w:rPr>
      </w:pPr>
      <w:r>
        <w:rPr>
          <w:rFonts w:ascii="Arial" w:cs="Arial" w:eastAsia="Arial" w:hAnsi="Arial"/>
          <w:sz w:val="16"/>
          <w:szCs w:val="16"/>
          <w:color w:val="auto"/>
        </w:rPr>
        <w:t>The Company may redeem all or a portion of the Inseego Notes at its option on or after June 15, 2018 if the last reported sale price per share of the Company’s common stock equals or exceeds 140% of the conversion price for each of at least 20 trading days (whether or not consecutive) during the 30 consecutive trading days ending on, and including, the trading day immediately prior to the date on which the Company provides written notice of redemption, at a redemption price equal to 100% of the principal amount of the Inseego Notes to be redeemed, plus any accrued and unpaid interest on such Inseego Notes, subject to the right of holders as of the close of business on an interest record date to receive the related interest. In addition, if the Company calls the Inseego Notes for redemption, a “make-whole fundamental change” (as defined in the Inseego Indenture) will be deemed to occur. As a result, the Company will, in certain circumstances, increase the conversion rate for holders who convert their Inseego Notes in connection with such redemption.</w:t>
      </w:r>
    </w:p>
    <w:p>
      <w:pPr>
        <w:spacing w:after="0" w:line="275"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The Inseego Notes are subject to repurchase by the Company at the option of the holders on June 15, 2020 (the “Optional Repurchase Date”) at a repurchase price in cash equal to 100% of the principal amount of the Inseego Notes to be repurchased, plus accrued and unpaid interest to, but excluding, the Optional Repurchase Date, subject to the right of holders of the Inseego Notes on a record date to receive interest through the corresponding interest payment date.</w:t>
      </w:r>
    </w:p>
    <w:p>
      <w:pPr>
        <w:spacing w:after="0" w:line="295" w:lineRule="exact"/>
        <w:rPr>
          <w:sz w:val="20"/>
          <w:szCs w:val="20"/>
          <w:color w:val="auto"/>
        </w:rPr>
      </w:pPr>
    </w:p>
    <w:p>
      <w:pPr>
        <w:ind w:right="80" w:firstLine="405"/>
        <w:spacing w:after="0" w:line="272" w:lineRule="auto"/>
        <w:rPr>
          <w:sz w:val="20"/>
          <w:szCs w:val="20"/>
          <w:color w:val="auto"/>
        </w:rPr>
      </w:pPr>
      <w:r>
        <w:rPr>
          <w:rFonts w:ascii="Arial" w:cs="Arial" w:eastAsia="Arial" w:hAnsi="Arial"/>
          <w:sz w:val="17"/>
          <w:szCs w:val="17"/>
          <w:color w:val="auto"/>
        </w:rPr>
        <w:t>No “sinking fund” is provided for the Inseego Notes, which means that the Company is not required to periodically redeem or retire the Inseego Notes. If the Company undergoes a “fundamental change” (as defined in the Inseego Indenture), subject to certain conditions, holders may require the Company to repurchase for cash all or part of their Inseego Notes in principal amounts of $1,000, or an integral multiple of $1,000 in excess thereof. The fundamental change repurchase price will be equal to 100% of the principal amount of the Inseego Notes to be repurchased, plus accrued and unpaid interest to, but excluding, the fundamental change repurchase date, subject to the right of holders as of the close of business on an interest record date to receive the related interest. In addition, every fundamental change is a make-whole fundamental change. As a result, the Company will, in certain circumstances, increase the conversion rate for holders who convert their Inseego Notes in connection with such fundamental change.</w:t>
      </w:r>
    </w:p>
    <w:p>
      <w:pPr>
        <w:spacing w:after="0" w:line="286" w:lineRule="exact"/>
        <w:rPr>
          <w:sz w:val="20"/>
          <w:szCs w:val="20"/>
          <w:color w:val="auto"/>
        </w:rPr>
      </w:pPr>
    </w:p>
    <w:p>
      <w:pPr>
        <w:ind w:right="480" w:firstLine="392"/>
        <w:spacing w:after="0" w:line="264" w:lineRule="auto"/>
        <w:rPr>
          <w:sz w:val="20"/>
          <w:szCs w:val="20"/>
          <w:color w:val="auto"/>
        </w:rPr>
      </w:pPr>
      <w:r>
        <w:rPr>
          <w:rFonts w:ascii="Arial" w:cs="Arial" w:eastAsia="Arial" w:hAnsi="Arial"/>
          <w:sz w:val="18"/>
          <w:szCs w:val="18"/>
          <w:color w:val="auto"/>
        </w:rPr>
        <w:t>The Inseego Indenture contains certain covenants, effective until June 15, 2020, that limit the amount of debt, including secured debt, that may be incurred by the Company or its subsidiaries, and that limit the ability of the Company to pay dividends, repurchase its equity securities or make other restricted payments.</w:t>
      </w:r>
    </w:p>
    <w:p>
      <w:pPr>
        <w:spacing w:after="0" w:line="289"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The Inseego Indenture also provides for customary events of default. If an event of default (other than certain events of bankruptcy, insolvency or reorganization involving the Company) occurs and is continuing, the Trustee, by notice to the Company, or the holders of at least 25% in principal amount of the outstanding Inseego Notes, by notice to the Company and the Trustee, may declare the principal and accrued and unpaid interest on the outstanding Inseego Notes to be immediately due and payable. Upon the occurrence of certain events of bankruptcy, insolvency or reorganization involving the Company, 100% of the principal and accrued and unpaid interest of the Inseego Notes will automatically become immediately due and payable.</w:t>
      </w:r>
    </w:p>
    <w:p>
      <w:pPr>
        <w:sectPr>
          <w:pgSz w:w="11900" w:h="16838" w:orient="portrait"/>
          <w:cols w:equalWidth="0" w:num="1">
            <w:col w:w="11380"/>
          </w:cols>
          <w:pgMar w:left="240" w:top="553" w:right="279" w:bottom="1440" w:gutter="0" w:footer="0" w:header="0"/>
        </w:sectPr>
      </w:pPr>
    </w:p>
    <w:p>
      <w:pPr>
        <w:spacing w:after="0" w:line="34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380"/>
          </w:cols>
          <w:pgMar w:left="240" w:top="553" w:right="279" w:bottom="1440" w:gutter="0" w:footer="0" w:header="0"/>
          <w:type w:val="continuous"/>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400"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Notwithstanding the foregoing, the Inseego Indenture provides that, to the extent the Company elects and for up to 60 days, the sole remedy for an event of default relating to certain failures by the Company to comply with certain reporting covenants consists exclusively of the right to receive special interest on the Inseego Notes at a rate equal to 0.50% per annum on the principal amount of the outstanding Inseego Notes.</w:t>
      </w:r>
    </w:p>
    <w:p>
      <w:pPr>
        <w:spacing w:after="0" w:line="274"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Because the exchange of the Novatel Wireless Notes for the Inseego Notes described above was treated as a debt modification in accordance with applicable FASB guidance (it was between a parent and a subsidiary company and for substantially identical notes), the Company did not recognize a gain or loss with respect to the issuance of the Inseego Notes. In accordance with authoritative guidance, the Company recognized $3.6 million as an additional component of debt discount and additional paid-in capital attributed to the increase in the fair value of the embedded conversion feature of the Inseego Notes before and after modification. The Company will amortize the debt discount on the Inseego Notes as a component of interest expense using the effective interest method through June 2020.</w:t>
      </w:r>
    </w:p>
    <w:p>
      <w:pPr>
        <w:spacing w:after="0" w:line="301" w:lineRule="exact"/>
        <w:rPr>
          <w:sz w:val="20"/>
          <w:szCs w:val="20"/>
          <w:color w:val="auto"/>
        </w:rPr>
      </w:pPr>
    </w:p>
    <w:p>
      <w:pPr>
        <w:ind w:right="480" w:firstLine="405"/>
        <w:spacing w:after="0" w:line="308" w:lineRule="auto"/>
        <w:rPr>
          <w:sz w:val="20"/>
          <w:szCs w:val="20"/>
          <w:color w:val="auto"/>
        </w:rPr>
      </w:pPr>
      <w:r>
        <w:rPr>
          <w:rFonts w:ascii="Arial" w:cs="Arial" w:eastAsia="Arial" w:hAnsi="Arial"/>
          <w:sz w:val="17"/>
          <w:szCs w:val="17"/>
          <w:color w:val="auto"/>
        </w:rPr>
        <w:t>During the three months ended March 31, 2017, the Company incurred approximately $0.9 million in connection with the issuance of the Inseego Notes, which is included in general and administrative expenses in the unaudited condensed consolidated statements of operations.</w:t>
      </w:r>
    </w:p>
    <w:p>
      <w:pPr>
        <w:spacing w:after="0" w:line="20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Convertible Notes consisted of the following at March 31, 2017 and December 31, 2016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4"/>
                <w:szCs w:val="14"/>
                <w:color w:val="auto"/>
              </w:rPr>
            </w:pPr>
          </w:p>
        </w:tc>
        <w:tc>
          <w:tcPr>
            <w:tcW w:w="1100" w:type="dxa"/>
            <w:vAlign w:val="bottom"/>
          </w:tcPr>
          <w:p>
            <w:pPr>
              <w:jc w:val="right"/>
              <w:ind w:right="142"/>
              <w:spacing w:after="0"/>
              <w:rPr>
                <w:sz w:val="20"/>
                <w:szCs w:val="20"/>
                <w:color w:val="auto"/>
              </w:rPr>
            </w:pPr>
            <w:r>
              <w:rPr>
                <w:rFonts w:ascii="Arial" w:cs="Arial" w:eastAsia="Arial" w:hAnsi="Arial"/>
                <w:sz w:val="14"/>
                <w:szCs w:val="14"/>
                <w:b w:val="1"/>
                <w:bCs w:val="1"/>
                <w:color w:val="auto"/>
                <w:w w:val="94"/>
              </w:rPr>
              <w:t>December 31,</w:t>
            </w:r>
          </w:p>
        </w:tc>
      </w:tr>
      <w:tr>
        <w:trPr>
          <w:trHeight w:val="192"/>
        </w:trPr>
        <w:tc>
          <w:tcPr>
            <w:tcW w:w="87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2016</w:t>
            </w:r>
          </w:p>
        </w:tc>
      </w:tr>
      <w:tr>
        <w:trPr>
          <w:trHeight w:val="237"/>
        </w:trPr>
        <w:tc>
          <w:tcPr>
            <w:tcW w:w="8780" w:type="dxa"/>
            <w:vAlign w:val="bottom"/>
          </w:tcPr>
          <w:p>
            <w:pPr>
              <w:ind w:left="40"/>
              <w:spacing w:after="0"/>
              <w:rPr>
                <w:sz w:val="20"/>
                <w:szCs w:val="20"/>
                <w:color w:val="auto"/>
              </w:rPr>
            </w:pPr>
            <w:r>
              <w:rPr>
                <w:rFonts w:ascii="Arial" w:cs="Arial" w:eastAsia="Arial" w:hAnsi="Arial"/>
                <w:sz w:val="16"/>
                <w:szCs w:val="16"/>
                <w:color w:val="auto"/>
              </w:rPr>
              <w:t>Liability component:</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3"/>
        </w:trPr>
        <w:tc>
          <w:tcPr>
            <w:tcW w:w="8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Principal</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120,000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120,000</w:t>
            </w:r>
          </w:p>
        </w:tc>
      </w:tr>
      <w:tr>
        <w:trPr>
          <w:trHeight w:val="237"/>
        </w:trPr>
        <w:tc>
          <w:tcPr>
            <w:tcW w:w="8780" w:type="dxa"/>
            <w:vAlign w:val="bottom"/>
          </w:tcPr>
          <w:p>
            <w:pPr>
              <w:ind w:left="380"/>
              <w:spacing w:after="0"/>
              <w:rPr>
                <w:sz w:val="20"/>
                <w:szCs w:val="20"/>
                <w:color w:val="auto"/>
              </w:rPr>
            </w:pPr>
            <w:r>
              <w:rPr>
                <w:rFonts w:ascii="Arial" w:cs="Arial" w:eastAsia="Arial" w:hAnsi="Arial"/>
                <w:sz w:val="16"/>
                <w:szCs w:val="16"/>
                <w:color w:val="auto"/>
              </w:rPr>
              <w:t>Less: unamortized debt discount and debt issuance costs</w:t>
            </w:r>
          </w:p>
        </w:tc>
        <w:tc>
          <w:tcPr>
            <w:tcW w:w="220" w:type="dxa"/>
            <w:vAlign w:val="bottom"/>
          </w:tcPr>
          <w:p>
            <w:pPr>
              <w:spacing w:after="0"/>
              <w:rPr>
                <w:sz w:val="20"/>
                <w:szCs w:val="20"/>
                <w:color w:val="auto"/>
              </w:rPr>
            </w:pP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(30,344)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(29,092)</w:t>
            </w:r>
          </w:p>
        </w:tc>
      </w:tr>
      <w:tr>
        <w:trPr>
          <w:trHeight w:val="33"/>
        </w:trPr>
        <w:tc>
          <w:tcPr>
            <w:tcW w:w="8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carrying amount</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89,656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90,908</w:t>
            </w:r>
          </w:p>
        </w:tc>
      </w:tr>
      <w:tr>
        <w:trPr>
          <w:trHeight w:val="20"/>
        </w:trPr>
        <w:tc>
          <w:tcPr>
            <w:tcW w:w="8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7"/>
        </w:trPr>
        <w:tc>
          <w:tcPr>
            <w:tcW w:w="8780" w:type="dxa"/>
            <w:vAlign w:val="bottom"/>
          </w:tcPr>
          <w:p>
            <w:pPr>
              <w:ind w:left="40"/>
              <w:spacing w:after="0"/>
              <w:rPr>
                <w:sz w:val="20"/>
                <w:szCs w:val="20"/>
                <w:color w:val="auto"/>
              </w:rPr>
            </w:pPr>
            <w:r>
              <w:rPr>
                <w:rFonts w:ascii="Arial" w:cs="Arial" w:eastAsia="Arial" w:hAnsi="Arial"/>
                <w:sz w:val="16"/>
                <w:szCs w:val="16"/>
                <w:color w:val="auto"/>
              </w:rPr>
              <w:t>Equity component</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41,905</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38,305</w:t>
            </w:r>
          </w:p>
        </w:tc>
      </w:tr>
      <w:tr>
        <w:trPr>
          <w:trHeight w:val="20"/>
        </w:trPr>
        <w:tc>
          <w:tcPr>
            <w:tcW w:w="8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right="180" w:firstLine="405"/>
        <w:spacing w:after="0" w:line="342" w:lineRule="auto"/>
        <w:rPr>
          <w:sz w:val="20"/>
          <w:szCs w:val="20"/>
          <w:color w:val="auto"/>
        </w:rPr>
      </w:pPr>
      <w:r>
        <w:rPr>
          <w:rFonts w:ascii="Arial" w:cs="Arial" w:eastAsia="Arial" w:hAnsi="Arial"/>
          <w:sz w:val="16"/>
          <w:szCs w:val="16"/>
          <w:color w:val="auto"/>
        </w:rPr>
        <w:t>The effective interest rate on the liability component of the Convertible Notes was 17.84% for the three months ended March 31, 2017. The following table sets forth total interest expense recognized related to the Convertible Notes during the three months ended March 31, 2017 and 2016 (in thousands):</w:t>
      </w:r>
    </w:p>
    <w:p>
      <w:pPr>
        <w:spacing w:after="0" w:line="61" w:lineRule="exact"/>
        <w:rPr>
          <w:sz w:val="20"/>
          <w:szCs w:val="20"/>
          <w:color w:val="auto"/>
        </w:rPr>
      </w:pPr>
    </w:p>
    <w:p>
      <w:pPr>
        <w:jc w:val="center"/>
        <w:ind w:left="90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90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5725160</wp:posOffset>
            </wp:positionH>
            <wp:positionV relativeFrom="paragraph">
              <wp:posOffset>13335</wp:posOffset>
            </wp:positionV>
            <wp:extent cx="15176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87"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90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2016</w:t>
            </w:r>
          </w:p>
        </w:tc>
      </w:tr>
      <w:tr>
        <w:trPr>
          <w:trHeight w:val="236"/>
        </w:trPr>
        <w:tc>
          <w:tcPr>
            <w:tcW w:w="9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Contractual interest expense</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1,650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1,650</w:t>
            </w:r>
          </w:p>
        </w:tc>
      </w:tr>
      <w:tr>
        <w:trPr>
          <w:trHeight w:val="237"/>
        </w:trPr>
        <w:tc>
          <w:tcPr>
            <w:tcW w:w="9000" w:type="dxa"/>
            <w:vAlign w:val="bottom"/>
          </w:tcPr>
          <w:p>
            <w:pPr>
              <w:ind w:left="20"/>
              <w:spacing w:after="0"/>
              <w:rPr>
                <w:sz w:val="20"/>
                <w:szCs w:val="20"/>
                <w:color w:val="auto"/>
              </w:rPr>
            </w:pPr>
            <w:r>
              <w:rPr>
                <w:rFonts w:ascii="Arial" w:cs="Arial" w:eastAsia="Arial" w:hAnsi="Arial"/>
                <w:sz w:val="16"/>
                <w:szCs w:val="16"/>
                <w:color w:val="auto"/>
              </w:rPr>
              <w:t>Amortization of debt discount</w:t>
            </w:r>
          </w:p>
        </w:tc>
        <w:tc>
          <w:tcPr>
            <w:tcW w:w="260" w:type="dxa"/>
            <w:vAlign w:val="bottom"/>
          </w:tcPr>
          <w:p>
            <w:pPr>
              <w:spacing w:after="0"/>
              <w:rPr>
                <w:sz w:val="20"/>
                <w:szCs w:val="20"/>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2,217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1,980</w:t>
            </w:r>
          </w:p>
        </w:tc>
      </w:tr>
      <w:tr>
        <w:trPr>
          <w:trHeight w:val="33"/>
        </w:trPr>
        <w:tc>
          <w:tcPr>
            <w:tcW w:w="9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9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Amortization of debt issuance costs</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131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132</w:t>
            </w:r>
          </w:p>
        </w:tc>
      </w:tr>
      <w:tr>
        <w:trPr>
          <w:trHeight w:val="244"/>
        </w:trPr>
        <w:tc>
          <w:tcPr>
            <w:tcW w:w="9000" w:type="dxa"/>
            <w:vAlign w:val="bottom"/>
          </w:tcPr>
          <w:p>
            <w:pPr>
              <w:ind w:left="20"/>
              <w:spacing w:after="0"/>
              <w:rPr>
                <w:sz w:val="20"/>
                <w:szCs w:val="20"/>
                <w:color w:val="auto"/>
              </w:rPr>
            </w:pPr>
            <w:r>
              <w:rPr>
                <w:rFonts w:ascii="Arial" w:cs="Arial" w:eastAsia="Arial" w:hAnsi="Arial"/>
                <w:sz w:val="16"/>
                <w:szCs w:val="16"/>
                <w:color w:val="auto"/>
              </w:rPr>
              <w:t>Total interest expense</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3,998</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3,762</w:t>
            </w:r>
          </w:p>
        </w:tc>
      </w:tr>
      <w:tr>
        <w:trPr>
          <w:trHeight w:val="20"/>
        </w:trPr>
        <w:tc>
          <w:tcPr>
            <w:tcW w:w="9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Share-based Compensation</w:t>
      </w:r>
    </w:p>
    <w:p>
      <w:pPr>
        <w:spacing w:after="0" w:line="121" w:lineRule="exact"/>
        <w:rPr>
          <w:sz w:val="20"/>
          <w:szCs w:val="20"/>
          <w:color w:val="auto"/>
        </w:rPr>
      </w:pPr>
    </w:p>
    <w:p>
      <w:pPr>
        <w:jc w:val="both"/>
        <w:ind w:right="100" w:firstLine="432"/>
        <w:spacing w:after="0" w:line="277" w:lineRule="auto"/>
        <w:rPr>
          <w:sz w:val="20"/>
          <w:szCs w:val="20"/>
          <w:color w:val="auto"/>
        </w:rPr>
      </w:pPr>
      <w:r>
        <w:rPr>
          <w:rFonts w:ascii="Arial" w:cs="Arial" w:eastAsia="Arial" w:hAnsi="Arial"/>
          <w:sz w:val="18"/>
          <w:szCs w:val="18"/>
          <w:color w:val="auto"/>
        </w:rPr>
        <w:t>The Company included the following amounts for share-based compensation awards in the unaudited condensed consolidated statements of operations (in thousands):</w:t>
      </w:r>
    </w:p>
    <w:p>
      <w:pPr>
        <w:spacing w:after="0" w:line="108" w:lineRule="exact"/>
        <w:rPr>
          <w:sz w:val="20"/>
          <w:szCs w:val="20"/>
          <w:color w:val="auto"/>
        </w:rPr>
      </w:pPr>
    </w:p>
    <w:p>
      <w:pPr>
        <w:jc w:val="center"/>
        <w:ind w:left="900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90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5716905</wp:posOffset>
            </wp:positionH>
            <wp:positionV relativeFrom="paragraph">
              <wp:posOffset>13335</wp:posOffset>
            </wp:positionV>
            <wp:extent cx="15176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2016</w:t>
            </w:r>
          </w:p>
        </w:tc>
      </w:tr>
      <w:tr>
        <w:trPr>
          <w:trHeight w:val="236"/>
        </w:trPr>
        <w:tc>
          <w:tcPr>
            <w:tcW w:w="9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revenues</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52</w:t>
            </w:r>
          </w:p>
        </w:tc>
      </w:tr>
      <w:tr>
        <w:trPr>
          <w:trHeight w:val="224"/>
        </w:trPr>
        <w:tc>
          <w:tcPr>
            <w:tcW w:w="9000" w:type="dxa"/>
            <w:vAlign w:val="bottom"/>
          </w:tcPr>
          <w:p>
            <w:pPr>
              <w:ind w:left="40"/>
              <w:spacing w:after="0"/>
              <w:rPr>
                <w:sz w:val="20"/>
                <w:szCs w:val="20"/>
                <w:color w:val="auto"/>
              </w:rPr>
            </w:pPr>
            <w:r>
              <w:rPr>
                <w:rFonts w:ascii="Arial" w:cs="Arial" w:eastAsia="Arial" w:hAnsi="Arial"/>
                <w:sz w:val="16"/>
                <w:szCs w:val="16"/>
                <w:color w:val="auto"/>
              </w:rPr>
              <w:t>Research and development</w:t>
            </w:r>
          </w:p>
        </w:tc>
        <w:tc>
          <w:tcPr>
            <w:tcW w:w="28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199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249</w:t>
            </w:r>
          </w:p>
        </w:tc>
      </w:tr>
      <w:tr>
        <w:trPr>
          <w:trHeight w:val="47"/>
        </w:trPr>
        <w:tc>
          <w:tcPr>
            <w:tcW w:w="90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250"/>
        </w:trPr>
        <w:tc>
          <w:tcPr>
            <w:tcW w:w="9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Sales and marketing</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210</w:t>
            </w:r>
          </w:p>
        </w:tc>
      </w:tr>
      <w:tr>
        <w:trPr>
          <w:trHeight w:val="224"/>
        </w:trPr>
        <w:tc>
          <w:tcPr>
            <w:tcW w:w="9000" w:type="dxa"/>
            <w:vAlign w:val="bottom"/>
          </w:tcPr>
          <w:p>
            <w:pPr>
              <w:ind w:left="40"/>
              <w:spacing w:after="0"/>
              <w:rPr>
                <w:sz w:val="20"/>
                <w:szCs w:val="20"/>
                <w:color w:val="auto"/>
              </w:rPr>
            </w:pPr>
            <w:r>
              <w:rPr>
                <w:rFonts w:ascii="Arial" w:cs="Arial" w:eastAsia="Arial" w:hAnsi="Arial"/>
                <w:sz w:val="16"/>
                <w:szCs w:val="16"/>
                <w:color w:val="auto"/>
              </w:rPr>
              <w:t>General and administrative</w:t>
            </w:r>
          </w:p>
        </w:tc>
        <w:tc>
          <w:tcPr>
            <w:tcW w:w="28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709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555</w:t>
            </w:r>
          </w:p>
        </w:tc>
      </w:tr>
      <w:tr>
        <w:trPr>
          <w:trHeight w:val="47"/>
        </w:trPr>
        <w:tc>
          <w:tcPr>
            <w:tcW w:w="90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r>
      <w:tr>
        <w:trPr>
          <w:trHeight w:val="255"/>
        </w:trPr>
        <w:tc>
          <w:tcPr>
            <w:tcW w:w="9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1,091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1,066</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553" w:right="25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16"/>
        </w:trPr>
        <w:tc>
          <w:tcPr>
            <w:tcW w:w="10260" w:type="dxa"/>
            <w:vAlign w:val="bottom"/>
          </w:tcPr>
          <w:p>
            <w:pPr>
              <w:ind w:left="5020"/>
              <w:spacing w:after="0"/>
              <w:rPr>
                <w:sz w:val="20"/>
                <w:szCs w:val="20"/>
                <w:color w:val="auto"/>
              </w:rPr>
            </w:pPr>
            <w:r>
              <w:rPr>
                <w:rFonts w:ascii="Arial" w:cs="Arial" w:eastAsia="Arial" w:hAnsi="Arial"/>
                <w:sz w:val="18"/>
                <w:szCs w:val="18"/>
                <w:b w:val="1"/>
                <w:bCs w:val="1"/>
                <w:color w:val="auto"/>
              </w:rPr>
              <w:t>INSEEGO CORP.</w:t>
            </w:r>
          </w:p>
        </w:tc>
        <w:tc>
          <w:tcPr>
            <w:tcW w:w="1140" w:type="dxa"/>
            <w:vAlign w:val="bottom"/>
          </w:tcPr>
          <w:p>
            <w:pPr>
              <w:spacing w:after="0"/>
              <w:rPr>
                <w:sz w:val="18"/>
                <w:szCs w:val="18"/>
                <w:color w:val="auto"/>
              </w:rPr>
            </w:pPr>
          </w:p>
        </w:tc>
      </w:tr>
      <w:tr>
        <w:trPr>
          <w:trHeight w:val="234"/>
        </w:trPr>
        <w:tc>
          <w:tcPr>
            <w:tcW w:w="10260" w:type="dxa"/>
            <w:vAlign w:val="bottom"/>
          </w:tcPr>
          <w:p>
            <w:pPr>
              <w:ind w:left="3100"/>
              <w:spacing w:after="0"/>
              <w:rPr>
                <w:sz w:val="20"/>
                <w:szCs w:val="20"/>
                <w:color w:val="auto"/>
              </w:rPr>
            </w:pPr>
            <w:r>
              <w:rPr>
                <w:rFonts w:ascii="Arial" w:cs="Arial" w:eastAsia="Arial" w:hAnsi="Arial"/>
                <w:sz w:val="18"/>
                <w:szCs w:val="18"/>
                <w:b w:val="1"/>
                <w:bCs w:val="1"/>
                <w:color w:val="auto"/>
              </w:rPr>
              <w:t>Notes to Condensed Consolidated Financial Statements (Unaudited)</w:t>
            </w:r>
          </w:p>
        </w:tc>
        <w:tc>
          <w:tcPr>
            <w:tcW w:w="1140" w:type="dxa"/>
            <w:vAlign w:val="bottom"/>
          </w:tcPr>
          <w:p>
            <w:pPr>
              <w:spacing w:after="0"/>
              <w:rPr>
                <w:sz w:val="20"/>
                <w:szCs w:val="20"/>
                <w:color w:val="auto"/>
              </w:rPr>
            </w:pPr>
          </w:p>
        </w:tc>
      </w:tr>
      <w:tr>
        <w:trPr>
          <w:trHeight w:val="567"/>
        </w:trPr>
        <w:tc>
          <w:tcPr>
            <w:tcW w:w="10260" w:type="dxa"/>
            <w:vAlign w:val="bottom"/>
          </w:tcPr>
          <w:p>
            <w:pPr>
              <w:spacing w:after="0"/>
              <w:rPr>
                <w:sz w:val="20"/>
                <w:szCs w:val="20"/>
                <w:color w:val="auto"/>
              </w:rPr>
            </w:pPr>
            <w:r>
              <w:rPr>
                <w:rFonts w:ascii="Arial" w:cs="Arial" w:eastAsia="Arial" w:hAnsi="Arial"/>
                <w:sz w:val="18"/>
                <w:szCs w:val="18"/>
                <w:i w:val="1"/>
                <w:iCs w:val="1"/>
                <w:color w:val="auto"/>
              </w:rPr>
              <w:t>Stock Options</w:t>
            </w:r>
          </w:p>
        </w:tc>
        <w:tc>
          <w:tcPr>
            <w:tcW w:w="1140" w:type="dxa"/>
            <w:vAlign w:val="bottom"/>
          </w:tcPr>
          <w:p>
            <w:pPr>
              <w:spacing w:after="0"/>
              <w:rPr>
                <w:sz w:val="24"/>
                <w:szCs w:val="24"/>
                <w:color w:val="auto"/>
              </w:rPr>
            </w:pPr>
          </w:p>
        </w:tc>
      </w:tr>
      <w:tr>
        <w:trPr>
          <w:trHeight w:val="405"/>
        </w:trPr>
        <w:tc>
          <w:tcPr>
            <w:tcW w:w="10260" w:type="dxa"/>
            <w:vAlign w:val="bottom"/>
          </w:tcPr>
          <w:p>
            <w:pPr>
              <w:ind w:left="420"/>
              <w:spacing w:after="0"/>
              <w:rPr>
                <w:sz w:val="20"/>
                <w:szCs w:val="20"/>
                <w:color w:val="auto"/>
              </w:rPr>
            </w:pPr>
            <w:r>
              <w:rPr>
                <w:rFonts w:ascii="Arial" w:cs="Arial" w:eastAsia="Arial" w:hAnsi="Arial"/>
                <w:sz w:val="18"/>
                <w:szCs w:val="18"/>
                <w:color w:val="auto"/>
              </w:rPr>
              <w:t>The following table summarizes the Company’s stock option activity:</w:t>
            </w:r>
          </w:p>
        </w:tc>
        <w:tc>
          <w:tcPr>
            <w:tcW w:w="1140" w:type="dxa"/>
            <w:vAlign w:val="bottom"/>
          </w:tcPr>
          <w:p>
            <w:pPr>
              <w:spacing w:after="0"/>
              <w:rPr>
                <w:sz w:val="24"/>
                <w:szCs w:val="24"/>
                <w:color w:val="auto"/>
              </w:rPr>
            </w:pPr>
          </w:p>
        </w:tc>
      </w:tr>
      <w:tr>
        <w:trPr>
          <w:trHeight w:val="135"/>
        </w:trPr>
        <w:tc>
          <w:tcPr>
            <w:tcW w:w="1026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237"/>
        </w:trPr>
        <w:tc>
          <w:tcPr>
            <w:tcW w:w="10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 December 31, 2015</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6,084,836</w:t>
            </w:r>
          </w:p>
        </w:tc>
      </w:tr>
      <w:tr>
        <w:trPr>
          <w:trHeight w:val="224"/>
        </w:trPr>
        <w:tc>
          <w:tcPr>
            <w:tcW w:w="10260" w:type="dxa"/>
            <w:vAlign w:val="bottom"/>
          </w:tcPr>
          <w:p>
            <w:pPr>
              <w:ind w:left="280"/>
              <w:spacing w:after="0"/>
              <w:rPr>
                <w:sz w:val="20"/>
                <w:szCs w:val="20"/>
                <w:color w:val="auto"/>
              </w:rPr>
            </w:pPr>
            <w:r>
              <w:rPr>
                <w:rFonts w:ascii="Arial" w:cs="Arial" w:eastAsia="Arial" w:hAnsi="Arial"/>
                <w:sz w:val="16"/>
                <w:szCs w:val="16"/>
                <w:color w:val="auto"/>
              </w:rPr>
              <w:t>Granted</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1,051,550</w:t>
            </w:r>
          </w:p>
        </w:tc>
      </w:tr>
      <w:tr>
        <w:trPr>
          <w:trHeight w:val="33"/>
        </w:trPr>
        <w:tc>
          <w:tcPr>
            <w:tcW w:w="102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10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Exercised</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(78,384)</w:t>
            </w:r>
          </w:p>
        </w:tc>
      </w:tr>
      <w:tr>
        <w:trPr>
          <w:trHeight w:val="224"/>
        </w:trPr>
        <w:tc>
          <w:tcPr>
            <w:tcW w:w="10260" w:type="dxa"/>
            <w:vAlign w:val="bottom"/>
          </w:tcPr>
          <w:p>
            <w:pPr>
              <w:ind w:left="280"/>
              <w:spacing w:after="0"/>
              <w:rPr>
                <w:sz w:val="20"/>
                <w:szCs w:val="20"/>
                <w:color w:val="auto"/>
              </w:rPr>
            </w:pPr>
            <w:r>
              <w:rPr>
                <w:rFonts w:ascii="Arial" w:cs="Arial" w:eastAsia="Arial" w:hAnsi="Arial"/>
                <w:sz w:val="16"/>
                <w:szCs w:val="16"/>
                <w:color w:val="auto"/>
              </w:rPr>
              <w:t>Canceled</w:t>
            </w:r>
          </w:p>
        </w:tc>
        <w:tc>
          <w:tcPr>
            <w:tcW w:w="1140" w:type="dxa"/>
            <w:vAlign w:val="bottom"/>
          </w:tcPr>
          <w:p>
            <w:pPr>
              <w:jc w:val="right"/>
              <w:spacing w:after="0"/>
              <w:rPr>
                <w:sz w:val="20"/>
                <w:szCs w:val="20"/>
                <w:color w:val="auto"/>
              </w:rPr>
            </w:pPr>
            <w:r>
              <w:rPr>
                <w:rFonts w:ascii="Arial" w:cs="Arial" w:eastAsia="Arial" w:hAnsi="Arial"/>
                <w:sz w:val="16"/>
                <w:szCs w:val="16"/>
                <w:color w:val="auto"/>
              </w:rPr>
              <w:t>(701,799)</w:t>
            </w:r>
          </w:p>
        </w:tc>
      </w:tr>
      <w:tr>
        <w:trPr>
          <w:trHeight w:val="33"/>
        </w:trPr>
        <w:tc>
          <w:tcPr>
            <w:tcW w:w="102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0"/>
        </w:trPr>
        <w:tc>
          <w:tcPr>
            <w:tcW w:w="10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 December 31, 2016</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6,356,203</w:t>
            </w:r>
          </w:p>
        </w:tc>
      </w:tr>
      <w:tr>
        <w:trPr>
          <w:trHeight w:val="224"/>
        </w:trPr>
        <w:tc>
          <w:tcPr>
            <w:tcW w:w="10260" w:type="dxa"/>
            <w:vAlign w:val="bottom"/>
          </w:tcPr>
          <w:p>
            <w:pPr>
              <w:ind w:left="280"/>
              <w:spacing w:after="0"/>
              <w:rPr>
                <w:sz w:val="20"/>
                <w:szCs w:val="20"/>
                <w:color w:val="auto"/>
              </w:rPr>
            </w:pPr>
            <w:r>
              <w:rPr>
                <w:rFonts w:ascii="Arial" w:cs="Arial" w:eastAsia="Arial" w:hAnsi="Arial"/>
                <w:sz w:val="16"/>
                <w:szCs w:val="16"/>
                <w:color w:val="auto"/>
              </w:rPr>
              <w:t>Granted</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100,000</w:t>
            </w:r>
          </w:p>
        </w:tc>
      </w:tr>
      <w:tr>
        <w:trPr>
          <w:trHeight w:val="33"/>
        </w:trPr>
        <w:tc>
          <w:tcPr>
            <w:tcW w:w="102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10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Exercised</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24"/>
        </w:trPr>
        <w:tc>
          <w:tcPr>
            <w:tcW w:w="10260" w:type="dxa"/>
            <w:vAlign w:val="bottom"/>
          </w:tcPr>
          <w:p>
            <w:pPr>
              <w:ind w:left="280"/>
              <w:spacing w:after="0"/>
              <w:rPr>
                <w:sz w:val="20"/>
                <w:szCs w:val="20"/>
                <w:color w:val="auto"/>
              </w:rPr>
            </w:pPr>
            <w:r>
              <w:rPr>
                <w:rFonts w:ascii="Arial" w:cs="Arial" w:eastAsia="Arial" w:hAnsi="Arial"/>
                <w:sz w:val="16"/>
                <w:szCs w:val="16"/>
                <w:color w:val="auto"/>
              </w:rPr>
              <w:t>Canceled</w:t>
            </w:r>
          </w:p>
        </w:tc>
        <w:tc>
          <w:tcPr>
            <w:tcW w:w="1140" w:type="dxa"/>
            <w:vAlign w:val="bottom"/>
          </w:tcPr>
          <w:p>
            <w:pPr>
              <w:jc w:val="right"/>
              <w:spacing w:after="0"/>
              <w:rPr>
                <w:sz w:val="20"/>
                <w:szCs w:val="20"/>
                <w:color w:val="auto"/>
              </w:rPr>
            </w:pPr>
            <w:r>
              <w:rPr>
                <w:rFonts w:ascii="Arial" w:cs="Arial" w:eastAsia="Arial" w:hAnsi="Arial"/>
                <w:sz w:val="16"/>
                <w:szCs w:val="16"/>
                <w:color w:val="auto"/>
              </w:rPr>
              <w:t>(482,827)</w:t>
            </w:r>
          </w:p>
        </w:tc>
      </w:tr>
      <w:tr>
        <w:trPr>
          <w:trHeight w:val="33"/>
        </w:trPr>
        <w:tc>
          <w:tcPr>
            <w:tcW w:w="102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10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 March 31, 2017</w:t>
            </w: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5,973,376</w:t>
            </w:r>
          </w:p>
        </w:tc>
      </w:tr>
      <w:tr>
        <w:trPr>
          <w:trHeight w:val="20"/>
        </w:trPr>
        <w:tc>
          <w:tcPr>
            <w:tcW w:w="102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7"/>
        </w:trPr>
        <w:tc>
          <w:tcPr>
            <w:tcW w:w="10260" w:type="dxa"/>
            <w:vAlign w:val="bottom"/>
          </w:tcPr>
          <w:p>
            <w:pPr>
              <w:ind w:left="40"/>
              <w:spacing w:after="0"/>
              <w:rPr>
                <w:sz w:val="20"/>
                <w:szCs w:val="20"/>
                <w:color w:val="auto"/>
              </w:rPr>
            </w:pPr>
            <w:r>
              <w:rPr>
                <w:rFonts w:ascii="Arial" w:cs="Arial" w:eastAsia="Arial" w:hAnsi="Arial"/>
                <w:sz w:val="16"/>
                <w:szCs w:val="16"/>
                <w:color w:val="auto"/>
              </w:rPr>
              <w:t>Exercisable — March 31, 2017</w:t>
            </w: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2,958,891</w:t>
            </w:r>
          </w:p>
        </w:tc>
      </w:tr>
      <w:tr>
        <w:trPr>
          <w:trHeight w:val="20"/>
        </w:trPr>
        <w:tc>
          <w:tcPr>
            <w:tcW w:w="102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460" w:firstLine="405"/>
        <w:spacing w:after="0" w:line="277" w:lineRule="auto"/>
        <w:rPr>
          <w:sz w:val="20"/>
          <w:szCs w:val="20"/>
          <w:color w:val="auto"/>
        </w:rPr>
      </w:pPr>
      <w:r>
        <w:rPr>
          <w:rFonts w:ascii="Arial" w:cs="Arial" w:eastAsia="Arial" w:hAnsi="Arial"/>
          <w:sz w:val="18"/>
          <w:szCs w:val="18"/>
          <w:color w:val="auto"/>
        </w:rPr>
        <w:t>At March 31, 2017, total unrecognized compensation expense related to stock options was $3.3 million, which is expected to be recognized over a weighted-average period of 2.39 years.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Company’s restricted stock unit (“RSU”) activity: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0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Non-vested — December 31, 2015</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960,203</w:t>
            </w:r>
          </w:p>
        </w:tc>
      </w:tr>
      <w:tr>
        <w:trPr>
          <w:trHeight w:val="224"/>
        </w:trPr>
        <w:tc>
          <w:tcPr>
            <w:tcW w:w="10260" w:type="dxa"/>
            <w:vAlign w:val="bottom"/>
          </w:tcPr>
          <w:p>
            <w:pPr>
              <w:ind w:left="280"/>
              <w:spacing w:after="0"/>
              <w:rPr>
                <w:sz w:val="20"/>
                <w:szCs w:val="20"/>
                <w:color w:val="auto"/>
              </w:rPr>
            </w:pPr>
            <w:r>
              <w:rPr>
                <w:rFonts w:ascii="Arial" w:cs="Arial" w:eastAsia="Arial" w:hAnsi="Arial"/>
                <w:sz w:val="16"/>
                <w:szCs w:val="16"/>
                <w:color w:val="auto"/>
              </w:rPr>
              <w:t>Granted</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2,914,000</w:t>
            </w:r>
          </w:p>
        </w:tc>
      </w:tr>
      <w:tr>
        <w:trPr>
          <w:trHeight w:val="33"/>
        </w:trPr>
        <w:tc>
          <w:tcPr>
            <w:tcW w:w="102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10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Vested</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(461,866)</w:t>
            </w:r>
          </w:p>
        </w:tc>
      </w:tr>
      <w:tr>
        <w:trPr>
          <w:trHeight w:val="224"/>
        </w:trPr>
        <w:tc>
          <w:tcPr>
            <w:tcW w:w="10260" w:type="dxa"/>
            <w:vAlign w:val="bottom"/>
          </w:tcPr>
          <w:p>
            <w:pPr>
              <w:ind w:left="280"/>
              <w:spacing w:after="0"/>
              <w:rPr>
                <w:sz w:val="20"/>
                <w:szCs w:val="20"/>
                <w:color w:val="auto"/>
              </w:rPr>
            </w:pPr>
            <w:r>
              <w:rPr>
                <w:rFonts w:ascii="Arial" w:cs="Arial" w:eastAsia="Arial" w:hAnsi="Arial"/>
                <w:sz w:val="16"/>
                <w:szCs w:val="16"/>
                <w:color w:val="auto"/>
              </w:rPr>
              <w:t>Forfeited</w:t>
            </w:r>
          </w:p>
        </w:tc>
        <w:tc>
          <w:tcPr>
            <w:tcW w:w="1140" w:type="dxa"/>
            <w:vAlign w:val="bottom"/>
          </w:tcPr>
          <w:p>
            <w:pPr>
              <w:jc w:val="right"/>
              <w:spacing w:after="0"/>
              <w:rPr>
                <w:sz w:val="20"/>
                <w:szCs w:val="20"/>
                <w:color w:val="auto"/>
              </w:rPr>
            </w:pPr>
            <w:r>
              <w:rPr>
                <w:rFonts w:ascii="Arial" w:cs="Arial" w:eastAsia="Arial" w:hAnsi="Arial"/>
                <w:sz w:val="16"/>
                <w:szCs w:val="16"/>
                <w:color w:val="auto"/>
              </w:rPr>
              <w:t>(436,537)</w:t>
            </w:r>
          </w:p>
        </w:tc>
      </w:tr>
      <w:tr>
        <w:trPr>
          <w:trHeight w:val="33"/>
        </w:trPr>
        <w:tc>
          <w:tcPr>
            <w:tcW w:w="102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0"/>
        </w:trPr>
        <w:tc>
          <w:tcPr>
            <w:tcW w:w="10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Non-vested — December 31, 2016</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2,975,800</w:t>
            </w:r>
          </w:p>
        </w:tc>
      </w:tr>
      <w:tr>
        <w:trPr>
          <w:trHeight w:val="224"/>
        </w:trPr>
        <w:tc>
          <w:tcPr>
            <w:tcW w:w="10260" w:type="dxa"/>
            <w:vAlign w:val="bottom"/>
          </w:tcPr>
          <w:p>
            <w:pPr>
              <w:ind w:left="280"/>
              <w:spacing w:after="0"/>
              <w:rPr>
                <w:sz w:val="20"/>
                <w:szCs w:val="20"/>
                <w:color w:val="auto"/>
              </w:rPr>
            </w:pPr>
            <w:r>
              <w:rPr>
                <w:rFonts w:ascii="Arial" w:cs="Arial" w:eastAsia="Arial" w:hAnsi="Arial"/>
                <w:sz w:val="16"/>
                <w:szCs w:val="16"/>
                <w:color w:val="auto"/>
              </w:rPr>
              <w:t>Granted</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22,500</w:t>
            </w:r>
          </w:p>
        </w:tc>
      </w:tr>
      <w:tr>
        <w:trPr>
          <w:trHeight w:val="33"/>
        </w:trPr>
        <w:tc>
          <w:tcPr>
            <w:tcW w:w="102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10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Vested</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(886,803)</w:t>
            </w:r>
          </w:p>
        </w:tc>
      </w:tr>
      <w:tr>
        <w:trPr>
          <w:trHeight w:val="224"/>
        </w:trPr>
        <w:tc>
          <w:tcPr>
            <w:tcW w:w="10260" w:type="dxa"/>
            <w:vAlign w:val="bottom"/>
          </w:tcPr>
          <w:p>
            <w:pPr>
              <w:ind w:left="280"/>
              <w:spacing w:after="0"/>
              <w:rPr>
                <w:sz w:val="20"/>
                <w:szCs w:val="20"/>
                <w:color w:val="auto"/>
              </w:rPr>
            </w:pPr>
            <w:r>
              <w:rPr>
                <w:rFonts w:ascii="Arial" w:cs="Arial" w:eastAsia="Arial" w:hAnsi="Arial"/>
                <w:sz w:val="16"/>
                <w:szCs w:val="16"/>
                <w:color w:val="auto"/>
              </w:rPr>
              <w:t>Forfeited</w:t>
            </w:r>
          </w:p>
        </w:tc>
        <w:tc>
          <w:tcPr>
            <w:tcW w:w="1140" w:type="dxa"/>
            <w:vAlign w:val="bottom"/>
          </w:tcPr>
          <w:p>
            <w:pPr>
              <w:jc w:val="right"/>
              <w:spacing w:after="0"/>
              <w:rPr>
                <w:sz w:val="20"/>
                <w:szCs w:val="20"/>
                <w:color w:val="auto"/>
              </w:rPr>
            </w:pPr>
            <w:r>
              <w:rPr>
                <w:rFonts w:ascii="Arial" w:cs="Arial" w:eastAsia="Arial" w:hAnsi="Arial"/>
                <w:sz w:val="16"/>
                <w:szCs w:val="16"/>
                <w:color w:val="auto"/>
              </w:rPr>
              <w:t>(36,805)</w:t>
            </w:r>
          </w:p>
        </w:tc>
      </w:tr>
      <w:tr>
        <w:trPr>
          <w:trHeight w:val="33"/>
        </w:trPr>
        <w:tc>
          <w:tcPr>
            <w:tcW w:w="102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10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Non-vested — March 31, 2017</w:t>
            </w: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2,074,692</w:t>
            </w:r>
          </w:p>
        </w:tc>
      </w:tr>
      <w:tr>
        <w:trPr>
          <w:trHeight w:val="20"/>
        </w:trPr>
        <w:tc>
          <w:tcPr>
            <w:tcW w:w="102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At March 31, 2017, total unrecognized compensation expense related to RSUs was $2.7 million, which is expected to be recognized over a weighted-average period of 2.63 years.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225" w:lineRule="exact"/>
        <w:rPr>
          <w:sz w:val="20"/>
          <w:szCs w:val="20"/>
          <w:color w:val="auto"/>
        </w:rPr>
      </w:pPr>
    </w:p>
    <w:p>
      <w:pPr>
        <w:ind w:right="740" w:firstLine="405"/>
        <w:spacing w:after="0" w:line="277" w:lineRule="auto"/>
        <w:rPr>
          <w:sz w:val="20"/>
          <w:szCs w:val="20"/>
          <w:color w:val="auto"/>
        </w:rPr>
      </w:pPr>
      <w:r>
        <w:rPr>
          <w:rFonts w:ascii="Arial" w:cs="Arial" w:eastAsia="Arial" w:hAnsi="Arial"/>
          <w:sz w:val="18"/>
          <w:szCs w:val="18"/>
          <w:color w:val="auto"/>
        </w:rPr>
        <w:t>During the three months ended March 31, 2017 and 2016, the Company recognized $0.1 million and $0.1 million, respectively, of stock-based compensation expense related to the employee stock purchase plan.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Earnings Per Share</w:t>
      </w:r>
    </w:p>
    <w:p>
      <w:pPr>
        <w:spacing w:after="0" w:line="121"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Basic earnings per share (“EPS”) excludes dilution and is computed by dividing net income (loss) attributable to Inseego Corp. by the weighted-average number of common shares outstanding for the period. Diluted EPS reflects the potential dilution that could occur if securities or other contracts to issue common stock were exercised or converted into common stock using the treasury stock method. Potentially dilutive securities (consisting of warrants, stock options and RSUs calculated using the treasury stock method) are excluded from the diluted EPS computation in loss periods and when the applicable exercise price is greater than the market price on the period end date as their effect would be anti-dilutive.</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553" w:right="25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4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calculation of basic and diluted EPS was as follows (in thousands, except share and per share data):</w:t>
      </w:r>
    </w:p>
    <w:p>
      <w:pPr>
        <w:spacing w:after="0" w:line="163" w:lineRule="exact"/>
        <w:rPr>
          <w:sz w:val="20"/>
          <w:szCs w:val="20"/>
          <w:color w:val="auto"/>
        </w:rPr>
      </w:pPr>
    </w:p>
    <w:p>
      <w:pPr>
        <w:jc w:val="center"/>
        <w:ind w:left="88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8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13335</wp:posOffset>
            </wp:positionV>
            <wp:extent cx="165544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87"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7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2016</w:t>
            </w:r>
          </w:p>
        </w:tc>
      </w:tr>
      <w:tr>
        <w:trPr>
          <w:trHeight w:val="236"/>
        </w:trPr>
        <w:tc>
          <w:tcPr>
            <w:tcW w:w="8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 attributable to Inseego Corp.</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(16,100)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(11,904)</w:t>
            </w:r>
          </w:p>
        </w:tc>
      </w:tr>
      <w:tr>
        <w:trPr>
          <w:trHeight w:val="224"/>
        </w:trPr>
        <w:tc>
          <w:tcPr>
            <w:tcW w:w="8780" w:type="dxa"/>
            <w:vAlign w:val="bottom"/>
          </w:tcPr>
          <w:p>
            <w:pPr>
              <w:ind w:left="20"/>
              <w:spacing w:after="0"/>
              <w:rPr>
                <w:sz w:val="20"/>
                <w:szCs w:val="20"/>
                <w:color w:val="auto"/>
              </w:rPr>
            </w:pPr>
            <w:r>
              <w:rPr>
                <w:rFonts w:ascii="Arial" w:cs="Arial" w:eastAsia="Arial" w:hAnsi="Arial"/>
                <w:sz w:val="16"/>
                <w:szCs w:val="16"/>
                <w:color w:val="auto"/>
              </w:rPr>
              <w:t>Weighted-average common shares outstanding</w:t>
            </w:r>
          </w:p>
        </w:tc>
        <w:tc>
          <w:tcPr>
            <w:tcW w:w="260" w:type="dxa"/>
            <w:vAlign w:val="bottom"/>
          </w:tcPr>
          <w:p>
            <w:pPr>
              <w:spacing w:after="0"/>
              <w:rPr>
                <w:sz w:val="19"/>
                <w:szCs w:val="19"/>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57,480,210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53,250,668</w:t>
            </w:r>
          </w:p>
        </w:tc>
      </w:tr>
      <w:tr>
        <w:trPr>
          <w:trHeight w:val="47"/>
        </w:trPr>
        <w:tc>
          <w:tcPr>
            <w:tcW w:w="8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80" w:type="dxa"/>
            <w:vAlign w:val="bottom"/>
          </w:tcPr>
          <w:p>
            <w:pPr>
              <w:spacing w:after="0"/>
              <w:rPr>
                <w:sz w:val="4"/>
                <w:szCs w:val="4"/>
                <w:color w:val="auto"/>
              </w:rPr>
            </w:pPr>
          </w:p>
        </w:tc>
      </w:tr>
      <w:tr>
        <w:trPr>
          <w:trHeight w:val="262"/>
        </w:trPr>
        <w:tc>
          <w:tcPr>
            <w:tcW w:w="8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Basic and diluted net loss per share</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(0.22)</w:t>
            </w:r>
          </w:p>
        </w:tc>
      </w:tr>
      <w:tr>
        <w:trPr>
          <w:trHeight w:val="20"/>
        </w:trPr>
        <w:tc>
          <w:tcPr>
            <w:tcW w:w="87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right="60" w:firstLine="405"/>
        <w:spacing w:after="0" w:line="264" w:lineRule="auto"/>
        <w:rPr>
          <w:sz w:val="20"/>
          <w:szCs w:val="20"/>
          <w:color w:val="auto"/>
        </w:rPr>
      </w:pPr>
      <w:r>
        <w:rPr>
          <w:rFonts w:ascii="Arial" w:cs="Arial" w:eastAsia="Arial" w:hAnsi="Arial"/>
          <w:sz w:val="18"/>
          <w:szCs w:val="18"/>
          <w:color w:val="auto"/>
        </w:rPr>
        <w:t>For the three months ended March 31, 2017, the computation of diluted EPS excluded 9,934,698 shares related to warrants, stock options and RSUs as their effect would have been anti-dilutive. For the three months ended March 31, 2016, the computation of diluted EPS excluded 12,181,133 shares related to warrants, stock options and RSUs as their effect would have been anti-dilutive.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Geographic Information and Concentrations of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Geographic Information</w:t>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details the geographic concentration of the Company’s net revenues based on shipping destination:</w:t>
      </w:r>
    </w:p>
    <w:p>
      <w:pPr>
        <w:spacing w:after="0" w:line="163" w:lineRule="exact"/>
        <w:rPr>
          <w:sz w:val="20"/>
          <w:szCs w:val="20"/>
          <w:color w:val="auto"/>
        </w:rPr>
      </w:pPr>
    </w:p>
    <w:p>
      <w:pPr>
        <w:jc w:val="center"/>
        <w:ind w:left="870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7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5519420</wp:posOffset>
            </wp:positionH>
            <wp:positionV relativeFrom="paragraph">
              <wp:posOffset>13335</wp:posOffset>
            </wp:positionV>
            <wp:extent cx="171513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1513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0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2016</w:t>
            </w:r>
          </w:p>
        </w:tc>
      </w:tr>
      <w:tr>
        <w:trPr>
          <w:trHeight w:val="236"/>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United States and Canada</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71.1%</w:t>
            </w: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76.8%</w:t>
            </w:r>
          </w:p>
        </w:tc>
      </w:tr>
      <w:tr>
        <w:trPr>
          <w:trHeight w:val="237"/>
        </w:trPr>
        <w:tc>
          <w:tcPr>
            <w:tcW w:w="8700" w:type="dxa"/>
            <w:vAlign w:val="bottom"/>
          </w:tcPr>
          <w:p>
            <w:pPr>
              <w:ind w:left="40"/>
              <w:spacing w:after="0"/>
              <w:rPr>
                <w:sz w:val="20"/>
                <w:szCs w:val="20"/>
                <w:color w:val="auto"/>
              </w:rPr>
            </w:pPr>
            <w:r>
              <w:rPr>
                <w:rFonts w:ascii="Arial" w:cs="Arial" w:eastAsia="Arial" w:hAnsi="Arial"/>
                <w:sz w:val="16"/>
                <w:szCs w:val="16"/>
                <w:color w:val="auto"/>
              </w:rPr>
              <w:t>South Africa</w:t>
            </w:r>
          </w:p>
        </w:tc>
        <w:tc>
          <w:tcPr>
            <w:tcW w:w="1280" w:type="dxa"/>
            <w:vAlign w:val="bottom"/>
          </w:tcPr>
          <w:p>
            <w:pPr>
              <w:jc w:val="right"/>
              <w:ind w:right="81"/>
              <w:spacing w:after="0"/>
              <w:rPr>
                <w:sz w:val="20"/>
                <w:szCs w:val="20"/>
                <w:color w:val="auto"/>
              </w:rPr>
            </w:pPr>
            <w:r>
              <w:rPr>
                <w:rFonts w:ascii="Arial" w:cs="Arial" w:eastAsia="Arial" w:hAnsi="Arial"/>
                <w:sz w:val="16"/>
                <w:szCs w:val="16"/>
                <w:color w:val="auto"/>
              </w:rPr>
              <w:t>17.7</w:t>
            </w:r>
          </w:p>
        </w:tc>
        <w:tc>
          <w:tcPr>
            <w:tcW w:w="120" w:type="dxa"/>
            <w:vAlign w:val="bottom"/>
          </w:tcPr>
          <w:p>
            <w:pPr>
              <w:spacing w:after="0"/>
              <w:rPr>
                <w:sz w:val="20"/>
                <w:szCs w:val="20"/>
                <w:color w:val="auto"/>
              </w:rPr>
            </w:pPr>
          </w:p>
        </w:tc>
        <w:tc>
          <w:tcPr>
            <w:tcW w:w="1300" w:type="dxa"/>
            <w:vAlign w:val="bottom"/>
          </w:tcPr>
          <w:p>
            <w:pPr>
              <w:jc w:val="right"/>
              <w:ind w:right="81"/>
              <w:spacing w:after="0"/>
              <w:rPr>
                <w:sz w:val="20"/>
                <w:szCs w:val="20"/>
                <w:color w:val="auto"/>
              </w:rPr>
            </w:pPr>
            <w:r>
              <w:rPr>
                <w:rFonts w:ascii="Arial" w:cs="Arial" w:eastAsia="Arial" w:hAnsi="Arial"/>
                <w:sz w:val="16"/>
                <w:szCs w:val="16"/>
                <w:color w:val="auto"/>
              </w:rPr>
              <w:t>13.6</w:t>
            </w:r>
          </w:p>
        </w:tc>
      </w:tr>
      <w:tr>
        <w:trPr>
          <w:trHeight w:val="33"/>
        </w:trPr>
        <w:tc>
          <w:tcPr>
            <w:tcW w:w="87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128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11.2</w:t>
            </w:r>
          </w:p>
        </w:tc>
        <w:tc>
          <w:tcPr>
            <w:tcW w:w="1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9.6</w:t>
            </w:r>
          </w:p>
        </w:tc>
      </w:tr>
      <w:tr>
        <w:trPr>
          <w:trHeight w:val="217"/>
        </w:trPr>
        <w:tc>
          <w:tcPr>
            <w:tcW w:w="8700" w:type="dxa"/>
            <w:vAlign w:val="bottom"/>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w:t>
            </w:r>
          </w:p>
        </w:tc>
      </w:tr>
      <w:tr>
        <w:trPr>
          <w:trHeight w:val="33"/>
        </w:trPr>
        <w:tc>
          <w:tcPr>
            <w:tcW w:w="87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87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Concentrations of Risk</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the three months ended March 31, 2017 and 2016, one customer accounted for 53.9% and 52.7% of net revenues, respectively.</w:t>
      </w:r>
    </w:p>
    <w:p>
      <w:pPr>
        <w:spacing w:after="0" w:line="329" w:lineRule="exact"/>
        <w:rPr>
          <w:sz w:val="20"/>
          <w:szCs w:val="20"/>
          <w:color w:val="auto"/>
        </w:rPr>
      </w:pPr>
    </w:p>
    <w:p>
      <w:pPr>
        <w:ind w:right="8580" w:firstLine="8"/>
        <w:spacing w:after="0" w:line="376" w:lineRule="auto"/>
        <w:tabs>
          <w:tab w:leader="none" w:pos="27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i w:val="1"/>
          <w:iCs w:val="1"/>
          <w:color w:val="auto"/>
        </w:rPr>
        <w:t>Legal</w:t>
      </w:r>
    </w:p>
    <w:p>
      <w:pPr>
        <w:spacing w:after="0" w:line="31"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The Company is, from time to time, party to various legal proceedings arising in the ordinary course of business. For example, the Company is currently named as a defendant or co-defendant in some patent infringement lawsuits in the U.S. and is indirectly participating in other U.S. patent infringement actions pursuant to its contractual indemnification obligations to certain customers. Based on an evaluation of these matters and discussions with the Company’s intellectual property litigation counsel, the Company currently believes that liabilities arising from or sums paid in settlement of these existing matters, if any, would not have a material adverse effect on its consolidated results of operations or financial condition.</w:t>
      </w:r>
    </w:p>
    <w:p>
      <w:pPr>
        <w:spacing w:after="0" w:line="281" w:lineRule="exact"/>
        <w:rPr>
          <w:sz w:val="20"/>
          <w:szCs w:val="20"/>
          <w:color w:val="auto"/>
        </w:rPr>
      </w:pPr>
    </w:p>
    <w:p>
      <w:pPr>
        <w:ind w:right="120" w:firstLine="405"/>
        <w:spacing w:after="0" w:line="255" w:lineRule="auto"/>
        <w:rPr>
          <w:sz w:val="20"/>
          <w:szCs w:val="20"/>
          <w:color w:val="auto"/>
        </w:rPr>
      </w:pPr>
      <w:r>
        <w:rPr>
          <w:rFonts w:ascii="Arial" w:cs="Arial" w:eastAsia="Arial" w:hAnsi="Arial"/>
          <w:sz w:val="18"/>
          <w:szCs w:val="18"/>
          <w:color w:val="auto"/>
        </w:rPr>
        <w:t>On May 27, 2015, a patent infringement action was brought against Novatel Wireless by Carucel Investments, L.P. (“Carucel”), a non-practicing entity (</w:t>
      </w:r>
      <w:r>
        <w:rPr>
          <w:rFonts w:ascii="Arial" w:cs="Arial" w:eastAsia="Arial" w:hAnsi="Arial"/>
          <w:sz w:val="18"/>
          <w:szCs w:val="18"/>
          <w:i w:val="1"/>
          <w:iCs w:val="1"/>
          <w:color w:val="auto"/>
        </w:rPr>
        <w:t>Carucel Investments, L.P. v. Novatel Wireless, Inc., et al., U.S.D.C. S.D. Florida, Civil Action No. 0:15-cv-61116-BB</w:t>
      </w:r>
      <w:r>
        <w:rPr>
          <w:rFonts w:ascii="Arial" w:cs="Arial" w:eastAsia="Arial" w:hAnsi="Arial"/>
          <w:sz w:val="18"/>
          <w:szCs w:val="18"/>
          <w:color w:val="auto"/>
        </w:rPr>
        <w:t>). The complaint alleged that certain MiFi mobile hotspots manufactured by Novatel Wireless infringed claims of patents owned by Carucel. On April 10, 2017, subsequent to the balance sheet date, judgment was entered in favor of Novatel Wireless. Carucel has indicated that it intends to appeal this verdict. The Company does not believe there is merit to an appeal by Carucel and intends to vigorously defend any appeal. However, there can be no assurance as to the ultimate outcome of any appeal or other future judgment in this case, and an adverse judgment could have a material adverse effect on the Company’s its consolidated results of operations or financial condition.</w:t>
      </w:r>
    </w:p>
    <w:p>
      <w:pPr>
        <w:spacing w:after="0" w:line="135"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On May 11, 2017, subsequent to the balance sheet date, the Company initiated a lawsuit against the former stockholders of RER in the Court of Chancery of the State of Delaware seeking recovery of damages for civil conspiracy, fraud in the inducement, unjust enrichment and breach of fiduciary duty. The Company has suspended payments due to the former stockholders of RER pursuant to the Earn-out Arrangement and the Deferred Purchase Price pending the outcome of this litigation.</w:t>
      </w:r>
    </w:p>
    <w:p>
      <w:pPr>
        <w:sectPr>
          <w:pgSz w:w="11900" w:h="16838" w:orient="portrait"/>
          <w:cols w:equalWidth="0" w:num="1">
            <w:col w:w="11400"/>
          </w:cols>
          <w:pgMar w:left="240" w:top="553" w:right="259" w:bottom="1440" w:gutter="0" w:footer="0" w:header="0"/>
        </w:sect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00"/>
          </w:cols>
          <w:pgMar w:left="240" w:top="553" w:right="259" w:bottom="1440" w:gutter="0" w:footer="0" w:header="0"/>
          <w:type w:val="continuous"/>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w:t>
      </w:r>
    </w:p>
    <w:p>
      <w:pPr>
        <w:spacing w:after="0" w:line="117" w:lineRule="exact"/>
        <w:rPr>
          <w:sz w:val="20"/>
          <w:szCs w:val="20"/>
          <w:color w:val="auto"/>
        </w:rPr>
      </w:pPr>
    </w:p>
    <w:p>
      <w:pPr>
        <w:jc w:val="both"/>
        <w:ind w:right="60" w:firstLine="405"/>
        <w:spacing w:after="0" w:line="279" w:lineRule="auto"/>
        <w:rPr>
          <w:sz w:val="20"/>
          <w:szCs w:val="20"/>
          <w:color w:val="auto"/>
        </w:rPr>
      </w:pPr>
      <w:r>
        <w:rPr>
          <w:rFonts w:ascii="Arial" w:cs="Arial" w:eastAsia="Arial" w:hAnsi="Arial"/>
          <w:sz w:val="17"/>
          <w:szCs w:val="17"/>
          <w:color w:val="auto"/>
        </w:rPr>
        <w:t>In the normal course of business, the Company periodically enters into agreements that require the Company to indemnify and defend its customers for, among other things, claims alleging that the Company’s products infringe third-party patents or other intellectual property rights. The Company’s maximum exposure under these indemnification provisions cannot be estimated but the Company does not believe that there are any matters individually or collectively that would have a material adverse effect on its consolidated results of operations or financial condition.</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121" w:lineRule="exact"/>
        <w:rPr>
          <w:sz w:val="20"/>
          <w:szCs w:val="20"/>
          <w:color w:val="auto"/>
        </w:rPr>
      </w:pPr>
    </w:p>
    <w:p>
      <w:pPr>
        <w:ind w:right="60" w:firstLine="405"/>
        <w:spacing w:after="0" w:line="297" w:lineRule="auto"/>
        <w:rPr>
          <w:sz w:val="20"/>
          <w:szCs w:val="20"/>
          <w:color w:val="auto"/>
        </w:rPr>
      </w:pPr>
      <w:r>
        <w:rPr>
          <w:rFonts w:ascii="Arial" w:cs="Arial" w:eastAsia="Arial" w:hAnsi="Arial"/>
          <w:sz w:val="16"/>
          <w:szCs w:val="16"/>
          <w:color w:val="auto"/>
        </w:rPr>
        <w:t>The Company’s effective income tax rate was 1.9% and 2.9% for the three months ended March 31, 2017 and 2016, respectively. The Company’s effective income tax rates are significantly lower than the statutory tax rate primarily due to an increase in the Company’s valuation allowance related to its U.S.-based deferred tax amounts, resulting from carryforward net operating losses generated during the three months ended March 31, 2017 and 2016. Pursuant to Internal Revenue Code Sections 382 and 383, annual use of the Company’s net operating loss and research and development credit carryforwards may be limited in the event a cumulative change in ownership of more than 50% occurs within a three-year period.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Restructuring</w:t>
      </w:r>
    </w:p>
    <w:p>
      <w:pPr>
        <w:spacing w:after="0" w:line="121"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In August 2015, the Company approved a restructuring initiative to better position the Company to operate in current market conditions and more closely align operating expenses with revenues, which included employee severance costs and facility exit related costs. In the fourth quarter of 2015, the Company commenced certain initiatives relating to the reorganization of executive level management, which included, among other actions, the replacement of the former Chief Executive Officer (collectively, the “2015 Initiatives”). The Company continued these initiatives in 2016 with a reduction-in-force and the completion of the closure of its facility in Richardson, TX. The 2015 Initiatives are expected to cost a total of approximately $5.0 million and be completed when the Richardson, TX lease expires in June 2020.</w:t>
      </w:r>
    </w:p>
    <w:p>
      <w:pPr>
        <w:spacing w:after="0" w:line="301" w:lineRule="exact"/>
        <w:rPr>
          <w:sz w:val="20"/>
          <w:szCs w:val="20"/>
          <w:color w:val="auto"/>
        </w:rPr>
      </w:pPr>
    </w:p>
    <w:p>
      <w:pPr>
        <w:ind w:right="280" w:firstLine="405"/>
        <w:spacing w:after="0" w:line="264" w:lineRule="auto"/>
        <w:rPr>
          <w:sz w:val="20"/>
          <w:szCs w:val="20"/>
          <w:color w:val="auto"/>
        </w:rPr>
      </w:pPr>
      <w:r>
        <w:rPr>
          <w:rFonts w:ascii="Arial" w:cs="Arial" w:eastAsia="Arial" w:hAnsi="Arial"/>
          <w:sz w:val="18"/>
          <w:szCs w:val="18"/>
          <w:color w:val="auto"/>
        </w:rPr>
        <w:t>In February 2017, the Company commenced certain restructuring initiatives intended to continue to improve its strategic focus on its most profitable business lines and consolidate operations of its subsidiaries with those of the Company, including a reduction-in-force (the “2017 Initiative”). The 2017 Initiative is expected to cost a total of approximately $0.8 million and be completed in September 2017.</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activity in the restructuring liability for the three months ended March 31, 2017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Balance at</w:t>
            </w:r>
          </w:p>
        </w:tc>
        <w:tc>
          <w:tcPr>
            <w:tcW w:w="160" w:type="dxa"/>
            <w:vAlign w:val="bottom"/>
          </w:tcPr>
          <w:p>
            <w:pPr>
              <w:spacing w:after="0"/>
              <w:rPr>
                <w:sz w:val="14"/>
                <w:szCs w:val="14"/>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Costs Incurred</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Borders>
              <w:right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Balance at March</w:t>
            </w:r>
          </w:p>
        </w:tc>
        <w:tc>
          <w:tcPr>
            <w:tcW w:w="100" w:type="dxa"/>
            <w:vAlign w:val="bottom"/>
          </w:tcPr>
          <w:p>
            <w:pPr>
              <w:spacing w:after="0"/>
              <w:rPr>
                <w:sz w:val="14"/>
                <w:szCs w:val="14"/>
                <w:color w:val="auto"/>
              </w:rPr>
            </w:pPr>
          </w:p>
        </w:tc>
        <w:tc>
          <w:tcPr>
            <w:tcW w:w="1240" w:type="dxa"/>
            <w:vAlign w:val="bottom"/>
            <w:gridSpan w:val="2"/>
          </w:tcPr>
          <w:p>
            <w:pPr>
              <w:jc w:val="right"/>
              <w:ind w:right="22"/>
              <w:spacing w:after="0"/>
              <w:rPr>
                <w:sz w:val="20"/>
                <w:szCs w:val="20"/>
                <w:color w:val="auto"/>
              </w:rPr>
            </w:pPr>
            <w:r>
              <w:rPr>
                <w:rFonts w:ascii="Arial" w:cs="Arial" w:eastAsia="Arial" w:hAnsi="Arial"/>
                <w:sz w:val="14"/>
                <w:szCs w:val="14"/>
                <w:b w:val="1"/>
                <w:bCs w:val="1"/>
                <w:color w:val="auto"/>
                <w:w w:val="94"/>
              </w:rPr>
              <w:t>Cumulative Costs</w:t>
            </w:r>
          </w:p>
        </w:tc>
      </w:tr>
      <w:tr>
        <w:trPr>
          <w:trHeight w:val="182"/>
        </w:trPr>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13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7"/>
              </w:rPr>
              <w:t>December 31, 2016</w:t>
            </w:r>
          </w:p>
        </w:tc>
        <w:tc>
          <w:tcPr>
            <w:tcW w:w="160" w:type="dxa"/>
            <w:vAlign w:val="bottom"/>
          </w:tcPr>
          <w:p>
            <w:pPr>
              <w:spacing w:after="0"/>
              <w:rPr>
                <w:sz w:val="15"/>
                <w:szCs w:val="15"/>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3"/>
              </w:rPr>
              <w:t>(Recovered)</w:t>
            </w:r>
          </w:p>
        </w:tc>
        <w:tc>
          <w:tcPr>
            <w:tcW w:w="220" w:type="dxa"/>
            <w:vAlign w:val="bottom"/>
          </w:tcPr>
          <w:p>
            <w:pPr>
              <w:spacing w:after="0"/>
              <w:rPr>
                <w:sz w:val="15"/>
                <w:szCs w:val="15"/>
                <w:color w:val="auto"/>
              </w:rPr>
            </w:pPr>
          </w:p>
        </w:tc>
        <w:tc>
          <w:tcPr>
            <w:tcW w:w="1120" w:type="dxa"/>
            <w:vAlign w:val="bottom"/>
            <w:gridSpan w:val="2"/>
          </w:tcPr>
          <w:p>
            <w:pPr>
              <w:ind w:left="120"/>
              <w:spacing w:after="0"/>
              <w:rPr>
                <w:sz w:val="20"/>
                <w:szCs w:val="20"/>
                <w:color w:val="auto"/>
              </w:rPr>
            </w:pPr>
            <w:r>
              <w:rPr>
                <w:rFonts w:ascii="Arial" w:cs="Arial" w:eastAsia="Arial" w:hAnsi="Arial"/>
                <w:sz w:val="14"/>
                <w:szCs w:val="14"/>
                <w:b w:val="1"/>
                <w:bCs w:val="1"/>
                <w:color w:val="auto"/>
              </w:rPr>
              <w:t>Payments</w:t>
            </w:r>
          </w:p>
        </w:tc>
        <w:tc>
          <w:tcPr>
            <w:tcW w:w="240" w:type="dxa"/>
            <w:vAlign w:val="bottom"/>
          </w:tcPr>
          <w:p>
            <w:pPr>
              <w:spacing w:after="0"/>
              <w:rPr>
                <w:sz w:val="15"/>
                <w:szCs w:val="15"/>
                <w:color w:val="auto"/>
              </w:rPr>
            </w:pPr>
          </w:p>
        </w:tc>
        <w:tc>
          <w:tcPr>
            <w:tcW w:w="1000" w:type="dxa"/>
            <w:vAlign w:val="bottom"/>
          </w:tcPr>
          <w:p>
            <w:pPr>
              <w:jc w:val="right"/>
              <w:ind w:right="302"/>
              <w:spacing w:after="0"/>
              <w:rPr>
                <w:sz w:val="20"/>
                <w:szCs w:val="20"/>
                <w:color w:val="auto"/>
              </w:rPr>
            </w:pPr>
            <w:r>
              <w:rPr>
                <w:rFonts w:ascii="Arial" w:cs="Arial" w:eastAsia="Arial" w:hAnsi="Arial"/>
                <w:sz w:val="14"/>
                <w:szCs w:val="14"/>
                <w:b w:val="1"/>
                <w:bCs w:val="1"/>
                <w:color w:val="auto"/>
              </w:rPr>
              <w:t>31, 2017</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62"/>
              <w:spacing w:after="0"/>
              <w:rPr>
                <w:sz w:val="20"/>
                <w:szCs w:val="20"/>
                <w:color w:val="auto"/>
              </w:rPr>
            </w:pPr>
            <w:r>
              <w:rPr>
                <w:rFonts w:ascii="Arial" w:cs="Arial" w:eastAsia="Arial" w:hAnsi="Arial"/>
                <w:sz w:val="14"/>
                <w:szCs w:val="14"/>
                <w:b w:val="1"/>
                <w:bCs w:val="1"/>
                <w:color w:val="auto"/>
                <w:w w:val="89"/>
              </w:rPr>
              <w:t>Incurred to Date</w:t>
            </w:r>
          </w:p>
        </w:tc>
      </w:tr>
      <w:tr>
        <w:trPr>
          <w:trHeight w:val="176"/>
        </w:trPr>
        <w:tc>
          <w:tcPr>
            <w:tcW w:w="4580" w:type="dxa"/>
            <w:vAlign w:val="bottom"/>
            <w:gridSpan w:val="4"/>
          </w:tcPr>
          <w:p>
            <w:pPr>
              <w:ind w:left="40"/>
              <w:spacing w:after="0" w:line="176" w:lineRule="exact"/>
              <w:rPr>
                <w:sz w:val="20"/>
                <w:szCs w:val="20"/>
                <w:color w:val="auto"/>
              </w:rPr>
            </w:pPr>
            <w:r>
              <w:rPr>
                <w:rFonts w:ascii="Arial" w:cs="Arial" w:eastAsia="Arial" w:hAnsi="Arial"/>
                <w:sz w:val="16"/>
                <w:szCs w:val="16"/>
                <w:b w:val="1"/>
                <w:bCs w:val="1"/>
                <w:color w:val="auto"/>
              </w:rPr>
              <w:t>2015 Initiatives</w:t>
            </w:r>
          </w:p>
        </w:tc>
        <w:tc>
          <w:tcPr>
            <w:tcW w:w="2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r>
      <w:tr>
        <w:trPr>
          <w:trHeight w:val="75"/>
        </w:trPr>
        <w:tc>
          <w:tcPr>
            <w:tcW w:w="40" w:type="dxa"/>
            <w:vAlign w:val="bottom"/>
          </w:tcPr>
          <w:p>
            <w:pPr>
              <w:spacing w:after="0"/>
              <w:rPr>
                <w:sz w:val="6"/>
                <w:szCs w:val="6"/>
                <w:color w:val="auto"/>
              </w:rPr>
            </w:pPr>
          </w:p>
        </w:tc>
        <w:tc>
          <w:tcPr>
            <w:tcW w:w="98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34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tcPr>
          <w:p>
            <w:pPr>
              <w:spacing w:after="0"/>
              <w:rPr>
                <w:sz w:val="6"/>
                <w:szCs w:val="6"/>
                <w:color w:val="auto"/>
              </w:rPr>
            </w:pPr>
          </w:p>
        </w:tc>
      </w:tr>
      <w:tr>
        <w:trPr>
          <w:trHeight w:val="250"/>
        </w:trPr>
        <w:tc>
          <w:tcPr>
            <w:tcW w:w="45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Employee Severance Costs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455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313</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4,130</w:t>
            </w:r>
          </w:p>
        </w:tc>
      </w:tr>
      <w:tr>
        <w:trPr>
          <w:trHeight w:val="237"/>
        </w:trPr>
        <w:tc>
          <w:tcPr>
            <w:tcW w:w="4580" w:type="dxa"/>
            <w:vAlign w:val="bottom"/>
            <w:gridSpan w:val="4"/>
          </w:tcPr>
          <w:p>
            <w:pPr>
              <w:ind w:left="40"/>
              <w:spacing w:after="0"/>
              <w:rPr>
                <w:sz w:val="20"/>
                <w:szCs w:val="20"/>
                <w:color w:val="auto"/>
              </w:rPr>
            </w:pPr>
            <w:r>
              <w:rPr>
                <w:rFonts w:ascii="Arial" w:cs="Arial" w:eastAsia="Arial" w:hAnsi="Arial"/>
                <w:sz w:val="16"/>
                <w:szCs w:val="16"/>
                <w:color w:val="auto"/>
              </w:rPr>
              <w:t>Facility Exit Related Costs</w:t>
            </w:r>
          </w:p>
        </w:tc>
        <w:tc>
          <w:tcPr>
            <w:tcW w:w="220" w:type="dxa"/>
            <w:vAlign w:val="bottom"/>
          </w:tcPr>
          <w:p>
            <w:pPr>
              <w:spacing w:after="0"/>
              <w:rPr>
                <w:sz w:val="20"/>
                <w:szCs w:val="20"/>
                <w:color w:val="auto"/>
              </w:rPr>
            </w:pPr>
          </w:p>
        </w:tc>
        <w:tc>
          <w:tcPr>
            <w:tcW w:w="1040" w:type="dxa"/>
            <w:vAlign w:val="bottom"/>
          </w:tcPr>
          <w:p>
            <w:pPr>
              <w:jc w:val="right"/>
              <w:ind w:right="42"/>
              <w:spacing w:after="0"/>
              <w:rPr>
                <w:sz w:val="20"/>
                <w:szCs w:val="20"/>
                <w:color w:val="auto"/>
              </w:rPr>
            </w:pPr>
            <w:r>
              <w:rPr>
                <w:rFonts w:ascii="Arial" w:cs="Arial" w:eastAsia="Arial" w:hAnsi="Arial"/>
                <w:sz w:val="16"/>
                <w:szCs w:val="16"/>
                <w:color w:val="auto"/>
              </w:rPr>
              <w:t>588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3"/>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000" w:type="dxa"/>
            <w:vAlign w:val="bottom"/>
          </w:tcPr>
          <w:p>
            <w:pPr>
              <w:jc w:val="right"/>
              <w:ind w:right="42"/>
              <w:spacing w:after="0"/>
              <w:rPr>
                <w:sz w:val="20"/>
                <w:szCs w:val="20"/>
                <w:color w:val="auto"/>
              </w:rPr>
            </w:pPr>
            <w:r>
              <w:rPr>
                <w:rFonts w:ascii="Arial" w:cs="Arial" w:eastAsia="Arial" w:hAnsi="Arial"/>
                <w:sz w:val="16"/>
                <w:szCs w:val="16"/>
                <w:color w:val="auto"/>
              </w:rPr>
              <w:t>553</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42"/>
              <w:spacing w:after="0"/>
              <w:rPr>
                <w:sz w:val="20"/>
                <w:szCs w:val="20"/>
                <w:color w:val="auto"/>
              </w:rPr>
            </w:pPr>
            <w:r>
              <w:rPr>
                <w:rFonts w:ascii="Arial" w:cs="Arial" w:eastAsia="Arial" w:hAnsi="Arial"/>
                <w:sz w:val="16"/>
                <w:szCs w:val="16"/>
                <w:color w:val="auto"/>
              </w:rPr>
              <w:t>831</w:t>
            </w:r>
          </w:p>
        </w:tc>
      </w:tr>
      <w:tr>
        <w:trPr>
          <w:trHeight w:val="33"/>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97"/>
        </w:trPr>
        <w:tc>
          <w:tcPr>
            <w:tcW w:w="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4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189"/>
        </w:trPr>
        <w:tc>
          <w:tcPr>
            <w:tcW w:w="4580" w:type="dxa"/>
            <w:vAlign w:val="bottom"/>
            <w:gridSpan w:val="4"/>
          </w:tcPr>
          <w:p>
            <w:pPr>
              <w:ind w:left="40"/>
              <w:spacing w:after="0"/>
              <w:rPr>
                <w:sz w:val="20"/>
                <w:szCs w:val="20"/>
                <w:color w:val="auto"/>
              </w:rPr>
            </w:pPr>
            <w:r>
              <w:rPr>
                <w:rFonts w:ascii="Arial" w:cs="Arial" w:eastAsia="Arial" w:hAnsi="Arial"/>
                <w:sz w:val="16"/>
                <w:szCs w:val="16"/>
                <w:b w:val="1"/>
                <w:bCs w:val="1"/>
                <w:color w:val="auto"/>
              </w:rPr>
              <w:t>2017 Initiative</w:t>
            </w: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61"/>
        </w:trPr>
        <w:tc>
          <w:tcPr>
            <w:tcW w:w="40" w:type="dxa"/>
            <w:vAlign w:val="bottom"/>
          </w:tcPr>
          <w:p>
            <w:pPr>
              <w:spacing w:after="0"/>
              <w:rPr>
                <w:sz w:val="5"/>
                <w:szCs w:val="5"/>
                <w:color w:val="auto"/>
              </w:rPr>
            </w:pPr>
          </w:p>
        </w:tc>
        <w:tc>
          <w:tcPr>
            <w:tcW w:w="98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3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tcPr>
          <w:p>
            <w:pPr>
              <w:spacing w:after="0"/>
              <w:rPr>
                <w:sz w:val="5"/>
                <w:szCs w:val="5"/>
                <w:color w:val="auto"/>
              </w:rPr>
            </w:pPr>
          </w:p>
        </w:tc>
      </w:tr>
      <w:tr>
        <w:trPr>
          <w:trHeight w:val="270"/>
        </w:trPr>
        <w:tc>
          <w:tcPr>
            <w:tcW w:w="45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Employee Severance Costs</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844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466</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844</w:t>
            </w:r>
          </w:p>
        </w:tc>
      </w:tr>
      <w:tr>
        <w:trPr>
          <w:trHeight w:val="217"/>
        </w:trPr>
        <w:tc>
          <w:tcPr>
            <w:tcW w:w="4580" w:type="dxa"/>
            <w:vAlign w:val="bottom"/>
            <w:gridSpan w:val="4"/>
          </w:tcPr>
          <w:p>
            <w:pPr>
              <w:ind w:left="40"/>
              <w:spacing w:after="0"/>
              <w:rPr>
                <w:sz w:val="20"/>
                <w:szCs w:val="20"/>
                <w:color w:val="auto"/>
              </w:rPr>
            </w:pPr>
            <w:r>
              <w:rPr>
                <w:rFonts w:ascii="Arial" w:cs="Arial" w:eastAsia="Arial" w:hAnsi="Arial"/>
                <w:sz w:val="16"/>
                <w:szCs w:val="16"/>
                <w:color w:val="auto"/>
              </w:rPr>
              <w:t>Total</w:t>
            </w:r>
          </w:p>
        </w:tc>
        <w:tc>
          <w:tcPr>
            <w:tcW w:w="220" w:type="dxa"/>
            <w:vAlign w:val="bottom"/>
            <w:tcBorders>
              <w:top w:val="single" w:sz="8" w:color="auto"/>
            </w:tcBorders>
          </w:tcPr>
          <w:p>
            <w:pPr>
              <w:jc w:val="right"/>
              <w:ind w:right="46"/>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1,043</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rPr>
              <w:t>809</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(520)</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46"/>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1,332</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5,805</w:t>
            </w:r>
          </w:p>
        </w:tc>
      </w:tr>
      <w:tr>
        <w:trPr>
          <w:trHeight w:val="33"/>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color w:val="auto"/>
        </w:rPr>
        <w:t>The balance of the restructuring liability at March 31, 2017 consists of approximately $1.2 million in current liabilities and $0.1 million in long-term liabilities.</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553" w:right="259" w:bottom="1440" w:gutter="0" w:footer="0" w:header="0"/>
        </w:sectPr>
      </w:pPr>
    </w:p>
    <w:bookmarkStart w:id="17" w:name="page18"/>
    <w:bookmarkEnd w:id="17"/>
    <w:p>
      <w:pPr>
        <w:ind w:right="20" w:firstLine="432"/>
        <w:spacing w:after="0" w:line="277" w:lineRule="auto"/>
        <w:rPr>
          <w:sz w:val="20"/>
          <w:szCs w:val="20"/>
          <w:color w:val="auto"/>
        </w:rPr>
      </w:pPr>
      <w:r>
        <w:rPr>
          <w:rFonts w:ascii="Arial" w:cs="Arial" w:eastAsia="Arial" w:hAnsi="Arial"/>
          <w:sz w:val="18"/>
          <w:szCs w:val="18"/>
          <w:color w:val="auto"/>
        </w:rPr>
        <w:t>As used in this report on Form 10-Q, unless the context otherwise requires, the terms “we,” “us,” “our,” the “Company” and “Inseego” refer to Inseego Corp., a Delaware corporation, and its wholly owned subsidiaries.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16"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This report contains forward-looking statements within the meaning of Section 27A of the Securities Act of 1933, as amended (the “Securities Act”) and Section 21E of the Securities Exchange Act of 1934, as amended (the “Exchange Act”). You should not place undue reliance on these statements. These forward-looking statements include statements that reflect the views of our senior management with respect to our current expectations, assumptions, estimates and projections about Inseego and our industry. These forward-looking statements speak only as of the date of this report. We disclaim any undertaking to publicly update or revise any forward-looking statements contained herein to reflect any change in our expectations with regard thereto or any change in events, conditions or circumstances on which any such statement is based. Statements that include the words “may,” “could,” “should,” “would,” “estimate,” “anticipate,” “believe,” “expect,” “preliminary,” “intend,” “plan,” “project,” “outlook,” “will” and similar words and phrases identify forward-looking statements. Forward-looking statements address matters that involve risks and uncertainties that could cause actual results to differ materially from those anticipated in these forward-looking statements as of the date of this report. We believe that these factors include those related to:</w:t>
      </w:r>
    </w:p>
    <w:p>
      <w:pPr>
        <w:spacing w:after="0" w:line="221" w:lineRule="exact"/>
        <w:rPr>
          <w:sz w:val="20"/>
          <w:szCs w:val="20"/>
          <w:color w:val="auto"/>
        </w:rPr>
      </w:pPr>
    </w:p>
    <w:p>
      <w:pPr>
        <w:ind w:left="620" w:right="220" w:hanging="315"/>
        <w:spacing w:after="0" w:line="277" w:lineRule="auto"/>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compete in the market for wireless broadband data access products, machine-to-machine (“M2M”) products, and telematics, vehicle tracking and fleet management products;</w:t>
      </w:r>
    </w:p>
    <w:p>
      <w:pPr>
        <w:spacing w:after="0" w:line="170" w:lineRule="exact"/>
        <w:rPr>
          <w:rFonts w:ascii="Arial" w:cs="Arial" w:eastAsia="Arial" w:hAnsi="Arial"/>
          <w:sz w:val="18"/>
          <w:szCs w:val="18"/>
          <w:color w:val="auto"/>
        </w:rPr>
      </w:pPr>
    </w:p>
    <w:p>
      <w:pPr>
        <w:ind w:left="620" w:hanging="315"/>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develop and timely introduce new products successfully;</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dependence on a small number of customers for a substantial portion of our revenues;</w:t>
      </w:r>
    </w:p>
    <w:p>
      <w:pPr>
        <w:spacing w:after="0" w:line="225" w:lineRule="exact"/>
        <w:rPr>
          <w:rFonts w:ascii="Arial" w:cs="Arial" w:eastAsia="Arial" w:hAnsi="Arial"/>
          <w:sz w:val="18"/>
          <w:szCs w:val="18"/>
          <w:color w:val="auto"/>
        </w:rPr>
      </w:pPr>
    </w:p>
    <w:p>
      <w:pPr>
        <w:ind w:left="620" w:right="180" w:hanging="315"/>
        <w:spacing w:after="0" w:line="279" w:lineRule="auto"/>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ability to integrate the operations of R.E.R. Enterprises, Inc. (“RER”) (and its wholly-owned subsidiary and principal operating asset, Feeney Wireless, LLC (which has been renamed Inseego North America, LLC) (“FW”)), DigiCore Holdings Limited (“DigiCore” or “Ctrack”), and any business, products, technologies or personnel that we may acquire in the future, including: (i) our ability to retain key personnel from the acquired company or business; and (ii) our ability to realize the anticipated benefits of the acquisition;</w:t>
      </w:r>
    </w:p>
    <w:p>
      <w:pPr>
        <w:spacing w:after="0" w:line="171" w:lineRule="exact"/>
        <w:rPr>
          <w:rFonts w:ascii="Arial" w:cs="Arial" w:eastAsia="Arial" w:hAnsi="Arial"/>
          <w:sz w:val="17"/>
          <w:szCs w:val="17"/>
          <w:color w:val="auto"/>
        </w:rPr>
      </w:pPr>
    </w:p>
    <w:p>
      <w:pPr>
        <w:ind w:left="620" w:right="20" w:hanging="315"/>
        <w:spacing w:after="0" w:line="277" w:lineRule="auto"/>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successfully complete the proposed sale of our mobile broadband business, which includes our MiFi branded hotspot and USB modem product lines (the “MiFi Business”);</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our ability to continue as a going concern, including risks related to the repayment of borrowings under the Credit Agreement (as defined below) on our prior to the May 8, 2018 maturity date of the Credit Agreement;</w:t>
      </w:r>
    </w:p>
    <w:p>
      <w:pPr>
        <w:spacing w:after="0" w:line="170" w:lineRule="exact"/>
        <w:rPr>
          <w:rFonts w:ascii="Arial" w:cs="Arial" w:eastAsia="Arial" w:hAnsi="Arial"/>
          <w:sz w:val="18"/>
          <w:szCs w:val="18"/>
          <w:color w:val="auto"/>
        </w:rPr>
      </w:pPr>
    </w:p>
    <w:p>
      <w:pPr>
        <w:ind w:left="620" w:hanging="315"/>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realize the benefits of recent divestiture and reorganization transactions;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introduce and sell new products that comply with current and evolving industry standards and government regulations;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develop and maintain strategic relationships to expand into new markets;</w:t>
      </w:r>
    </w:p>
    <w:p>
      <w:pPr>
        <w:spacing w:after="0" w:line="225" w:lineRule="exact"/>
        <w:rPr>
          <w:rFonts w:ascii="Arial" w:cs="Arial" w:eastAsia="Arial" w:hAnsi="Arial"/>
          <w:sz w:val="18"/>
          <w:szCs w:val="18"/>
          <w:color w:val="auto"/>
        </w:rPr>
      </w:pPr>
    </w:p>
    <w:p>
      <w:pPr>
        <w:ind w:left="620" w:right="420" w:hanging="315"/>
        <w:spacing w:after="0" w:line="277" w:lineRule="auto"/>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properly manage the growth of our business to avoid significant strains on our management and operations and disruptions to our business;</w:t>
      </w:r>
    </w:p>
    <w:p>
      <w:pPr>
        <w:spacing w:after="0" w:line="170" w:lineRule="exact"/>
        <w:rPr>
          <w:rFonts w:ascii="Arial" w:cs="Arial" w:eastAsia="Arial" w:hAnsi="Arial"/>
          <w:sz w:val="18"/>
          <w:szCs w:val="18"/>
          <w:color w:val="auto"/>
        </w:rPr>
      </w:pPr>
    </w:p>
    <w:p>
      <w:pPr>
        <w:ind w:left="620" w:hanging="315"/>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reliance on third parties to manufacture our products;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accurately forecast customer demand and order the manufacture and timely delivery of sufficient product quantities;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reliance on sole source suppliers for some products used in our solutions;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continuing impact of uncertain global economic conditions on the demand for our products;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be cost competitive while meeting time-to-market requirements for our customers;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meet the product performance needs of our customers in M2M markets;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demand for fleet and vehicle management software-as-a-service (“SaaS”) telematics solutions;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dependence on wireless telecommunication operators delivering acceptable wireless services;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outcome of any pending or future litigation, including intellectual property litigation;</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infringement claims with respect to intellectual property contained in our products;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continued ability to license necessary third-party technology for the development and sale of our products;</w:t>
      </w:r>
    </w:p>
    <w:p>
      <w:pPr>
        <w:sectPr>
          <w:pgSz w:w="11900" w:h="16838" w:orient="portrait"/>
          <w:cols w:equalWidth="0" w:num="1">
            <w:col w:w="11340"/>
          </w:cols>
          <w:pgMar w:left="240" w:top="800" w:right="319" w:bottom="1440" w:gutter="0" w:footer="0" w:header="0"/>
        </w:sectPr>
      </w:pPr>
    </w:p>
    <w:p>
      <w:pPr>
        <w:spacing w:after="0" w:line="360"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340"/>
          </w:cols>
          <w:pgMar w:left="240" w:top="800" w:right="319" w:bottom="1440" w:gutter="0" w:footer="0" w:header="0"/>
          <w:type w:val="continuous"/>
        </w:sectPr>
      </w:pPr>
    </w:p>
    <w:bookmarkStart w:id="18" w:name="page19"/>
    <w:bookmarkEnd w:id="18"/>
    <w:p>
      <w:pPr>
        <w:ind w:left="620" w:hanging="315"/>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introduction of new products that could contain errors or defects;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doing business abroad, including foreign currency risks;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make focused investments in research and development; and</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hire, retain and manage additional qualified personnel to maintain and expand our business.</w:t>
      </w:r>
    </w:p>
    <w:p>
      <w:pPr>
        <w:spacing w:after="0" w:line="279"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foregoing factors should not be construed as exhaustive and should be read together with the other cautionary statements included in this and other reports we file with or furnish to the Securities and Exchange Commission (“SEC”), including the information in “Item 1A. Risk Factors” included in Part I of our Annual Report on Form 10-K for the year ended December 31, 2016. If one or more events related to these or other risks or uncertainties materialize, or if our underlying assumptions prove to be incorrect, actual results may differ materially from what we anticipate.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94"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“Inseego”, the Inseego logo, “Enfora”, the Enfora logo, “Spider”, “Enabling Information Anywhere”, “Enabler” and “N4A” are trademarks or registered trademarks of Inseego. “Novatel Wireless”, the Novatel Wireless logo, “MiFi”, “MiFi Intelligent Mobile Hotspot”, “MiFi OS”, “MiFi Powered”, “MiFi Home”, “MobiLink”, “Ovation”, “Expedite” and “MiFi Freedom. My Way.” are trademarks or registered trademarks of Novatel Wireless, Inc. (“Novatel Wireless”). “DigiCore”, “Ctrack” and the Ctrack logo are trademarks or registered trademarks of DigiCore. “FW”, “Crossroads” and the Feeney Wireless logo are trademarks or registered trademarks of FW.</w:t>
      </w:r>
    </w:p>
    <w:p>
      <w:pPr>
        <w:spacing w:after="0" w:line="5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Other trademarks, trade names or service marks used in this report are the property of their respective owners.</w:t>
      </w:r>
    </w:p>
    <w:p>
      <w:pPr>
        <w:spacing w:after="0" w:line="200" w:lineRule="exact"/>
        <w:rPr>
          <w:sz w:val="20"/>
          <w:szCs w:val="20"/>
          <w:color w:val="auto"/>
        </w:rPr>
      </w:pPr>
    </w:p>
    <w:p>
      <w:pPr>
        <w:spacing w:after="0" w:line="26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00"/>
          </w:cols>
          <w:pgMar w:left="240" w:top="476" w:right="359" w:bottom="1440" w:gutter="0" w:footer="0" w:header="0"/>
        </w:sectPr>
      </w:pPr>
    </w:p>
    <w:bookmarkStart w:id="19" w:name="page20"/>
    <w:bookmarkEnd w:id="19"/>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121" w:lineRule="exact"/>
        <w:rPr>
          <w:sz w:val="20"/>
          <w:szCs w:val="20"/>
          <w:color w:val="auto"/>
        </w:rPr>
      </w:pPr>
    </w:p>
    <w:p>
      <w:pPr>
        <w:ind w:right="100" w:firstLine="392"/>
        <w:spacing w:after="0" w:line="259" w:lineRule="auto"/>
        <w:rPr>
          <w:sz w:val="20"/>
          <w:szCs w:val="20"/>
          <w:color w:val="auto"/>
        </w:rPr>
      </w:pPr>
      <w:r>
        <w:rPr>
          <w:rFonts w:ascii="Arial" w:cs="Arial" w:eastAsia="Arial" w:hAnsi="Arial"/>
          <w:sz w:val="18"/>
          <w:szCs w:val="18"/>
          <w:color w:val="auto"/>
        </w:rPr>
        <w:t>The following information should be read in conjunction with the condensed consolidated financial statements and the accompanying notes included in Part I, Item 1 of this report, as well as the audited consolidated financial statements and accompanying notes and Management’s Discussion and Analysis of Financial Condition and Results of Operations for the year ended December 31, 2016 contained in our Annual Report on Form 10-K for the year ended December 31, 2016.</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21" w:lineRule="exact"/>
        <w:rPr>
          <w:sz w:val="20"/>
          <w:szCs w:val="20"/>
          <w:color w:val="auto"/>
        </w:rPr>
      </w:pPr>
    </w:p>
    <w:p>
      <w:pPr>
        <w:ind w:right="140" w:firstLine="392"/>
        <w:spacing w:after="0" w:line="276" w:lineRule="auto"/>
        <w:rPr>
          <w:sz w:val="20"/>
          <w:szCs w:val="20"/>
          <w:color w:val="auto"/>
        </w:rPr>
      </w:pPr>
      <w:r>
        <w:rPr>
          <w:rFonts w:ascii="Arial" w:cs="Arial" w:eastAsia="Arial" w:hAnsi="Arial"/>
          <w:sz w:val="17"/>
          <w:szCs w:val="17"/>
          <w:color w:val="auto"/>
        </w:rPr>
        <w:t>We are a leading global provider of SaaS and solutions for the Internet of Things (“IoT”). We sell telematics solutions globally under the Ctrack brand, including our fleet management, asset tracking and monitoring, stolen vehicle recovery and usage-based insurance platforms. We also sell connectivity solutions and device management services. Our products and solutions provide anywhere, anytime communications and analytics for consumers and businesses of all sizes, with approximately 633,000 global subscribers, including 428,000 subscribers for our Ctrack branded fleet management and vehicle telematics solutions and 205,000 subscribers for our connectivity and device management services.</w:t>
      </w:r>
    </w:p>
    <w:p>
      <w:pPr>
        <w:spacing w:after="0" w:line="227" w:lineRule="exact"/>
        <w:rPr>
          <w:sz w:val="20"/>
          <w:szCs w:val="20"/>
          <w:color w:val="auto"/>
        </w:rPr>
      </w:pPr>
    </w:p>
    <w:p>
      <w:pPr>
        <w:ind w:right="180" w:firstLine="392"/>
        <w:spacing w:after="0" w:line="259" w:lineRule="auto"/>
        <w:rPr>
          <w:sz w:val="20"/>
          <w:szCs w:val="20"/>
          <w:color w:val="auto"/>
        </w:rPr>
      </w:pPr>
      <w:r>
        <w:rPr>
          <w:rFonts w:ascii="Arial" w:cs="Arial" w:eastAsia="Arial" w:hAnsi="Arial"/>
          <w:sz w:val="18"/>
          <w:szCs w:val="18"/>
          <w:color w:val="auto"/>
        </w:rPr>
        <w:t>We have invented and reinvented ways in which the world stays connected and accesses information. With multiple first-to-market innovations and a strong and growing portfolio of hardware and software innovations for IoT, our companies have been advancing technology and driving industry transformation for over 30 years. It is this proven expertise and commitment to quality and innovation that makes us a preferred global partner of operators, distributors, system integrators, businesses and consumers.</w:t>
      </w:r>
    </w:p>
    <w:p>
      <w:pPr>
        <w:spacing w:after="0" w:line="241" w:lineRule="exact"/>
        <w:rPr>
          <w:sz w:val="20"/>
          <w:szCs w:val="20"/>
          <w:color w:val="auto"/>
        </w:rPr>
      </w:pPr>
    </w:p>
    <w:p>
      <w:pPr>
        <w:ind w:firstLine="392"/>
        <w:spacing w:after="0" w:line="257" w:lineRule="auto"/>
        <w:rPr>
          <w:sz w:val="20"/>
          <w:szCs w:val="20"/>
          <w:color w:val="auto"/>
        </w:rPr>
      </w:pPr>
      <w:r>
        <w:rPr>
          <w:rFonts w:ascii="Arial" w:cs="Arial" w:eastAsia="Arial" w:hAnsi="Arial"/>
          <w:sz w:val="18"/>
          <w:szCs w:val="18"/>
          <w:color w:val="auto"/>
        </w:rPr>
        <w:t>Our telematics customer base is comprised of wireless operators, distributors, original equipment manufacturers (“OEMs”) and companies in various vertical markets. Fleet management customers include global enterprises such as BHP Billiton, Super Group, Mammoet, and Australia Post. Customers of our government, local council and municipality asset management platforms include Thames Water and the City of Ekurhuleni. Airport asset tracking customers include KLM Equipment Services and Hanover Airport. Usage-based insurances customers include Discovery Insure and Cross Country Insurance Consultants. Our largest vehicle tracking customer is the South African Police Service.</w:t>
      </w:r>
    </w:p>
    <w:p>
      <w:pPr>
        <w:spacing w:after="0" w:line="242" w:lineRule="exact"/>
        <w:rPr>
          <w:sz w:val="20"/>
          <w:szCs w:val="20"/>
          <w:color w:val="auto"/>
        </w:rPr>
      </w:pPr>
    </w:p>
    <w:p>
      <w:pPr>
        <w:ind w:right="40" w:firstLine="392"/>
        <w:spacing w:after="0" w:line="257" w:lineRule="auto"/>
        <w:rPr>
          <w:sz w:val="20"/>
          <w:szCs w:val="20"/>
          <w:color w:val="auto"/>
        </w:rPr>
      </w:pPr>
      <w:r>
        <w:rPr>
          <w:rFonts w:ascii="Arial" w:cs="Arial" w:eastAsia="Arial" w:hAnsi="Arial"/>
          <w:sz w:val="18"/>
          <w:szCs w:val="18"/>
          <w:color w:val="auto"/>
        </w:rPr>
        <w:t>We have strategic technology, development and marketing relationships with several of our customers and partners. Our strong customer and partner relationships provide us with the opportunity to expand our market reach and sales. We partner with leading OEMs, telecom groups and installation partners which allows us to offer customers integrated and holistic solutions. Ctrack uses leading cellular providers such as AT&amp;T, Sprint, T-Mobile, Vodafone, MTN, Telstra and Optus to ensure the optimal real-time visibility of tracked vehicles and systems, supported by accurate and sophisticated mapping services such as the HERE Open Location Platform.</w:t>
      </w:r>
    </w:p>
    <w:p>
      <w:pPr>
        <w:spacing w:after="0" w:line="242" w:lineRule="exact"/>
        <w:rPr>
          <w:sz w:val="20"/>
          <w:szCs w:val="20"/>
          <w:color w:val="auto"/>
        </w:rPr>
      </w:pPr>
    </w:p>
    <w:p>
      <w:pPr>
        <w:ind w:right="260" w:firstLine="405"/>
        <w:spacing w:after="0" w:line="259" w:lineRule="auto"/>
        <w:rPr>
          <w:sz w:val="20"/>
          <w:szCs w:val="20"/>
          <w:color w:val="auto"/>
        </w:rPr>
      </w:pPr>
      <w:r>
        <w:rPr>
          <w:rFonts w:ascii="Arial" w:cs="Arial" w:eastAsia="Arial" w:hAnsi="Arial"/>
          <w:sz w:val="18"/>
          <w:szCs w:val="18"/>
          <w:color w:val="auto"/>
        </w:rPr>
        <w:t>The hardware used in our solutions is produced by contract manufacturers. Their services include component procurement, assembly, testing, quality control and fulfillment. Our contract manufacturers include Inventec Appliances Corporation and AsiaTelco Technologies Co. Under our manufacturing agreements, contract manufacturers provide us with services including component procurement, product manufacturing, final assembly, testing, quality control and fulfillment.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Sources of Revenue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SaaS, Software and Services</w:t>
      </w:r>
    </w:p>
    <w:p>
      <w:pPr>
        <w:spacing w:after="0" w:line="333" w:lineRule="exact"/>
        <w:rPr>
          <w:sz w:val="20"/>
          <w:szCs w:val="20"/>
          <w:color w:val="auto"/>
        </w:rPr>
      </w:pPr>
    </w:p>
    <w:p>
      <w:pPr>
        <w:ind w:firstLine="405"/>
        <w:spacing w:after="0" w:line="302" w:lineRule="auto"/>
        <w:rPr>
          <w:sz w:val="20"/>
          <w:szCs w:val="20"/>
          <w:color w:val="auto"/>
        </w:rPr>
      </w:pPr>
      <w:r>
        <w:rPr>
          <w:rFonts w:ascii="Arial" w:cs="Arial" w:eastAsia="Arial" w:hAnsi="Arial"/>
          <w:sz w:val="16"/>
          <w:szCs w:val="16"/>
          <w:color w:val="auto"/>
        </w:rPr>
        <w:t>Inseego sells SaaS, software and services solutions across multiple IoT vertical markets, including fleet management and vehicle telematics, usage-based insurance, stolen vehicle recovery, asset tracking and monitoring, business connectivity and device management. Our platforms are device-agnostic and provide a standardized, scalable way to order, connect and manage remote assets and improve business operations. The platforms are flexible and support both on-premise server or cloud-based deployments and are the basis for the delivery of a wide range of IoT services.</w:t>
      </w:r>
    </w:p>
    <w:p>
      <w:pPr>
        <w:spacing w:after="0" w:line="262"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Our SaaS delivery platforms include (i) our Ctrack platforms, which provide fleet, vehicle, asset and other SaaS telematics, (ii) our Crossroads platform, which provides easy IoT device management and service enablement and (iii) our Device Management Solutions (“DMS”), a hosted SaaS platform that helps organizations manage the selection, deployment and spend of their wireless assets, saving money on personnel and telecom expenses.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IoT Hardware</w:t>
      </w:r>
    </w:p>
    <w:p>
      <w:pPr>
        <w:spacing w:after="0" w:line="279"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Our integrated telematics and mobile tracking hardware is predominantly sold as an enabler for our Ctrack SaaS delivery platforms. Our telematics and mobile tracking hardware devices collect and control critical vehicle data and driver behaviors, and can reliably deliver that information to the cloud, all managed by our services enablement platforms. Our wireless routers</w:t>
      </w:r>
    </w:p>
    <w:p>
      <w:pPr>
        <w:sectPr>
          <w:pgSz w:w="11900" w:h="16838" w:orient="portrait"/>
          <w:cols w:equalWidth="0" w:num="1">
            <w:col w:w="11400"/>
          </w:cols>
          <w:pgMar w:left="240" w:top="364" w:right="259" w:bottom="1440" w:gutter="0" w:footer="0" w:header="0"/>
        </w:sect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00"/>
          </w:cols>
          <w:pgMar w:left="240" w:top="364" w:right="259" w:bottom="1440" w:gutter="0" w:footer="0" w:header="0"/>
          <w:type w:val="continuous"/>
        </w:sectPr>
      </w:pPr>
    </w:p>
    <w:bookmarkStart w:id="20" w:name="page21"/>
    <w:bookmarkEnd w:id="20"/>
    <w:p>
      <w:pPr>
        <w:ind w:right="400"/>
        <w:spacing w:after="0" w:line="277" w:lineRule="auto"/>
        <w:rPr>
          <w:sz w:val="20"/>
          <w:szCs w:val="20"/>
          <w:color w:val="auto"/>
        </w:rPr>
      </w:pPr>
      <w:r>
        <w:rPr>
          <w:rFonts w:ascii="Arial" w:cs="Arial" w:eastAsia="Arial" w:hAnsi="Arial"/>
          <w:sz w:val="18"/>
          <w:szCs w:val="18"/>
          <w:color w:val="auto"/>
        </w:rPr>
        <w:t>are sold both as stand-alone devices and as part of a bundled business connectivity solution, including our Crossroads platform and wireless connectivity services via our carrier partners.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MiFi Business</w:t>
      </w:r>
    </w:p>
    <w:p>
      <w:pPr>
        <w:spacing w:after="0" w:line="279" w:lineRule="exact"/>
        <w:rPr>
          <w:sz w:val="20"/>
          <w:szCs w:val="20"/>
          <w:color w:val="auto"/>
        </w:rPr>
      </w:pPr>
    </w:p>
    <w:p>
      <w:pPr>
        <w:ind w:firstLine="392"/>
        <w:spacing w:after="0" w:line="290" w:lineRule="auto"/>
        <w:rPr>
          <w:sz w:val="20"/>
          <w:szCs w:val="20"/>
          <w:color w:val="auto"/>
        </w:rPr>
      </w:pPr>
      <w:r>
        <w:rPr>
          <w:rFonts w:ascii="Arial" w:cs="Arial" w:eastAsia="Arial" w:hAnsi="Arial"/>
          <w:sz w:val="16"/>
          <w:szCs w:val="16"/>
          <w:color w:val="auto"/>
        </w:rPr>
        <w:t>We are in the process of divesting our MiFi Business. See “</w:t>
      </w:r>
      <w:r>
        <w:rPr>
          <w:rFonts w:ascii="Arial" w:cs="Arial" w:eastAsia="Arial" w:hAnsi="Arial"/>
          <w:sz w:val="16"/>
          <w:szCs w:val="16"/>
          <w:i w:val="1"/>
          <w:iCs w:val="1"/>
          <w:color w:val="auto"/>
        </w:rPr>
        <w:t>Divestiture Activities</w:t>
      </w:r>
      <w:r>
        <w:rPr>
          <w:rFonts w:ascii="Arial" w:cs="Arial" w:eastAsia="Arial" w:hAnsi="Arial"/>
          <w:sz w:val="16"/>
          <w:szCs w:val="16"/>
          <w:color w:val="auto"/>
        </w:rPr>
        <w:t>.” While the sale is pending, we are continuing to operate the MiFi Business through our subsidiary, Novatel Wireless. The MiFi Business designs, develops and manufactures through third-party contract manufacturers, markets and sells mobile hotspots, USB modems and routers which provide subscribers with secure and convenient high-speed access to corporate, public and personal information through the Internet and enterprise networks via wireless cellular networks. Development and testing of our MiFi hardware products is primarily done in-house by our engineering team in San Diego, California, with some contract work done by unaffiliated third parties overseas. We do not have our own manufacturing facilities for MiFi hardware products. We predominantly rely on Inventec Appliances Corporation, located in China, to build our MiFi hardware products. Our MiFi hardware products are sold by our direct sales force, predominantly in the United States and predominantly to a single customer, Verizon Wireless, although we also sell some MiFi hardware to United States Cellular Corporation, Bell Canada and Verizon Wireless distributors.</w:t>
      </w:r>
    </w:p>
    <w:p>
      <w:pPr>
        <w:spacing w:after="0" w:line="220" w:lineRule="exact"/>
        <w:rPr>
          <w:sz w:val="20"/>
          <w:szCs w:val="20"/>
          <w:color w:val="auto"/>
        </w:rPr>
      </w:pPr>
    </w:p>
    <w:p>
      <w:pPr>
        <w:ind w:right="40" w:firstLine="392"/>
        <w:spacing w:after="0" w:line="254" w:lineRule="auto"/>
        <w:rPr>
          <w:sz w:val="20"/>
          <w:szCs w:val="20"/>
          <w:color w:val="auto"/>
        </w:rPr>
      </w:pPr>
      <w:r>
        <w:rPr>
          <w:rFonts w:ascii="Arial" w:cs="Arial" w:eastAsia="Arial" w:hAnsi="Arial"/>
          <w:sz w:val="18"/>
          <w:szCs w:val="18"/>
          <w:color w:val="auto"/>
        </w:rPr>
        <w:t>Historically, the MiFi hardware business accounted for a majority of our revenues and a majority of our expenses. This business, however, has relatively low gross margins and operates in a very competitive market environment. While our MiFi hotspot products tend to have advanced features which often enable them to be sold at premium prices when they are first introduced, we also have higher costs than most of our competitors due to our small scale and heavy use of U.S.-based engineers in product development. Most of our competitors have substantially greater resources and scale, as would be expected in the relatively mature, consumer electronics product categories which comprise our MiFi Business. Our wireless data modem and mobile hotspots, for example, compete against similar products offered by Huawei, ZTE, Sierra Wireless, TCL, Franklin Wireless and NetGear. More broadly, those products also compete against wireless handset manufacturers such as HTC, Apple, LG and Samsung, which all offer mobile hotspot capability as a feature of their cellular smartphones.</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Divestiture Activities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Modules Business</w:t>
      </w:r>
    </w:p>
    <w:p>
      <w:pPr>
        <w:spacing w:after="0" w:line="279" w:lineRule="exact"/>
        <w:rPr>
          <w:sz w:val="20"/>
          <w:szCs w:val="20"/>
          <w:color w:val="auto"/>
        </w:rPr>
      </w:pPr>
    </w:p>
    <w:p>
      <w:pPr>
        <w:ind w:right="20" w:firstLine="405"/>
        <w:spacing w:after="0" w:line="270" w:lineRule="auto"/>
        <w:rPr>
          <w:sz w:val="20"/>
          <w:szCs w:val="20"/>
          <w:color w:val="auto"/>
        </w:rPr>
      </w:pPr>
      <w:r>
        <w:rPr>
          <w:rFonts w:ascii="Arial" w:cs="Arial" w:eastAsia="Arial" w:hAnsi="Arial"/>
          <w:sz w:val="17"/>
          <w:szCs w:val="17"/>
          <w:color w:val="auto"/>
        </w:rPr>
        <w:t>On April 11, 2016, we signed a definitive asset purchase agreement with Telit Technologies (Cyprus) Limited and Telit Wireless Solutions, Inc. (collectively, “Telit”) pursuant to which we sold, and Telit acquired, certain hardware modules and related assets (the “Modules Business”) for an initial purchase price of $11.0 million in cash, which included $9.0 million that was paid to us on the closing date of the transaction, $1.0 million that would be paid to us in equal quarterly installments over a two-year period in connection with the provision by us of certain transition services and $1.0 million that would be paid to us following the satisfaction of certain conditions by us, including the assignment of specified contracts and the delivery of certain certifications and approvals. We also had the potential to receive an additional cash payment of approximately $3.8 million from Telit related to their purchase of module product inventory from us, $1.0 million of which would be paid to us in equal quarterly installments over the two-year period following the closing date in connection with the provision by us of certain transition services. In addition to the above, we may have been entitled to receive a subsequent earn-out payment following the closing of the transaction if certain conditions are met.</w:t>
      </w:r>
    </w:p>
    <w:p>
      <w:pPr>
        <w:spacing w:after="0" w:line="236" w:lineRule="exact"/>
        <w:rPr>
          <w:sz w:val="20"/>
          <w:szCs w:val="20"/>
          <w:color w:val="auto"/>
        </w:rPr>
      </w:pPr>
    </w:p>
    <w:p>
      <w:pPr>
        <w:ind w:right="120" w:firstLine="405"/>
        <w:spacing w:after="0" w:line="302" w:lineRule="auto"/>
        <w:rPr>
          <w:sz w:val="20"/>
          <w:szCs w:val="20"/>
          <w:color w:val="auto"/>
        </w:rPr>
      </w:pPr>
      <w:r>
        <w:rPr>
          <w:rFonts w:ascii="Arial" w:cs="Arial" w:eastAsia="Arial" w:hAnsi="Arial"/>
          <w:sz w:val="16"/>
          <w:szCs w:val="16"/>
          <w:color w:val="auto"/>
        </w:rPr>
        <w:t>On September 29, 2016, we entered into a Final Resolution Letter Agreement (the “Final Resolution”) with Telit. Per the Final Resolution, Telit agreed to pay us $2.1 million in full satisfaction of their payment obligations under certain sections of the original purchase agreement, including all installment payments, and we agreed to ship the remainder of the hardware modules and related assets as soon as practicable. Under the Final Resolution, the aggregate purchase consideration totaled $11.7 million, which consisted of $11.3 million in cash and $0.4 million in net settled Company liabilities.</w:t>
      </w:r>
    </w:p>
    <w:p>
      <w:pPr>
        <w:spacing w:after="0" w:line="208" w:lineRule="exact"/>
        <w:rPr>
          <w:sz w:val="20"/>
          <w:szCs w:val="20"/>
          <w:color w:val="auto"/>
        </w:rPr>
      </w:pPr>
    </w:p>
    <w:p>
      <w:pPr>
        <w:ind w:right="300" w:firstLine="405"/>
        <w:spacing w:after="0" w:line="312" w:lineRule="auto"/>
        <w:rPr>
          <w:sz w:val="20"/>
          <w:szCs w:val="20"/>
          <w:color w:val="auto"/>
        </w:rPr>
      </w:pPr>
      <w:r>
        <w:rPr>
          <w:rFonts w:ascii="Arial" w:cs="Arial" w:eastAsia="Arial" w:hAnsi="Arial"/>
          <w:sz w:val="16"/>
          <w:szCs w:val="16"/>
          <w:color w:val="auto"/>
        </w:rPr>
        <w:t>During the three months ended March 31, 2017, we shipped all remaining hardware modules and related assets, which fulfilled all of the Company’s outstanding obligations pursuant to the asset purchase agreement, as amended, and recognized a gain of approximately $45,000 in connection with such fulfillment, which is included in other income (expense), net, in the unaudited condensed consolidated statements of operations.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MiFi Business</w:t>
      </w:r>
    </w:p>
    <w:p>
      <w:pPr>
        <w:spacing w:after="0" w:line="225" w:lineRule="exact"/>
        <w:rPr>
          <w:sz w:val="20"/>
          <w:szCs w:val="20"/>
          <w:color w:val="auto"/>
        </w:rPr>
      </w:pPr>
    </w:p>
    <w:p>
      <w:pPr>
        <w:ind w:right="60" w:firstLine="405"/>
        <w:spacing w:after="0" w:line="302" w:lineRule="auto"/>
        <w:rPr>
          <w:sz w:val="20"/>
          <w:szCs w:val="20"/>
          <w:color w:val="auto"/>
        </w:rPr>
      </w:pPr>
      <w:r>
        <w:rPr>
          <w:rFonts w:ascii="Arial" w:cs="Arial" w:eastAsia="Arial" w:hAnsi="Arial"/>
          <w:sz w:val="16"/>
          <w:szCs w:val="16"/>
          <w:color w:val="auto"/>
        </w:rPr>
        <w:t>On September 21, 2016, we entered into a Stock Purchase Agreement (the “Purchase Agreement”), by and among Inseego and Novatel Wireless, on the one hand, and T.C.L. Industries Holdings (H.K.) Limited and Jade Ocean Global Limited (collectively, the “Purchasers”) on the other hand. The Purchase Agreement relates to the pending sale of our subsidiary, Novatel Wireless, which includes the Company’s MiFi branded hotspots and USB modem product lines (the “MiFi Business”), to the Purchasers for $50.0 million in cash, subject to potential adjustment for Novatel Wireless’s working capital as of the</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30" w:right="239" w:bottom="1440" w:gutter="0" w:footer="0" w:header="0"/>
        </w:sectPr>
      </w:pPr>
    </w:p>
    <w:bookmarkStart w:id="21" w:name="page22"/>
    <w:bookmarkEnd w:id="21"/>
    <w:p>
      <w:pPr>
        <w:ind w:right="120"/>
        <w:spacing w:after="0" w:line="255" w:lineRule="auto"/>
        <w:rPr>
          <w:sz w:val="20"/>
          <w:szCs w:val="20"/>
          <w:color w:val="auto"/>
        </w:rPr>
      </w:pPr>
      <w:r>
        <w:rPr>
          <w:rFonts w:ascii="Arial" w:cs="Arial" w:eastAsia="Arial" w:hAnsi="Arial"/>
          <w:sz w:val="18"/>
          <w:szCs w:val="18"/>
          <w:color w:val="auto"/>
        </w:rPr>
        <w:t>closing date. The sale may not close until all of the closing conditions set forth in the Purchase Agreement have been satisfied. One of the closing conditions is the approval of the Committee on Foreign Investment in the United States (“CFIUS”). CFIUS has identified national security concerns relating to our sale of the MiFi Business to the Purchasers. In early February 2017, the Company and the Purchasers voluntarily withdrew and re-filed their notice to CFIUS in order to obtain additional time to provide further information to CFIUS and explore potential mitigation measures that may allow the transaction to proceed. In April 2017, subsequent to the balance sheet date, the Company and the Purchasers once again voluntarily withdrew and re-filed their notice to CFIUS in order to obtain additional time to continue negotiations between CFIUS and the Purchasers regarding the final terms of a mitigation agreement, which negotiations remain ongoing.</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Which May Influence Future Results of Operations</w:t>
      </w:r>
    </w:p>
    <w:p>
      <w:pPr>
        <w:spacing w:after="0" w:line="121" w:lineRule="exact"/>
        <w:rPr>
          <w:sz w:val="20"/>
          <w:szCs w:val="20"/>
          <w:color w:val="auto"/>
        </w:rPr>
      </w:pPr>
    </w:p>
    <w:p>
      <w:pPr>
        <w:ind w:right="180" w:firstLine="405"/>
        <w:spacing w:after="0" w:line="257" w:lineRule="auto"/>
        <w:rPr>
          <w:sz w:val="20"/>
          <w:szCs w:val="20"/>
          <w:color w:val="auto"/>
        </w:rPr>
      </w:pPr>
      <w:r>
        <w:rPr>
          <w:rFonts w:ascii="Arial" w:cs="Arial" w:eastAsia="Arial" w:hAnsi="Arial"/>
          <w:sz w:val="18"/>
          <w:szCs w:val="18"/>
          <w:i w:val="1"/>
          <w:iCs w:val="1"/>
          <w:color w:val="auto"/>
        </w:rPr>
        <w:t xml:space="preserve">Net Revenues. </w:t>
      </w:r>
      <w:r>
        <w:rPr>
          <w:rFonts w:ascii="Arial" w:cs="Arial" w:eastAsia="Arial" w:hAnsi="Arial"/>
          <w:sz w:val="18"/>
          <w:szCs w:val="18"/>
          <w:color w:val="auto"/>
        </w:rPr>
        <w:t>We believe that our future net revenues will be influenced largely by the global demand for SaaS solutions for telematics, including our</w:t>
      </w:r>
      <w:r>
        <w:rPr>
          <w:rFonts w:ascii="Arial" w:cs="Arial" w:eastAsia="Arial" w:hAnsi="Arial"/>
          <w:sz w:val="18"/>
          <w:szCs w:val="18"/>
          <w:i w:val="1"/>
          <w:iCs w:val="1"/>
          <w:color w:val="auto"/>
        </w:rPr>
        <w:t xml:space="preserve"> </w:t>
      </w:r>
      <w:r>
        <w:rPr>
          <w:rFonts w:ascii="Arial" w:cs="Arial" w:eastAsia="Arial" w:hAnsi="Arial"/>
          <w:sz w:val="18"/>
          <w:szCs w:val="18"/>
          <w:color w:val="auto"/>
        </w:rPr>
        <w:t>Ctrack fleet management, asset tracking and monitoring, stolen vehicle recovery, and usage-based insurance platforms. Our future net revenues will also be influenced by the demand in North America for our business connectivity solutions and device management services, as well as customer acceptance of our new products that address our markets and our ability to meet customer demand. Factors that could potentially affect customer demand for our products include the following:</w:t>
      </w:r>
    </w:p>
    <w:p>
      <w:pPr>
        <w:spacing w:after="0" w:line="26"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economic environment and related market conditions;</w:t>
      </w:r>
    </w:p>
    <w:p>
      <w:pPr>
        <w:spacing w:after="0" w:line="117" w:lineRule="exact"/>
        <w:rPr>
          <w:rFonts w:ascii="Arial" w:cs="Arial" w:eastAsia="Arial" w:hAnsi="Arial"/>
          <w:sz w:val="18"/>
          <w:szCs w:val="18"/>
          <w:color w:val="auto"/>
        </w:rPr>
      </w:pPr>
    </w:p>
    <w:p>
      <w:pPr>
        <w:ind w:left="980" w:right="46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increased competition from other fleet and vehicle telematics solutions, as well as suppliers of emerging devices that contain wireless data access or device management features;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rate of change to new products;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product pricing;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technologies.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revenues are also significantly dependent upon the availability of materials and components used in our hardware products.</w:t>
      </w:r>
    </w:p>
    <w:p>
      <w:pPr>
        <w:spacing w:after="0" w:line="333" w:lineRule="exact"/>
        <w:rPr>
          <w:sz w:val="20"/>
          <w:szCs w:val="20"/>
          <w:color w:val="auto"/>
        </w:rPr>
      </w:pPr>
    </w:p>
    <w:p>
      <w:pPr>
        <w:ind w:right="180" w:firstLine="405"/>
        <w:spacing w:after="0" w:line="279" w:lineRule="auto"/>
        <w:rPr>
          <w:sz w:val="20"/>
          <w:szCs w:val="20"/>
          <w:color w:val="auto"/>
        </w:rPr>
      </w:pPr>
      <w:r>
        <w:rPr>
          <w:rFonts w:ascii="Arial" w:cs="Arial" w:eastAsia="Arial" w:hAnsi="Arial"/>
          <w:sz w:val="17"/>
          <w:szCs w:val="17"/>
          <w:color w:val="auto"/>
        </w:rPr>
        <w:t>We anticipate introducing additional products during the next twelve months, including SaaS telematics solutions and additional service offerings. We continue to develop and maintain strategic relationships with wireless industry leaders such as Verizon Wireless, T-Mobile, AT&amp;T, Sprint, Vodafone, MTN, Telstra and Optus. Through strategic relationships, we have been able to maintain market penetration by leveraging the resources of our channel partners, including their access to distribution resources, increased sales opportunities and market opportunities.</w:t>
      </w:r>
    </w:p>
    <w:p>
      <w:pPr>
        <w:spacing w:after="0" w:line="28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future net revenues will also be affected by the sale of our Modules Business and the pending sale of our MiFi Business.</w:t>
      </w:r>
    </w:p>
    <w:p>
      <w:pPr>
        <w:spacing w:after="0" w:line="333" w:lineRule="exact"/>
        <w:rPr>
          <w:sz w:val="20"/>
          <w:szCs w:val="20"/>
          <w:color w:val="auto"/>
        </w:rPr>
      </w:pPr>
    </w:p>
    <w:p>
      <w:pPr>
        <w:ind w:right="80" w:firstLine="405"/>
        <w:spacing w:after="0" w:line="297" w:lineRule="auto"/>
        <w:rPr>
          <w:sz w:val="20"/>
          <w:szCs w:val="20"/>
          <w:color w:val="auto"/>
        </w:rPr>
      </w:pPr>
      <w:r>
        <w:rPr>
          <w:rFonts w:ascii="Arial" w:cs="Arial" w:eastAsia="Arial" w:hAnsi="Arial"/>
          <w:sz w:val="16"/>
          <w:szCs w:val="16"/>
          <w:i w:val="1"/>
          <w:iCs w:val="1"/>
          <w:color w:val="auto"/>
        </w:rPr>
        <w:t xml:space="preserve">Cost of Net Revenues. </w:t>
      </w:r>
      <w:r>
        <w:rPr>
          <w:rFonts w:ascii="Arial" w:cs="Arial" w:eastAsia="Arial" w:hAnsi="Arial"/>
          <w:sz w:val="16"/>
          <w:szCs w:val="16"/>
          <w:color w:val="auto"/>
        </w:rPr>
        <w:t>Cost of net revenues includes all costs associated with our contract manufacturers, distribution, fulfillment and repair services,</w:t>
      </w:r>
      <w:r>
        <w:rPr>
          <w:rFonts w:ascii="Arial" w:cs="Arial" w:eastAsia="Arial" w:hAnsi="Arial"/>
          <w:sz w:val="16"/>
          <w:szCs w:val="16"/>
          <w:i w:val="1"/>
          <w:iCs w:val="1"/>
          <w:color w:val="auto"/>
        </w:rPr>
        <w:t xml:space="preserve"> </w:t>
      </w:r>
      <w:r>
        <w:rPr>
          <w:rFonts w:ascii="Arial" w:cs="Arial" w:eastAsia="Arial" w:hAnsi="Arial"/>
          <w:sz w:val="16"/>
          <w:szCs w:val="16"/>
          <w:color w:val="auto"/>
        </w:rPr>
        <w:t>delivery of SaaS services, warranty costs, amortization of intangible assets, royalties, operations overhead, costs associated with our cancellation of purchase orders, and costs related to outside services. Also included in cost of net revenues are costs related to inventory adjustments, including the FW and Ctrack acquisition-related amortization of the fair value of inventory, as well as any write downs for excess and obsolete inventory and abandoned product lines. Inventory adjustments are impacted primarily by demand for our products, which is influenced by the factors discussed above.</w:t>
      </w:r>
    </w:p>
    <w:p>
      <w:pPr>
        <w:spacing w:after="0" w:line="266"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i w:val="1"/>
          <w:iCs w:val="1"/>
          <w:color w:val="auto"/>
        </w:rPr>
        <w:t xml:space="preserve">Operating Costs and Expenses. </w:t>
      </w:r>
      <w:r>
        <w:rPr>
          <w:rFonts w:ascii="Arial" w:cs="Arial" w:eastAsia="Arial" w:hAnsi="Arial"/>
          <w:sz w:val="18"/>
          <w:szCs w:val="18"/>
          <w:color w:val="auto"/>
        </w:rPr>
        <w:t>Our operating costs consist of three primary categories: research and development; sales and marketing; and general and</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administrative costs.</w:t>
      </w:r>
    </w:p>
    <w:p>
      <w:pPr>
        <w:spacing w:after="0" w:line="279"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Research and development is at the core of our ability to produce innovative, leading-edge products. These expenses consist primarily of engineers and technicians who design and test our highly complex products and the procurement of testing and certification services.</w:t>
      </w:r>
    </w:p>
    <w:p>
      <w:pPr>
        <w:spacing w:after="0" w:line="279" w:lineRule="exact"/>
        <w:rPr>
          <w:sz w:val="20"/>
          <w:szCs w:val="20"/>
          <w:color w:val="auto"/>
        </w:rPr>
      </w:pPr>
    </w:p>
    <w:p>
      <w:pPr>
        <w:ind w:right="60" w:firstLine="405"/>
        <w:spacing w:after="0" w:line="312" w:lineRule="auto"/>
        <w:rPr>
          <w:sz w:val="20"/>
          <w:szCs w:val="20"/>
          <w:color w:val="auto"/>
        </w:rPr>
      </w:pPr>
      <w:r>
        <w:rPr>
          <w:rFonts w:ascii="Arial" w:cs="Arial" w:eastAsia="Arial" w:hAnsi="Arial"/>
          <w:sz w:val="16"/>
          <w:szCs w:val="16"/>
          <w:color w:val="auto"/>
        </w:rPr>
        <w:t>Sales and marketing expenses consist primarily of our sales force and product-marketing professionals. In order to maintain strong sales relationships, we provide co-marketing, trade show support and product training. We are also engaged in a wide variety of activities, such as awareness and lead generation programs as well as product marketing. Other marketing initiatives include public relations, seminars and co-branding with partners.</w:t>
      </w:r>
    </w:p>
    <w:p>
      <w:pPr>
        <w:spacing w:after="0" w:line="255" w:lineRule="exact"/>
        <w:rPr>
          <w:sz w:val="20"/>
          <w:szCs w:val="20"/>
          <w:color w:val="auto"/>
        </w:rPr>
      </w:pPr>
    </w:p>
    <w:p>
      <w:pPr>
        <w:ind w:right="220" w:firstLine="405"/>
        <w:spacing w:after="0" w:line="259" w:lineRule="auto"/>
        <w:rPr>
          <w:sz w:val="20"/>
          <w:szCs w:val="20"/>
          <w:color w:val="auto"/>
        </w:rPr>
      </w:pPr>
      <w:r>
        <w:rPr>
          <w:rFonts w:ascii="Arial" w:cs="Arial" w:eastAsia="Arial" w:hAnsi="Arial"/>
          <w:sz w:val="18"/>
          <w:szCs w:val="18"/>
          <w:color w:val="auto"/>
        </w:rPr>
        <w:t>General and administrative expenses include primarily corporate functions such as accounting, human resources, legal, administrative support, and professional fees. This category also includes the expenses needed to operate as a publicly-traded company, including compliance with the Sarbanes-Oxley Act of 2002, as amended, SEC filings, stock exchange fees, and investor relations expense. Although general and administrative expenses are not directly related to revenue levels, certain</w:t>
      </w:r>
    </w:p>
    <w:p>
      <w:pPr>
        <w:spacing w:after="0" w:line="3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76" w:right="25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expenses such as legal expenses and provisions for bad debts may cause significant volatility in future general and administrative expenses.</w:t>
      </w:r>
    </w:p>
    <w:p>
      <w:pPr>
        <w:spacing w:after="0" w:line="333" w:lineRule="exact"/>
        <w:rPr>
          <w:sz w:val="20"/>
          <w:szCs w:val="20"/>
          <w:color w:val="auto"/>
        </w:rPr>
      </w:pPr>
    </w:p>
    <w:p>
      <w:pPr>
        <w:jc w:val="both"/>
        <w:ind w:right="240" w:firstLine="405"/>
        <w:spacing w:after="0" w:line="264" w:lineRule="auto"/>
        <w:rPr>
          <w:sz w:val="20"/>
          <w:szCs w:val="20"/>
          <w:color w:val="auto"/>
        </w:rPr>
      </w:pPr>
      <w:r>
        <w:rPr>
          <w:rFonts w:ascii="Arial" w:cs="Arial" w:eastAsia="Arial" w:hAnsi="Arial"/>
          <w:sz w:val="18"/>
          <w:szCs w:val="18"/>
          <w:color w:val="auto"/>
        </w:rPr>
        <w:t>We have undertaken certain restructuring activities and cost reduction initiatives in an effort to better align our organizational structure and costs with our strategy. Restructuring charges consist primarily of severance costs incurred in connection with the reduction of our workforce and facility exit related costs.</w:t>
      </w:r>
    </w:p>
    <w:p>
      <w:pPr>
        <w:spacing w:after="0" w:line="289" w:lineRule="exact"/>
        <w:rPr>
          <w:sz w:val="20"/>
          <w:szCs w:val="20"/>
          <w:color w:val="auto"/>
        </w:rPr>
      </w:pPr>
    </w:p>
    <w:p>
      <w:pPr>
        <w:ind w:right="240" w:firstLine="405"/>
        <w:spacing w:after="0" w:line="302" w:lineRule="auto"/>
        <w:rPr>
          <w:sz w:val="20"/>
          <w:szCs w:val="20"/>
          <w:color w:val="auto"/>
        </w:rPr>
      </w:pPr>
      <w:r>
        <w:rPr>
          <w:rFonts w:ascii="Arial" w:cs="Arial" w:eastAsia="Arial" w:hAnsi="Arial"/>
          <w:sz w:val="16"/>
          <w:szCs w:val="16"/>
          <w:color w:val="auto"/>
        </w:rPr>
        <w:t>As part of our business strategy, we review acquisition opportunities that we believe would be advantageous or complementary to the development of our business. Given our current cash position and recent losses, any additional acquisitions we make would likely involve issuing stock and/or borrowing additional funds in order to provide the purchase consideration for the acquisitions. If we make any additional acquisitions, we may incur substantial expenditures in conjunction with the acquisition process and the subsequent assimilation of any acquired business, products, technologies or personnel.</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140" w:firstLine="405"/>
        <w:spacing w:after="0" w:line="297" w:lineRule="auto"/>
        <w:rPr>
          <w:sz w:val="20"/>
          <w:szCs w:val="20"/>
          <w:color w:val="auto"/>
        </w:rPr>
      </w:pPr>
      <w:r>
        <w:rPr>
          <w:rFonts w:ascii="Arial" w:cs="Arial" w:eastAsia="Arial" w:hAnsi="Arial"/>
          <w:sz w:val="16"/>
          <w:szCs w:val="16"/>
          <w:color w:val="auto"/>
        </w:rPr>
        <w:t>In the notes to our consolidated financial statements and in “Item 7. Management’s Discussion and Analysis of Financial Condition and Results of Operations” included in our Annual Report on Form 10-K for the year ended December 31, 2016, we have disclosed those accounting policies that we consider to be significant in determining our results of operations and financial condition. There have been no material changes to those policies that we consider to be significant since the filing of our Annual Report on Form 10-K for the year ended December 31, 2016. The accounting principles used in preparing our unaudited condensed consolidated financial statements conform in all material respects to accounting principles generally accepted in the U.S.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2017 Compared to Three Months Ended March 31, 2016</w:t>
      </w:r>
    </w:p>
    <w:p>
      <w:pPr>
        <w:spacing w:after="0" w:line="175"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b w:val="1"/>
          <w:bCs w:val="1"/>
          <w:i w:val="1"/>
          <w:iCs w:val="1"/>
          <w:color w:val="auto"/>
        </w:rPr>
        <w:t>Net revenues</w:t>
      </w:r>
      <w:r>
        <w:rPr>
          <w:rFonts w:ascii="Arial" w:cs="Arial" w:eastAsia="Arial" w:hAnsi="Arial"/>
          <w:sz w:val="18"/>
          <w:szCs w:val="18"/>
          <w:color w:val="auto"/>
        </w:rPr>
        <w:t>. Net revenues for the three months ended March 31, 2017 were $55.4 million, a decrease of $11.6 million, or 17.3%, compared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same period in 2016.</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net revenues by our two product categories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220" w:type="dxa"/>
            <w:vAlign w:val="bottom"/>
            <w:gridSpan w:val="3"/>
            <w:vMerge w:val="restart"/>
          </w:tcPr>
          <w:p>
            <w:pPr>
              <w:ind w:left="640"/>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84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vMerge w:val="continue"/>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20" w:type="dxa"/>
            <w:vAlign w:val="bottom"/>
            <w:gridSpan w:val="2"/>
          </w:tcPr>
          <w:p>
            <w:pPr>
              <w:ind w:left="40"/>
              <w:spacing w:after="0"/>
              <w:rPr>
                <w:sz w:val="20"/>
                <w:szCs w:val="20"/>
                <w:color w:val="auto"/>
              </w:rPr>
            </w:pPr>
            <w:r>
              <w:rPr>
                <w:rFonts w:ascii="Arial" w:cs="Arial" w:eastAsia="Arial" w:hAnsi="Arial"/>
                <w:sz w:val="16"/>
                <w:szCs w:val="16"/>
                <w:b w:val="1"/>
                <w:bCs w:val="1"/>
                <w:color w:val="auto"/>
              </w:rPr>
              <w:t>Product Category</w:t>
            </w:r>
          </w:p>
        </w:tc>
        <w:tc>
          <w:tcPr>
            <w:tcW w:w="260" w:type="dxa"/>
            <w:vAlign w:val="bottom"/>
          </w:tcPr>
          <w:p>
            <w:pPr>
              <w:spacing w:after="0"/>
              <w:rPr>
                <w:sz w:val="22"/>
                <w:szCs w:val="22"/>
                <w:color w:val="auto"/>
              </w:rPr>
            </w:pPr>
          </w:p>
        </w:tc>
        <w:tc>
          <w:tcPr>
            <w:tcW w:w="860" w:type="dxa"/>
            <w:vAlign w:val="bottom"/>
          </w:tcPr>
          <w:p>
            <w:pPr>
              <w:jc w:val="right"/>
              <w:ind w:right="34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tcPr>
          <w:p>
            <w:pPr>
              <w:jc w:val="right"/>
              <w:ind w:right="34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60" w:type="dxa"/>
            <w:vAlign w:val="bottom"/>
          </w:tcPr>
          <w:p>
            <w:pPr>
              <w:jc w:val="right"/>
              <w:ind w:right="40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jc w:val="right"/>
              <w:ind w:right="40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6"/>
        </w:trPr>
        <w:tc>
          <w:tcPr>
            <w:tcW w:w="28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Hardware</w:t>
            </w:r>
          </w:p>
        </w:tc>
        <w:tc>
          <w:tcPr>
            <w:tcW w:w="388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41,426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54,161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(12,735)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0" w:type="dxa"/>
            <w:vAlign w:val="bottom"/>
          </w:tcPr>
          <w:p>
            <w:pPr>
              <w:spacing w:after="0"/>
              <w:rPr>
                <w:sz w:val="1"/>
                <w:szCs w:val="1"/>
                <w:color w:val="auto"/>
              </w:rPr>
            </w:pPr>
          </w:p>
        </w:tc>
      </w:tr>
      <w:tr>
        <w:trPr>
          <w:trHeight w:val="224"/>
        </w:trPr>
        <w:tc>
          <w:tcPr>
            <w:tcW w:w="6720" w:type="dxa"/>
            <w:vAlign w:val="bottom"/>
            <w:gridSpan w:val="2"/>
          </w:tcPr>
          <w:p>
            <w:pPr>
              <w:ind w:left="40"/>
              <w:spacing w:after="0"/>
              <w:rPr>
                <w:sz w:val="20"/>
                <w:szCs w:val="20"/>
                <w:color w:val="auto"/>
              </w:rPr>
            </w:pPr>
            <w:r>
              <w:rPr>
                <w:rFonts w:ascii="Arial" w:cs="Arial" w:eastAsia="Arial" w:hAnsi="Arial"/>
                <w:sz w:val="16"/>
                <w:szCs w:val="16"/>
                <w:color w:val="auto"/>
              </w:rPr>
              <w:t>SaaS, software and services</w:t>
            </w:r>
          </w:p>
        </w:tc>
        <w:tc>
          <w:tcPr>
            <w:tcW w:w="260" w:type="dxa"/>
            <w:vAlign w:val="bottom"/>
          </w:tcPr>
          <w:p>
            <w:pPr>
              <w:spacing w:after="0"/>
              <w:rPr>
                <w:sz w:val="19"/>
                <w:szCs w:val="19"/>
                <w:color w:val="auto"/>
              </w:rPr>
            </w:pPr>
          </w:p>
        </w:tc>
        <w:tc>
          <w:tcPr>
            <w:tcW w:w="860" w:type="dxa"/>
            <w:vAlign w:val="bottom"/>
          </w:tcPr>
          <w:p>
            <w:pPr>
              <w:jc w:val="right"/>
              <w:ind w:right="23"/>
              <w:spacing w:after="0"/>
              <w:rPr>
                <w:sz w:val="20"/>
                <w:szCs w:val="20"/>
                <w:color w:val="auto"/>
              </w:rPr>
            </w:pPr>
            <w:r>
              <w:rPr>
                <w:rFonts w:ascii="Arial" w:cs="Arial" w:eastAsia="Arial" w:hAnsi="Arial"/>
                <w:sz w:val="16"/>
                <w:szCs w:val="16"/>
                <w:color w:val="auto"/>
              </w:rPr>
              <w:t>13,963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ind w:right="41"/>
              <w:spacing w:after="0"/>
              <w:rPr>
                <w:sz w:val="20"/>
                <w:szCs w:val="20"/>
                <w:color w:val="auto"/>
              </w:rPr>
            </w:pPr>
            <w:r>
              <w:rPr>
                <w:rFonts w:ascii="Arial" w:cs="Arial" w:eastAsia="Arial" w:hAnsi="Arial"/>
                <w:sz w:val="16"/>
                <w:szCs w:val="16"/>
                <w:color w:val="auto"/>
              </w:rPr>
              <w:t>12,783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ind w:right="43"/>
              <w:spacing w:after="0"/>
              <w:rPr>
                <w:sz w:val="20"/>
                <w:szCs w:val="20"/>
                <w:color w:val="auto"/>
              </w:rPr>
            </w:pPr>
            <w:r>
              <w:rPr>
                <w:rFonts w:ascii="Arial" w:cs="Arial" w:eastAsia="Arial" w:hAnsi="Arial"/>
                <w:sz w:val="16"/>
                <w:szCs w:val="16"/>
                <w:color w:val="auto"/>
              </w:rPr>
              <w:t>1,180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9.2 %</w:t>
            </w:r>
          </w:p>
        </w:tc>
        <w:tc>
          <w:tcPr>
            <w:tcW w:w="0" w:type="dxa"/>
            <w:vAlign w:val="bottom"/>
          </w:tcPr>
          <w:p>
            <w:pPr>
              <w:spacing w:after="0"/>
              <w:rPr>
                <w:sz w:val="1"/>
                <w:szCs w:val="1"/>
                <w:color w:val="auto"/>
              </w:rPr>
            </w:pPr>
          </w:p>
        </w:tc>
      </w:tr>
      <w:tr>
        <w:trPr>
          <w:trHeight w:val="47"/>
        </w:trPr>
        <w:tc>
          <w:tcPr>
            <w:tcW w:w="2840" w:type="dxa"/>
            <w:vAlign w:val="bottom"/>
            <w:tcBorders>
              <w:bottom w:val="single" w:sz="8" w:color="CCEEFF"/>
            </w:tcBorders>
          </w:tcPr>
          <w:p>
            <w:pPr>
              <w:spacing w:after="0"/>
              <w:rPr>
                <w:sz w:val="4"/>
                <w:szCs w:val="4"/>
                <w:color w:val="auto"/>
              </w:rPr>
            </w:pPr>
          </w:p>
        </w:tc>
        <w:tc>
          <w:tcPr>
            <w:tcW w:w="388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760" w:type="dxa"/>
            <w:vAlign w:val="bottom"/>
            <w:tcBorders>
              <w:bottom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Total</w:t>
            </w:r>
          </w:p>
        </w:tc>
        <w:tc>
          <w:tcPr>
            <w:tcW w:w="38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55,389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66,944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(17.3)%</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38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i w:val="1"/>
          <w:iCs w:val="1"/>
          <w:color w:val="auto"/>
        </w:rPr>
        <w:t xml:space="preserve">Hardware. </w:t>
      </w:r>
      <w:r>
        <w:rPr>
          <w:rFonts w:ascii="Arial" w:cs="Arial" w:eastAsia="Arial" w:hAnsi="Arial"/>
          <w:sz w:val="18"/>
          <w:szCs w:val="18"/>
          <w:color w:val="auto"/>
        </w:rPr>
        <w:t>The decrease in hardware net revenues is primarily a result of reduced sales related to the MiFi Business and the divestiture of our Modules</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in the second quarter of 2016.</w:t>
      </w:r>
    </w:p>
    <w:p>
      <w:pPr>
        <w:spacing w:after="0" w:line="224" w:lineRule="exact"/>
        <w:rPr>
          <w:sz w:val="20"/>
          <w:szCs w:val="20"/>
          <w:color w:val="auto"/>
        </w:rPr>
      </w:pPr>
    </w:p>
    <w:p>
      <w:pPr>
        <w:ind w:right="540" w:firstLine="405"/>
        <w:spacing w:after="0" w:line="277" w:lineRule="auto"/>
        <w:rPr>
          <w:sz w:val="20"/>
          <w:szCs w:val="20"/>
          <w:color w:val="auto"/>
        </w:rPr>
      </w:pPr>
      <w:r>
        <w:rPr>
          <w:rFonts w:ascii="Arial" w:cs="Arial" w:eastAsia="Arial" w:hAnsi="Arial"/>
          <w:sz w:val="18"/>
          <w:szCs w:val="18"/>
          <w:i w:val="1"/>
          <w:iCs w:val="1"/>
          <w:color w:val="auto"/>
        </w:rPr>
        <w:t xml:space="preserve">SaaS, software and services. </w:t>
      </w:r>
      <w:r>
        <w:rPr>
          <w:rFonts w:ascii="Arial" w:cs="Arial" w:eastAsia="Arial" w:hAnsi="Arial"/>
          <w:sz w:val="18"/>
          <w:szCs w:val="18"/>
          <w:color w:val="auto"/>
        </w:rPr>
        <w:t>The increase in SaaS, software and services net revenues is primarily a result of our continued focus on growing our</w:t>
      </w:r>
      <w:r>
        <w:rPr>
          <w:rFonts w:ascii="Arial" w:cs="Arial" w:eastAsia="Arial" w:hAnsi="Arial"/>
          <w:sz w:val="18"/>
          <w:szCs w:val="18"/>
          <w:i w:val="1"/>
          <w:iCs w:val="1"/>
          <w:color w:val="auto"/>
        </w:rPr>
        <w:t xml:space="preserve"> </w:t>
      </w:r>
      <w:r>
        <w:rPr>
          <w:rFonts w:ascii="Arial" w:cs="Arial" w:eastAsia="Arial" w:hAnsi="Arial"/>
          <w:sz w:val="18"/>
          <w:szCs w:val="18"/>
          <w:color w:val="auto"/>
        </w:rPr>
        <w:t>recurring revenue.</w:t>
      </w:r>
    </w:p>
    <w:p>
      <w:pPr>
        <w:spacing w:after="0" w:line="170"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b w:val="1"/>
          <w:bCs w:val="1"/>
          <w:i w:val="1"/>
          <w:iCs w:val="1"/>
          <w:color w:val="auto"/>
        </w:rPr>
        <w:t xml:space="preserve">Cost of net revenues. </w:t>
      </w:r>
      <w:r>
        <w:rPr>
          <w:rFonts w:ascii="Arial" w:cs="Arial" w:eastAsia="Arial" w:hAnsi="Arial"/>
          <w:sz w:val="18"/>
          <w:szCs w:val="18"/>
          <w:color w:val="auto"/>
        </w:rPr>
        <w:t>Cost of net revenues for the three months ended March 31, 2017 was $39.2 million, or 70.8% of net revenues, compared to $45.8</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or 68.4% of net revenues, for the same period in 2016.</w:t>
      </w:r>
    </w:p>
    <w:p>
      <w:pPr>
        <w:spacing w:after="0" w:line="22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cost of net revenues by our two product categories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1200" w:type="dxa"/>
            <w:vAlign w:val="bottom"/>
            <w:gridSpan w:val="3"/>
            <w:vMerge w:val="restart"/>
          </w:tcPr>
          <w:p>
            <w:pPr>
              <w:ind w:left="620"/>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84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vMerge w:val="continue"/>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20" w:type="dxa"/>
            <w:vAlign w:val="bottom"/>
            <w:gridSpan w:val="2"/>
          </w:tcPr>
          <w:p>
            <w:pPr>
              <w:ind w:left="40"/>
              <w:spacing w:after="0"/>
              <w:rPr>
                <w:sz w:val="20"/>
                <w:szCs w:val="20"/>
                <w:color w:val="auto"/>
              </w:rPr>
            </w:pPr>
            <w:r>
              <w:rPr>
                <w:rFonts w:ascii="Arial" w:cs="Arial" w:eastAsia="Arial" w:hAnsi="Arial"/>
                <w:sz w:val="16"/>
                <w:szCs w:val="16"/>
                <w:b w:val="1"/>
                <w:bCs w:val="1"/>
                <w:color w:val="auto"/>
              </w:rPr>
              <w:t>Product Category</w:t>
            </w:r>
          </w:p>
        </w:tc>
        <w:tc>
          <w:tcPr>
            <w:tcW w:w="260" w:type="dxa"/>
            <w:vAlign w:val="bottom"/>
          </w:tcPr>
          <w:p>
            <w:pPr>
              <w:spacing w:after="0"/>
              <w:rPr>
                <w:sz w:val="22"/>
                <w:szCs w:val="22"/>
                <w:color w:val="auto"/>
              </w:rPr>
            </w:pPr>
          </w:p>
        </w:tc>
        <w:tc>
          <w:tcPr>
            <w:tcW w:w="860" w:type="dxa"/>
            <w:vAlign w:val="bottom"/>
          </w:tcPr>
          <w:p>
            <w:pPr>
              <w:jc w:val="right"/>
              <w:ind w:right="34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tcPr>
          <w:p>
            <w:pPr>
              <w:jc w:val="right"/>
              <w:ind w:right="34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40" w:type="dxa"/>
            <w:vAlign w:val="bottom"/>
          </w:tcPr>
          <w:p>
            <w:pPr>
              <w:jc w:val="right"/>
              <w:ind w:right="40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jc w:val="right"/>
              <w:ind w:right="40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6"/>
        </w:trPr>
        <w:tc>
          <w:tcPr>
            <w:tcW w:w="28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Hardware</w:t>
            </w:r>
          </w:p>
        </w:tc>
        <w:tc>
          <w:tcPr>
            <w:tcW w:w="388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33,492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40,869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(7,377)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(18.1)%</w:t>
            </w:r>
          </w:p>
        </w:tc>
        <w:tc>
          <w:tcPr>
            <w:tcW w:w="0" w:type="dxa"/>
            <w:vAlign w:val="bottom"/>
          </w:tcPr>
          <w:p>
            <w:pPr>
              <w:spacing w:after="0"/>
              <w:rPr>
                <w:sz w:val="1"/>
                <w:szCs w:val="1"/>
                <w:color w:val="auto"/>
              </w:rPr>
            </w:pPr>
          </w:p>
        </w:tc>
      </w:tr>
      <w:tr>
        <w:trPr>
          <w:trHeight w:val="224"/>
        </w:trPr>
        <w:tc>
          <w:tcPr>
            <w:tcW w:w="6720" w:type="dxa"/>
            <w:vAlign w:val="bottom"/>
            <w:gridSpan w:val="2"/>
          </w:tcPr>
          <w:p>
            <w:pPr>
              <w:ind w:left="40"/>
              <w:spacing w:after="0"/>
              <w:rPr>
                <w:sz w:val="20"/>
                <w:szCs w:val="20"/>
                <w:color w:val="auto"/>
              </w:rPr>
            </w:pPr>
            <w:r>
              <w:rPr>
                <w:rFonts w:ascii="Arial" w:cs="Arial" w:eastAsia="Arial" w:hAnsi="Arial"/>
                <w:sz w:val="16"/>
                <w:szCs w:val="16"/>
                <w:color w:val="auto"/>
              </w:rPr>
              <w:t>SaaS, software and services</w:t>
            </w:r>
          </w:p>
        </w:tc>
        <w:tc>
          <w:tcPr>
            <w:tcW w:w="260" w:type="dxa"/>
            <w:vAlign w:val="bottom"/>
          </w:tcPr>
          <w:p>
            <w:pPr>
              <w:spacing w:after="0"/>
              <w:rPr>
                <w:sz w:val="19"/>
                <w:szCs w:val="19"/>
                <w:color w:val="auto"/>
              </w:rPr>
            </w:pPr>
          </w:p>
        </w:tc>
        <w:tc>
          <w:tcPr>
            <w:tcW w:w="860" w:type="dxa"/>
            <w:vAlign w:val="bottom"/>
          </w:tcPr>
          <w:p>
            <w:pPr>
              <w:jc w:val="right"/>
              <w:ind w:right="23"/>
              <w:spacing w:after="0"/>
              <w:rPr>
                <w:sz w:val="20"/>
                <w:szCs w:val="20"/>
                <w:color w:val="auto"/>
              </w:rPr>
            </w:pPr>
            <w:r>
              <w:rPr>
                <w:rFonts w:ascii="Arial" w:cs="Arial" w:eastAsia="Arial" w:hAnsi="Arial"/>
                <w:sz w:val="16"/>
                <w:szCs w:val="16"/>
                <w:color w:val="auto"/>
              </w:rPr>
              <w:t>5,711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ind w:right="41"/>
              <w:spacing w:after="0"/>
              <w:rPr>
                <w:sz w:val="20"/>
                <w:szCs w:val="20"/>
                <w:color w:val="auto"/>
              </w:rPr>
            </w:pPr>
            <w:r>
              <w:rPr>
                <w:rFonts w:ascii="Arial" w:cs="Arial" w:eastAsia="Arial" w:hAnsi="Arial"/>
                <w:sz w:val="16"/>
                <w:szCs w:val="16"/>
                <w:color w:val="auto"/>
              </w:rPr>
              <w:t>4,892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ind w:right="43"/>
              <w:spacing w:after="0"/>
              <w:rPr>
                <w:sz w:val="20"/>
                <w:szCs w:val="20"/>
                <w:color w:val="auto"/>
              </w:rPr>
            </w:pPr>
            <w:r>
              <w:rPr>
                <w:rFonts w:ascii="Arial" w:cs="Arial" w:eastAsia="Arial" w:hAnsi="Arial"/>
                <w:sz w:val="16"/>
                <w:szCs w:val="16"/>
                <w:color w:val="auto"/>
              </w:rPr>
              <w:t>819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16.7 %</w:t>
            </w:r>
          </w:p>
        </w:tc>
        <w:tc>
          <w:tcPr>
            <w:tcW w:w="0" w:type="dxa"/>
            <w:vAlign w:val="bottom"/>
          </w:tcPr>
          <w:p>
            <w:pPr>
              <w:spacing w:after="0"/>
              <w:rPr>
                <w:sz w:val="1"/>
                <w:szCs w:val="1"/>
                <w:color w:val="auto"/>
              </w:rPr>
            </w:pPr>
          </w:p>
        </w:tc>
      </w:tr>
      <w:tr>
        <w:trPr>
          <w:trHeight w:val="47"/>
        </w:trPr>
        <w:tc>
          <w:tcPr>
            <w:tcW w:w="2840" w:type="dxa"/>
            <w:vAlign w:val="bottom"/>
            <w:tcBorders>
              <w:bottom w:val="single" w:sz="8" w:color="CCEEFF"/>
            </w:tcBorders>
          </w:tcPr>
          <w:p>
            <w:pPr>
              <w:spacing w:after="0"/>
              <w:rPr>
                <w:sz w:val="4"/>
                <w:szCs w:val="4"/>
                <w:color w:val="auto"/>
              </w:rPr>
            </w:pPr>
          </w:p>
        </w:tc>
        <w:tc>
          <w:tcPr>
            <w:tcW w:w="388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760" w:type="dxa"/>
            <w:vAlign w:val="bottom"/>
            <w:tcBorders>
              <w:bottom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Total</w:t>
            </w:r>
          </w:p>
        </w:tc>
        <w:tc>
          <w:tcPr>
            <w:tcW w:w="38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39,203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45,761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38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i w:val="1"/>
          <w:iCs w:val="1"/>
          <w:color w:val="auto"/>
        </w:rPr>
        <w:t xml:space="preserve">Hardware. </w:t>
      </w:r>
      <w:r>
        <w:rPr>
          <w:rFonts w:ascii="Arial" w:cs="Arial" w:eastAsia="Arial" w:hAnsi="Arial"/>
          <w:sz w:val="18"/>
          <w:szCs w:val="18"/>
          <w:color w:val="auto"/>
        </w:rPr>
        <w:t>The decrease in hardware cost of net revenues is primarily a result of reduced sales related to the MiFi Business and the divestiture of our</w:t>
      </w:r>
      <w:r>
        <w:rPr>
          <w:rFonts w:ascii="Arial" w:cs="Arial" w:eastAsia="Arial" w:hAnsi="Arial"/>
          <w:sz w:val="18"/>
          <w:szCs w:val="18"/>
          <w:i w:val="1"/>
          <w:iCs w:val="1"/>
          <w:color w:val="auto"/>
        </w:rPr>
        <w:t xml:space="preserve"> </w:t>
      </w:r>
      <w:r>
        <w:rPr>
          <w:rFonts w:ascii="Arial" w:cs="Arial" w:eastAsia="Arial" w:hAnsi="Arial"/>
          <w:sz w:val="18"/>
          <w:szCs w:val="18"/>
          <w:color w:val="auto"/>
        </w:rPr>
        <w:t>Modules Business in the second quarter of 2016.</w:t>
      </w:r>
    </w:p>
    <w:p>
      <w:pPr>
        <w:spacing w:after="0" w:line="224"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i w:val="1"/>
          <w:iCs w:val="1"/>
          <w:color w:val="auto"/>
        </w:rPr>
        <w:t xml:space="preserve">SaaS, software and services. </w:t>
      </w:r>
      <w:r>
        <w:rPr>
          <w:rFonts w:ascii="Arial" w:cs="Arial" w:eastAsia="Arial" w:hAnsi="Arial"/>
          <w:sz w:val="18"/>
          <w:szCs w:val="18"/>
          <w:color w:val="auto"/>
        </w:rPr>
        <w:t>The increase in SaaS, software and services cost of net revenues is primarily a result of our continued focus on growing our</w:t>
      </w:r>
      <w:r>
        <w:rPr>
          <w:rFonts w:ascii="Arial" w:cs="Arial" w:eastAsia="Arial" w:hAnsi="Arial"/>
          <w:sz w:val="18"/>
          <w:szCs w:val="18"/>
          <w:i w:val="1"/>
          <w:iCs w:val="1"/>
          <w:color w:val="auto"/>
        </w:rPr>
        <w:t xml:space="preserve"> </w:t>
      </w:r>
      <w:r>
        <w:rPr>
          <w:rFonts w:ascii="Arial" w:cs="Arial" w:eastAsia="Arial" w:hAnsi="Arial"/>
          <w:sz w:val="18"/>
          <w:szCs w:val="18"/>
          <w:color w:val="auto"/>
        </w:rPr>
        <w:t>recurring revenue.</w:t>
      </w:r>
    </w:p>
    <w:p>
      <w:pPr>
        <w:sectPr>
          <w:pgSz w:w="11900" w:h="16838" w:orient="portrait"/>
          <w:cols w:equalWidth="0" w:num="1">
            <w:col w:w="11420"/>
          </w:cols>
          <w:pgMar w:left="240" w:top="530" w:right="239"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530" w:right="239" w:bottom="1440" w:gutter="0" w:footer="0" w:header="0"/>
          <w:type w:val="continuous"/>
        </w:sectPr>
      </w:pPr>
    </w:p>
    <w:bookmarkStart w:id="23" w:name="page24"/>
    <w:bookmarkEnd w:id="23"/>
    <w:p>
      <w:pPr>
        <w:ind w:right="240" w:firstLine="405"/>
        <w:spacing w:after="0" w:line="312" w:lineRule="auto"/>
        <w:rPr>
          <w:sz w:val="20"/>
          <w:szCs w:val="20"/>
          <w:color w:val="auto"/>
        </w:rPr>
      </w:pPr>
      <w:r>
        <w:rPr>
          <w:rFonts w:ascii="Arial" w:cs="Arial" w:eastAsia="Arial" w:hAnsi="Arial"/>
          <w:sz w:val="16"/>
          <w:szCs w:val="16"/>
          <w:b w:val="1"/>
          <w:bCs w:val="1"/>
          <w:i w:val="1"/>
          <w:iCs w:val="1"/>
          <w:color w:val="auto"/>
        </w:rPr>
        <w:t xml:space="preserve">Gross profit. </w:t>
      </w:r>
      <w:r>
        <w:rPr>
          <w:rFonts w:ascii="Arial" w:cs="Arial" w:eastAsia="Arial" w:hAnsi="Arial"/>
          <w:sz w:val="16"/>
          <w:szCs w:val="16"/>
          <w:color w:val="auto"/>
        </w:rPr>
        <w:t>Gross profit for the three months ended March 31, 2017 was $16.2 million, or a gross margin of 29.2%, compared to $21.2 million, or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gross margin of 31.6%, for the same period in 2016. The decrease in gross profit was primarily a result of the changes in net revenues and cost of net revenues as discussed above. The decrease in gross margin was primarily a result of decreased gross margins related to the MiFi Business.</w:t>
      </w:r>
    </w:p>
    <w:p>
      <w:pPr>
        <w:spacing w:after="0" w:line="201"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b w:val="1"/>
          <w:bCs w:val="1"/>
          <w:i w:val="1"/>
          <w:iCs w:val="1"/>
          <w:color w:val="auto"/>
        </w:rPr>
        <w:t xml:space="preserve">Research and development expenses. </w:t>
      </w:r>
      <w:r>
        <w:rPr>
          <w:rFonts w:ascii="Arial" w:cs="Arial" w:eastAsia="Arial" w:hAnsi="Arial"/>
          <w:sz w:val="18"/>
          <w:szCs w:val="18"/>
          <w:color w:val="auto"/>
        </w:rPr>
        <w:t>Research and development expenses for the three months ended March 31, 2017 were $6.3 million, or 11.4%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 revenues, compared to $8.0 million, or 12.0% of net revenues, for the same period in 2016. The decrease was primarily due to reduction of headcount and associated expenses as we rationalized our product portfolio.</w:t>
      </w:r>
    </w:p>
    <w:p>
      <w:pPr>
        <w:spacing w:after="0" w:line="235" w:lineRule="exact"/>
        <w:rPr>
          <w:sz w:val="20"/>
          <w:szCs w:val="20"/>
          <w:color w:val="auto"/>
        </w:rPr>
      </w:pPr>
    </w:p>
    <w:p>
      <w:pPr>
        <w:ind w:right="100" w:firstLine="405"/>
        <w:spacing w:after="0" w:line="342" w:lineRule="auto"/>
        <w:rPr>
          <w:sz w:val="20"/>
          <w:szCs w:val="20"/>
          <w:color w:val="auto"/>
        </w:rPr>
      </w:pPr>
      <w:r>
        <w:rPr>
          <w:rFonts w:ascii="Arial" w:cs="Arial" w:eastAsia="Arial" w:hAnsi="Arial"/>
          <w:sz w:val="16"/>
          <w:szCs w:val="16"/>
          <w:b w:val="1"/>
          <w:bCs w:val="1"/>
          <w:i w:val="1"/>
          <w:iCs w:val="1"/>
          <w:color w:val="auto"/>
        </w:rPr>
        <w:t xml:space="preserve">Sales and marketing expenses. </w:t>
      </w:r>
      <w:r>
        <w:rPr>
          <w:rFonts w:ascii="Arial" w:cs="Arial" w:eastAsia="Arial" w:hAnsi="Arial"/>
          <w:sz w:val="16"/>
          <w:szCs w:val="16"/>
          <w:color w:val="auto"/>
        </w:rPr>
        <w:t>Sales and marketing expenses for the three months ended March 31, 2017 were $7.2 million, or 12.9% of net revenues,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compared to $7.8 million, or 11.6% of net revenues, for the same period in 2016. The decrease was primarily a result of our cost containment initiatives.</w:t>
      </w:r>
    </w:p>
    <w:p>
      <w:pPr>
        <w:spacing w:after="0" w:line="178" w:lineRule="exact"/>
        <w:rPr>
          <w:sz w:val="20"/>
          <w:szCs w:val="20"/>
          <w:color w:val="auto"/>
        </w:rPr>
      </w:pPr>
    </w:p>
    <w:p>
      <w:pPr>
        <w:ind w:firstLine="405"/>
        <w:spacing w:after="0" w:line="302" w:lineRule="auto"/>
        <w:rPr>
          <w:sz w:val="20"/>
          <w:szCs w:val="20"/>
          <w:color w:val="auto"/>
        </w:rPr>
      </w:pPr>
      <w:r>
        <w:rPr>
          <w:rFonts w:ascii="Arial" w:cs="Arial" w:eastAsia="Arial" w:hAnsi="Arial"/>
          <w:sz w:val="16"/>
          <w:szCs w:val="16"/>
          <w:b w:val="1"/>
          <w:bCs w:val="1"/>
          <w:i w:val="1"/>
          <w:iCs w:val="1"/>
          <w:color w:val="auto"/>
        </w:rPr>
        <w:t xml:space="preserve">General and administrative expenses. </w:t>
      </w:r>
      <w:r>
        <w:rPr>
          <w:rFonts w:ascii="Arial" w:cs="Arial" w:eastAsia="Arial" w:hAnsi="Arial"/>
          <w:sz w:val="16"/>
          <w:szCs w:val="16"/>
          <w:color w:val="auto"/>
        </w:rPr>
        <w:t>General and administrative expenses for the three months ended March 31, 2017 were $12.0 million, or 21.7%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net revenues, compared to $10.2 million, or 15.2% of net revenues, for the same period in 2016. General and administrative expenses increased for the three months ended March 31, 2017 primarily a result of legal and other professional fees related to the pending sale of the MiFi Business and the Company’s defense against an intellectual property infringement lawsuit in which judgment was entered in favor of the Company in April 2017.</w:t>
      </w:r>
    </w:p>
    <w:p>
      <w:pPr>
        <w:spacing w:after="0" w:line="204" w:lineRule="exact"/>
        <w:rPr>
          <w:sz w:val="20"/>
          <w:szCs w:val="20"/>
          <w:color w:val="auto"/>
        </w:rPr>
      </w:pPr>
    </w:p>
    <w:p>
      <w:pPr>
        <w:ind w:right="20" w:firstLine="405"/>
        <w:spacing w:after="0" w:line="282" w:lineRule="auto"/>
        <w:rPr>
          <w:sz w:val="20"/>
          <w:szCs w:val="20"/>
          <w:color w:val="auto"/>
        </w:rPr>
      </w:pPr>
      <w:r>
        <w:rPr>
          <w:rFonts w:ascii="Arial" w:cs="Arial" w:eastAsia="Arial" w:hAnsi="Arial"/>
          <w:sz w:val="18"/>
          <w:szCs w:val="18"/>
          <w:b w:val="1"/>
          <w:bCs w:val="1"/>
          <w:i w:val="1"/>
          <w:iCs w:val="1"/>
          <w:color w:val="auto"/>
        </w:rPr>
        <w:t>Amortization of purchased intangible assets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amortization of purchased intangible assets for the three months ended March 31, 2017 and 2016 was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$0.9 million and $0.9 million, respectively.</w:t>
      </w:r>
    </w:p>
    <w:p>
      <w:pPr>
        <w:spacing w:after="0" w:line="220"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 xml:space="preserve">Restructuring charges, net of recoveries. </w:t>
      </w:r>
      <w:r>
        <w:rPr>
          <w:rFonts w:ascii="Arial" w:cs="Arial" w:eastAsia="Arial" w:hAnsi="Arial"/>
          <w:sz w:val="17"/>
          <w:szCs w:val="17"/>
          <w:color w:val="auto"/>
        </w:rPr>
        <w:t>Restructuring charges, net of recoveries, for the three months ended March 31, 2017 and 2016 were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$0.8 million and $0.6 million, respectively, and predominantly consisted of severance costs incurred in connection with the reduction of our workforce, 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well as facility exit related costs.</w:t>
      </w:r>
    </w:p>
    <w:p>
      <w:pPr>
        <w:spacing w:after="0" w:line="265"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b w:val="1"/>
          <w:bCs w:val="1"/>
          <w:i w:val="1"/>
          <w:iCs w:val="1"/>
          <w:color w:val="auto"/>
        </w:rPr>
        <w:t xml:space="preserve">Interest expense, net. </w:t>
      </w:r>
      <w:r>
        <w:rPr>
          <w:rFonts w:ascii="Arial" w:cs="Arial" w:eastAsia="Arial" w:hAnsi="Arial"/>
          <w:sz w:val="16"/>
          <w:szCs w:val="16"/>
          <w:color w:val="auto"/>
        </w:rPr>
        <w:t>Interest expense, net for the three months ended March 31, 2017 was $4.2 million, compared to $3.9 million for the same period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2016. In January 2017, the Company issued $119.8 million aggregate principal amount of 5.50% senior convertible notes due 2022 (the “Inseego Notes”) in exchange for the $119.8 million aggregate principal amount of outstanding 5.50% senior convertible notes due 2020 previously issued by Novatel Wireless (the “Novatel Wireless Notes” and collectively with the Inseego Notes, the “Convertible Notes”) that were validly tendered and accepted for exchange and subsequently canceled. The exchange of the Novatel Wireless Notes for the Inseego Notes was treated as a debt modification in accordance with applicable FASB guidance and the Company recognized $3.6 million as an additional component of debt discount and additional paid-in capital attributed to the increase in the fair value of the embedded conversion feature of the Inseego Notes before and after modification. The increase in interest expense is primarily a result of the increase in the amortization of debt discount related to the increase in the fair value of the embedded conversion feature of the Inseego Notes.</w:t>
      </w:r>
    </w:p>
    <w:p>
      <w:pPr>
        <w:spacing w:after="0" w:line="220" w:lineRule="exact"/>
        <w:rPr>
          <w:sz w:val="20"/>
          <w:szCs w:val="20"/>
          <w:color w:val="auto"/>
        </w:rPr>
      </w:pPr>
    </w:p>
    <w:p>
      <w:pPr>
        <w:ind w:left="420"/>
        <w:spacing w:after="0"/>
        <w:rPr>
          <w:sz w:val="20"/>
          <w:szCs w:val="20"/>
          <w:color w:val="auto"/>
        </w:rPr>
      </w:pPr>
      <w:r>
        <w:rPr>
          <w:rFonts w:ascii="Arial" w:cs="Arial" w:eastAsia="Arial" w:hAnsi="Arial"/>
          <w:sz w:val="16"/>
          <w:szCs w:val="16"/>
          <w:b w:val="1"/>
          <w:bCs w:val="1"/>
          <w:i w:val="1"/>
          <w:iCs w:val="1"/>
          <w:color w:val="auto"/>
        </w:rPr>
        <w:t xml:space="preserve">Other expense, net. </w:t>
      </w:r>
      <w:r>
        <w:rPr>
          <w:rFonts w:ascii="Arial" w:cs="Arial" w:eastAsia="Arial" w:hAnsi="Arial"/>
          <w:sz w:val="16"/>
          <w:szCs w:val="16"/>
          <w:color w:val="auto"/>
        </w:rPr>
        <w:t>Other expense, net, for the three months ended March 31, 2017 was $0.6 million, compared to $1.3 million for the same period in</w:t>
      </w:r>
    </w:p>
    <w:p>
      <w:pPr>
        <w:spacing w:after="0" w:line="46"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2016. The decrease in other expense, net, is primarily a result of a decrease in unrealized foreign currency losses on outstanding intercompany loans that Ctrack has with certain of its subsidiaries.</w:t>
      </w:r>
    </w:p>
    <w:p>
      <w:pPr>
        <w:spacing w:after="0" w:line="211"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b w:val="1"/>
          <w:bCs w:val="1"/>
          <w:i w:val="1"/>
          <w:iCs w:val="1"/>
          <w:color w:val="auto"/>
        </w:rPr>
        <w:t xml:space="preserve">Income tax provision. </w:t>
      </w:r>
      <w:r>
        <w:rPr>
          <w:rFonts w:ascii="Arial" w:cs="Arial" w:eastAsia="Arial" w:hAnsi="Arial"/>
          <w:sz w:val="18"/>
          <w:szCs w:val="18"/>
          <w:color w:val="auto"/>
        </w:rPr>
        <w:t>Income tax provision for the three months ended March 31, 2017 was $0.3 million, compared to $0.3 million for the same period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2016.</w:t>
      </w:r>
    </w:p>
    <w:p>
      <w:pPr>
        <w:spacing w:after="0" w:line="279" w:lineRule="exact"/>
        <w:rPr>
          <w:sz w:val="20"/>
          <w:szCs w:val="20"/>
          <w:color w:val="auto"/>
        </w:rPr>
      </w:pPr>
    </w:p>
    <w:p>
      <w:pPr>
        <w:ind w:right="360" w:firstLine="432"/>
        <w:spacing w:after="0" w:line="308" w:lineRule="auto"/>
        <w:rPr>
          <w:sz w:val="20"/>
          <w:szCs w:val="20"/>
          <w:color w:val="auto"/>
        </w:rPr>
      </w:pPr>
      <w:r>
        <w:rPr>
          <w:rFonts w:ascii="Arial" w:cs="Arial" w:eastAsia="Arial" w:hAnsi="Arial"/>
          <w:sz w:val="17"/>
          <w:szCs w:val="17"/>
          <w:b w:val="1"/>
          <w:bCs w:val="1"/>
          <w:i w:val="1"/>
          <w:iCs w:val="1"/>
          <w:color w:val="auto"/>
        </w:rPr>
        <w:t xml:space="preserve">Net loss (income) attributable to noncontrolling interests. </w:t>
      </w:r>
      <w:r>
        <w:rPr>
          <w:rFonts w:ascii="Arial" w:cs="Arial" w:eastAsia="Arial" w:hAnsi="Arial"/>
          <w:sz w:val="17"/>
          <w:szCs w:val="17"/>
          <w:color w:val="auto"/>
        </w:rPr>
        <w:t>Net loss attributable to noncontrolling interests was $14,000 for the three months ended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March 31, 2017 and net income attributable to noncontrolling interest was $5,000 for the three months ended March 31, 2016.</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principal sources of liquidity are our existing cash and cash equivalents and cash generated from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198"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On October 31, 2014, we entered into a senior secured revolving credit facility in the amount of $25.0 million with Wells Fargo Bank, National Association (the “Revolver”). On November 17, 2015, the Revolver was amended to increase the maximum borrowing capacity to $48.0 million. On March 20, 2017, at our request, the financial covenants with respect to liquidity requirements and EBITDA targets, among other things, were amended in order to enable draw-downs by the Company from time to time. In exchange for such accommodations, the aggregate amount available under the Revolver was decreased from $48.0 million to $10.0 million and the applicable margin was increased to 4.00% when interest is based on the daily three-month LIBOR rate and 1.5% when interest is based on the prime rate.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76" w:right="259" w:bottom="1440" w:gutter="0" w:footer="0" w:header="0"/>
        </w:sectPr>
      </w:pPr>
    </w:p>
    <w:bookmarkStart w:id="24" w:name="page25"/>
    <w:bookmarkEnd w:id="24"/>
    <w:p>
      <w:pPr>
        <w:ind w:right="440" w:firstLine="405"/>
        <w:spacing w:after="0" w:line="277" w:lineRule="auto"/>
        <w:rPr>
          <w:sz w:val="20"/>
          <w:szCs w:val="20"/>
          <w:color w:val="auto"/>
        </w:rPr>
      </w:pPr>
      <w:r>
        <w:rPr>
          <w:rFonts w:ascii="Arial" w:cs="Arial" w:eastAsia="Arial" w:hAnsi="Arial"/>
          <w:sz w:val="18"/>
          <w:szCs w:val="18"/>
          <w:color w:val="auto"/>
        </w:rPr>
        <w:t>The Revolver included $3.0 million available for letters of credit, $0.7 million of which was available for letters of credit at March 31, 2017. As of March 31, 2017, there was $2.8 million outstanding under the Revolver.</w:t>
      </w:r>
    </w:p>
    <w:p>
      <w:pPr>
        <w:spacing w:after="0" w:line="224"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We terminated the Revolver on May 8, 2017, subsequent to the balance sheet date, in connection with the execution of the Credit Agreement described below.</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Agreement</w:t>
      </w:r>
    </w:p>
    <w:p>
      <w:pPr>
        <w:spacing w:after="0" w:line="279" w:lineRule="exact"/>
        <w:rPr>
          <w:sz w:val="20"/>
          <w:szCs w:val="20"/>
          <w:color w:val="auto"/>
        </w:rPr>
      </w:pPr>
    </w:p>
    <w:p>
      <w:pPr>
        <w:ind w:right="100" w:firstLine="405"/>
        <w:spacing w:after="0" w:line="286" w:lineRule="auto"/>
        <w:rPr>
          <w:sz w:val="20"/>
          <w:szCs w:val="20"/>
          <w:color w:val="auto"/>
        </w:rPr>
      </w:pPr>
      <w:r>
        <w:rPr>
          <w:rFonts w:ascii="Arial" w:cs="Arial" w:eastAsia="Arial" w:hAnsi="Arial"/>
          <w:sz w:val="16"/>
          <w:szCs w:val="16"/>
          <w:color w:val="auto"/>
        </w:rPr>
        <w:t>On May 8, 2017, subsequent to the balance sheet date, we and certain of our direct and indirect subsidiaries entered into a credit agreement (the “Credit Agreement”) with Lakestar Semi Inc., a private investment fund managed by Soros Fund Management LLC (the “Lender”). Pursuant to the Credit Agreement, the Lender provided us with a single term loan in the principal amount of $20.0 million (the “Loan”) with a maturity date of May 8, 2018 (the “Maturity Date”). The Credit Agreement requires that any proceeds from the pending sale of our MiFi Business be used to repay the Loan. We paid a</w:t>
      </w:r>
    </w:p>
    <w:p>
      <w:pPr>
        <w:spacing w:after="0" w:line="2"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$2.0 million commitment fee in conjunction with the closing of the Loan. The Credit Agreement includes customary representations and warranties, as well as customary reporting and financial covenants.</w:t>
      </w:r>
    </w:p>
    <w:p>
      <w:pPr>
        <w:spacing w:after="0" w:line="292"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Interest on the Loan will be payable on the last business day of each calendar month and on the Maturity Date. The Loan will bear interest at a rate per annum equal to the three-month LIBOR, but in no event less than 1.00%, plus 10.00%.</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Senior Notes</w:t>
      </w:r>
    </w:p>
    <w:p>
      <w:pPr>
        <w:spacing w:after="0" w:line="225"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On June 10, 2015, Novatel Wireless issued $120.0 million of Novatel Wireless Notes, which are governed by the terms of the Novatel Wireless Indenture among Novatel Wireless, as issuer, Inseego and Wilmington Trust, National Association, as trustee, as amended by certain supplemental indentures. The Novatel Wireless Notes are senior unsecured obligations of Novatel Wireless and bear interest at a rate of 5.50% per year, payable semi-annually in arrears on June 15 and December 15 of each year, beginning on December 15, 2015. The Novatel Wireless Notes will mature on June 15, 2020, unless earlier repurchased or converted. The Novatel Wireless Notes will be convertible into cash, shares of our common stock, or a combination thereof, at our election, at an initial conversion price of $5.00 per share of our common stock.</w:t>
      </w:r>
    </w:p>
    <w:p>
      <w:pPr>
        <w:spacing w:after="0" w:line="232" w:lineRule="exact"/>
        <w:rPr>
          <w:sz w:val="20"/>
          <w:szCs w:val="20"/>
          <w:color w:val="auto"/>
        </w:rPr>
      </w:pPr>
    </w:p>
    <w:p>
      <w:pPr>
        <w:ind w:right="160" w:firstLine="405"/>
        <w:spacing w:after="0" w:line="271" w:lineRule="auto"/>
        <w:rPr>
          <w:sz w:val="20"/>
          <w:szCs w:val="20"/>
          <w:color w:val="auto"/>
        </w:rPr>
      </w:pPr>
      <w:r>
        <w:rPr>
          <w:rFonts w:ascii="Arial" w:cs="Arial" w:eastAsia="Arial" w:hAnsi="Arial"/>
          <w:sz w:val="17"/>
          <w:szCs w:val="17"/>
          <w:color w:val="auto"/>
        </w:rPr>
        <w:t>On January 9, 2017, in connection with the settlement of an exchange offer and consent solicitation with respect to the Novatel Wireless Notes, the Company issued $119.8 million aggregate principal amount of the Inseego Notes. The Inseego Notes were issued in exchange for the $119.8 million aggregate principal amount of outstanding Novatel Wireless Notes that were validly tendered and accepted for exchange and subsequently canceled. The Inseego Notes are governed by the terms of the Inseego Indenture among the Company, as issuer, and Wilmington Trust, National Association, as trustee, as amended by certain supplemental indentures. The Inseego Notes are senior unsecured obligations of the Company and bear interest at a rate of 5.50% per year, payable semi-annually in arrears on June 15 and December 15 of each year, beginning on June 15, 2017. The Inseego Notes will mature on June 15, 2022, unless earlier converted, redeemed or repurchased. The Inseego Notes will be convertible into cash, shares of our common stock, or a combination thereof, at our election, at an initial conversion price of $4.70 per share of our common stock.</w:t>
      </w:r>
    </w:p>
    <w:p>
      <w:pPr>
        <w:spacing w:after="0" w:line="28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As of the filing date of this report, the following aggregate principal amounts remain outstanding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0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Inseego Notes</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119,750</w:t>
            </w:r>
          </w:p>
        </w:tc>
      </w:tr>
      <w:tr>
        <w:trPr>
          <w:trHeight w:val="224"/>
        </w:trPr>
        <w:tc>
          <w:tcPr>
            <w:tcW w:w="10180" w:type="dxa"/>
            <w:vAlign w:val="bottom"/>
          </w:tcPr>
          <w:p>
            <w:pPr>
              <w:ind w:left="40"/>
              <w:spacing w:after="0"/>
              <w:rPr>
                <w:sz w:val="20"/>
                <w:szCs w:val="20"/>
                <w:color w:val="auto"/>
              </w:rPr>
            </w:pPr>
            <w:r>
              <w:rPr>
                <w:rFonts w:ascii="Arial" w:cs="Arial" w:eastAsia="Arial" w:hAnsi="Arial"/>
                <w:sz w:val="16"/>
                <w:szCs w:val="16"/>
                <w:color w:val="auto"/>
              </w:rPr>
              <w:t>Novatel Wireless Notes</w:t>
            </w:r>
          </w:p>
        </w:tc>
        <w:tc>
          <w:tcPr>
            <w:tcW w:w="36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250</w:t>
            </w:r>
          </w:p>
        </w:tc>
      </w:tr>
      <w:tr>
        <w:trPr>
          <w:trHeight w:val="33"/>
        </w:trPr>
        <w:tc>
          <w:tcPr>
            <w:tcW w:w="101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10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120,000</w:t>
            </w:r>
          </w:p>
        </w:tc>
      </w:tr>
      <w:tr>
        <w:trPr>
          <w:trHeight w:val="20"/>
        </w:trPr>
        <w:tc>
          <w:tcPr>
            <w:tcW w:w="10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RER Amendment</w:t>
      </w:r>
    </w:p>
    <w:p>
      <w:pPr>
        <w:spacing w:after="0" w:line="225"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 xml:space="preserve">Pursuant to the amended merger agreement with respect to our acquisition of FW, we agreed to pay a total of $15.0 million in deferred purchase price in five cash installments over a four-year period, beginning in March 2016. We also agreed to pay a total of approximately $6.1 million in cash over a four-year period, beginning in March 2016, of which approximately $4.6 million remains unpaid, related to the earn-out provisions of the amended merger agreement (see Note 2, </w:t>
      </w:r>
      <w:r>
        <w:rPr>
          <w:rFonts w:ascii="Arial" w:cs="Arial" w:eastAsia="Arial" w:hAnsi="Arial"/>
          <w:sz w:val="17"/>
          <w:szCs w:val="17"/>
          <w:i w:val="1"/>
          <w:iCs w:val="1"/>
          <w:color w:val="auto"/>
        </w:rPr>
        <w:t>Acquisitions and Divestitures,</w:t>
      </w:r>
      <w:r>
        <w:rPr>
          <w:rFonts w:ascii="Arial" w:cs="Arial" w:eastAsia="Arial" w:hAnsi="Arial"/>
          <w:sz w:val="17"/>
          <w:szCs w:val="17"/>
          <w:color w:val="auto"/>
        </w:rPr>
        <w:t xml:space="preserve"> to the unaudited condensed consolidated financial statements included with this report). As of the filing date of this report, the March 2017 cash installments have not been paid and the Company is disputing its obligations to make such payments (see Note 10, </w:t>
      </w:r>
      <w:r>
        <w:rPr>
          <w:rFonts w:ascii="Arial" w:cs="Arial" w:eastAsia="Arial" w:hAnsi="Arial"/>
          <w:sz w:val="17"/>
          <w:szCs w:val="17"/>
          <w:i w:val="1"/>
          <w:iCs w:val="1"/>
          <w:color w:val="auto"/>
        </w:rPr>
        <w:t>Commitments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and Contingencies, </w:t>
      </w:r>
      <w:r>
        <w:rPr>
          <w:rFonts w:ascii="Arial" w:cs="Arial" w:eastAsia="Arial" w:hAnsi="Arial"/>
          <w:sz w:val="17"/>
          <w:szCs w:val="17"/>
          <w:color w:val="auto"/>
        </w:rPr>
        <w:t>to the unaudited condensed consolidated financial statements included with this report).</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76"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color w:val="auto"/>
        </w:rPr>
        <w:t>Historical Cash Flows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condensed consolidated statements of cash flows for the periods indicated (in thousands):</w:t>
      </w:r>
    </w:p>
    <w:p>
      <w:pPr>
        <w:spacing w:after="0" w:line="244" w:lineRule="exact"/>
        <w:rPr>
          <w:sz w:val="20"/>
          <w:szCs w:val="20"/>
          <w:color w:val="auto"/>
        </w:rPr>
      </w:pPr>
    </w:p>
    <w:p>
      <w:pPr>
        <w:jc w:val="center"/>
        <w:ind w:left="88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8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13335</wp:posOffset>
            </wp:positionV>
            <wp:extent cx="1663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2016</w:t>
            </w:r>
          </w:p>
        </w:tc>
      </w:tr>
      <w:tr>
        <w:trPr>
          <w:trHeight w:val="23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used in operating activities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(3,177)</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(6,338)</w:t>
            </w:r>
          </w:p>
        </w:tc>
      </w:tr>
      <w:tr>
        <w:trPr>
          <w:trHeight w:val="224"/>
        </w:trPr>
        <w:tc>
          <w:tcPr>
            <w:tcW w:w="8800" w:type="dxa"/>
            <w:vAlign w:val="bottom"/>
          </w:tcPr>
          <w:p>
            <w:pPr>
              <w:ind w:left="40"/>
              <w:spacing w:after="0"/>
              <w:rPr>
                <w:sz w:val="20"/>
                <w:szCs w:val="20"/>
                <w:color w:val="auto"/>
              </w:rPr>
            </w:pPr>
            <w:r>
              <w:rPr>
                <w:rFonts w:ascii="Arial" w:cs="Arial" w:eastAsia="Arial" w:hAnsi="Arial"/>
                <w:sz w:val="16"/>
                <w:szCs w:val="16"/>
                <w:color w:val="auto"/>
              </w:rPr>
              <w:t>Net cash used in investing activities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(1,714)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(989)</w:t>
            </w:r>
          </w:p>
        </w:tc>
      </w:tr>
      <w:tr>
        <w:trPr>
          <w:trHeight w:val="47"/>
        </w:trPr>
        <w:tc>
          <w:tcPr>
            <w:tcW w:w="88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1,570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2,908</w:t>
            </w:r>
          </w:p>
        </w:tc>
      </w:tr>
      <w:tr>
        <w:trPr>
          <w:trHeight w:val="224"/>
        </w:trPr>
        <w:tc>
          <w:tcPr>
            <w:tcW w:w="8800" w:type="dxa"/>
            <w:vAlign w:val="bottom"/>
          </w:tcPr>
          <w:p>
            <w:pPr>
              <w:ind w:left="40"/>
              <w:spacing w:after="0"/>
              <w:rPr>
                <w:sz w:val="20"/>
                <w:szCs w:val="20"/>
                <w:color w:val="auto"/>
              </w:rPr>
            </w:pPr>
            <w:r>
              <w:rPr>
                <w:rFonts w:ascii="Arial" w:cs="Arial" w:eastAsia="Arial" w:hAnsi="Arial"/>
                <w:sz w:val="16"/>
                <w:szCs w:val="16"/>
                <w:color w:val="auto"/>
              </w:rPr>
              <w:t>Effect of exchange rates on cash and cash equivalents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110</w:t>
            </w:r>
          </w:p>
        </w:tc>
      </w:tr>
      <w:tr>
        <w:trPr>
          <w:trHeight w:val="47"/>
        </w:trPr>
        <w:tc>
          <w:tcPr>
            <w:tcW w:w="880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r>
      <w:tr>
        <w:trPr>
          <w:trHeight w:val="23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decrease in cash and cash equivalents</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(3,509)</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(4,309)</w:t>
            </w:r>
          </w:p>
        </w:tc>
      </w:tr>
      <w:tr>
        <w:trPr>
          <w:trHeight w:val="224"/>
        </w:trPr>
        <w:tc>
          <w:tcPr>
            <w:tcW w:w="8800" w:type="dxa"/>
            <w:vAlign w:val="bottom"/>
          </w:tcPr>
          <w:p>
            <w:pPr>
              <w:ind w:left="40"/>
              <w:spacing w:after="0"/>
              <w:rPr>
                <w:sz w:val="20"/>
                <w:szCs w:val="20"/>
                <w:color w:val="auto"/>
              </w:rPr>
            </w:pPr>
            <w:r>
              <w:rPr>
                <w:rFonts w:ascii="Arial" w:cs="Arial" w:eastAsia="Arial" w:hAnsi="Arial"/>
                <w:sz w:val="16"/>
                <w:szCs w:val="16"/>
                <w:color w:val="auto"/>
              </w:rPr>
              <w:t>Cash and cash equivalents, beginning of period</w:t>
            </w:r>
          </w:p>
        </w:tc>
        <w:tc>
          <w:tcPr>
            <w:tcW w:w="30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9,894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12,570</w:t>
            </w:r>
          </w:p>
        </w:tc>
      </w:tr>
      <w:tr>
        <w:trPr>
          <w:trHeight w:val="47"/>
        </w:trPr>
        <w:tc>
          <w:tcPr>
            <w:tcW w:w="880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r>
      <w:tr>
        <w:trPr>
          <w:trHeight w:val="255"/>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end of period</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6,385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8,261</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40" w:firstLine="432"/>
        <w:spacing w:after="0" w:line="272" w:lineRule="auto"/>
        <w:rPr>
          <w:sz w:val="20"/>
          <w:szCs w:val="20"/>
          <w:color w:val="auto"/>
        </w:rPr>
      </w:pPr>
      <w:r>
        <w:rPr>
          <w:rFonts w:ascii="Arial" w:cs="Arial" w:eastAsia="Arial" w:hAnsi="Arial"/>
          <w:sz w:val="17"/>
          <w:szCs w:val="17"/>
          <w:b w:val="1"/>
          <w:bCs w:val="1"/>
          <w:i w:val="1"/>
          <w:iCs w:val="1"/>
          <w:color w:val="auto"/>
        </w:rPr>
        <w:t xml:space="preserve">Operating activities. </w:t>
      </w:r>
      <w:r>
        <w:rPr>
          <w:rFonts w:ascii="Arial" w:cs="Arial" w:eastAsia="Arial" w:hAnsi="Arial"/>
          <w:sz w:val="17"/>
          <w:szCs w:val="17"/>
          <w:color w:val="auto"/>
        </w:rPr>
        <w:t>Net cash used in operating activities was $3.2 million for the three months ended March 31, 2017, compared to $6.3 million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same period in 2016. Net cash used in operating activities for the three months ended March 31, 2017 was primarily attributable to the net loss in the period and an increase in accounts receivable and prepaid expenses and other assets, partially offset by non-cash charges for depreciation and amortization, including the amortization of debt discount and debt issuance costs, and share-based compensation expense and an increase in accounts payable. Net cash used in operating activities for the three months ended March 31, 2016 was primarily attributable to the net loss in the period and a decrease in accounts payable, partially offset by non-cash charges for depreciation and amortization, including the amortization of the acquisition-related inventory step up and debt discount and debt issuance costs, and share-based compensation expense.</w:t>
      </w:r>
    </w:p>
    <w:p>
      <w:pPr>
        <w:spacing w:after="0" w:line="286" w:lineRule="exact"/>
        <w:rPr>
          <w:sz w:val="20"/>
          <w:szCs w:val="20"/>
          <w:color w:val="auto"/>
        </w:rPr>
      </w:pPr>
    </w:p>
    <w:p>
      <w:pPr>
        <w:jc w:val="both"/>
        <w:ind w:right="40" w:firstLine="432"/>
        <w:spacing w:after="0" w:line="264" w:lineRule="auto"/>
        <w:rPr>
          <w:sz w:val="20"/>
          <w:szCs w:val="20"/>
          <w:color w:val="auto"/>
        </w:rPr>
      </w:pPr>
      <w:r>
        <w:rPr>
          <w:rFonts w:ascii="Arial" w:cs="Arial" w:eastAsia="Arial" w:hAnsi="Arial"/>
          <w:sz w:val="18"/>
          <w:szCs w:val="18"/>
          <w:b w:val="1"/>
          <w:bCs w:val="1"/>
          <w:i w:val="1"/>
          <w:iCs w:val="1"/>
          <w:color w:val="auto"/>
        </w:rPr>
        <w:t xml:space="preserve">Investing activities. </w:t>
      </w:r>
      <w:r>
        <w:rPr>
          <w:rFonts w:ascii="Arial" w:cs="Arial" w:eastAsia="Arial" w:hAnsi="Arial"/>
          <w:sz w:val="18"/>
          <w:szCs w:val="18"/>
          <w:color w:val="auto"/>
        </w:rPr>
        <w:t>Net cash used in investing activities during the three months ended March 31, 2017 was $1.7 million, compared to $1.0 million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same period in 2016. Cash used in investing activities during the three months ended March 31, 2017 and 2016 was primarily attributable to the purchases of property, plant and equipment and additions to capitalized software development costs.</w:t>
      </w:r>
    </w:p>
    <w:p>
      <w:pPr>
        <w:spacing w:after="0" w:line="289"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 xml:space="preserve">Financing activities. </w:t>
      </w:r>
      <w:r>
        <w:rPr>
          <w:rFonts w:ascii="Arial" w:cs="Arial" w:eastAsia="Arial" w:hAnsi="Arial"/>
          <w:sz w:val="17"/>
          <w:szCs w:val="17"/>
          <w:color w:val="auto"/>
        </w:rPr>
        <w:t>Net cash provided by financing activities during the three months ended March 31, 2017 was $1.6 million, compared to</w:t>
      </w:r>
    </w:p>
    <w:p>
      <w:pPr>
        <w:spacing w:after="0" w:line="35"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$2.9 million for the same period in 2016. Net cash provided by financing activities during the three months ended March 31, 2017 and 2016 was primarily related to net borrowings from the revolving credit facility, partially offset by principal payments under capital lease obligations and taxes paid on vested restricted stock units.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Liquidity Needs</w:t>
      </w:r>
    </w:p>
    <w:p>
      <w:pPr>
        <w:spacing w:after="0" w:line="117" w:lineRule="exact"/>
        <w:rPr>
          <w:sz w:val="20"/>
          <w:szCs w:val="20"/>
          <w:color w:val="auto"/>
        </w:rPr>
      </w:pPr>
    </w:p>
    <w:p>
      <w:pPr>
        <w:ind w:right="500" w:firstLine="405"/>
        <w:spacing w:after="0" w:line="264" w:lineRule="auto"/>
        <w:rPr>
          <w:sz w:val="20"/>
          <w:szCs w:val="20"/>
          <w:color w:val="auto"/>
        </w:rPr>
      </w:pPr>
      <w:r>
        <w:rPr>
          <w:rFonts w:ascii="Arial" w:cs="Arial" w:eastAsia="Arial" w:hAnsi="Arial"/>
          <w:sz w:val="18"/>
          <w:szCs w:val="18"/>
          <w:color w:val="auto"/>
        </w:rPr>
        <w:t>As of March 31, 2017, we had available cash and cash equivalents totaling $6.4 million, a working capital deficit of $8.9 million and $2.8 million outstanding under the Revolver. On May 8, 2017, subsequent to the balance sheet date, we received net proceeds of $18.0 million under the Credit Agreement, a portion of which was used to repay and terminate the Revolver.</w:t>
      </w:r>
    </w:p>
    <w:p>
      <w:pPr>
        <w:spacing w:after="0" w:line="235"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Our ability to transition to attaining profitable operations is dependent upon achieving a level of revenues adequate to support our evolving cost structure. If events or circumstances occur such that we do not meet our operating plan as expected, we may be required to reduce planned research and development activities, incur additional restructuring charges or reduce other operating expenses which could have an adverse impact on our ability to achieve our intended business objectives. We believe that our cash and cash equivalents, including the cash received under the Credit Agreement, together with anticipated cash flows from operations, may not be sufficient to meet our working capital needs for the next twelve months following the filing date of this report without additional sources of cash due to the maturity date of the Credit Agreement on May 8, 2018. These conditions raise substantial doubt about our ability to continue as a going concern.</w:t>
      </w:r>
    </w:p>
    <w:p>
      <w:pPr>
        <w:spacing w:after="0" w:line="243"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Our liquidity could be impaired if there is any interruption in our business operations, a material failure to satisfy our contractual commitments or a failure to generate revenue from new or existing products.</w:t>
      </w:r>
    </w:p>
    <w:p>
      <w:pPr>
        <w:spacing w:after="0" w:line="224" w:lineRule="exact"/>
        <w:rPr>
          <w:sz w:val="20"/>
          <w:szCs w:val="20"/>
          <w:color w:val="auto"/>
        </w:rPr>
      </w:pPr>
    </w:p>
    <w:p>
      <w:pPr>
        <w:ind w:right="120" w:firstLine="405"/>
        <w:spacing w:after="0" w:line="276" w:lineRule="auto"/>
        <w:rPr>
          <w:sz w:val="20"/>
          <w:szCs w:val="20"/>
          <w:color w:val="auto"/>
        </w:rPr>
      </w:pPr>
      <w:r>
        <w:rPr>
          <w:rFonts w:ascii="Arial" w:cs="Arial" w:eastAsia="Arial" w:hAnsi="Arial"/>
          <w:sz w:val="17"/>
          <w:szCs w:val="17"/>
          <w:color w:val="auto"/>
        </w:rPr>
        <w:t>We may raise additional funds to accelerate development of new and existing services and products, to respond to competitive pressures, to acquire complementary products, businesses or technologies, or to repay the borrowings under the Credit Agreement on or prior to its maturity date of May 8, 2018. There can be no assurance that any required additional financing will be available on terms favorable to us, or at all. In addition, in order to obtain additional borrowings, we must comply with certain requirements under the Credit Agreement. If additional funds are raised by the issuance of equity securities, our stockholders could experience dilution of their ownership interests and securities issued may have rights senior</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76" w:right="239" w:bottom="1440" w:gutter="0" w:footer="0" w:header="0"/>
        </w:sectPr>
      </w:pPr>
    </w:p>
    <w:bookmarkStart w:id="26" w:name="page27"/>
    <w:bookmarkEnd w:id="26"/>
    <w:p>
      <w:pPr>
        <w:ind w:right="60"/>
        <w:spacing w:after="0" w:line="259" w:lineRule="auto"/>
        <w:rPr>
          <w:sz w:val="20"/>
          <w:szCs w:val="20"/>
          <w:color w:val="auto"/>
        </w:rPr>
      </w:pPr>
      <w:r>
        <w:rPr>
          <w:rFonts w:ascii="Arial" w:cs="Arial" w:eastAsia="Arial" w:hAnsi="Arial"/>
          <w:sz w:val="18"/>
          <w:szCs w:val="18"/>
          <w:color w:val="auto"/>
        </w:rPr>
        <w:t>to those of the holders of our common stock. If additional funds are raised by the issuance of debt securities, we may be subject to certain limitations on our operations. If adequate funds are not available or not available on acceptable terms, we may be unable to take advantage of acquisition opportunities, develop or enhance products or respond to competitive pressures, any of which could have a material adverse effect on our business, financial condition and results of operations.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 and Commercial Commitments</w:t>
      </w:r>
    </w:p>
    <w:p>
      <w:pPr>
        <w:spacing w:after="0" w:line="171"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During the three months ended March 31, 2017, there were no material changes to our contractual obligations and commercial commitments from those disclosed in our Annual Report on Form 10-K for the year ended December 31, 2016.</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do not engage in any off-balance sheet financing activities.</w:t>
      </w:r>
    </w:p>
    <w:p>
      <w:pPr>
        <w:spacing w:after="0" w:line="32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337" w:lineRule="exact"/>
        <w:rPr>
          <w:sz w:val="20"/>
          <w:szCs w:val="20"/>
          <w:color w:val="auto"/>
        </w:rPr>
      </w:pPr>
    </w:p>
    <w:p>
      <w:pPr>
        <w:ind w:right="740" w:firstLine="405"/>
        <w:spacing w:after="0" w:line="308" w:lineRule="auto"/>
        <w:rPr>
          <w:sz w:val="20"/>
          <w:szCs w:val="20"/>
          <w:color w:val="auto"/>
        </w:rPr>
      </w:pPr>
      <w:r>
        <w:rPr>
          <w:rFonts w:ascii="Arial" w:cs="Arial" w:eastAsia="Arial" w:hAnsi="Arial"/>
          <w:sz w:val="17"/>
          <w:szCs w:val="17"/>
          <w:color w:val="auto"/>
        </w:rPr>
        <w:t>Market risk is the risk of potential economic loss principally arising from adverse changes in the fair value of financial instruments. The major components of market risk affecting us are interest rate risk, global credit risk and foreign currency exchange rate risk.</w:t>
      </w:r>
    </w:p>
    <w:p>
      <w:pPr>
        <w:spacing w:after="0" w:line="255"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 xml:space="preserve">Since December 31, 2016, there have been no material changes in the quantitative or qualitative aspects of our market risk profile. For additional information regarding the Company’s exposure to certain market risks, see “Item 7A. </w:t>
      </w:r>
      <w:r>
        <w:rPr>
          <w:rFonts w:ascii="Arial" w:cs="Arial" w:eastAsia="Arial" w:hAnsi="Arial"/>
          <w:sz w:val="18"/>
          <w:szCs w:val="18"/>
          <w:i w:val="1"/>
          <w:iCs w:val="1"/>
          <w:color w:val="auto"/>
        </w:rPr>
        <w:t>Quantitative and Qualitative Disclosures About Market Risk</w:t>
      </w:r>
      <w:r>
        <w:rPr>
          <w:rFonts w:ascii="Arial" w:cs="Arial" w:eastAsia="Arial" w:hAnsi="Arial"/>
          <w:sz w:val="18"/>
          <w:szCs w:val="18"/>
          <w:color w:val="auto"/>
        </w:rPr>
        <w:t>” included in our Annual Report on Form 10-K for the year ended December 31, 2016.</w:t>
      </w:r>
    </w:p>
    <w:p>
      <w:pPr>
        <w:spacing w:after="0" w:line="28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337" w:lineRule="exact"/>
        <w:rPr>
          <w:sz w:val="20"/>
          <w:szCs w:val="20"/>
          <w:color w:val="auto"/>
        </w:rPr>
      </w:pPr>
    </w:p>
    <w:p>
      <w:pPr>
        <w:ind w:right="20" w:firstLine="405"/>
        <w:spacing w:after="0" w:line="268" w:lineRule="auto"/>
        <w:rPr>
          <w:sz w:val="20"/>
          <w:szCs w:val="20"/>
          <w:color w:val="auto"/>
        </w:rPr>
      </w:pPr>
      <w:r>
        <w:rPr>
          <w:rFonts w:ascii="Arial" w:cs="Arial" w:eastAsia="Arial" w:hAnsi="Arial"/>
          <w:sz w:val="17"/>
          <w:szCs w:val="17"/>
          <w:color w:val="auto"/>
        </w:rPr>
        <w:t>The Company maintains disclosure controls and procedures, as defined in Rule 13a-15(e) promulgated under the Exchange Act, that are designed to ensure that information required to be disclosed by the Company in the reports that it files or submits under the Exchange Act is recorded, processed, summarized and reported within the time periods specified in the SEC’s rules and forms, and that such information is accumulated and communicated to the Company’s management, including its Chief Executive Officer and Chief Financial Officer, as appropriate, to allow timely decisions regarding required disclosure. The Company carried out an evaluation, under the supervision and with the participation of the Company’s management, including the Company’s Chief Executive Officer and Chief Financial Officer, of the effectiveness of the design and operation of the Company’s disclosure controls and procedures as of March 31, 2017, the end of the period covered by this report. Based on the foregoing, our Chief Executive Officer and Chief Financial Officer concluded that our disclosure controls and procedures were not effective as of March 31, 2017 as a result of the material weakness in internal control over financial reporting that was identified in the year ended December 31, 2016 resulting from a lack of sufficient resources in key accounting and financial reporting roles within the organization necessary to prepare financial statements in time to meet regulatory filing requirements. Notwithstanding the material weakness that continued to exist as of March 31, 2017, management has concluded that the consolidated financial statements included in this in this Quarterly Report on Form 10-Q present fairly, in all material respects, the financial position, results of operations and cash flows of the Company in accordance with accounting principles generally accepted in the U.S.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337"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There were no changes in the Company’s internal control over financial reporting, as defined in Rule 13a-15(f) promulgated under the Exchange Act, during the three months ended March 31, 2017, that have materially affected, or are reasonably likely to materially affect, the Company’s internal control over financial reporting.</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76"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PART II—OTHER INFORMATION</w:t>
      </w:r>
    </w:p>
    <w:p>
      <w:pPr>
        <w:spacing w:after="0" w:line="171" w:lineRule="exact"/>
        <w:rPr>
          <w:sz w:val="20"/>
          <w:szCs w:val="20"/>
          <w:color w:val="auto"/>
        </w:rPr>
      </w:pPr>
    </w:p>
    <w:p>
      <w:pPr>
        <w:ind w:left="20"/>
        <w:spacing w:after="0"/>
        <w:tabs>
          <w:tab w:leader="none" w:pos="9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Legal Proceedings.</w:t>
      </w:r>
    </w:p>
    <w:p>
      <w:pPr>
        <w:spacing w:after="0" w:line="94"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 xml:space="preserve">The disclosure in Note 10,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in the accompanying unaudited condensed consolidated financial statements includes a discussion of our legal proceedings and is incorporated herein by reference.</w:t>
      </w:r>
    </w:p>
    <w:p>
      <w:pPr>
        <w:spacing w:after="0" w:line="116"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The Company is also engaged in various other legal actions arising in the ordinary course of our business and, while there can be no assurance, the Company currently believes that the ultimate outcome of these other legal actions will not have a material adverse effect on its business, results of operations, financial condition or cash flows.</w:t>
      </w:r>
    </w:p>
    <w:p>
      <w:pPr>
        <w:spacing w:after="0" w:line="177" w:lineRule="exact"/>
        <w:rPr>
          <w:sz w:val="20"/>
          <w:szCs w:val="20"/>
          <w:color w:val="auto"/>
        </w:rPr>
      </w:pPr>
    </w:p>
    <w:p>
      <w:pPr>
        <w:ind w:left="20"/>
        <w:spacing w:after="0"/>
        <w:tabs>
          <w:tab w:leader="none" w:pos="9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256"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 xml:space="preserve">There have been no material changes in our risk factors from those disclosed in “Item 1A. </w:t>
      </w:r>
      <w:r>
        <w:rPr>
          <w:rFonts w:ascii="Arial" w:cs="Arial" w:eastAsia="Arial" w:hAnsi="Arial"/>
          <w:sz w:val="18"/>
          <w:szCs w:val="18"/>
          <w:i w:val="1"/>
          <w:iCs w:val="1"/>
          <w:color w:val="auto"/>
        </w:rPr>
        <w:t>Risk Factors</w:t>
      </w:r>
      <w:r>
        <w:rPr>
          <w:rFonts w:ascii="Arial" w:cs="Arial" w:eastAsia="Arial" w:hAnsi="Arial"/>
          <w:sz w:val="18"/>
          <w:szCs w:val="18"/>
          <w:color w:val="auto"/>
        </w:rPr>
        <w:t>” of the Company’s Annual Report on Form 10-K for the year ended December 31, 2016, except for the risk factors listed below.</w:t>
      </w:r>
    </w:p>
    <w:p>
      <w:pPr>
        <w:spacing w:after="0" w:line="19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An assertion by a third party that we are infringing its intellectual property could subject us to costly and time-consuming litigation or expensive licenses and our business could be harmed.</w:t>
      </w:r>
    </w:p>
    <w:p>
      <w:pPr>
        <w:spacing w:after="0" w:line="170" w:lineRule="exact"/>
        <w:rPr>
          <w:sz w:val="20"/>
          <w:szCs w:val="20"/>
          <w:color w:val="auto"/>
        </w:rPr>
      </w:pPr>
    </w:p>
    <w:p>
      <w:pPr>
        <w:ind w:firstLine="392"/>
        <w:spacing w:after="0" w:line="254" w:lineRule="auto"/>
        <w:rPr>
          <w:sz w:val="20"/>
          <w:szCs w:val="20"/>
          <w:color w:val="auto"/>
        </w:rPr>
      </w:pPr>
      <w:r>
        <w:rPr>
          <w:rFonts w:ascii="Arial" w:cs="Arial" w:eastAsia="Arial" w:hAnsi="Arial"/>
          <w:sz w:val="18"/>
          <w:szCs w:val="18"/>
          <w:color w:val="auto"/>
        </w:rPr>
        <w:t>The technology industries involving mobile data communications, IoT devices, software and services are characterized by the existence of a large number of patents, copyrights, trademarks and trade secrets and by frequent litigation based on allegations of infringement or other violations of intellectual property rights. Much of this litigation involves patent holding companies or other adverse patent owners who have no relevant product revenues of their own, and against whom our own patent portfolio may provide little or no deterrence. For example, one such entity, Carucel Investments, L.P. (“Carucel”) filed a claim seeking approximately $43.0 million in royalties and damages related to past sales of MiFi mobile hotspots. After a trial in April 2017, a jury found that our products did not infringe Carucel’s patents, but Carucel is appealing the verdict and there can be no assurances as to the ultimate outcome of this litigation. Moreover, this is just one of several patent infringement lawsuits from non-practicing entities that are brought against us or our subsidiaries each year in the ordinary course of business.</w:t>
      </w:r>
    </w:p>
    <w:p>
      <w:pPr>
        <w:spacing w:after="0" w:line="138" w:lineRule="exact"/>
        <w:rPr>
          <w:sz w:val="20"/>
          <w:szCs w:val="20"/>
          <w:color w:val="auto"/>
        </w:rPr>
      </w:pPr>
    </w:p>
    <w:p>
      <w:pPr>
        <w:ind w:right="20" w:firstLine="392"/>
        <w:spacing w:after="0" w:line="288" w:lineRule="auto"/>
        <w:rPr>
          <w:sz w:val="20"/>
          <w:szCs w:val="20"/>
          <w:color w:val="auto"/>
        </w:rPr>
      </w:pPr>
      <w:r>
        <w:rPr>
          <w:rFonts w:ascii="Arial" w:cs="Arial" w:eastAsia="Arial" w:hAnsi="Arial"/>
          <w:sz w:val="16"/>
          <w:szCs w:val="16"/>
          <w:color w:val="auto"/>
        </w:rPr>
        <w:t>We cannot assure you that we or our subsidiaries will prevail in any current or future intellectual property infringement or other litigation given the complex technical issues and inherent uncertainties in such litigation. Defending such claims, regardless of their merit, could be time-consuming and distracting to management, result in costly litigation or settlement, cause development delays, or require us or our subsidiaries to enter into royalty or licensing agreements. In addition, we or our subsidiaries could be obligated to indemnify our customers against third parties’ claims of intellectual property infringement based on our products or solutions, as is the case in the Carucel litigation for which Novatel Wireless may be obligated to indemnify its customer, Verizon Wireless if Carucel’s infringement claim ultimately result in any liability. If our products or solutions violate any third-party intellectual property rights, we could be required to withdraw them from the market, re-develop them or seek to obtain licenses from third parties, which might not be available on reasonable terms or at all. Any efforts to re-develop our products or solutions, obtain licenses from third parties on favorable terms or license a substitute technology might not be successful and, in any case, might substantially increase our costs and harm our business, financial condition and operating results. Withdrawal of any of our products or solutions from the market could harm our business, financial condition and operating results.</w:t>
      </w:r>
    </w:p>
    <w:p>
      <w:pPr>
        <w:spacing w:after="0" w:line="115" w:lineRule="exact"/>
        <w:rPr>
          <w:sz w:val="20"/>
          <w:szCs w:val="20"/>
          <w:color w:val="auto"/>
        </w:rPr>
      </w:pPr>
    </w:p>
    <w:p>
      <w:pPr>
        <w:ind w:right="20" w:firstLine="392"/>
        <w:spacing w:after="0" w:line="293" w:lineRule="auto"/>
        <w:rPr>
          <w:sz w:val="20"/>
          <w:szCs w:val="20"/>
          <w:color w:val="auto"/>
        </w:rPr>
      </w:pPr>
      <w:r>
        <w:rPr>
          <w:rFonts w:ascii="Arial" w:cs="Arial" w:eastAsia="Arial" w:hAnsi="Arial"/>
          <w:sz w:val="16"/>
          <w:szCs w:val="16"/>
          <w:color w:val="auto"/>
        </w:rPr>
        <w:t>In addition, we incorporate open source software into our products and solutions. Given the nature of open source software, third parties might assert copyright and other intellectual property infringement claims against us based on our use of certain open source software programs. The terms of many open source licenses to which we are subject have not been interpreted by U.S. courts or courts of other jurisdictions, and there is a risk that those licenses could be construed in a manner that imposes unanticipated conditions or restrictions on our ability to commercialize our products and solutions. In that event, we could be required to seek licenses from third parties in order to continue offering our products and solutions, to re-develop our solutions, to discontinue sales of our solutions, or to release our proprietary software source code under the terms of an open source license, any of which could adversely affect our business.</w:t>
      </w:r>
    </w:p>
    <w:p>
      <w:pPr>
        <w:spacing w:after="0" w:line="273" w:lineRule="exact"/>
        <w:rPr>
          <w:sz w:val="20"/>
          <w:szCs w:val="20"/>
          <w:color w:val="auto"/>
        </w:rPr>
      </w:pPr>
    </w:p>
    <w:p>
      <w:pPr>
        <w:ind w:right="860"/>
        <w:spacing w:after="0" w:line="342" w:lineRule="auto"/>
        <w:rPr>
          <w:sz w:val="20"/>
          <w:szCs w:val="20"/>
          <w:color w:val="auto"/>
        </w:rPr>
      </w:pPr>
      <w:r>
        <w:rPr>
          <w:rFonts w:ascii="Arial" w:cs="Arial" w:eastAsia="Arial" w:hAnsi="Arial"/>
          <w:sz w:val="16"/>
          <w:szCs w:val="16"/>
          <w:b w:val="1"/>
          <w:bCs w:val="1"/>
          <w:i w:val="1"/>
          <w:iCs w:val="1"/>
          <w:color w:val="auto"/>
        </w:rPr>
        <w:t>It is uncertain whether the sale of the MiFi Business to the Purchasers will be ultimately completed, and if the sale of the MiFi Business to the Purchasers is not completed as expected, then our business and financial performance may be adversely affected.</w:t>
      </w:r>
    </w:p>
    <w:p>
      <w:pPr>
        <w:spacing w:after="0" w:line="124" w:lineRule="exact"/>
        <w:rPr>
          <w:sz w:val="20"/>
          <w:szCs w:val="20"/>
          <w:color w:val="auto"/>
        </w:rPr>
      </w:pPr>
    </w:p>
    <w:p>
      <w:pPr>
        <w:ind w:right="40" w:firstLine="392"/>
        <w:spacing w:after="0" w:line="277" w:lineRule="auto"/>
        <w:rPr>
          <w:sz w:val="20"/>
          <w:szCs w:val="20"/>
          <w:color w:val="auto"/>
        </w:rPr>
      </w:pPr>
      <w:r>
        <w:rPr>
          <w:rFonts w:ascii="Arial" w:cs="Arial" w:eastAsia="Arial" w:hAnsi="Arial"/>
          <w:sz w:val="18"/>
          <w:szCs w:val="18"/>
          <w:color w:val="auto"/>
        </w:rPr>
        <w:t>The completion of the sale of the MiFi Business to the Purchasers is subject to the satisfaction or waiver of various conditions, including the approval of the transaction by CFIUS, which may not be satisfied in a timely manner or at all.</w:t>
      </w:r>
    </w:p>
    <w:p>
      <w:pPr>
        <w:spacing w:after="0" w:line="116" w:lineRule="exact"/>
        <w:rPr>
          <w:sz w:val="20"/>
          <w:szCs w:val="20"/>
          <w:color w:val="auto"/>
        </w:rPr>
      </w:pPr>
    </w:p>
    <w:p>
      <w:pPr>
        <w:ind w:right="620" w:firstLine="392"/>
        <w:spacing w:after="0" w:line="264" w:lineRule="auto"/>
        <w:rPr>
          <w:sz w:val="20"/>
          <w:szCs w:val="20"/>
          <w:color w:val="auto"/>
        </w:rPr>
      </w:pPr>
      <w:r>
        <w:rPr>
          <w:rFonts w:ascii="Arial" w:cs="Arial" w:eastAsia="Arial" w:hAnsi="Arial"/>
          <w:sz w:val="18"/>
          <w:szCs w:val="18"/>
          <w:color w:val="auto"/>
        </w:rPr>
        <w:t>While awaiting satisfaction of such conditions, we are continuing to incur expenses and liabilities relating to the MiFi Business as a result of our obligations under the Purchase Agreement to maintain the MiFi Business for the Purchasers’ benefit and are restricted by the terms of the Purchase Agreement in our ability to pursue alternative transactions in which we would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80" w:right="239" w:bottom="1440" w:gutter="0" w:footer="0" w:header="0"/>
        </w:sectPr>
      </w:pPr>
    </w:p>
    <w:bookmarkStart w:id="28" w:name="page29"/>
    <w:bookmarkEnd w:id="28"/>
    <w:p>
      <w:pPr>
        <w:spacing w:after="0" w:line="273" w:lineRule="auto"/>
        <w:rPr>
          <w:sz w:val="20"/>
          <w:szCs w:val="20"/>
          <w:color w:val="auto"/>
        </w:rPr>
      </w:pPr>
      <w:r>
        <w:rPr>
          <w:rFonts w:ascii="Arial" w:cs="Arial" w:eastAsia="Arial" w:hAnsi="Arial"/>
          <w:sz w:val="17"/>
          <w:szCs w:val="17"/>
          <w:color w:val="auto"/>
        </w:rPr>
        <w:t>sell all or a significant part of the MiFi Business to any party other than the Purchasers. We are also incurring significant third-party transaction costs in pursuing approval of the transaction from CFIUS. It is uncertain whether the sale of the MiFi Business to the Purchasers will ultimately be completed, and if the sale of the MiFi Business to the Purchasers is not completed as expected, then we will have incurred such expenses and liabilities without receiving the anticipated infusion of cash with which to pay them. In addition, our directors, executive officers and other employees will have expended extensive time and effort and will have experienced significant distractions from their work during the pendency of the sale without any commensurate benefit to the Company, which may have a material and adverse effect on our stock price and results of operations.</w:t>
      </w:r>
    </w:p>
    <w:p>
      <w:pPr>
        <w:spacing w:after="0" w:line="124" w:lineRule="exact"/>
        <w:rPr>
          <w:sz w:val="20"/>
          <w:szCs w:val="20"/>
          <w:color w:val="auto"/>
        </w:rPr>
      </w:pPr>
    </w:p>
    <w:p>
      <w:pPr>
        <w:ind w:right="40" w:firstLine="405"/>
        <w:spacing w:after="0" w:line="293" w:lineRule="auto"/>
        <w:rPr>
          <w:sz w:val="20"/>
          <w:szCs w:val="20"/>
          <w:color w:val="auto"/>
        </w:rPr>
      </w:pPr>
      <w:r>
        <w:rPr>
          <w:rFonts w:ascii="Arial" w:cs="Arial" w:eastAsia="Arial" w:hAnsi="Arial"/>
          <w:sz w:val="16"/>
          <w:szCs w:val="16"/>
          <w:color w:val="auto"/>
        </w:rPr>
        <w:t>If the sale of the MiFi Business to the Purchasers is not completed, our Board of Directors, in discharging its fiduciary obligations to our stockholders, may evaluate other strategic alternatives including, but not limited to, an alternative sale or other strategic transaction relating to the MiFi Business or the Company as a whole, potential joint ventures or licensing arrangements, incurrence of additional debt or issuance of additional equity, or the commencement of a Chapter 11 proceeding with or without a pre-arranged plan of reorganization. An alternative sale transaction, if available, may yield lower consideration than the proposed sale to the Purchasers, be on less favorable terms and conditions than those contained in the Purchase Agreement and involve significant delay. Any future sale of substantially all of our assets or other strategic transactions may be subject to further stockholder approval.</w:t>
      </w:r>
    </w:p>
    <w:p>
      <w:pPr>
        <w:spacing w:after="0" w:line="273" w:lineRule="exact"/>
        <w:rPr>
          <w:sz w:val="20"/>
          <w:szCs w:val="20"/>
          <w:color w:val="auto"/>
        </w:rPr>
      </w:pPr>
    </w:p>
    <w:p>
      <w:pPr>
        <w:ind w:right="100" w:firstLine="392"/>
        <w:spacing w:after="0" w:line="259" w:lineRule="auto"/>
        <w:rPr>
          <w:sz w:val="20"/>
          <w:szCs w:val="20"/>
          <w:color w:val="auto"/>
        </w:rPr>
      </w:pPr>
      <w:r>
        <w:rPr>
          <w:rFonts w:ascii="Arial" w:cs="Arial" w:eastAsia="Arial" w:hAnsi="Arial"/>
          <w:sz w:val="18"/>
          <w:szCs w:val="18"/>
          <w:color w:val="auto"/>
        </w:rPr>
        <w:t>Finally, if the sale of the MiFi Business to the Purchasers is not completed as expected, then the announcement of the termination of the Purchase Agreement may adversely affect our relationships with customers, suppliers and employees, which could have a material adverse impact on our ability to effectively operate the MiFi Business or our other businesses, each of which could have further adverse effects on our business, results of operations and the trading price of our common stock.</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is substantial doubt about our ability to continue as a going concern, which may hinder our ability to obtain further financing.</w:t>
      </w:r>
    </w:p>
    <w:p>
      <w:pPr>
        <w:spacing w:after="0" w:line="171" w:lineRule="exact"/>
        <w:rPr>
          <w:sz w:val="20"/>
          <w:szCs w:val="20"/>
          <w:color w:val="auto"/>
        </w:rPr>
      </w:pPr>
    </w:p>
    <w:p>
      <w:pPr>
        <w:ind w:firstLine="405"/>
        <w:spacing w:after="0" w:line="289" w:lineRule="auto"/>
        <w:rPr>
          <w:sz w:val="20"/>
          <w:szCs w:val="20"/>
          <w:color w:val="auto"/>
        </w:rPr>
      </w:pPr>
      <w:r>
        <w:rPr>
          <w:rFonts w:ascii="Arial" w:cs="Arial" w:eastAsia="Arial" w:hAnsi="Arial"/>
          <w:sz w:val="16"/>
          <w:szCs w:val="16"/>
          <w:color w:val="auto"/>
        </w:rPr>
        <w:t>Our unaudited financial statements for the three months ended March 31, 2017, were prepared under the assumption that we would continue our operations as a going concern. However, the amount of our cash and cash equivalents at March 31, 2017, including the proceeds of the Loan provided under the Credit Agreement, may not be sufficient to meet the cash requirements to fund planned operations through May 15, 2018 without additional sources of cash, which raises substantial doubt about our ability to continue as a going concern. Uncertainty concerning our ability to continue as a going concern may hinder our ability to obtain future financing. Continued operations and our ability to continue as a going concern are dependent on our ability to obtain additional funding in the near future and thereafter, and there are no assurances that such funding will be available to us at all or will be available in sufficient amounts or on reasonable terms. Our financial statements do not include any adjustments that may result from the outcome of this uncertainty. Without additional funds from private and/or public offerings of debt or equity securities, sales of assets, or other financing transactions we will exhaust our resources and will be unable to continue operations. If we cannot continue as a viable entity, our stockholders would likely lose most or all of their investment in us.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 protracted financial restructuring could cause us to lose key management employees and otherwise adversely affect our business.</w:t>
      </w:r>
    </w:p>
    <w:p>
      <w:pPr>
        <w:spacing w:after="0" w:line="129" w:lineRule="exact"/>
        <w:rPr>
          <w:sz w:val="20"/>
          <w:szCs w:val="20"/>
          <w:color w:val="auto"/>
        </w:rPr>
      </w:pPr>
    </w:p>
    <w:p>
      <w:pPr>
        <w:ind w:right="60" w:firstLine="392"/>
        <w:spacing w:after="0" w:line="276" w:lineRule="auto"/>
        <w:rPr>
          <w:sz w:val="20"/>
          <w:szCs w:val="20"/>
          <w:color w:val="auto"/>
        </w:rPr>
      </w:pPr>
      <w:r>
        <w:rPr>
          <w:rFonts w:ascii="Arial" w:cs="Arial" w:eastAsia="Arial" w:hAnsi="Arial"/>
          <w:sz w:val="17"/>
          <w:szCs w:val="17"/>
          <w:color w:val="auto"/>
        </w:rPr>
        <w:t>If the sale of the MiFi Business to the Purchasers is not completed as expected, then any alternative we pursue may take substantially longer to consummate than the planned divestiture. A protracted financial restructuring could disrupt our business and would divert the attention of our management from the operation of our business and implementation of our business plan. It is possible that such a prolonged financial restructuring or bankruptcy proceeding would cause us to lose many of our key management employees. Such losses of key management employees would likely make it difficult for us to complete a financial restructuring and may make it less likely that we will be able to continue as a viable business.</w:t>
      </w:r>
    </w:p>
    <w:p>
      <w:pPr>
        <w:spacing w:after="0" w:line="11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uncertainty surrounding a prolonged financial restructuring could also have other adverse effects on us. For example, it could also adversely affect:</w:t>
      </w:r>
    </w:p>
    <w:p>
      <w:pPr>
        <w:spacing w:after="0" w:line="86"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raise additional capital;</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capitalize on business opportunities and react to competitive pressures;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attract and retain employees;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liquidity;</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how our business is viewed by investors, lenders, strategic partners or customers; and</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enterprise value.</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60"/>
          </w:cols>
          <w:pgMar w:left="240" w:top="530" w:right="299" w:bottom="1440" w:gutter="0" w:footer="0" w:header="0"/>
        </w:sectPr>
      </w:pPr>
    </w:p>
    <w:bookmarkStart w:id="29" w:name="page30"/>
    <w:bookmarkEnd w:id="29"/>
    <w:p>
      <w:pPr>
        <w:spacing w:after="0"/>
        <w:rPr>
          <w:sz w:val="20"/>
          <w:szCs w:val="20"/>
          <w:color w:val="auto"/>
        </w:rPr>
      </w:pPr>
      <w:r>
        <w:rPr>
          <w:rFonts w:ascii="Arial" w:cs="Arial" w:eastAsia="Arial" w:hAnsi="Arial"/>
          <w:sz w:val="16"/>
          <w:szCs w:val="16"/>
          <w:b w:val="1"/>
          <w:bCs w:val="1"/>
          <w:i w:val="1"/>
          <w:iCs w:val="1"/>
          <w:color w:val="auto"/>
        </w:rPr>
        <w:t>Servicing our debt requires a significant amount of cash, and we may not have sufficient cash flow from our business to pay our substantial debt.</w:t>
      </w:r>
    </w:p>
    <w:p>
      <w:pPr>
        <w:spacing w:after="0" w:line="140" w:lineRule="exact"/>
        <w:rPr>
          <w:sz w:val="20"/>
          <w:szCs w:val="20"/>
          <w:color w:val="auto"/>
        </w:rPr>
      </w:pPr>
    </w:p>
    <w:p>
      <w:pPr>
        <w:ind w:right="20" w:firstLine="392"/>
        <w:spacing w:after="0" w:line="272" w:lineRule="auto"/>
        <w:rPr>
          <w:sz w:val="20"/>
          <w:szCs w:val="20"/>
          <w:color w:val="auto"/>
        </w:rPr>
      </w:pPr>
      <w:r>
        <w:rPr>
          <w:rFonts w:ascii="Arial" w:cs="Arial" w:eastAsia="Arial" w:hAnsi="Arial"/>
          <w:sz w:val="17"/>
          <w:szCs w:val="17"/>
          <w:color w:val="auto"/>
        </w:rPr>
        <w:t>Our ability to make scheduled payments of the principal of, to pay interest on, or to refinance our indebtedness, including our recently announced secured debt financing and our Inseego Notes, depends on our future performance, which is subject to economic, financial, competitive and other factors beyond our control. Our business may not generate cash flow from operations in the future sufficient to service our debt and other fixed charges, fund working capital needs and make necessary capital expenditures. If we are unable to generate such cash flow, we may be required to adopt one or more alternatives, such as selling assets, restructuring debt or obtaining additional equity capital on terms that may be onerous or highly dilutive. Our ability to refinance our indebtedness will depend on the capital markets and our financial condition at such time. We may not be able to engage in any of these activities or engage in these activities on desirable terms, which could result in a default on our debt obligations.</w:t>
      </w:r>
    </w:p>
    <w:p>
      <w:pPr>
        <w:spacing w:after="0" w:line="124"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If we are unable to generate sufficient cash flow or otherwise obtain funds necessary to make required payments, or if we fail to comply with the various requirements of our existing indebtedness or any other indebtedness which we may incur in the future, we would be in default, which could permit the holders of our indebtedness, including the Inseego Notes, to accelerate the maturity of such indebtedness. Any default under such indebtedness could have a material adverse effect on our business, results of operations and financial condition.</w:t>
      </w:r>
    </w:p>
    <w:p>
      <w:pPr>
        <w:spacing w:after="0" w:line="295"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b w:val="1"/>
          <w:bCs w:val="1"/>
          <w:i w:val="1"/>
          <w:iCs w:val="1"/>
          <w:color w:val="auto"/>
        </w:rPr>
        <w:t>The Credit Agreement relating to our recently announced secured debt financing contains customary operational covenants, our failure to comply with which could result in a default under the Credit Agreement as well as a cross-default under the Inseego Indenture.</w:t>
      </w:r>
    </w:p>
    <w:p>
      <w:pPr>
        <w:spacing w:after="0" w:line="255" w:lineRule="exact"/>
        <w:rPr>
          <w:sz w:val="20"/>
          <w:szCs w:val="20"/>
          <w:color w:val="auto"/>
        </w:rPr>
      </w:pPr>
    </w:p>
    <w:p>
      <w:pPr>
        <w:ind w:right="20" w:firstLine="392"/>
        <w:spacing w:after="0" w:line="255" w:lineRule="auto"/>
        <w:rPr>
          <w:sz w:val="20"/>
          <w:szCs w:val="20"/>
          <w:color w:val="auto"/>
        </w:rPr>
      </w:pPr>
      <w:r>
        <w:rPr>
          <w:rFonts w:ascii="Arial" w:cs="Arial" w:eastAsia="Arial" w:hAnsi="Arial"/>
          <w:sz w:val="18"/>
          <w:szCs w:val="18"/>
          <w:color w:val="auto"/>
        </w:rPr>
        <w:t>The Credit Agreement for our recently announced secured debt financing contains usual and customary restrictive covenants relating to the management and operation of our business, and it is likely that any future debt arrangements we may enter into would contain similar covenants. Failure to comply with any of the covenants under the Credit Agreement or any other debt agreement providing for borrowings in excess of $5.0 million could result in a default under such an agreement and a cross-default under the Inseego Indenture, which could permit the holders of the Inseego Notes to accelerate the maturity of such indebtedness. Any default or cross-default under such indebtedness could have a material adverse effect on our business, results of operations and financial results.</w:t>
      </w:r>
    </w:p>
    <w:p>
      <w:pPr>
        <w:spacing w:after="0" w:line="301"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b w:val="1"/>
          <w:bCs w:val="1"/>
          <w:i w:val="1"/>
          <w:iCs w:val="1"/>
          <w:color w:val="auto"/>
        </w:rPr>
        <w:t>The indebtedness under our Credit Agreement is secured by substantially all of our assets. As a result of this security interest, such assets would only be available to satisfy claims of our general creditors or to holders of our equity securities if we were to become insolvent to the extent that the value of such assets exceeded the amount of our indebtedness and other obligations under the Credit Agreement.</w:t>
      </w:r>
    </w:p>
    <w:p>
      <w:pPr>
        <w:spacing w:after="0" w:line="274" w:lineRule="exact"/>
        <w:rPr>
          <w:sz w:val="20"/>
          <w:szCs w:val="20"/>
          <w:color w:val="auto"/>
        </w:rPr>
      </w:pPr>
    </w:p>
    <w:p>
      <w:pPr>
        <w:ind w:right="100" w:firstLine="405"/>
        <w:spacing w:after="0" w:line="297" w:lineRule="auto"/>
        <w:rPr>
          <w:sz w:val="20"/>
          <w:szCs w:val="20"/>
          <w:color w:val="auto"/>
        </w:rPr>
      </w:pPr>
      <w:r>
        <w:rPr>
          <w:rFonts w:ascii="Arial" w:cs="Arial" w:eastAsia="Arial" w:hAnsi="Arial"/>
          <w:sz w:val="16"/>
          <w:szCs w:val="16"/>
          <w:color w:val="auto"/>
        </w:rPr>
        <w:t>Indebtedness under our Credit Agreement is secured by a lien on substantially all of our assets. Accordingly, if an event of default were to occur under the Credit Agreement, such as a bankruptcy, insolvency, liquidation or other reorganization, the Lender would have a priority right to our assets, to the exclusion of our general creditors. In that event, our assets would first be used to repay in full all indebtedness and other obligations under the Credit Agreement, resulting in all or a portion of our assets being unavailable to satisfy the claims of our unsecured creditors. Only after satisfying the claims of our unsecured creditors and our subsidiaries’ unsecured creditors would any amount be available for distribution to holders of our equity securities.</w:t>
      </w:r>
    </w:p>
    <w:p>
      <w:pPr>
        <w:spacing w:after="0" w:line="266" w:lineRule="exact"/>
        <w:rPr>
          <w:sz w:val="20"/>
          <w:szCs w:val="20"/>
          <w:color w:val="auto"/>
        </w:rPr>
      </w:pPr>
    </w:p>
    <w:p>
      <w:pPr>
        <w:ind w:right="560"/>
        <w:spacing w:after="0" w:line="342" w:lineRule="auto"/>
        <w:rPr>
          <w:sz w:val="20"/>
          <w:szCs w:val="20"/>
          <w:color w:val="auto"/>
        </w:rPr>
      </w:pPr>
      <w:r>
        <w:rPr>
          <w:rFonts w:ascii="Arial" w:cs="Arial" w:eastAsia="Arial" w:hAnsi="Arial"/>
          <w:sz w:val="16"/>
          <w:szCs w:val="16"/>
          <w:b w:val="1"/>
          <w:bCs w:val="1"/>
          <w:i w:val="1"/>
          <w:iCs w:val="1"/>
          <w:color w:val="auto"/>
        </w:rPr>
        <w:t>If we fail to maintain an effective system of internal controls over financial reporting, we may not be able to report our financial results timely and accurately, which could adversely affect investor confidence in the Company, and in turn, our results of operations and our stock price.</w:t>
      </w:r>
    </w:p>
    <w:p>
      <w:pPr>
        <w:spacing w:after="0" w:line="232" w:lineRule="exact"/>
        <w:rPr>
          <w:sz w:val="20"/>
          <w:szCs w:val="20"/>
          <w:color w:val="auto"/>
        </w:rPr>
      </w:pPr>
    </w:p>
    <w:p>
      <w:pPr>
        <w:ind w:right="360" w:firstLine="405"/>
        <w:spacing w:after="0" w:line="308" w:lineRule="auto"/>
        <w:rPr>
          <w:sz w:val="20"/>
          <w:szCs w:val="20"/>
          <w:color w:val="auto"/>
        </w:rPr>
      </w:pPr>
      <w:r>
        <w:rPr>
          <w:rFonts w:ascii="Arial" w:cs="Arial" w:eastAsia="Arial" w:hAnsi="Arial"/>
          <w:sz w:val="17"/>
          <w:szCs w:val="17"/>
          <w:color w:val="auto"/>
        </w:rPr>
        <w:t>Effective internal controls are necessary for us to provide reliable financial reports and operate successfully as a public company. Section 404 of the Sarbanes-Oxley Act of 2002 requires that companies evaluate and report on their systems of internal control over financial reporting.</w:t>
      </w:r>
    </w:p>
    <w:p>
      <w:pPr>
        <w:spacing w:after="0" w:line="255" w:lineRule="exact"/>
        <w:rPr>
          <w:sz w:val="20"/>
          <w:szCs w:val="20"/>
          <w:color w:val="auto"/>
        </w:rPr>
      </w:pPr>
    </w:p>
    <w:p>
      <w:pPr>
        <w:ind w:right="100" w:firstLine="405"/>
        <w:spacing w:after="0" w:line="272" w:lineRule="auto"/>
        <w:rPr>
          <w:sz w:val="20"/>
          <w:szCs w:val="20"/>
          <w:color w:val="auto"/>
        </w:rPr>
      </w:pPr>
      <w:r>
        <w:rPr>
          <w:rFonts w:ascii="Arial" w:cs="Arial" w:eastAsia="Arial" w:hAnsi="Arial"/>
          <w:sz w:val="17"/>
          <w:szCs w:val="17"/>
          <w:color w:val="auto"/>
        </w:rPr>
        <w:t>Our management has concluded that the Company’s disclosure controls and procedures were not effective as of March 31, 2017 as a result of the material weakness in internal control over financial reporting that was identified in the year ended December 31, 2016 resulting from a lack of sufficient resources in key accounting and financial reporting roles within the organization necessary to prepare financial statements in time to meet regulatory filing requirements. Notwithstanding the material weakness that continued to exist as of March 31, 2017, our management believes that there are no material inaccuracies or omissions of material fact in the Company’s financial statements and, to the best of its knowledge, believes that the consolidated financial statements for the quarter ended March 31, 2017 fairly present in all material respects the Company’s financial position, results of operations, and cash flows in accordance with accounting principles generally accepted in the U.S.</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530" w:right="239" w:bottom="1440" w:gutter="0" w:footer="0" w:header="0"/>
        </w:sectPr>
      </w:pPr>
    </w:p>
    <w:bookmarkStart w:id="30" w:name="page31"/>
    <w:bookmarkEnd w:id="30"/>
    <w:p>
      <w:pPr>
        <w:ind w:firstLine="405"/>
        <w:spacing w:after="0" w:line="290" w:lineRule="auto"/>
        <w:rPr>
          <w:sz w:val="20"/>
          <w:szCs w:val="20"/>
          <w:color w:val="auto"/>
        </w:rPr>
      </w:pPr>
      <w:r>
        <w:rPr>
          <w:rFonts w:ascii="Arial" w:cs="Arial" w:eastAsia="Arial" w:hAnsi="Arial"/>
          <w:sz w:val="16"/>
          <w:szCs w:val="16"/>
          <w:color w:val="auto"/>
        </w:rPr>
        <w:t>We are continuing to evaluate measures to remediate the material weakness by augmenting our existing resources with additional consultants or employees to assist in financial statement preparation and the analysis and recording of complex accounting transactions. Although we believe that this corrective step will enable management to conclude that the internal controls over our financial reporting are effective, we cannot provide assurance that this step will be sufficient and we may be required to expend additional resources to remediate the material weakness. A failure to maintain effective internal controls could cause a delay in compliance with our reporting obligations, SEC rules and regulations or Section 404 of the Sarbanes Oxley Act of 2002, which could subject us to a variety of administrative sanctions, including, but not limited to, SEC enforcement action, ineligibility for short form registration, the suspension or delisting of our common stock from the stock exchange on which it is listed and the inability of registered broker-dealers to make a market in our common stock, which could adversely affect our business and the trading price of our common stock.</w:t>
      </w:r>
    </w:p>
    <w:p>
      <w:pPr>
        <w:spacing w:after="0" w:line="2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Unregistered Sales of Equity Securities and Use of Proceeds.</w:t>
      </w:r>
    </w:p>
    <w:p>
      <w:pPr>
        <w:spacing w:after="0" w:line="229" w:lineRule="exact"/>
        <w:rPr>
          <w:sz w:val="20"/>
          <w:szCs w:val="20"/>
          <w:color w:val="auto"/>
        </w:rPr>
      </w:pPr>
    </w:p>
    <w:p>
      <w:pPr>
        <w:ind w:right="340" w:firstLine="405"/>
        <w:spacing w:after="0" w:line="277" w:lineRule="auto"/>
        <w:rPr>
          <w:sz w:val="20"/>
          <w:szCs w:val="20"/>
          <w:color w:val="auto"/>
        </w:rPr>
      </w:pPr>
      <w:r>
        <w:rPr>
          <w:rFonts w:ascii="Arial" w:cs="Arial" w:eastAsia="Arial" w:hAnsi="Arial"/>
          <w:sz w:val="18"/>
          <w:szCs w:val="18"/>
          <w:color w:val="auto"/>
        </w:rPr>
        <w:t>There were no unregistered sales of the Company’s equity securities during the three-month period ended March 31, 2017 that were not previously disclosed in a Current Report on Form 8-K.</w:t>
      </w:r>
    </w:p>
    <w:p>
      <w:pPr>
        <w:spacing w:after="0" w:line="22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Defaults Upon Senior Securities.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7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i w:val="1"/>
          <w:iCs w:val="1"/>
          <w:color w:val="auto"/>
        </w:rPr>
        <w:t>Other Information.</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36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40"/>
          </w:cols>
          <w:pgMar w:left="240" w:top="530" w:right="31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560" w:type="dxa"/>
            <w:vAlign w:val="bottom"/>
            <w:gridSpan w:val="3"/>
          </w:tcPr>
          <w:p>
            <w:pPr>
              <w:ind w:left="120"/>
              <w:spacing w:after="0"/>
              <w:rPr>
                <w:sz w:val="20"/>
                <w:szCs w:val="20"/>
                <w:color w:val="auto"/>
              </w:rPr>
            </w:pPr>
            <w:r>
              <w:rPr>
                <w:rFonts w:ascii="Arial" w:cs="Arial" w:eastAsia="Arial" w:hAnsi="Arial"/>
                <w:sz w:val="18"/>
                <w:szCs w:val="18"/>
                <w:b w:val="1"/>
                <w:bCs w:val="1"/>
                <w:i w:val="1"/>
                <w:iCs w:val="1"/>
                <w:color w:val="auto"/>
              </w:rPr>
              <w:t>Exhibits.</w:t>
            </w:r>
          </w:p>
        </w:tc>
      </w:tr>
      <w:tr>
        <w:trPr>
          <w:trHeight w:val="399"/>
        </w:trPr>
        <w:tc>
          <w:tcPr>
            <w:tcW w:w="8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Exhibit No.</w:t>
            </w:r>
          </w:p>
        </w:tc>
        <w:tc>
          <w:tcPr>
            <w:tcW w:w="1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2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Description</w:t>
            </w:r>
          </w:p>
        </w:tc>
      </w:tr>
      <w:tr>
        <w:trPr>
          <w:trHeight w:val="350"/>
        </w:trPr>
        <w:tc>
          <w:tcPr>
            <w:tcW w:w="860" w:type="dxa"/>
            <w:vAlign w:val="bottom"/>
          </w:tcPr>
          <w:p>
            <w:pPr>
              <w:ind w:left="40"/>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4"/>
              </w:rPr>
              <w:t>Agreement and Plan of Merger, dated March 27, 2015, by and among Novatel Wireless, Inc., Duck Acquisition, Inc., R.E.R. Enterprises,</w:t>
            </w:r>
          </w:p>
        </w:tc>
      </w:tr>
      <w:tr>
        <w:trPr>
          <w:trHeight w:val="216"/>
        </w:trPr>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4"/>
              </w:rPr>
              <w:t>Inc., the stockholders of R.E.R. Enterprises, Inc. and Ethan Ralston, as the representative of the stockholders of R.E.R. Enterprises, Inc.</w:t>
            </w:r>
          </w:p>
        </w:tc>
      </w:tr>
      <w:tr>
        <w:trPr>
          <w:trHeight w:val="230"/>
        </w:trPr>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(incorporated by reference to Exhibit 2.1 to the Company’s Current Report on Form 8-K, filed April 1, 2015).</w:t>
            </w:r>
          </w:p>
        </w:tc>
      </w:tr>
      <w:tr>
        <w:trPr>
          <w:trHeight w:val="377"/>
        </w:trPr>
        <w:tc>
          <w:tcPr>
            <w:tcW w:w="860" w:type="dxa"/>
            <w:vAlign w:val="bottom"/>
          </w:tcPr>
          <w:p>
            <w:pPr>
              <w:ind w:left="40"/>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3"/>
              </w:rPr>
              <w:t>Amendment No. 1 to Agreement and Plan of Merger, dated January 5, 2016, by and among Novatel Wireless, Inc., Duck Acquisition, Inc.,</w:t>
            </w:r>
          </w:p>
        </w:tc>
      </w:tr>
      <w:tr>
        <w:trPr>
          <w:trHeight w:val="216"/>
        </w:trPr>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1"/>
              </w:rPr>
              <w:t>R.E.R. Enterprises, Inc., certain stockholders of R.E.R. Enterprises, Inc. and Ethan Ralston, as the representative of the R.E.R. stockholders</w:t>
            </w:r>
          </w:p>
        </w:tc>
      </w:tr>
      <w:tr>
        <w:trPr>
          <w:trHeight w:val="230"/>
        </w:trPr>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(incorporated by reference to Exhibit 2.1 to the Company’s Current Report on Form 8-K, filed January 11, 2016).</w:t>
            </w:r>
          </w:p>
        </w:tc>
      </w:tr>
      <w:tr>
        <w:trPr>
          <w:trHeight w:val="377"/>
        </w:trPr>
        <w:tc>
          <w:tcPr>
            <w:tcW w:w="860" w:type="dxa"/>
            <w:vAlign w:val="bottom"/>
          </w:tcPr>
          <w:p>
            <w:pPr>
              <w:ind w:left="40"/>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7"/>
              </w:rPr>
              <w:t>Transaction Implementation Agreement, dated June 18, 2015, by and between Novatel Wireless, Inc. and DigiCore Holdings Limited</w:t>
            </w:r>
          </w:p>
        </w:tc>
      </w:tr>
      <w:tr>
        <w:trPr>
          <w:trHeight w:val="230"/>
        </w:trPr>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(incorporated by reference to Exhibit 2.1 to the Company’s Current Report on Form 8-K, filed June 24, 2015).</w:t>
            </w:r>
          </w:p>
        </w:tc>
      </w:tr>
      <w:tr>
        <w:trPr>
          <w:trHeight w:val="377"/>
        </w:trPr>
        <w:tc>
          <w:tcPr>
            <w:tcW w:w="860" w:type="dxa"/>
            <w:vAlign w:val="bottom"/>
          </w:tcPr>
          <w:p>
            <w:pPr>
              <w:ind w:left="40"/>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4"/>
              </w:rPr>
              <w:t>Asset Purchase Agreement, dated April 11, 2016, by and among Novatel Wireless Inc. and Telit Technologies (Cyprus) Limited and Telit</w:t>
            </w:r>
          </w:p>
        </w:tc>
      </w:tr>
      <w:tr>
        <w:trPr>
          <w:trHeight w:val="230"/>
        </w:trPr>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4"/>
              </w:rPr>
              <w:t>Wireless Solutions, Inc. (incorporated by reference to Exhibit 2.5 to the Company’s Quarterly Report on Form 10-Q, filed May 10, 2016).</w:t>
            </w:r>
          </w:p>
        </w:tc>
      </w:tr>
      <w:tr>
        <w:trPr>
          <w:trHeight w:val="377"/>
        </w:trPr>
        <w:tc>
          <w:tcPr>
            <w:tcW w:w="860" w:type="dxa"/>
            <w:vAlign w:val="bottom"/>
          </w:tcPr>
          <w:p>
            <w:pPr>
              <w:ind w:left="40"/>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1"/>
              </w:rPr>
              <w:t>Final Resolution Letter Agreement, dated September 29, 2016, by and among Novatel Wireless Inc. and Telit Technologies (Cyprus) Limited</w:t>
            </w:r>
          </w:p>
        </w:tc>
      </w:tr>
      <w:tr>
        <w:trPr>
          <w:trHeight w:val="230"/>
        </w:trPr>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and Telit Wireless Solutions, Inc.</w:t>
            </w:r>
          </w:p>
        </w:tc>
      </w:tr>
      <w:tr>
        <w:trPr>
          <w:trHeight w:val="377"/>
        </w:trPr>
        <w:tc>
          <w:tcPr>
            <w:tcW w:w="860" w:type="dxa"/>
            <w:vAlign w:val="bottom"/>
          </w:tcPr>
          <w:p>
            <w:pPr>
              <w:ind w:left="40"/>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1"/>
              </w:rPr>
              <w:t>Stock Purchase Agreement, dated September 21, 2016, by and among Novatel Wireless, Inc., Inseego Corp. (formerly Vanilla Technologies,</w:t>
            </w:r>
          </w:p>
        </w:tc>
      </w:tr>
      <w:tr>
        <w:trPr>
          <w:trHeight w:val="216"/>
        </w:trPr>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3"/>
              </w:rPr>
              <w:t>Inc.), T.C.L. Industries Holdings (H.K.) Limited and Jade Ocean Global Limited (incorporated by reference to Exhibit 2.1 to the Company’s</w:t>
            </w:r>
          </w:p>
        </w:tc>
      </w:tr>
      <w:tr>
        <w:trPr>
          <w:trHeight w:val="230"/>
        </w:trPr>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Current Report on Form 8-K, filed September 22, 2016).</w:t>
            </w:r>
          </w:p>
        </w:tc>
      </w:tr>
      <w:tr>
        <w:trPr>
          <w:trHeight w:val="377"/>
        </w:trPr>
        <w:tc>
          <w:tcPr>
            <w:tcW w:w="860" w:type="dxa"/>
            <w:vAlign w:val="bottom"/>
          </w:tcPr>
          <w:p>
            <w:pPr>
              <w:ind w:left="40"/>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2"/>
              </w:rPr>
              <w:t>Amended and Restated Certificate of Incorporation (incorporated by reference to Exhibit 3.1 to the Company’s Current Report on Form 8-K,</w:t>
            </w:r>
          </w:p>
        </w:tc>
      </w:tr>
      <w:tr>
        <w:trPr>
          <w:trHeight w:val="230"/>
        </w:trPr>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filed November 9, 2016).</w:t>
            </w:r>
          </w:p>
        </w:tc>
      </w:tr>
      <w:tr>
        <w:trPr>
          <w:trHeight w:val="377"/>
        </w:trPr>
        <w:tc>
          <w:tcPr>
            <w:tcW w:w="860" w:type="dxa"/>
            <w:vAlign w:val="bottom"/>
          </w:tcPr>
          <w:p>
            <w:pPr>
              <w:ind w:left="40"/>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2"/>
              </w:rPr>
              <w:t>Amended and Restated Bylaws (incorporated by reference to Exhibit 3.2 to the Company’s Current Report on Form 8-K, filed November 9,</w:t>
            </w:r>
          </w:p>
        </w:tc>
      </w:tr>
      <w:tr>
        <w:trPr>
          <w:trHeight w:val="230"/>
        </w:trPr>
        <w:tc>
          <w:tcPr>
            <w:tcW w:w="860" w:type="dxa"/>
            <w:vAlign w:val="bottom"/>
          </w:tcPr>
          <w:p>
            <w:pPr>
              <w:spacing w:after="0"/>
              <w:rPr>
                <w:sz w:val="20"/>
                <w:szCs w:val="20"/>
                <w:color w:val="auto"/>
              </w:rPr>
            </w:pPr>
          </w:p>
        </w:tc>
        <w:tc>
          <w:tcPr>
            <w:tcW w:w="10560" w:type="dxa"/>
            <w:vAlign w:val="bottom"/>
            <w:gridSpan w:val="3"/>
          </w:tcPr>
          <w:p>
            <w:pPr>
              <w:ind w:left="320"/>
              <w:spacing w:after="0"/>
              <w:rPr>
                <w:sz w:val="20"/>
                <w:szCs w:val="20"/>
                <w:color w:val="auto"/>
              </w:rPr>
            </w:pPr>
            <w:r>
              <w:rPr>
                <w:rFonts w:ascii="Arial" w:cs="Arial" w:eastAsia="Arial" w:hAnsi="Arial"/>
                <w:sz w:val="18"/>
                <w:szCs w:val="18"/>
                <w:color w:val="auto"/>
              </w:rPr>
              <w:t>2016).</w:t>
            </w:r>
          </w:p>
        </w:tc>
      </w:tr>
      <w:tr>
        <w:trPr>
          <w:trHeight w:val="377"/>
        </w:trPr>
        <w:tc>
          <w:tcPr>
            <w:tcW w:w="860" w:type="dxa"/>
            <w:vAlign w:val="bottom"/>
          </w:tcPr>
          <w:p>
            <w:pPr>
              <w:ind w:left="40"/>
              <w:spacing w:after="0"/>
              <w:rPr>
                <w:sz w:val="20"/>
                <w:szCs w:val="20"/>
                <w:color w:val="auto"/>
              </w:rPr>
            </w:pPr>
            <w:r>
              <w:rPr>
                <w:rFonts w:ascii="Arial" w:cs="Arial" w:eastAsia="Arial" w:hAnsi="Arial"/>
                <w:sz w:val="18"/>
                <w:szCs w:val="18"/>
                <w:color w:val="auto"/>
              </w:rPr>
              <w:t>10.1**</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2"/>
              </w:rPr>
              <w:t>Twelfth Amendment to Credit and Security Agreement, dated as of March 20, 2017, by and among Novatel Wireless, Inc., Enfora, Inc. and</w:t>
            </w:r>
          </w:p>
        </w:tc>
      </w:tr>
      <w:tr>
        <w:trPr>
          <w:trHeight w:val="216"/>
        </w:trPr>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3"/>
              </w:rPr>
              <w:t>Feeney Wireless, LLC, as Borrowers, R.E.R. Enterprises, Inc. and Feeney Wireless IC-DISC, Inc., as Guarantors, and Wells Fargo Bank,</w:t>
            </w:r>
          </w:p>
        </w:tc>
      </w:tr>
      <w:tr>
        <w:trPr>
          <w:trHeight w:val="230"/>
        </w:trPr>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National Association, as Lender.</w:t>
            </w:r>
          </w:p>
        </w:tc>
      </w:tr>
      <w:tr>
        <w:trPr>
          <w:trHeight w:val="392"/>
        </w:trPr>
        <w:tc>
          <w:tcPr>
            <w:tcW w:w="860" w:type="dxa"/>
            <w:vAlign w:val="bottom"/>
          </w:tcPr>
          <w:p>
            <w:pPr>
              <w:ind w:left="40"/>
              <w:spacing w:after="0"/>
              <w:rPr>
                <w:sz w:val="20"/>
                <w:szCs w:val="20"/>
                <w:color w:val="auto"/>
              </w:rPr>
            </w:pPr>
            <w:r>
              <w:rPr>
                <w:rFonts w:ascii="Arial" w:cs="Arial" w:eastAsia="Arial" w:hAnsi="Arial"/>
                <w:sz w:val="18"/>
                <w:szCs w:val="18"/>
                <w:color w:val="auto"/>
              </w:rPr>
              <w:t>10.2**</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2017 Inseego Corporate Bonus Plan.</w:t>
            </w:r>
          </w:p>
        </w:tc>
      </w:tr>
      <w:tr>
        <w:trPr>
          <w:trHeight w:val="392"/>
        </w:trPr>
        <w:tc>
          <w:tcPr>
            <w:tcW w:w="860" w:type="dxa"/>
            <w:vAlign w:val="bottom"/>
          </w:tcPr>
          <w:p>
            <w:pPr>
              <w:ind w:left="40"/>
              <w:spacing w:after="0"/>
              <w:rPr>
                <w:sz w:val="20"/>
                <w:szCs w:val="20"/>
                <w:color w:val="auto"/>
              </w:rPr>
            </w:pPr>
            <w:r>
              <w:rPr>
                <w:rFonts w:ascii="Arial" w:cs="Arial" w:eastAsia="Arial" w:hAnsi="Arial"/>
                <w:sz w:val="18"/>
                <w:szCs w:val="18"/>
                <w:color w:val="auto"/>
              </w:rPr>
              <w:t>31.1**</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Certification of our Principal Executive Officer adopted pursuant to Section 302 of the Sarbanes-Oxley Act of 2002.</w:t>
            </w:r>
          </w:p>
        </w:tc>
      </w:tr>
      <w:tr>
        <w:trPr>
          <w:trHeight w:val="392"/>
        </w:trPr>
        <w:tc>
          <w:tcPr>
            <w:tcW w:w="860" w:type="dxa"/>
            <w:vAlign w:val="bottom"/>
          </w:tcPr>
          <w:p>
            <w:pPr>
              <w:ind w:left="40"/>
              <w:spacing w:after="0"/>
              <w:rPr>
                <w:sz w:val="20"/>
                <w:szCs w:val="20"/>
                <w:color w:val="auto"/>
              </w:rPr>
            </w:pPr>
            <w:r>
              <w:rPr>
                <w:rFonts w:ascii="Arial" w:cs="Arial" w:eastAsia="Arial" w:hAnsi="Arial"/>
                <w:sz w:val="18"/>
                <w:szCs w:val="18"/>
                <w:color w:val="auto"/>
              </w:rPr>
              <w:t>31.2**</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Certification of our Principal Financial Officer adopted pursuant to Section 302 of the Sarbanes-Oxley Act of 2002.</w:t>
            </w:r>
          </w:p>
        </w:tc>
      </w:tr>
      <w:tr>
        <w:trPr>
          <w:trHeight w:val="377"/>
        </w:trPr>
        <w:tc>
          <w:tcPr>
            <w:tcW w:w="860" w:type="dxa"/>
            <w:vAlign w:val="bottom"/>
          </w:tcPr>
          <w:p>
            <w:pPr>
              <w:ind w:left="40"/>
              <w:spacing w:after="0"/>
              <w:rPr>
                <w:sz w:val="20"/>
                <w:szCs w:val="20"/>
                <w:color w:val="auto"/>
              </w:rPr>
            </w:pPr>
            <w:r>
              <w:rPr>
                <w:rFonts w:ascii="Arial" w:cs="Arial" w:eastAsia="Arial" w:hAnsi="Arial"/>
                <w:sz w:val="18"/>
                <w:szCs w:val="18"/>
                <w:color w:val="auto"/>
              </w:rPr>
              <w:t>32.1**</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3"/>
              </w:rPr>
              <w:t>Certification of Principal Executive Officer pursuant to 18 U.S.C. Section 1350, as adopted pursuant to Section 906 of the Sarbanes-Oxley</w:t>
            </w:r>
          </w:p>
        </w:tc>
      </w:tr>
      <w:tr>
        <w:trPr>
          <w:trHeight w:val="230"/>
        </w:trPr>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Act of 2002.</w:t>
            </w:r>
          </w:p>
        </w:tc>
      </w:tr>
      <w:tr>
        <w:trPr>
          <w:trHeight w:val="377"/>
        </w:trPr>
        <w:tc>
          <w:tcPr>
            <w:tcW w:w="860" w:type="dxa"/>
            <w:vAlign w:val="bottom"/>
          </w:tcPr>
          <w:p>
            <w:pPr>
              <w:ind w:left="40"/>
              <w:spacing w:after="0"/>
              <w:rPr>
                <w:sz w:val="20"/>
                <w:szCs w:val="20"/>
                <w:color w:val="auto"/>
              </w:rPr>
            </w:pPr>
            <w:r>
              <w:rPr>
                <w:rFonts w:ascii="Arial" w:cs="Arial" w:eastAsia="Arial" w:hAnsi="Arial"/>
                <w:sz w:val="18"/>
                <w:szCs w:val="18"/>
                <w:color w:val="auto"/>
              </w:rPr>
              <w:t>32.2**</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3"/>
              </w:rPr>
              <w:t>Certification of Principal Financial Officer pursuant to 18 U.S.C. Section 1350, as adopted pursuant to Section 906 of the Sarbanes-Oxley</w:t>
            </w:r>
          </w:p>
        </w:tc>
      </w:tr>
      <w:tr>
        <w:trPr>
          <w:trHeight w:val="230"/>
        </w:trPr>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Act of 2002.</w:t>
            </w:r>
          </w:p>
        </w:tc>
      </w:tr>
      <w:tr>
        <w:trPr>
          <w:trHeight w:val="377"/>
        </w:trPr>
        <w:tc>
          <w:tcPr>
            <w:tcW w:w="860" w:type="dxa"/>
            <w:vAlign w:val="bottom"/>
          </w:tcPr>
          <w:p>
            <w:pPr>
              <w:ind w:left="40"/>
              <w:spacing w:after="0"/>
              <w:rPr>
                <w:sz w:val="20"/>
                <w:szCs w:val="20"/>
                <w:color w:val="auto"/>
              </w:rPr>
            </w:pPr>
            <w:r>
              <w:rPr>
                <w:rFonts w:ascii="Arial" w:cs="Arial" w:eastAsia="Arial" w:hAnsi="Arial"/>
                <w:sz w:val="18"/>
                <w:szCs w:val="18"/>
                <w:color w:val="auto"/>
              </w:rPr>
              <w:t>101**</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4"/>
              </w:rPr>
              <w:t>The following financial statements and footnotes from the Inseego Corp. Quarterly Report on Form 10-Q for the quarter ended March 31,</w:t>
            </w:r>
          </w:p>
        </w:tc>
      </w:tr>
      <w:tr>
        <w:trPr>
          <w:trHeight w:val="230"/>
        </w:trPr>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9"/>
              </w:rPr>
              <w:t>2017 formatted in eXtensible Business Reporting Language (XBRL): (i) Condensed Consolidated Balance Sheets; (ii) Condensed</w:t>
            </w:r>
          </w:p>
        </w:tc>
      </w:tr>
    </w:tbl>
    <w:p>
      <w:pPr>
        <w:ind w:left="1180" w:right="440"/>
        <w:spacing w:after="0" w:line="261" w:lineRule="auto"/>
        <w:rPr>
          <w:sz w:val="20"/>
          <w:szCs w:val="20"/>
          <w:color w:val="auto"/>
        </w:rPr>
      </w:pPr>
      <w:r>
        <w:rPr>
          <w:rFonts w:ascii="Arial" w:cs="Arial" w:eastAsia="Arial" w:hAnsi="Arial"/>
          <w:sz w:val="18"/>
          <w:szCs w:val="18"/>
          <w:color w:val="auto"/>
        </w:rPr>
        <w:t>Consolidated Statements of Operations; (iii) Condensed Consolidated Statements of Comprehensive Loss; (iv) Condensed Consolidated Statements of Cash Flows; and (v) the Notes to Condensed Consolidated Financial Statements.</w:t>
      </w:r>
    </w:p>
    <w:p>
      <w:pPr>
        <w:spacing w:after="0" w:line="143" w:lineRule="exact"/>
        <w:rPr>
          <w:sz w:val="20"/>
          <w:szCs w:val="20"/>
          <w:color w:val="auto"/>
        </w:rPr>
      </w:pPr>
    </w:p>
    <w:p>
      <w:pPr>
        <w:ind w:left="1180" w:right="400" w:hanging="1145"/>
        <w:spacing w:after="0" w:line="277" w:lineRule="auto"/>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Certain schedules and exhibits to this agreement have been omitted in accordance with Item 601(b)(2) of Regulation S-K. A copy of any omitted schedule and/or exhibit will be furnished supplementally to the SEC upon request.</w:t>
      </w:r>
    </w:p>
    <w:p>
      <w:pPr>
        <w:spacing w:after="0" w:line="130" w:lineRule="exact"/>
        <w:rPr>
          <w:sz w:val="20"/>
          <w:szCs w:val="20"/>
          <w:color w:val="auto"/>
        </w:rPr>
      </w:pPr>
    </w:p>
    <w:p>
      <w:pPr>
        <w:ind w:left="1180" w:hanging="1145"/>
        <w:spacing w:after="0"/>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580"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0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Date: May 15, 2017</w:t>
            </w:r>
          </w:p>
        </w:tc>
        <w:tc>
          <w:tcPr>
            <w:tcW w:w="4480" w:type="dxa"/>
            <w:vAlign w:val="bottom"/>
            <w:gridSpan w:val="2"/>
          </w:tcPr>
          <w:p>
            <w:pPr>
              <w:ind w:left="3120"/>
              <w:spacing w:after="0"/>
              <w:rPr>
                <w:sz w:val="20"/>
                <w:szCs w:val="20"/>
                <w:color w:val="auto"/>
              </w:rPr>
            </w:pPr>
            <w:r>
              <w:rPr>
                <w:rFonts w:ascii="Arial" w:cs="Arial" w:eastAsia="Arial" w:hAnsi="Arial"/>
                <w:sz w:val="18"/>
                <w:szCs w:val="18"/>
                <w:color w:val="auto"/>
              </w:rPr>
              <w:t>Inseego Corp.</w:t>
            </w:r>
          </w:p>
        </w:tc>
        <w:tc>
          <w:tcPr>
            <w:tcW w:w="3400" w:type="dxa"/>
            <w:vAlign w:val="bottom"/>
          </w:tcPr>
          <w:p>
            <w:pPr>
              <w:spacing w:after="0"/>
              <w:rPr>
                <w:sz w:val="20"/>
                <w:szCs w:val="20"/>
                <w:color w:val="auto"/>
              </w:rPr>
            </w:pPr>
          </w:p>
        </w:tc>
      </w:tr>
      <w:tr>
        <w:trPr>
          <w:trHeight w:val="392"/>
        </w:trPr>
        <w:tc>
          <w:tcPr>
            <w:tcW w:w="3500" w:type="dxa"/>
            <w:vAlign w:val="bottom"/>
          </w:tcPr>
          <w:p>
            <w:pPr>
              <w:spacing w:after="0"/>
              <w:rPr>
                <w:sz w:val="24"/>
                <w:szCs w:val="24"/>
                <w:color w:val="auto"/>
              </w:rPr>
            </w:pPr>
          </w:p>
        </w:tc>
        <w:tc>
          <w:tcPr>
            <w:tcW w:w="4480" w:type="dxa"/>
            <w:vAlign w:val="bottom"/>
            <w:gridSpan w:val="2"/>
          </w:tcPr>
          <w:p>
            <w:pPr>
              <w:ind w:left="3120"/>
              <w:spacing w:after="0"/>
              <w:rPr>
                <w:sz w:val="20"/>
                <w:szCs w:val="20"/>
                <w:color w:val="auto"/>
              </w:rPr>
            </w:pPr>
            <w:r>
              <w:rPr>
                <w:rFonts w:ascii="Arial" w:cs="Arial" w:eastAsia="Arial" w:hAnsi="Arial"/>
                <w:sz w:val="18"/>
                <w:szCs w:val="18"/>
                <w:color w:val="auto"/>
              </w:rPr>
              <w:t>By:</w:t>
            </w:r>
          </w:p>
        </w:tc>
        <w:tc>
          <w:tcPr>
            <w:tcW w:w="3400" w:type="dxa"/>
            <w:vAlign w:val="bottom"/>
          </w:tcPr>
          <w:p>
            <w:pPr>
              <w:jc w:val="center"/>
              <w:ind w:right="645"/>
              <w:spacing w:after="0"/>
              <w:rPr>
                <w:sz w:val="20"/>
                <w:szCs w:val="20"/>
                <w:color w:val="auto"/>
              </w:rPr>
            </w:pPr>
            <w:r>
              <w:rPr>
                <w:rFonts w:ascii="Arial" w:cs="Arial" w:eastAsia="Arial" w:hAnsi="Arial"/>
                <w:sz w:val="16"/>
                <w:szCs w:val="16"/>
                <w:color w:val="auto"/>
                <w:w w:val="98"/>
              </w:rPr>
              <w:t>/s/  SUE SWENSON</w:t>
            </w:r>
          </w:p>
        </w:tc>
      </w:tr>
      <w:tr>
        <w:trPr>
          <w:trHeight w:val="27"/>
        </w:trPr>
        <w:tc>
          <w:tcPr>
            <w:tcW w:w="3500" w:type="dxa"/>
            <w:vAlign w:val="bottom"/>
          </w:tcPr>
          <w:p>
            <w:pPr>
              <w:spacing w:after="0"/>
              <w:rPr>
                <w:sz w:val="2"/>
                <w:szCs w:val="2"/>
                <w:color w:val="auto"/>
              </w:rPr>
            </w:pPr>
          </w:p>
        </w:tc>
        <w:tc>
          <w:tcPr>
            <w:tcW w:w="37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r>
      <w:tr>
        <w:trPr>
          <w:trHeight w:val="184"/>
        </w:trPr>
        <w:tc>
          <w:tcPr>
            <w:tcW w:w="350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400" w:type="dxa"/>
            <w:vAlign w:val="bottom"/>
          </w:tcPr>
          <w:p>
            <w:pPr>
              <w:jc w:val="center"/>
              <w:ind w:right="645"/>
              <w:spacing w:after="0"/>
              <w:rPr>
                <w:sz w:val="20"/>
                <w:szCs w:val="20"/>
                <w:color w:val="auto"/>
              </w:rPr>
            </w:pPr>
            <w:r>
              <w:rPr>
                <w:rFonts w:ascii="Arial" w:cs="Arial" w:eastAsia="Arial" w:hAnsi="Arial"/>
                <w:sz w:val="14"/>
                <w:szCs w:val="14"/>
                <w:b w:val="1"/>
                <w:bCs w:val="1"/>
                <w:color w:val="auto"/>
                <w:w w:val="87"/>
              </w:rPr>
              <w:t>Sue Swenson</w:t>
            </w:r>
          </w:p>
        </w:tc>
      </w:tr>
      <w:tr>
        <w:trPr>
          <w:trHeight w:val="257"/>
        </w:trPr>
        <w:tc>
          <w:tcPr>
            <w:tcW w:w="3500" w:type="dxa"/>
            <w:vAlign w:val="bottom"/>
          </w:tcPr>
          <w:p>
            <w:pPr>
              <w:spacing w:after="0"/>
              <w:rPr>
                <w:sz w:val="22"/>
                <w:szCs w:val="22"/>
                <w:color w:val="auto"/>
              </w:rPr>
            </w:pPr>
          </w:p>
        </w:tc>
        <w:tc>
          <w:tcPr>
            <w:tcW w:w="3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400" w:type="dxa"/>
            <w:vAlign w:val="bottom"/>
          </w:tcPr>
          <w:p>
            <w:pPr>
              <w:jc w:val="center"/>
              <w:ind w:right="625"/>
              <w:spacing w:after="0"/>
              <w:rPr>
                <w:sz w:val="20"/>
                <w:szCs w:val="20"/>
                <w:color w:val="auto"/>
              </w:rPr>
            </w:pPr>
            <w:r>
              <w:rPr>
                <w:rFonts w:ascii="Arial" w:cs="Arial" w:eastAsia="Arial" w:hAnsi="Arial"/>
                <w:sz w:val="14"/>
                <w:szCs w:val="14"/>
                <w:b w:val="1"/>
                <w:bCs w:val="1"/>
                <w:color w:val="auto"/>
                <w:w w:val="95"/>
              </w:rPr>
              <w:t>Chief Executive Officer</w:t>
            </w:r>
          </w:p>
        </w:tc>
      </w:tr>
      <w:tr>
        <w:trPr>
          <w:trHeight w:val="755"/>
        </w:trPr>
        <w:tc>
          <w:tcPr>
            <w:tcW w:w="3500" w:type="dxa"/>
            <w:vAlign w:val="bottom"/>
          </w:tcPr>
          <w:p>
            <w:pPr>
              <w:spacing w:after="0"/>
              <w:rPr>
                <w:sz w:val="24"/>
                <w:szCs w:val="24"/>
                <w:color w:val="auto"/>
              </w:rPr>
            </w:pPr>
          </w:p>
        </w:tc>
        <w:tc>
          <w:tcPr>
            <w:tcW w:w="4480" w:type="dxa"/>
            <w:vAlign w:val="bottom"/>
            <w:gridSpan w:val="2"/>
          </w:tcPr>
          <w:p>
            <w:pPr>
              <w:ind w:left="3120"/>
              <w:spacing w:after="0"/>
              <w:rPr>
                <w:sz w:val="20"/>
                <w:szCs w:val="20"/>
                <w:color w:val="auto"/>
              </w:rPr>
            </w:pPr>
            <w:r>
              <w:rPr>
                <w:rFonts w:ascii="Arial" w:cs="Arial" w:eastAsia="Arial" w:hAnsi="Arial"/>
                <w:sz w:val="18"/>
                <w:szCs w:val="18"/>
                <w:color w:val="auto"/>
              </w:rPr>
              <w:t>By:</w:t>
            </w:r>
          </w:p>
        </w:tc>
        <w:tc>
          <w:tcPr>
            <w:tcW w:w="3400" w:type="dxa"/>
            <w:vAlign w:val="bottom"/>
          </w:tcPr>
          <w:p>
            <w:pPr>
              <w:ind w:left="360"/>
              <w:spacing w:after="0"/>
              <w:rPr>
                <w:sz w:val="20"/>
                <w:szCs w:val="20"/>
                <w:color w:val="auto"/>
              </w:rPr>
            </w:pPr>
            <w:r>
              <w:rPr>
                <w:rFonts w:ascii="Arial" w:cs="Arial" w:eastAsia="Arial" w:hAnsi="Arial"/>
                <w:sz w:val="16"/>
                <w:szCs w:val="16"/>
                <w:color w:val="auto"/>
              </w:rPr>
              <w:t>/s/  MICHAEL NEWMAN</w:t>
            </w:r>
          </w:p>
        </w:tc>
      </w:tr>
      <w:tr>
        <w:trPr>
          <w:trHeight w:val="27"/>
        </w:trPr>
        <w:tc>
          <w:tcPr>
            <w:tcW w:w="3500" w:type="dxa"/>
            <w:vAlign w:val="bottom"/>
          </w:tcPr>
          <w:p>
            <w:pPr>
              <w:spacing w:after="0"/>
              <w:rPr>
                <w:sz w:val="2"/>
                <w:szCs w:val="2"/>
                <w:color w:val="auto"/>
              </w:rPr>
            </w:pPr>
          </w:p>
        </w:tc>
        <w:tc>
          <w:tcPr>
            <w:tcW w:w="37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r>
      <w:tr>
        <w:trPr>
          <w:trHeight w:val="184"/>
        </w:trPr>
        <w:tc>
          <w:tcPr>
            <w:tcW w:w="350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400" w:type="dxa"/>
            <w:vAlign w:val="bottom"/>
          </w:tcPr>
          <w:p>
            <w:pPr>
              <w:jc w:val="center"/>
              <w:ind w:right="645"/>
              <w:spacing w:after="0"/>
              <w:rPr>
                <w:sz w:val="20"/>
                <w:szCs w:val="20"/>
                <w:color w:val="auto"/>
              </w:rPr>
            </w:pPr>
            <w:r>
              <w:rPr>
                <w:rFonts w:ascii="Arial" w:cs="Arial" w:eastAsia="Arial" w:hAnsi="Arial"/>
                <w:sz w:val="14"/>
                <w:szCs w:val="14"/>
                <w:b w:val="1"/>
                <w:bCs w:val="1"/>
                <w:color w:val="auto"/>
                <w:w w:val="95"/>
              </w:rPr>
              <w:t>Michael Newman</w:t>
            </w:r>
          </w:p>
        </w:tc>
      </w:tr>
      <w:tr>
        <w:trPr>
          <w:trHeight w:val="257"/>
        </w:trPr>
        <w:tc>
          <w:tcPr>
            <w:tcW w:w="3500" w:type="dxa"/>
            <w:vAlign w:val="bottom"/>
          </w:tcPr>
          <w:p>
            <w:pPr>
              <w:spacing w:after="0"/>
              <w:rPr>
                <w:sz w:val="22"/>
                <w:szCs w:val="22"/>
                <w:color w:val="auto"/>
              </w:rPr>
            </w:pPr>
          </w:p>
        </w:tc>
        <w:tc>
          <w:tcPr>
            <w:tcW w:w="3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400" w:type="dxa"/>
            <w:vAlign w:val="bottom"/>
          </w:tcPr>
          <w:p>
            <w:pPr>
              <w:jc w:val="center"/>
              <w:ind w:right="625"/>
              <w:spacing w:after="0"/>
              <w:rPr>
                <w:sz w:val="20"/>
                <w:szCs w:val="20"/>
                <w:color w:val="auto"/>
              </w:rPr>
            </w:pPr>
            <w:r>
              <w:rPr>
                <w:rFonts w:ascii="Arial" w:cs="Arial" w:eastAsia="Arial" w:hAnsi="Arial"/>
                <w:sz w:val="14"/>
                <w:szCs w:val="14"/>
                <w:b w:val="1"/>
                <w:bCs w:val="1"/>
                <w:color w:val="auto"/>
                <w:w w:val="95"/>
              </w:rPr>
              <w:t>Chief Financial Officer</w:t>
            </w:r>
          </w:p>
        </w:tc>
      </w:tr>
      <w:tr>
        <w:trPr>
          <w:trHeight w:val="836"/>
        </w:trPr>
        <w:tc>
          <w:tcPr>
            <w:tcW w:w="3500" w:type="dxa"/>
            <w:vAlign w:val="bottom"/>
          </w:tcPr>
          <w:p>
            <w:pPr>
              <w:spacing w:after="0"/>
              <w:rPr>
                <w:sz w:val="24"/>
                <w:szCs w:val="24"/>
                <w:color w:val="auto"/>
              </w:rPr>
            </w:pPr>
          </w:p>
        </w:tc>
        <w:tc>
          <w:tcPr>
            <w:tcW w:w="3780" w:type="dxa"/>
            <w:vAlign w:val="bottom"/>
          </w:tcPr>
          <w:p>
            <w:pPr>
              <w:jc w:val="right"/>
              <w:ind w:right="1430"/>
              <w:spacing w:after="0"/>
              <w:rPr>
                <w:sz w:val="20"/>
                <w:szCs w:val="20"/>
                <w:color w:val="auto"/>
              </w:rPr>
            </w:pPr>
            <w:r>
              <w:rPr>
                <w:rFonts w:ascii="Arial" w:cs="Arial" w:eastAsia="Arial" w:hAnsi="Arial"/>
                <w:sz w:val="18"/>
                <w:szCs w:val="18"/>
                <w:color w:val="auto"/>
              </w:rPr>
              <w:t>33</w:t>
            </w:r>
          </w:p>
        </w:tc>
        <w:tc>
          <w:tcPr>
            <w:tcW w:w="700" w:type="dxa"/>
            <w:vAlign w:val="bottom"/>
          </w:tcPr>
          <w:p>
            <w:pPr>
              <w:spacing w:after="0"/>
              <w:rPr>
                <w:sz w:val="24"/>
                <w:szCs w:val="24"/>
                <w:color w:val="auto"/>
              </w:rPr>
            </w:pPr>
          </w:p>
        </w:tc>
        <w:tc>
          <w:tcPr>
            <w:tcW w:w="3400" w:type="dxa"/>
            <w:vAlign w:val="bottom"/>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10.1</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TWELFTH AMENDMENT TO CREDIT AND SECURITY AGREEMENT</w:t>
      </w:r>
    </w:p>
    <w:p>
      <w:pPr>
        <w:spacing w:after="0" w:line="220" w:lineRule="exact"/>
        <w:rPr>
          <w:sz w:val="20"/>
          <w:szCs w:val="20"/>
          <w:color w:val="auto"/>
        </w:rPr>
      </w:pPr>
    </w:p>
    <w:p>
      <w:pPr>
        <w:ind w:right="80" w:firstLine="648"/>
        <w:spacing w:after="0" w:line="258" w:lineRule="auto"/>
        <w:rPr>
          <w:sz w:val="20"/>
          <w:szCs w:val="20"/>
          <w:color w:val="auto"/>
        </w:rPr>
      </w:pPr>
      <w:r>
        <w:rPr>
          <w:rFonts w:ascii="Arial" w:cs="Arial" w:eastAsia="Arial" w:hAnsi="Arial"/>
          <w:sz w:val="21"/>
          <w:szCs w:val="21"/>
          <w:b w:val="1"/>
          <w:bCs w:val="1"/>
          <w:color w:val="auto"/>
        </w:rPr>
        <w:t xml:space="preserve">THIS TWELFTH AMENDMENT TO CREDIT AND SECURITY AGREEMENT </w:t>
      </w:r>
      <w:r>
        <w:rPr>
          <w:rFonts w:ascii="Arial" w:cs="Arial" w:eastAsia="Arial" w:hAnsi="Arial"/>
          <w:sz w:val="21"/>
          <w:szCs w:val="21"/>
          <w:color w:val="auto"/>
        </w:rPr>
        <w:t>(this “</w:t>
      </w:r>
      <w:r>
        <w:rPr>
          <w:rFonts w:ascii="Arial" w:cs="Arial" w:eastAsia="Arial" w:hAnsi="Arial"/>
          <w:sz w:val="21"/>
          <w:szCs w:val="21"/>
          <w:u w:val="single" w:color="auto"/>
          <w:color w:val="auto"/>
        </w:rPr>
        <w:t>Amendment</w:t>
      </w:r>
      <w:r>
        <w:rPr>
          <w:rFonts w:ascii="Arial" w:cs="Arial" w:eastAsia="Arial" w:hAnsi="Arial"/>
          <w:sz w:val="21"/>
          <w:szCs w:val="21"/>
          <w:color w:val="auto"/>
        </w:rPr>
        <w:t>”), dated as of</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March 20, 2017, is entered into by and among </w:t>
      </w:r>
      <w:r>
        <w:rPr>
          <w:rFonts w:ascii="Arial" w:cs="Arial" w:eastAsia="Arial" w:hAnsi="Arial"/>
          <w:sz w:val="21"/>
          <w:szCs w:val="21"/>
          <w:b w:val="1"/>
          <w:bCs w:val="1"/>
          <w:color w:val="auto"/>
        </w:rPr>
        <w:t>NOVATEL WIRELESS, INC.</w:t>
      </w:r>
      <w:r>
        <w:rPr>
          <w:rFonts w:ascii="Arial" w:cs="Arial" w:eastAsia="Arial" w:hAnsi="Arial"/>
          <w:sz w:val="21"/>
          <w:szCs w:val="21"/>
          <w:color w:val="auto"/>
        </w:rPr>
        <w:t>, a Delaware corporation (“</w:t>
      </w:r>
      <w:r>
        <w:rPr>
          <w:rFonts w:ascii="Arial" w:cs="Arial" w:eastAsia="Arial" w:hAnsi="Arial"/>
          <w:sz w:val="21"/>
          <w:szCs w:val="21"/>
          <w:u w:val="single" w:color="auto"/>
          <w:color w:val="auto"/>
        </w:rPr>
        <w:t>Novatel</w:t>
      </w:r>
      <w:r>
        <w:rPr>
          <w:rFonts w:ascii="Arial" w:cs="Arial" w:eastAsia="Arial" w:hAnsi="Arial"/>
          <w:sz w:val="21"/>
          <w:szCs w:val="21"/>
          <w:color w:val="auto"/>
        </w:rPr>
        <w:t xml:space="preserve">”), </w:t>
      </w:r>
      <w:r>
        <w:rPr>
          <w:rFonts w:ascii="Arial" w:cs="Arial" w:eastAsia="Arial" w:hAnsi="Arial"/>
          <w:sz w:val="21"/>
          <w:szCs w:val="21"/>
          <w:b w:val="1"/>
          <w:bCs w:val="1"/>
          <w:color w:val="auto"/>
        </w:rPr>
        <w:t>ENFORA,</w:t>
      </w:r>
      <w:r>
        <w:rPr>
          <w:rFonts w:ascii="Arial" w:cs="Arial" w:eastAsia="Arial" w:hAnsi="Arial"/>
          <w:sz w:val="21"/>
          <w:szCs w:val="21"/>
          <w:color w:val="auto"/>
        </w:rPr>
        <w:t xml:space="preserve"> </w:t>
      </w:r>
      <w:r>
        <w:rPr>
          <w:rFonts w:ascii="Arial" w:cs="Arial" w:eastAsia="Arial" w:hAnsi="Arial"/>
          <w:sz w:val="21"/>
          <w:szCs w:val="21"/>
          <w:b w:val="1"/>
          <w:bCs w:val="1"/>
          <w:color w:val="auto"/>
        </w:rPr>
        <w:t>INC.</w:t>
      </w:r>
      <w:r>
        <w:rPr>
          <w:rFonts w:ascii="Arial" w:cs="Arial" w:eastAsia="Arial" w:hAnsi="Arial"/>
          <w:sz w:val="21"/>
          <w:szCs w:val="21"/>
          <w:color w:val="auto"/>
        </w:rPr>
        <w:t>, a Delaware corporation (“</w:t>
      </w:r>
      <w:r>
        <w:rPr>
          <w:rFonts w:ascii="Arial" w:cs="Arial" w:eastAsia="Arial" w:hAnsi="Arial"/>
          <w:sz w:val="21"/>
          <w:szCs w:val="21"/>
          <w:u w:val="single" w:color="auto"/>
          <w:color w:val="auto"/>
        </w:rPr>
        <w:t>Enfora</w:t>
      </w:r>
      <w:r>
        <w:rPr>
          <w:rFonts w:ascii="Arial" w:cs="Arial" w:eastAsia="Arial" w:hAnsi="Arial"/>
          <w:sz w:val="21"/>
          <w:szCs w:val="21"/>
          <w:color w:val="auto"/>
        </w:rPr>
        <w:t>”), and</w:t>
      </w:r>
      <w:r>
        <w:rPr>
          <w:rFonts w:ascii="Arial" w:cs="Arial" w:eastAsia="Arial" w:hAnsi="Arial"/>
          <w:sz w:val="21"/>
          <w:szCs w:val="21"/>
          <w:b w:val="1"/>
          <w:bCs w:val="1"/>
          <w:color w:val="auto"/>
        </w:rPr>
        <w:t xml:space="preserve"> FEENEY WIRELESS, LLC</w:t>
      </w:r>
      <w:r>
        <w:rPr>
          <w:rFonts w:ascii="Arial" w:cs="Arial" w:eastAsia="Arial" w:hAnsi="Arial"/>
          <w:sz w:val="21"/>
          <w:szCs w:val="21"/>
          <w:color w:val="auto"/>
        </w:rPr>
        <w:t>, an Oregon limited liability company (“</w:t>
      </w:r>
      <w:r>
        <w:rPr>
          <w:rFonts w:ascii="Arial" w:cs="Arial" w:eastAsia="Arial" w:hAnsi="Arial"/>
          <w:sz w:val="21"/>
          <w:szCs w:val="21"/>
          <w:u w:val="single" w:color="auto"/>
          <w:color w:val="auto"/>
        </w:rPr>
        <w:t>Feeney</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Wireless</w:t>
      </w:r>
      <w:r>
        <w:rPr>
          <w:rFonts w:ascii="Arial" w:cs="Arial" w:eastAsia="Arial" w:hAnsi="Arial"/>
          <w:sz w:val="21"/>
          <w:szCs w:val="21"/>
          <w:color w:val="auto"/>
        </w:rPr>
        <w:t>”; Novatel, Enfora and Feeney Wireless are sometimes referred to in this Amendment individually as a “</w:t>
      </w:r>
      <w:r>
        <w:rPr>
          <w:rFonts w:ascii="Arial" w:cs="Arial" w:eastAsia="Arial" w:hAnsi="Arial"/>
          <w:sz w:val="21"/>
          <w:szCs w:val="21"/>
          <w:u w:val="single" w:color="auto"/>
          <w:color w:val="auto"/>
        </w:rPr>
        <w:t>Borrower</w:t>
      </w:r>
      <w:r>
        <w:rPr>
          <w:rFonts w:ascii="Arial" w:cs="Arial" w:eastAsia="Arial" w:hAnsi="Arial"/>
          <w:sz w:val="21"/>
          <w:szCs w:val="21"/>
          <w:color w:val="auto"/>
        </w:rPr>
        <w:t>” and collectively as the “</w:t>
      </w:r>
      <w:r>
        <w:rPr>
          <w:rFonts w:ascii="Arial" w:cs="Arial" w:eastAsia="Arial" w:hAnsi="Arial"/>
          <w:sz w:val="21"/>
          <w:szCs w:val="21"/>
          <w:u w:val="single" w:color="auto"/>
          <w:color w:val="auto"/>
        </w:rPr>
        <w:t>Borrowers</w:t>
      </w:r>
      <w:r>
        <w:rPr>
          <w:rFonts w:ascii="Arial" w:cs="Arial" w:eastAsia="Arial" w:hAnsi="Arial"/>
          <w:sz w:val="21"/>
          <w:szCs w:val="21"/>
          <w:color w:val="auto"/>
        </w:rPr>
        <w:t xml:space="preserve">”), </w:t>
      </w:r>
      <w:r>
        <w:rPr>
          <w:rFonts w:ascii="Arial" w:cs="Arial" w:eastAsia="Arial" w:hAnsi="Arial"/>
          <w:sz w:val="21"/>
          <w:szCs w:val="21"/>
          <w:b w:val="1"/>
          <w:bCs w:val="1"/>
          <w:color w:val="auto"/>
        </w:rPr>
        <w:t>R.E.R. ENTERPRISES, INC.</w:t>
      </w:r>
      <w:r>
        <w:rPr>
          <w:rFonts w:ascii="Arial" w:cs="Arial" w:eastAsia="Arial" w:hAnsi="Arial"/>
          <w:sz w:val="21"/>
          <w:szCs w:val="21"/>
          <w:color w:val="auto"/>
        </w:rPr>
        <w:t>, an Oregon corporation (“</w:t>
      </w:r>
      <w:r>
        <w:rPr>
          <w:rFonts w:ascii="Arial" w:cs="Arial" w:eastAsia="Arial" w:hAnsi="Arial"/>
          <w:sz w:val="21"/>
          <w:szCs w:val="21"/>
          <w:u w:val="single" w:color="auto"/>
          <w:color w:val="auto"/>
        </w:rPr>
        <w:t>RER Enterprises</w:t>
      </w:r>
      <w:r>
        <w:rPr>
          <w:rFonts w:ascii="Arial" w:cs="Arial" w:eastAsia="Arial" w:hAnsi="Arial"/>
          <w:sz w:val="21"/>
          <w:szCs w:val="21"/>
          <w:color w:val="auto"/>
        </w:rPr>
        <w:t xml:space="preserve">”), and </w:t>
      </w:r>
      <w:r>
        <w:rPr>
          <w:rFonts w:ascii="Arial" w:cs="Arial" w:eastAsia="Arial" w:hAnsi="Arial"/>
          <w:sz w:val="21"/>
          <w:szCs w:val="21"/>
          <w:b w:val="1"/>
          <w:bCs w:val="1"/>
          <w:color w:val="auto"/>
        </w:rPr>
        <w:t>FEENEY</w:t>
      </w:r>
      <w:r>
        <w:rPr>
          <w:rFonts w:ascii="Arial" w:cs="Arial" w:eastAsia="Arial" w:hAnsi="Arial"/>
          <w:sz w:val="21"/>
          <w:szCs w:val="21"/>
          <w:color w:val="auto"/>
        </w:rPr>
        <w:t xml:space="preserve"> </w:t>
      </w:r>
      <w:r>
        <w:rPr>
          <w:rFonts w:ascii="Arial" w:cs="Arial" w:eastAsia="Arial" w:hAnsi="Arial"/>
          <w:sz w:val="21"/>
          <w:szCs w:val="21"/>
          <w:b w:val="1"/>
          <w:bCs w:val="1"/>
          <w:color w:val="auto"/>
        </w:rPr>
        <w:t>WIRELESS IC-DISC, INC.</w:t>
      </w:r>
      <w:r>
        <w:rPr>
          <w:rFonts w:ascii="Arial" w:cs="Arial" w:eastAsia="Arial" w:hAnsi="Arial"/>
          <w:sz w:val="21"/>
          <w:szCs w:val="21"/>
          <w:color w:val="auto"/>
        </w:rPr>
        <w:t>, a Delaware corporation (“</w:t>
      </w:r>
      <w:r>
        <w:rPr>
          <w:rFonts w:ascii="Arial" w:cs="Arial" w:eastAsia="Arial" w:hAnsi="Arial"/>
          <w:sz w:val="21"/>
          <w:szCs w:val="21"/>
          <w:u w:val="single" w:color="auto"/>
          <w:color w:val="auto"/>
        </w:rPr>
        <w:t>Feeney Wireless IC-DISC</w:t>
      </w:r>
      <w:r>
        <w:rPr>
          <w:rFonts w:ascii="Arial" w:cs="Arial" w:eastAsia="Arial" w:hAnsi="Arial"/>
          <w:sz w:val="21"/>
          <w:szCs w:val="21"/>
          <w:color w:val="auto"/>
        </w:rPr>
        <w:t>”),</w:t>
      </w:r>
      <w:r>
        <w:rPr>
          <w:rFonts w:ascii="Arial" w:cs="Arial" w:eastAsia="Arial" w:hAnsi="Arial"/>
          <w:sz w:val="21"/>
          <w:szCs w:val="21"/>
          <w:b w:val="1"/>
          <w:bCs w:val="1"/>
          <w:color w:val="auto"/>
        </w:rPr>
        <w:t xml:space="preserve"> INSEEGO CORP. </w:t>
      </w:r>
      <w:r>
        <w:rPr>
          <w:rFonts w:ascii="Arial" w:cs="Arial" w:eastAsia="Arial" w:hAnsi="Arial"/>
          <w:sz w:val="21"/>
          <w:szCs w:val="21"/>
          <w:color w:val="auto"/>
        </w:rPr>
        <w:t>(f/k/a VANILLA</w:t>
      </w:r>
      <w:r>
        <w:rPr>
          <w:rFonts w:ascii="Arial" w:cs="Arial" w:eastAsia="Arial" w:hAnsi="Arial"/>
          <w:sz w:val="21"/>
          <w:szCs w:val="21"/>
          <w:b w:val="1"/>
          <w:bCs w:val="1"/>
          <w:color w:val="auto"/>
        </w:rPr>
        <w:t xml:space="preserve"> </w:t>
      </w:r>
      <w:r>
        <w:rPr>
          <w:rFonts w:ascii="Arial" w:cs="Arial" w:eastAsia="Arial" w:hAnsi="Arial"/>
          <w:sz w:val="21"/>
          <w:szCs w:val="21"/>
          <w:color w:val="auto"/>
        </w:rPr>
        <w:t>TECHNOLOGIES, INC.), a Delaware corporation (“</w:t>
      </w:r>
      <w:r>
        <w:rPr>
          <w:rFonts w:ascii="Arial" w:cs="Arial" w:eastAsia="Arial" w:hAnsi="Arial"/>
          <w:sz w:val="21"/>
          <w:szCs w:val="21"/>
          <w:u w:val="single" w:color="auto"/>
          <w:color w:val="auto"/>
        </w:rPr>
        <w:t>Inseego</w:t>
      </w:r>
      <w:r>
        <w:rPr>
          <w:rFonts w:ascii="Arial" w:cs="Arial" w:eastAsia="Arial" w:hAnsi="Arial"/>
          <w:sz w:val="21"/>
          <w:szCs w:val="21"/>
          <w:color w:val="auto"/>
        </w:rPr>
        <w:t>”; RER Enterprises, Feeney Wireless IC-DISC and Inseego are sometimes referred to in this Amendment individually as a “</w:t>
      </w:r>
      <w:r>
        <w:rPr>
          <w:rFonts w:ascii="Arial" w:cs="Arial" w:eastAsia="Arial" w:hAnsi="Arial"/>
          <w:sz w:val="21"/>
          <w:szCs w:val="21"/>
          <w:u w:val="single" w:color="auto"/>
          <w:color w:val="auto"/>
        </w:rPr>
        <w:t>Guarantor</w:t>
      </w:r>
      <w:r>
        <w:rPr>
          <w:rFonts w:ascii="Arial" w:cs="Arial" w:eastAsia="Arial" w:hAnsi="Arial"/>
          <w:sz w:val="21"/>
          <w:szCs w:val="21"/>
          <w:color w:val="auto"/>
        </w:rPr>
        <w:t>” and collectively as the “</w:t>
      </w:r>
      <w:r>
        <w:rPr>
          <w:rFonts w:ascii="Arial" w:cs="Arial" w:eastAsia="Arial" w:hAnsi="Arial"/>
          <w:sz w:val="21"/>
          <w:szCs w:val="21"/>
          <w:u w:val="single" w:color="auto"/>
          <w:color w:val="auto"/>
        </w:rPr>
        <w:t>Guarantors</w:t>
      </w:r>
      <w:r>
        <w:rPr>
          <w:rFonts w:ascii="Arial" w:cs="Arial" w:eastAsia="Arial" w:hAnsi="Arial"/>
          <w:sz w:val="21"/>
          <w:szCs w:val="21"/>
          <w:color w:val="auto"/>
        </w:rPr>
        <w:t xml:space="preserve">”), and </w:t>
      </w:r>
      <w:r>
        <w:rPr>
          <w:rFonts w:ascii="Arial" w:cs="Arial" w:eastAsia="Arial" w:hAnsi="Arial"/>
          <w:sz w:val="21"/>
          <w:szCs w:val="21"/>
          <w:b w:val="1"/>
          <w:bCs w:val="1"/>
          <w:color w:val="auto"/>
        </w:rPr>
        <w:t>WELLS</w:t>
      </w:r>
      <w:r>
        <w:rPr>
          <w:rFonts w:ascii="Arial" w:cs="Arial" w:eastAsia="Arial" w:hAnsi="Arial"/>
          <w:sz w:val="21"/>
          <w:szCs w:val="21"/>
          <w:color w:val="auto"/>
        </w:rPr>
        <w:t xml:space="preserve"> </w:t>
      </w:r>
      <w:r>
        <w:rPr>
          <w:rFonts w:ascii="Arial" w:cs="Arial" w:eastAsia="Arial" w:hAnsi="Arial"/>
          <w:sz w:val="21"/>
          <w:szCs w:val="21"/>
          <w:b w:val="1"/>
          <w:bCs w:val="1"/>
          <w:color w:val="auto"/>
        </w:rPr>
        <w:t xml:space="preserve">FARGO BANK, NATIONAL ASSOCIATION </w:t>
      </w:r>
      <w:r>
        <w:rPr>
          <w:rFonts w:ascii="Arial" w:cs="Arial" w:eastAsia="Arial" w:hAnsi="Arial"/>
          <w:sz w:val="21"/>
          <w:szCs w:val="21"/>
          <w:color w:val="auto"/>
        </w:rPr>
        <w:t>(the “</w:t>
      </w:r>
      <w:r>
        <w:rPr>
          <w:rFonts w:ascii="Arial" w:cs="Arial" w:eastAsia="Arial" w:hAnsi="Arial"/>
          <w:sz w:val="21"/>
          <w:szCs w:val="21"/>
          <w:u w:val="single" w:color="auto"/>
          <w:color w:val="auto"/>
        </w:rPr>
        <w:t>Lender</w:t>
      </w:r>
      <w:r>
        <w:rPr>
          <w:rFonts w:ascii="Arial" w:cs="Arial" w:eastAsia="Arial" w:hAnsi="Arial"/>
          <w:sz w:val="21"/>
          <w:szCs w:val="21"/>
          <w:color w:val="auto"/>
        </w:rPr>
        <w:t>”). Borrowers and Guarantors are sometimes individually referred to</w:t>
      </w:r>
      <w:r>
        <w:rPr>
          <w:rFonts w:ascii="Arial" w:cs="Arial" w:eastAsia="Arial" w:hAnsi="Arial"/>
          <w:sz w:val="21"/>
          <w:szCs w:val="21"/>
          <w:b w:val="1"/>
          <w:bCs w:val="1"/>
          <w:color w:val="auto"/>
        </w:rPr>
        <w:t xml:space="preserve"> </w:t>
      </w:r>
      <w:r>
        <w:rPr>
          <w:rFonts w:ascii="Arial" w:cs="Arial" w:eastAsia="Arial" w:hAnsi="Arial"/>
          <w:sz w:val="21"/>
          <w:szCs w:val="21"/>
          <w:color w:val="auto"/>
        </w:rPr>
        <w:t>herein as a “</w:t>
      </w:r>
      <w:r>
        <w:rPr>
          <w:rFonts w:ascii="Arial" w:cs="Arial" w:eastAsia="Arial" w:hAnsi="Arial"/>
          <w:sz w:val="21"/>
          <w:szCs w:val="21"/>
          <w:u w:val="single" w:color="auto"/>
          <w:color w:val="auto"/>
        </w:rPr>
        <w:t>Loan Party</w:t>
      </w:r>
      <w:r>
        <w:rPr>
          <w:rFonts w:ascii="Arial" w:cs="Arial" w:eastAsia="Arial" w:hAnsi="Arial"/>
          <w:sz w:val="21"/>
          <w:szCs w:val="21"/>
          <w:color w:val="auto"/>
        </w:rPr>
        <w:t>” and collectively referred to herein as the “</w:t>
      </w:r>
      <w:r>
        <w:rPr>
          <w:rFonts w:ascii="Arial" w:cs="Arial" w:eastAsia="Arial" w:hAnsi="Arial"/>
          <w:sz w:val="21"/>
          <w:szCs w:val="21"/>
          <w:u w:val="single" w:color="auto"/>
          <w:color w:val="auto"/>
        </w:rPr>
        <w:t>Loan Parties</w:t>
      </w:r>
      <w:r>
        <w:rPr>
          <w:rFonts w:ascii="Arial" w:cs="Arial" w:eastAsia="Arial" w:hAnsi="Arial"/>
          <w:sz w:val="21"/>
          <w:szCs w:val="21"/>
          <w:color w:val="auto"/>
        </w:rPr>
        <w:t>”. Terms used herein without definition shall have the meanings ascribed to them in the Credit Agreement defined below.</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26" w:lineRule="exact"/>
        <w:rPr>
          <w:sz w:val="20"/>
          <w:szCs w:val="20"/>
          <w:color w:val="auto"/>
        </w:rPr>
      </w:pPr>
    </w:p>
    <w:p>
      <w:pPr>
        <w:ind w:right="240" w:firstLine="656"/>
        <w:spacing w:after="0" w:line="271" w:lineRule="auto"/>
        <w:tabs>
          <w:tab w:leader="none" w:pos="1071" w:val="left"/>
        </w:tabs>
        <w:numPr>
          <w:ilvl w:val="0"/>
          <w:numId w:val="11"/>
        </w:numPr>
        <w:rPr>
          <w:rFonts w:ascii="Arial" w:cs="Arial" w:eastAsia="Arial" w:hAnsi="Arial"/>
          <w:sz w:val="21"/>
          <w:szCs w:val="21"/>
          <w:color w:val="auto"/>
        </w:rPr>
      </w:pPr>
      <w:r>
        <w:rPr>
          <w:rFonts w:ascii="Arial" w:cs="Arial" w:eastAsia="Arial" w:hAnsi="Arial"/>
          <w:sz w:val="21"/>
          <w:szCs w:val="21"/>
          <w:color w:val="auto"/>
        </w:rPr>
        <w:t>The Lender and the Loan Parties have previously entered into that certain Credit and Security Agreement dated as of October 31, 2014 (as amended, modified and supplemented from time to time, the “</w:t>
      </w:r>
      <w:r>
        <w:rPr>
          <w:rFonts w:ascii="Arial" w:cs="Arial" w:eastAsia="Arial" w:hAnsi="Arial"/>
          <w:sz w:val="21"/>
          <w:szCs w:val="21"/>
          <w:u w:val="single" w:color="auto"/>
          <w:color w:val="auto"/>
        </w:rPr>
        <w:t>Credit Agreement</w:t>
      </w:r>
      <w:r>
        <w:rPr>
          <w:rFonts w:ascii="Arial" w:cs="Arial" w:eastAsia="Arial" w:hAnsi="Arial"/>
          <w:sz w:val="21"/>
          <w:szCs w:val="21"/>
          <w:color w:val="auto"/>
        </w:rPr>
        <w:t>”), pursuant to which the Lender has made certain loans and financial accommodations available to Borrowers.</w:t>
      </w:r>
    </w:p>
    <w:p>
      <w:pPr>
        <w:spacing w:after="0" w:line="167" w:lineRule="exact"/>
        <w:rPr>
          <w:rFonts w:ascii="Arial" w:cs="Arial" w:eastAsia="Arial" w:hAnsi="Arial"/>
          <w:sz w:val="21"/>
          <w:szCs w:val="21"/>
          <w:color w:val="auto"/>
        </w:rPr>
      </w:pPr>
    </w:p>
    <w:p>
      <w:pPr>
        <w:ind w:right="120" w:firstLine="656"/>
        <w:spacing w:after="0" w:line="287" w:lineRule="auto"/>
        <w:tabs>
          <w:tab w:leader="none" w:pos="1063" w:val="left"/>
        </w:tabs>
        <w:numPr>
          <w:ilvl w:val="0"/>
          <w:numId w:val="11"/>
        </w:numPr>
        <w:rPr>
          <w:rFonts w:ascii="Arial" w:cs="Arial" w:eastAsia="Arial" w:hAnsi="Arial"/>
          <w:sz w:val="21"/>
          <w:szCs w:val="21"/>
          <w:color w:val="auto"/>
        </w:rPr>
      </w:pPr>
      <w:r>
        <w:rPr>
          <w:rFonts w:ascii="Arial" w:cs="Arial" w:eastAsia="Arial" w:hAnsi="Arial"/>
          <w:sz w:val="21"/>
          <w:szCs w:val="21"/>
          <w:color w:val="auto"/>
        </w:rPr>
        <w:t>Borrowers and Guarantors have requested that the Lender amend the Credit Agreement as set forth herein, and Lender is willing to amend the Credit Agreement, in each case, on the terms and conditions set forth herein.</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AGREEMENT</w:t>
      </w:r>
    </w:p>
    <w:p>
      <w:pPr>
        <w:spacing w:after="0" w:line="388" w:lineRule="exact"/>
        <w:rPr>
          <w:sz w:val="20"/>
          <w:szCs w:val="20"/>
          <w:color w:val="auto"/>
        </w:rPr>
      </w:pPr>
    </w:p>
    <w:p>
      <w:pPr>
        <w:ind w:right="140" w:firstLine="648"/>
        <w:spacing w:after="0" w:line="343" w:lineRule="auto"/>
        <w:rPr>
          <w:sz w:val="20"/>
          <w:szCs w:val="20"/>
          <w:color w:val="auto"/>
        </w:rPr>
      </w:pPr>
      <w:r>
        <w:rPr>
          <w:rFonts w:ascii="Arial" w:cs="Arial" w:eastAsia="Arial" w:hAnsi="Arial"/>
          <w:sz w:val="19"/>
          <w:szCs w:val="19"/>
          <w:color w:val="auto"/>
        </w:rPr>
        <w:t>NOW, THEREFORE, in consideration of the foregoing and the mutual covenants herein contained, and for other good and valuable consideration, the receipt and sufficiency of which are hereby acknowledged, the parties hereby agree as follows:</w:t>
      </w:r>
    </w:p>
    <w:p>
      <w:pPr>
        <w:spacing w:after="0" w:line="213"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22"/>
          <w:szCs w:val="22"/>
          <w:color w:val="auto"/>
        </w:rPr>
      </w:pPr>
      <w:r>
        <w:rPr>
          <w:rFonts w:ascii="Arial" w:cs="Arial" w:eastAsia="Arial" w:hAnsi="Arial"/>
          <w:sz w:val="22"/>
          <w:szCs w:val="22"/>
          <w:u w:val="single" w:color="auto"/>
          <w:color w:val="auto"/>
        </w:rPr>
        <w:t>Amendments to Credit Agreement</w:t>
      </w:r>
      <w:r>
        <w:rPr>
          <w:rFonts w:ascii="Arial" w:cs="Arial" w:eastAsia="Arial" w:hAnsi="Arial"/>
          <w:sz w:val="22"/>
          <w:szCs w:val="22"/>
          <w:color w:val="auto"/>
        </w:rPr>
        <w:t>.</w:t>
      </w:r>
    </w:p>
    <w:p>
      <w:pPr>
        <w:spacing w:after="0" w:line="327"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1.1</w:t>
      </w:r>
      <w:r>
        <w:rPr>
          <w:rFonts w:ascii="Arial" w:cs="Arial" w:eastAsia="Arial" w:hAnsi="Arial"/>
          <w:sz w:val="19"/>
          <w:szCs w:val="19"/>
          <w:u w:val="single" w:color="auto"/>
          <w:color w:val="auto"/>
        </w:rPr>
        <w:t xml:space="preserve">Section 2.4(b) </w:t>
      </w:r>
      <w:r>
        <w:rPr>
          <w:rFonts w:ascii="Arial" w:cs="Arial" w:eastAsia="Arial" w:hAnsi="Arial"/>
          <w:sz w:val="19"/>
          <w:szCs w:val="19"/>
          <w:color w:val="auto"/>
        </w:rPr>
        <w:t>of the Credit Agreement is hereby amended to read in its entirety as follows:</w:t>
      </w:r>
    </w:p>
    <w:p>
      <w:pPr>
        <w:spacing w:after="0" w:line="321" w:lineRule="exact"/>
        <w:rPr>
          <w:rFonts w:ascii="Arial" w:cs="Arial" w:eastAsia="Arial" w:hAnsi="Arial"/>
          <w:sz w:val="22"/>
          <w:szCs w:val="22"/>
          <w:color w:val="auto"/>
        </w:rPr>
      </w:pPr>
    </w:p>
    <w:p>
      <w:pPr>
        <w:ind w:left="660" w:right="20"/>
        <w:spacing w:after="0" w:line="260" w:lineRule="auto"/>
        <w:rPr>
          <w:rFonts w:ascii="Arial" w:cs="Arial" w:eastAsia="Arial" w:hAnsi="Arial"/>
          <w:sz w:val="22"/>
          <w:szCs w:val="22"/>
          <w:color w:val="auto"/>
        </w:rPr>
      </w:pPr>
      <w:r>
        <w:rPr>
          <w:rFonts w:ascii="Arial" w:cs="Arial" w:eastAsia="Arial" w:hAnsi="Arial"/>
          <w:sz w:val="21"/>
          <w:szCs w:val="21"/>
          <w:color w:val="auto"/>
        </w:rPr>
        <w:t xml:space="preserve">“(b) </w:t>
      </w:r>
      <w:r>
        <w:rPr>
          <w:rFonts w:ascii="Arial" w:cs="Arial" w:eastAsia="Arial" w:hAnsi="Arial"/>
          <w:sz w:val="21"/>
          <w:szCs w:val="21"/>
          <w:b w:val="1"/>
          <w:bCs w:val="1"/>
          <w:color w:val="auto"/>
        </w:rPr>
        <w:t>Payments by Account Debtors</w:t>
      </w:r>
      <w:r>
        <w:rPr>
          <w:rFonts w:ascii="Arial" w:cs="Arial" w:eastAsia="Arial" w:hAnsi="Arial"/>
          <w:sz w:val="21"/>
          <w:szCs w:val="21"/>
          <w:color w:val="auto"/>
        </w:rPr>
        <w:t>. (i) Each Loan Party shall instruct all of its Account Debtors to make payments directly to the Collection Account (by wire transfer, ACH, or other means as Lender may direct from time to time), (ii) if any Loan Party receives a payment of the Proceeds of Collateral directly, such Loan Party will promptly deposit the payment or Proceeds into the Collection Account and any funds maintained in any Deposit Account by such Loan Party shall be promptly transferred to the Collection Account, (iii) until so deposited, such Loan Party will hold all such payments and Proceeds in trust for Lender without commingling with other funds or property, and (iv) any collected and immediately available funds received in the Collection Account shall be applied by Lender to the outstanding Obligations (unless Lender is restricted or prohibited from doing so as a matter of law).”</w:t>
      </w:r>
    </w:p>
    <w:p>
      <w:pPr>
        <w:sectPr>
          <w:pgSz w:w="11900" w:h="16838" w:orient="portrait"/>
          <w:cols w:equalWidth="0" w:num="1">
            <w:col w:w="11420"/>
          </w:cols>
          <w:pgMar w:left="240" w:top="580" w:right="239" w:bottom="1440" w:gutter="0" w:footer="0" w:header="0"/>
        </w:sectPr>
      </w:pPr>
    </w:p>
    <w:bookmarkStart w:id="34" w:name="page35"/>
    <w:bookmarkEnd w:id="34"/>
    <w:p>
      <w:pPr>
        <w:spacing w:after="0"/>
        <w:tabs>
          <w:tab w:leader="none" w:pos="90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19"/>
          <w:szCs w:val="19"/>
          <w:u w:val="single" w:color="auto"/>
          <w:color w:val="auto"/>
        </w:rPr>
        <w:t xml:space="preserve">Section 6.12(l) </w:t>
      </w:r>
      <w:r>
        <w:rPr>
          <w:rFonts w:ascii="Arial" w:cs="Arial" w:eastAsia="Arial" w:hAnsi="Arial"/>
          <w:sz w:val="19"/>
          <w:szCs w:val="19"/>
          <w:color w:val="auto"/>
        </w:rPr>
        <w:t>of the Credit Agreement is hereby amended to read in its entirety as follows:</w:t>
      </w:r>
    </w:p>
    <w:p>
      <w:pPr>
        <w:spacing w:after="0" w:line="322" w:lineRule="exact"/>
        <w:rPr>
          <w:sz w:val="20"/>
          <w:szCs w:val="20"/>
          <w:color w:val="auto"/>
        </w:rPr>
      </w:pPr>
    </w:p>
    <w:p>
      <w:pPr>
        <w:ind w:firstLine="648"/>
        <w:spacing w:after="0" w:line="262" w:lineRule="auto"/>
        <w:rPr>
          <w:sz w:val="20"/>
          <w:szCs w:val="20"/>
          <w:color w:val="auto"/>
        </w:rPr>
      </w:pPr>
      <w:r>
        <w:rPr>
          <w:rFonts w:ascii="Arial" w:cs="Arial" w:eastAsia="Arial" w:hAnsi="Arial"/>
          <w:sz w:val="21"/>
          <w:szCs w:val="21"/>
          <w:color w:val="auto"/>
        </w:rPr>
        <w:t xml:space="preserve">“(l) </w:t>
      </w:r>
      <w:r>
        <w:rPr>
          <w:rFonts w:ascii="Arial" w:cs="Arial" w:eastAsia="Arial" w:hAnsi="Arial"/>
          <w:sz w:val="21"/>
          <w:szCs w:val="21"/>
          <w:b w:val="1"/>
          <w:bCs w:val="1"/>
          <w:color w:val="auto"/>
        </w:rPr>
        <w:t>Deposit Accounts</w:t>
      </w:r>
      <w:r>
        <w:rPr>
          <w:rFonts w:ascii="Arial" w:cs="Arial" w:eastAsia="Arial" w:hAnsi="Arial"/>
          <w:sz w:val="21"/>
          <w:szCs w:val="21"/>
          <w:color w:val="auto"/>
        </w:rPr>
        <w:t xml:space="preserve">. Unless Lender agrees otherwise in writing (in Lender’s sole discretion), each Loan Party agrees not to withdraw any funds from any Deposit Account pledged to Lender pursuant to this Agreement except for (x) any Deposit Accounts identified on </w:t>
      </w:r>
      <w:r>
        <w:rPr>
          <w:rFonts w:ascii="Arial" w:cs="Arial" w:eastAsia="Arial" w:hAnsi="Arial"/>
          <w:sz w:val="21"/>
          <w:szCs w:val="21"/>
          <w:u w:val="single" w:color="auto"/>
          <w:color w:val="auto"/>
        </w:rPr>
        <w:t>Schedule 5.15 to the Information Certificate</w:t>
      </w:r>
      <w:r>
        <w:rPr>
          <w:rFonts w:ascii="Arial" w:cs="Arial" w:eastAsia="Arial" w:hAnsi="Arial"/>
          <w:sz w:val="21"/>
          <w:szCs w:val="21"/>
          <w:color w:val="auto"/>
        </w:rPr>
        <w:t xml:space="preserve"> which are specifically and exclusively used for payroll, payroll taxes and other employee wage and benefit payments to or for employees of any Borrower or any Loan Party or any of their respective Subsidiaries, or (y) so long as Lender has not restricted access thereto as a result of the occurrence of any Event of Default, the Designated Account.”</w:t>
      </w:r>
    </w:p>
    <w:p>
      <w:pPr>
        <w:spacing w:after="0" w:line="288"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color w:val="auto"/>
        </w:rPr>
        <w:t>1.3</w:t>
      </w:r>
      <w:r>
        <w:rPr>
          <w:sz w:val="20"/>
          <w:szCs w:val="20"/>
          <w:color w:val="auto"/>
        </w:rPr>
        <w:tab/>
      </w:r>
      <w:r>
        <w:rPr>
          <w:rFonts w:ascii="Arial" w:cs="Arial" w:eastAsia="Arial" w:hAnsi="Arial"/>
          <w:sz w:val="19"/>
          <w:szCs w:val="19"/>
          <w:u w:val="single" w:color="auto"/>
          <w:color w:val="auto"/>
        </w:rPr>
        <w:t xml:space="preserve">Section 8(a) </w:t>
      </w:r>
      <w:r>
        <w:rPr>
          <w:rFonts w:ascii="Arial" w:cs="Arial" w:eastAsia="Arial" w:hAnsi="Arial"/>
          <w:sz w:val="19"/>
          <w:szCs w:val="19"/>
          <w:color w:val="auto"/>
        </w:rPr>
        <w:t>of the Credit Agreement is hereby amended to read in its entirety as follows:</w:t>
      </w:r>
    </w:p>
    <w:p>
      <w:pPr>
        <w:spacing w:after="0" w:line="160" w:lineRule="exact"/>
        <w:rPr>
          <w:sz w:val="20"/>
          <w:szCs w:val="20"/>
          <w:color w:val="auto"/>
        </w:rPr>
      </w:pPr>
    </w:p>
    <w:p>
      <w:pPr>
        <w:ind w:right="160" w:firstLine="648"/>
        <w:spacing w:after="0" w:line="256" w:lineRule="auto"/>
        <w:rPr>
          <w:sz w:val="20"/>
          <w:szCs w:val="20"/>
          <w:color w:val="auto"/>
        </w:rPr>
      </w:pPr>
      <w:r>
        <w:rPr>
          <w:rFonts w:ascii="Arial" w:cs="Arial" w:eastAsia="Arial" w:hAnsi="Arial"/>
          <w:sz w:val="22"/>
          <w:szCs w:val="22"/>
          <w:color w:val="auto"/>
        </w:rPr>
        <w:t xml:space="preserve">“(a) </w:t>
      </w:r>
      <w:r>
        <w:rPr>
          <w:rFonts w:ascii="Arial" w:cs="Arial" w:eastAsia="Arial" w:hAnsi="Arial"/>
          <w:sz w:val="22"/>
          <w:szCs w:val="22"/>
          <w:b w:val="1"/>
          <w:bCs w:val="1"/>
          <w:color w:val="auto"/>
        </w:rPr>
        <w:t>Minimum EBITDA</w:t>
      </w:r>
      <w:r>
        <w:rPr>
          <w:rFonts w:ascii="Arial" w:cs="Arial" w:eastAsia="Arial" w:hAnsi="Arial"/>
          <w:sz w:val="22"/>
          <w:szCs w:val="22"/>
          <w:color w:val="auto"/>
        </w:rPr>
        <w:t>. Achieve EBITDA, measured monthly, commencing with the month ended January 31, 2017, of not less than the amount set forth in the following table opposite the applicable test date for the applicable test period (numbers appearing between “&lt; &gt;” are negative):</w:t>
      </w:r>
    </w:p>
    <w:p>
      <w:pPr>
        <w:spacing w:after="0" w:line="305" w:lineRule="exact"/>
        <w:rPr>
          <w:sz w:val="20"/>
          <w:szCs w:val="20"/>
          <w:color w:val="auto"/>
        </w:rPr>
      </w:pPr>
    </w:p>
    <w:tbl>
      <w:tblPr>
        <w:tblLayout w:type="fixed"/>
        <w:tblInd w:w="1290" w:type="dxa"/>
        <w:tblCellMar>
          <w:top w:w="0" w:type="dxa"/>
          <w:left w:w="0" w:type="dxa"/>
          <w:bottom w:w="0" w:type="dxa"/>
          <w:right w:w="0" w:type="dxa"/>
        </w:tblCellMar>
      </w:tblPr>
      <w:tr>
        <w:trPr>
          <w:trHeight w:val="324"/>
        </w:trPr>
        <w:tc>
          <w:tcPr>
            <w:tcW w:w="4120" w:type="dxa"/>
            <w:vAlign w:val="bottom"/>
            <w:tcBorders>
              <w:top w:val="single" w:sz="8" w:color="auto"/>
              <w:left w:val="single" w:sz="8" w:color="auto"/>
              <w:right w:val="single" w:sz="8" w:color="auto"/>
            </w:tcBorders>
            <w:gridSpan w:val="3"/>
          </w:tcPr>
          <w:p>
            <w:pPr>
              <w:jc w:val="center"/>
              <w:ind w:right="20"/>
              <w:spacing w:after="0"/>
              <w:rPr>
                <w:sz w:val="20"/>
                <w:szCs w:val="20"/>
                <w:color w:val="auto"/>
              </w:rPr>
            </w:pPr>
            <w:r>
              <w:rPr>
                <w:rFonts w:ascii="Arial" w:cs="Arial" w:eastAsia="Arial" w:hAnsi="Arial"/>
                <w:sz w:val="18"/>
                <w:szCs w:val="18"/>
                <w:b w:val="1"/>
                <w:bCs w:val="1"/>
                <w:i w:val="1"/>
                <w:iCs w:val="1"/>
                <w:color w:val="auto"/>
                <w:w w:val="93"/>
              </w:rPr>
              <w:t>Minimum Required EBITDA</w:t>
            </w:r>
          </w:p>
        </w:tc>
        <w:tc>
          <w:tcPr>
            <w:tcW w:w="4100" w:type="dxa"/>
            <w:vAlign w:val="bottom"/>
            <w:tcBorders>
              <w:top w:val="single" w:sz="8" w:color="auto"/>
              <w:right w:val="single" w:sz="8" w:color="auto"/>
            </w:tcBorders>
            <w:gridSpan w:val="3"/>
          </w:tcPr>
          <w:p>
            <w:pPr>
              <w:jc w:val="center"/>
              <w:ind w:right="20"/>
              <w:spacing w:after="0"/>
              <w:rPr>
                <w:sz w:val="20"/>
                <w:szCs w:val="20"/>
                <w:color w:val="auto"/>
              </w:rPr>
            </w:pPr>
            <w:r>
              <w:rPr>
                <w:rFonts w:ascii="Arial" w:cs="Arial" w:eastAsia="Arial" w:hAnsi="Arial"/>
                <w:sz w:val="18"/>
                <w:szCs w:val="18"/>
                <w:b w:val="1"/>
                <w:bCs w:val="1"/>
                <w:i w:val="1"/>
                <w:iCs w:val="1"/>
                <w:color w:val="auto"/>
                <w:w w:val="85"/>
              </w:rPr>
              <w:t>Test Date and Test Period</w:t>
            </w:r>
          </w:p>
        </w:tc>
        <w:tc>
          <w:tcPr>
            <w:tcW w:w="0" w:type="dxa"/>
            <w:vAlign w:val="bottom"/>
          </w:tcPr>
          <w:p>
            <w:pPr>
              <w:spacing w:after="0"/>
              <w:rPr>
                <w:sz w:val="1"/>
                <w:szCs w:val="1"/>
                <w:color w:val="auto"/>
              </w:rPr>
            </w:pPr>
          </w:p>
        </w:tc>
      </w:tr>
      <w:tr>
        <w:trPr>
          <w:trHeight w:val="156"/>
        </w:trPr>
        <w:tc>
          <w:tcPr>
            <w:tcW w:w="960" w:type="dxa"/>
            <w:vAlign w:val="bottom"/>
            <w:tcBorders>
              <w:left w:val="single" w:sz="8" w:color="auto"/>
              <w:bottom w:val="single" w:sz="8" w:color="auto"/>
            </w:tcBorders>
          </w:tcPr>
          <w:p>
            <w:pPr>
              <w:spacing w:after="0"/>
              <w:rPr>
                <w:sz w:val="13"/>
                <w:szCs w:val="13"/>
                <w:color w:val="auto"/>
              </w:rPr>
            </w:pPr>
          </w:p>
        </w:tc>
        <w:tc>
          <w:tcPr>
            <w:tcW w:w="2180" w:type="dxa"/>
            <w:vAlign w:val="bottom"/>
            <w:tcBorders>
              <w:top w:val="single" w:sz="8" w:color="auto"/>
              <w:bottom w:val="single" w:sz="8" w:color="auto"/>
            </w:tcBorders>
          </w:tcPr>
          <w:p>
            <w:pPr>
              <w:spacing w:after="0"/>
              <w:rPr>
                <w:sz w:val="13"/>
                <w:szCs w:val="13"/>
                <w:color w:val="auto"/>
              </w:rPr>
            </w:pPr>
          </w:p>
        </w:tc>
        <w:tc>
          <w:tcPr>
            <w:tcW w:w="980" w:type="dxa"/>
            <w:vAlign w:val="bottom"/>
            <w:tcBorders>
              <w:bottom w:val="single" w:sz="8" w:color="auto"/>
              <w:right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880" w:type="dxa"/>
            <w:vAlign w:val="bottom"/>
            <w:tcBorders>
              <w:top w:val="single" w:sz="8" w:color="auto"/>
              <w:bottom w:val="single" w:sz="8" w:color="auto"/>
            </w:tcBorders>
          </w:tcPr>
          <w:p>
            <w:pPr>
              <w:spacing w:after="0"/>
              <w:rPr>
                <w:sz w:val="13"/>
                <w:szCs w:val="13"/>
                <w:color w:val="auto"/>
              </w:rPr>
            </w:pPr>
          </w:p>
        </w:tc>
        <w:tc>
          <w:tcPr>
            <w:tcW w:w="112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30"/>
        </w:trPr>
        <w:tc>
          <w:tcPr>
            <w:tcW w:w="3140" w:type="dxa"/>
            <w:vAlign w:val="bottom"/>
            <w:tcBorders>
              <w:left w:val="single" w:sz="8" w:color="auto"/>
            </w:tcBorders>
            <w:gridSpan w:val="2"/>
            <w:vMerge w:val="restart"/>
          </w:tcPr>
          <w:p>
            <w:pPr>
              <w:jc w:val="center"/>
              <w:ind w:left="890"/>
              <w:spacing w:after="0"/>
              <w:rPr>
                <w:sz w:val="20"/>
                <w:szCs w:val="20"/>
                <w:color w:val="auto"/>
              </w:rPr>
            </w:pPr>
            <w:r>
              <w:rPr>
                <w:rFonts w:ascii="Arial" w:cs="Arial" w:eastAsia="Arial" w:hAnsi="Arial"/>
                <w:sz w:val="18"/>
                <w:szCs w:val="18"/>
                <w:color w:val="auto"/>
                <w:w w:val="89"/>
              </w:rPr>
              <w:t>$&lt;2,200,000&gt;</w:t>
            </w:r>
          </w:p>
        </w:tc>
        <w:tc>
          <w:tcPr>
            <w:tcW w:w="980" w:type="dxa"/>
            <w:vAlign w:val="bottom"/>
            <w:tcBorders>
              <w:right w:val="single" w:sz="8" w:color="auto"/>
            </w:tcBorders>
          </w:tcPr>
          <w:p>
            <w:pPr>
              <w:spacing w:after="0"/>
              <w:rPr>
                <w:sz w:val="24"/>
                <w:szCs w:val="24"/>
                <w:color w:val="auto"/>
              </w:rPr>
            </w:pPr>
          </w:p>
        </w:tc>
        <w:tc>
          <w:tcPr>
            <w:tcW w:w="410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0"/>
              </w:rPr>
              <w:t>January 31, 2017, for the one month period ending on</w:t>
            </w:r>
          </w:p>
        </w:tc>
        <w:tc>
          <w:tcPr>
            <w:tcW w:w="0" w:type="dxa"/>
            <w:vAlign w:val="bottom"/>
          </w:tcPr>
          <w:p>
            <w:pPr>
              <w:spacing w:after="0"/>
              <w:rPr>
                <w:sz w:val="1"/>
                <w:szCs w:val="1"/>
                <w:color w:val="auto"/>
              </w:rPr>
            </w:pPr>
          </w:p>
        </w:tc>
      </w:tr>
      <w:tr>
        <w:trPr>
          <w:trHeight w:val="122"/>
        </w:trPr>
        <w:tc>
          <w:tcPr>
            <w:tcW w:w="3140" w:type="dxa"/>
            <w:vAlign w:val="bottom"/>
            <w:tcBorders>
              <w:left w:val="single" w:sz="8" w:color="auto"/>
            </w:tcBorders>
            <w:gridSpan w:val="2"/>
            <w:vMerge w:val="continue"/>
          </w:tcPr>
          <w:p>
            <w:pPr>
              <w:spacing w:after="0"/>
              <w:rPr>
                <w:sz w:val="10"/>
                <w:szCs w:val="10"/>
                <w:color w:val="auto"/>
              </w:rPr>
            </w:pPr>
          </w:p>
        </w:tc>
        <w:tc>
          <w:tcPr>
            <w:tcW w:w="980" w:type="dxa"/>
            <w:vAlign w:val="bottom"/>
            <w:tcBorders>
              <w:right w:val="single" w:sz="8" w:color="auto"/>
            </w:tcBorders>
          </w:tcPr>
          <w:p>
            <w:pPr>
              <w:spacing w:after="0"/>
              <w:rPr>
                <w:sz w:val="10"/>
                <w:szCs w:val="10"/>
                <w:color w:val="auto"/>
              </w:rPr>
            </w:pPr>
          </w:p>
        </w:tc>
        <w:tc>
          <w:tcPr>
            <w:tcW w:w="1100" w:type="dxa"/>
            <w:vAlign w:val="bottom"/>
          </w:tcPr>
          <w:p>
            <w:pPr>
              <w:spacing w:after="0"/>
              <w:rPr>
                <w:sz w:val="10"/>
                <w:szCs w:val="10"/>
                <w:color w:val="auto"/>
              </w:rPr>
            </w:pPr>
          </w:p>
        </w:tc>
        <w:tc>
          <w:tcPr>
            <w:tcW w:w="3000" w:type="dxa"/>
            <w:vAlign w:val="bottom"/>
            <w:tcBorders>
              <w:right w:val="single" w:sz="8" w:color="auto"/>
            </w:tcBorders>
            <w:gridSpan w:val="2"/>
            <w:vMerge w:val="restart"/>
          </w:tcPr>
          <w:p>
            <w:pPr>
              <w:jc w:val="center"/>
              <w:ind w:right="1120"/>
              <w:spacing w:after="0"/>
              <w:rPr>
                <w:sz w:val="20"/>
                <w:szCs w:val="20"/>
                <w:color w:val="auto"/>
              </w:rPr>
            </w:pPr>
            <w:r>
              <w:rPr>
                <w:rFonts w:ascii="Arial" w:cs="Arial" w:eastAsia="Arial" w:hAnsi="Arial"/>
                <w:sz w:val="18"/>
                <w:szCs w:val="18"/>
                <w:color w:val="auto"/>
                <w:w w:val="87"/>
              </w:rPr>
              <w:t>such date</w:t>
            </w:r>
          </w:p>
        </w:tc>
        <w:tc>
          <w:tcPr>
            <w:tcW w:w="0" w:type="dxa"/>
            <w:vAlign w:val="bottom"/>
          </w:tcPr>
          <w:p>
            <w:pPr>
              <w:spacing w:after="0"/>
              <w:rPr>
                <w:sz w:val="1"/>
                <w:szCs w:val="1"/>
                <w:color w:val="auto"/>
              </w:rPr>
            </w:pPr>
          </w:p>
        </w:tc>
      </w:tr>
      <w:tr>
        <w:trPr>
          <w:trHeight w:val="108"/>
        </w:trPr>
        <w:tc>
          <w:tcPr>
            <w:tcW w:w="960" w:type="dxa"/>
            <w:vAlign w:val="bottom"/>
            <w:tcBorders>
              <w:left w:val="single" w:sz="8" w:color="auto"/>
            </w:tcBorders>
          </w:tcPr>
          <w:p>
            <w:pPr>
              <w:spacing w:after="0"/>
              <w:rPr>
                <w:sz w:val="9"/>
                <w:szCs w:val="9"/>
                <w:color w:val="auto"/>
              </w:rPr>
            </w:pPr>
          </w:p>
        </w:tc>
        <w:tc>
          <w:tcPr>
            <w:tcW w:w="2180" w:type="dxa"/>
            <w:vAlign w:val="bottom"/>
          </w:tcPr>
          <w:p>
            <w:pPr>
              <w:spacing w:after="0"/>
              <w:rPr>
                <w:sz w:val="9"/>
                <w:szCs w:val="9"/>
                <w:color w:val="auto"/>
              </w:rPr>
            </w:pPr>
          </w:p>
        </w:tc>
        <w:tc>
          <w:tcPr>
            <w:tcW w:w="980" w:type="dxa"/>
            <w:vAlign w:val="bottom"/>
            <w:tcBorders>
              <w:right w:val="single" w:sz="8" w:color="auto"/>
            </w:tcBorders>
          </w:tcPr>
          <w:p>
            <w:pPr>
              <w:spacing w:after="0"/>
              <w:rPr>
                <w:sz w:val="9"/>
                <w:szCs w:val="9"/>
                <w:color w:val="auto"/>
              </w:rPr>
            </w:pPr>
          </w:p>
        </w:tc>
        <w:tc>
          <w:tcPr>
            <w:tcW w:w="1100" w:type="dxa"/>
            <w:vAlign w:val="bottom"/>
          </w:tcPr>
          <w:p>
            <w:pPr>
              <w:spacing w:after="0"/>
              <w:rPr>
                <w:sz w:val="9"/>
                <w:szCs w:val="9"/>
                <w:color w:val="auto"/>
              </w:rPr>
            </w:pPr>
          </w:p>
        </w:tc>
        <w:tc>
          <w:tcPr>
            <w:tcW w:w="300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960" w:type="dxa"/>
            <w:vAlign w:val="bottom"/>
            <w:tcBorders>
              <w:left w:val="single" w:sz="8" w:color="auto"/>
              <w:bottom w:val="single" w:sz="8" w:color="auto"/>
            </w:tcBorders>
          </w:tcPr>
          <w:p>
            <w:pPr>
              <w:spacing w:after="0"/>
              <w:rPr>
                <w:sz w:val="11"/>
                <w:szCs w:val="11"/>
                <w:color w:val="auto"/>
              </w:rPr>
            </w:pPr>
          </w:p>
        </w:tc>
        <w:tc>
          <w:tcPr>
            <w:tcW w:w="2180" w:type="dxa"/>
            <w:vAlign w:val="bottom"/>
            <w:tcBorders>
              <w:bottom w:val="single" w:sz="8" w:color="auto"/>
            </w:tcBorders>
          </w:tcPr>
          <w:p>
            <w:pPr>
              <w:spacing w:after="0"/>
              <w:rPr>
                <w:sz w:val="11"/>
                <w:szCs w:val="11"/>
                <w:color w:val="auto"/>
              </w:rPr>
            </w:pPr>
          </w:p>
        </w:tc>
        <w:tc>
          <w:tcPr>
            <w:tcW w:w="980" w:type="dxa"/>
            <w:vAlign w:val="bottom"/>
            <w:tcBorders>
              <w:bottom w:val="single" w:sz="8" w:color="auto"/>
              <w:right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1880" w:type="dxa"/>
            <w:vAlign w:val="bottom"/>
            <w:tcBorders>
              <w:bottom w:val="single" w:sz="8" w:color="auto"/>
            </w:tcBorders>
          </w:tcPr>
          <w:p>
            <w:pPr>
              <w:spacing w:after="0"/>
              <w:rPr>
                <w:sz w:val="11"/>
                <w:szCs w:val="11"/>
                <w:color w:val="auto"/>
              </w:rPr>
            </w:pPr>
          </w:p>
        </w:tc>
        <w:tc>
          <w:tcPr>
            <w:tcW w:w="1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30"/>
        </w:trPr>
        <w:tc>
          <w:tcPr>
            <w:tcW w:w="3140" w:type="dxa"/>
            <w:vAlign w:val="bottom"/>
            <w:tcBorders>
              <w:left w:val="single" w:sz="8" w:color="auto"/>
            </w:tcBorders>
            <w:gridSpan w:val="2"/>
            <w:vMerge w:val="restart"/>
          </w:tcPr>
          <w:p>
            <w:pPr>
              <w:jc w:val="center"/>
              <w:ind w:left="890"/>
              <w:spacing w:after="0"/>
              <w:rPr>
                <w:sz w:val="20"/>
                <w:szCs w:val="20"/>
                <w:color w:val="auto"/>
              </w:rPr>
            </w:pPr>
            <w:r>
              <w:rPr>
                <w:rFonts w:ascii="Arial" w:cs="Arial" w:eastAsia="Arial" w:hAnsi="Arial"/>
                <w:sz w:val="18"/>
                <w:szCs w:val="18"/>
                <w:color w:val="auto"/>
                <w:w w:val="89"/>
              </w:rPr>
              <w:t>$&lt;4,000,000&gt;</w:t>
            </w:r>
          </w:p>
        </w:tc>
        <w:tc>
          <w:tcPr>
            <w:tcW w:w="980" w:type="dxa"/>
            <w:vAlign w:val="bottom"/>
            <w:tcBorders>
              <w:right w:val="single" w:sz="8" w:color="auto"/>
            </w:tcBorders>
          </w:tcPr>
          <w:p>
            <w:pPr>
              <w:spacing w:after="0"/>
              <w:rPr>
                <w:sz w:val="24"/>
                <w:szCs w:val="24"/>
                <w:color w:val="auto"/>
              </w:rPr>
            </w:pPr>
          </w:p>
        </w:tc>
        <w:tc>
          <w:tcPr>
            <w:tcW w:w="410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0"/>
              </w:rPr>
              <w:t>February 28, 2017, for the two month period ending on</w:t>
            </w:r>
          </w:p>
        </w:tc>
        <w:tc>
          <w:tcPr>
            <w:tcW w:w="0" w:type="dxa"/>
            <w:vAlign w:val="bottom"/>
          </w:tcPr>
          <w:p>
            <w:pPr>
              <w:spacing w:after="0"/>
              <w:rPr>
                <w:sz w:val="1"/>
                <w:szCs w:val="1"/>
                <w:color w:val="auto"/>
              </w:rPr>
            </w:pPr>
          </w:p>
        </w:tc>
      </w:tr>
      <w:tr>
        <w:trPr>
          <w:trHeight w:val="122"/>
        </w:trPr>
        <w:tc>
          <w:tcPr>
            <w:tcW w:w="3140" w:type="dxa"/>
            <w:vAlign w:val="bottom"/>
            <w:tcBorders>
              <w:left w:val="single" w:sz="8" w:color="auto"/>
            </w:tcBorders>
            <w:gridSpan w:val="2"/>
            <w:vMerge w:val="continue"/>
          </w:tcPr>
          <w:p>
            <w:pPr>
              <w:spacing w:after="0"/>
              <w:rPr>
                <w:sz w:val="10"/>
                <w:szCs w:val="10"/>
                <w:color w:val="auto"/>
              </w:rPr>
            </w:pPr>
          </w:p>
        </w:tc>
        <w:tc>
          <w:tcPr>
            <w:tcW w:w="980" w:type="dxa"/>
            <w:vAlign w:val="bottom"/>
            <w:tcBorders>
              <w:right w:val="single" w:sz="8" w:color="auto"/>
            </w:tcBorders>
          </w:tcPr>
          <w:p>
            <w:pPr>
              <w:spacing w:after="0"/>
              <w:rPr>
                <w:sz w:val="10"/>
                <w:szCs w:val="10"/>
                <w:color w:val="auto"/>
              </w:rPr>
            </w:pPr>
          </w:p>
        </w:tc>
        <w:tc>
          <w:tcPr>
            <w:tcW w:w="1100" w:type="dxa"/>
            <w:vAlign w:val="bottom"/>
          </w:tcPr>
          <w:p>
            <w:pPr>
              <w:spacing w:after="0"/>
              <w:rPr>
                <w:sz w:val="10"/>
                <w:szCs w:val="10"/>
                <w:color w:val="auto"/>
              </w:rPr>
            </w:pPr>
          </w:p>
        </w:tc>
        <w:tc>
          <w:tcPr>
            <w:tcW w:w="3000" w:type="dxa"/>
            <w:vAlign w:val="bottom"/>
            <w:tcBorders>
              <w:right w:val="single" w:sz="8" w:color="auto"/>
            </w:tcBorders>
            <w:gridSpan w:val="2"/>
            <w:vMerge w:val="restart"/>
          </w:tcPr>
          <w:p>
            <w:pPr>
              <w:jc w:val="center"/>
              <w:ind w:right="1120"/>
              <w:spacing w:after="0"/>
              <w:rPr>
                <w:sz w:val="20"/>
                <w:szCs w:val="20"/>
                <w:color w:val="auto"/>
              </w:rPr>
            </w:pPr>
            <w:r>
              <w:rPr>
                <w:rFonts w:ascii="Arial" w:cs="Arial" w:eastAsia="Arial" w:hAnsi="Arial"/>
                <w:sz w:val="18"/>
                <w:szCs w:val="18"/>
                <w:color w:val="auto"/>
                <w:w w:val="87"/>
              </w:rPr>
              <w:t>such date</w:t>
            </w:r>
          </w:p>
        </w:tc>
        <w:tc>
          <w:tcPr>
            <w:tcW w:w="0" w:type="dxa"/>
            <w:vAlign w:val="bottom"/>
          </w:tcPr>
          <w:p>
            <w:pPr>
              <w:spacing w:after="0"/>
              <w:rPr>
                <w:sz w:val="1"/>
                <w:szCs w:val="1"/>
                <w:color w:val="auto"/>
              </w:rPr>
            </w:pPr>
          </w:p>
        </w:tc>
      </w:tr>
      <w:tr>
        <w:trPr>
          <w:trHeight w:val="108"/>
        </w:trPr>
        <w:tc>
          <w:tcPr>
            <w:tcW w:w="960" w:type="dxa"/>
            <w:vAlign w:val="bottom"/>
            <w:tcBorders>
              <w:left w:val="single" w:sz="8" w:color="auto"/>
            </w:tcBorders>
          </w:tcPr>
          <w:p>
            <w:pPr>
              <w:spacing w:after="0"/>
              <w:rPr>
                <w:sz w:val="9"/>
                <w:szCs w:val="9"/>
                <w:color w:val="auto"/>
              </w:rPr>
            </w:pPr>
          </w:p>
        </w:tc>
        <w:tc>
          <w:tcPr>
            <w:tcW w:w="2180" w:type="dxa"/>
            <w:vAlign w:val="bottom"/>
          </w:tcPr>
          <w:p>
            <w:pPr>
              <w:spacing w:after="0"/>
              <w:rPr>
                <w:sz w:val="9"/>
                <w:szCs w:val="9"/>
                <w:color w:val="auto"/>
              </w:rPr>
            </w:pPr>
          </w:p>
        </w:tc>
        <w:tc>
          <w:tcPr>
            <w:tcW w:w="980" w:type="dxa"/>
            <w:vAlign w:val="bottom"/>
            <w:tcBorders>
              <w:right w:val="single" w:sz="8" w:color="auto"/>
            </w:tcBorders>
          </w:tcPr>
          <w:p>
            <w:pPr>
              <w:spacing w:after="0"/>
              <w:rPr>
                <w:sz w:val="9"/>
                <w:szCs w:val="9"/>
                <w:color w:val="auto"/>
              </w:rPr>
            </w:pPr>
          </w:p>
        </w:tc>
        <w:tc>
          <w:tcPr>
            <w:tcW w:w="1100" w:type="dxa"/>
            <w:vAlign w:val="bottom"/>
          </w:tcPr>
          <w:p>
            <w:pPr>
              <w:spacing w:after="0"/>
              <w:rPr>
                <w:sz w:val="9"/>
                <w:szCs w:val="9"/>
                <w:color w:val="auto"/>
              </w:rPr>
            </w:pPr>
          </w:p>
        </w:tc>
        <w:tc>
          <w:tcPr>
            <w:tcW w:w="300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960" w:type="dxa"/>
            <w:vAlign w:val="bottom"/>
            <w:tcBorders>
              <w:left w:val="single" w:sz="8" w:color="auto"/>
              <w:bottom w:val="single" w:sz="8" w:color="auto"/>
            </w:tcBorders>
          </w:tcPr>
          <w:p>
            <w:pPr>
              <w:spacing w:after="0"/>
              <w:rPr>
                <w:sz w:val="11"/>
                <w:szCs w:val="11"/>
                <w:color w:val="auto"/>
              </w:rPr>
            </w:pPr>
          </w:p>
        </w:tc>
        <w:tc>
          <w:tcPr>
            <w:tcW w:w="2180" w:type="dxa"/>
            <w:vAlign w:val="bottom"/>
            <w:tcBorders>
              <w:bottom w:val="single" w:sz="8" w:color="auto"/>
            </w:tcBorders>
          </w:tcPr>
          <w:p>
            <w:pPr>
              <w:spacing w:after="0"/>
              <w:rPr>
                <w:sz w:val="11"/>
                <w:szCs w:val="11"/>
                <w:color w:val="auto"/>
              </w:rPr>
            </w:pPr>
          </w:p>
        </w:tc>
        <w:tc>
          <w:tcPr>
            <w:tcW w:w="980" w:type="dxa"/>
            <w:vAlign w:val="bottom"/>
            <w:tcBorders>
              <w:bottom w:val="single" w:sz="8" w:color="auto"/>
              <w:right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1880" w:type="dxa"/>
            <w:vAlign w:val="bottom"/>
            <w:tcBorders>
              <w:bottom w:val="single" w:sz="8" w:color="auto"/>
            </w:tcBorders>
          </w:tcPr>
          <w:p>
            <w:pPr>
              <w:spacing w:after="0"/>
              <w:rPr>
                <w:sz w:val="11"/>
                <w:szCs w:val="11"/>
                <w:color w:val="auto"/>
              </w:rPr>
            </w:pPr>
          </w:p>
        </w:tc>
        <w:tc>
          <w:tcPr>
            <w:tcW w:w="1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30"/>
        </w:trPr>
        <w:tc>
          <w:tcPr>
            <w:tcW w:w="3140" w:type="dxa"/>
            <w:vAlign w:val="bottom"/>
            <w:tcBorders>
              <w:left w:val="single" w:sz="8" w:color="auto"/>
            </w:tcBorders>
            <w:gridSpan w:val="2"/>
            <w:vMerge w:val="restart"/>
          </w:tcPr>
          <w:p>
            <w:pPr>
              <w:jc w:val="center"/>
              <w:ind w:left="890"/>
              <w:spacing w:after="0"/>
              <w:rPr>
                <w:sz w:val="20"/>
                <w:szCs w:val="20"/>
                <w:color w:val="auto"/>
              </w:rPr>
            </w:pPr>
            <w:r>
              <w:rPr>
                <w:rFonts w:ascii="Arial" w:cs="Arial" w:eastAsia="Arial" w:hAnsi="Arial"/>
                <w:sz w:val="18"/>
                <w:szCs w:val="18"/>
                <w:color w:val="auto"/>
                <w:w w:val="89"/>
              </w:rPr>
              <w:t>$&lt;4,900,000&gt;</w:t>
            </w:r>
          </w:p>
        </w:tc>
        <w:tc>
          <w:tcPr>
            <w:tcW w:w="980" w:type="dxa"/>
            <w:vAlign w:val="bottom"/>
            <w:tcBorders>
              <w:right w:val="single" w:sz="8" w:color="auto"/>
            </w:tcBorders>
          </w:tcPr>
          <w:p>
            <w:pPr>
              <w:spacing w:after="0"/>
              <w:rPr>
                <w:sz w:val="24"/>
                <w:szCs w:val="24"/>
                <w:color w:val="auto"/>
              </w:rPr>
            </w:pPr>
          </w:p>
        </w:tc>
        <w:tc>
          <w:tcPr>
            <w:tcW w:w="410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1"/>
              </w:rPr>
              <w:t>March 31, 2017, for the three month period ending on</w:t>
            </w:r>
          </w:p>
        </w:tc>
        <w:tc>
          <w:tcPr>
            <w:tcW w:w="0" w:type="dxa"/>
            <w:vAlign w:val="bottom"/>
          </w:tcPr>
          <w:p>
            <w:pPr>
              <w:spacing w:after="0"/>
              <w:rPr>
                <w:sz w:val="1"/>
                <w:szCs w:val="1"/>
                <w:color w:val="auto"/>
              </w:rPr>
            </w:pPr>
          </w:p>
        </w:tc>
      </w:tr>
      <w:tr>
        <w:trPr>
          <w:trHeight w:val="122"/>
        </w:trPr>
        <w:tc>
          <w:tcPr>
            <w:tcW w:w="3140" w:type="dxa"/>
            <w:vAlign w:val="bottom"/>
            <w:tcBorders>
              <w:left w:val="single" w:sz="8" w:color="auto"/>
            </w:tcBorders>
            <w:gridSpan w:val="2"/>
            <w:vMerge w:val="continue"/>
          </w:tcPr>
          <w:p>
            <w:pPr>
              <w:spacing w:after="0"/>
              <w:rPr>
                <w:sz w:val="10"/>
                <w:szCs w:val="10"/>
                <w:color w:val="auto"/>
              </w:rPr>
            </w:pPr>
          </w:p>
        </w:tc>
        <w:tc>
          <w:tcPr>
            <w:tcW w:w="980" w:type="dxa"/>
            <w:vAlign w:val="bottom"/>
            <w:tcBorders>
              <w:right w:val="single" w:sz="8" w:color="auto"/>
            </w:tcBorders>
          </w:tcPr>
          <w:p>
            <w:pPr>
              <w:spacing w:after="0"/>
              <w:rPr>
                <w:sz w:val="10"/>
                <w:szCs w:val="10"/>
                <w:color w:val="auto"/>
              </w:rPr>
            </w:pPr>
          </w:p>
        </w:tc>
        <w:tc>
          <w:tcPr>
            <w:tcW w:w="1100" w:type="dxa"/>
            <w:vAlign w:val="bottom"/>
          </w:tcPr>
          <w:p>
            <w:pPr>
              <w:spacing w:after="0"/>
              <w:rPr>
                <w:sz w:val="10"/>
                <w:szCs w:val="10"/>
                <w:color w:val="auto"/>
              </w:rPr>
            </w:pPr>
          </w:p>
        </w:tc>
        <w:tc>
          <w:tcPr>
            <w:tcW w:w="3000" w:type="dxa"/>
            <w:vAlign w:val="bottom"/>
            <w:tcBorders>
              <w:right w:val="single" w:sz="8" w:color="auto"/>
            </w:tcBorders>
            <w:gridSpan w:val="2"/>
            <w:vMerge w:val="restart"/>
          </w:tcPr>
          <w:p>
            <w:pPr>
              <w:jc w:val="center"/>
              <w:ind w:right="1120"/>
              <w:spacing w:after="0"/>
              <w:rPr>
                <w:sz w:val="20"/>
                <w:szCs w:val="20"/>
                <w:color w:val="auto"/>
              </w:rPr>
            </w:pPr>
            <w:r>
              <w:rPr>
                <w:rFonts w:ascii="Arial" w:cs="Arial" w:eastAsia="Arial" w:hAnsi="Arial"/>
                <w:sz w:val="18"/>
                <w:szCs w:val="18"/>
                <w:color w:val="auto"/>
                <w:w w:val="87"/>
              </w:rPr>
              <w:t>such date</w:t>
            </w:r>
          </w:p>
        </w:tc>
        <w:tc>
          <w:tcPr>
            <w:tcW w:w="0" w:type="dxa"/>
            <w:vAlign w:val="bottom"/>
          </w:tcPr>
          <w:p>
            <w:pPr>
              <w:spacing w:after="0"/>
              <w:rPr>
                <w:sz w:val="1"/>
                <w:szCs w:val="1"/>
                <w:color w:val="auto"/>
              </w:rPr>
            </w:pPr>
          </w:p>
        </w:tc>
      </w:tr>
      <w:tr>
        <w:trPr>
          <w:trHeight w:val="108"/>
        </w:trPr>
        <w:tc>
          <w:tcPr>
            <w:tcW w:w="960" w:type="dxa"/>
            <w:vAlign w:val="bottom"/>
            <w:tcBorders>
              <w:left w:val="single" w:sz="8" w:color="auto"/>
            </w:tcBorders>
          </w:tcPr>
          <w:p>
            <w:pPr>
              <w:spacing w:after="0"/>
              <w:rPr>
                <w:sz w:val="9"/>
                <w:szCs w:val="9"/>
                <w:color w:val="auto"/>
              </w:rPr>
            </w:pPr>
          </w:p>
        </w:tc>
        <w:tc>
          <w:tcPr>
            <w:tcW w:w="2180" w:type="dxa"/>
            <w:vAlign w:val="bottom"/>
          </w:tcPr>
          <w:p>
            <w:pPr>
              <w:spacing w:after="0"/>
              <w:rPr>
                <w:sz w:val="9"/>
                <w:szCs w:val="9"/>
                <w:color w:val="auto"/>
              </w:rPr>
            </w:pPr>
          </w:p>
        </w:tc>
        <w:tc>
          <w:tcPr>
            <w:tcW w:w="980" w:type="dxa"/>
            <w:vAlign w:val="bottom"/>
            <w:tcBorders>
              <w:right w:val="single" w:sz="8" w:color="auto"/>
            </w:tcBorders>
          </w:tcPr>
          <w:p>
            <w:pPr>
              <w:spacing w:after="0"/>
              <w:rPr>
                <w:sz w:val="9"/>
                <w:szCs w:val="9"/>
                <w:color w:val="auto"/>
              </w:rPr>
            </w:pPr>
          </w:p>
        </w:tc>
        <w:tc>
          <w:tcPr>
            <w:tcW w:w="1100" w:type="dxa"/>
            <w:vAlign w:val="bottom"/>
          </w:tcPr>
          <w:p>
            <w:pPr>
              <w:spacing w:after="0"/>
              <w:rPr>
                <w:sz w:val="9"/>
                <w:szCs w:val="9"/>
                <w:color w:val="auto"/>
              </w:rPr>
            </w:pPr>
          </w:p>
        </w:tc>
        <w:tc>
          <w:tcPr>
            <w:tcW w:w="300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960" w:type="dxa"/>
            <w:vAlign w:val="bottom"/>
            <w:tcBorders>
              <w:left w:val="single" w:sz="8" w:color="auto"/>
              <w:bottom w:val="single" w:sz="8" w:color="auto"/>
            </w:tcBorders>
          </w:tcPr>
          <w:p>
            <w:pPr>
              <w:spacing w:after="0"/>
              <w:rPr>
                <w:sz w:val="11"/>
                <w:szCs w:val="11"/>
                <w:color w:val="auto"/>
              </w:rPr>
            </w:pPr>
          </w:p>
        </w:tc>
        <w:tc>
          <w:tcPr>
            <w:tcW w:w="2180" w:type="dxa"/>
            <w:vAlign w:val="bottom"/>
            <w:tcBorders>
              <w:bottom w:val="single" w:sz="8" w:color="auto"/>
            </w:tcBorders>
          </w:tcPr>
          <w:p>
            <w:pPr>
              <w:spacing w:after="0"/>
              <w:rPr>
                <w:sz w:val="11"/>
                <w:szCs w:val="11"/>
                <w:color w:val="auto"/>
              </w:rPr>
            </w:pPr>
          </w:p>
        </w:tc>
        <w:tc>
          <w:tcPr>
            <w:tcW w:w="980" w:type="dxa"/>
            <w:vAlign w:val="bottom"/>
            <w:tcBorders>
              <w:bottom w:val="single" w:sz="8" w:color="auto"/>
              <w:right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1880" w:type="dxa"/>
            <w:vAlign w:val="bottom"/>
            <w:tcBorders>
              <w:bottom w:val="single" w:sz="8" w:color="auto"/>
            </w:tcBorders>
          </w:tcPr>
          <w:p>
            <w:pPr>
              <w:spacing w:after="0"/>
              <w:rPr>
                <w:sz w:val="11"/>
                <w:szCs w:val="11"/>
                <w:color w:val="auto"/>
              </w:rPr>
            </w:pPr>
          </w:p>
        </w:tc>
        <w:tc>
          <w:tcPr>
            <w:tcW w:w="1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30"/>
        </w:trPr>
        <w:tc>
          <w:tcPr>
            <w:tcW w:w="3140" w:type="dxa"/>
            <w:vAlign w:val="bottom"/>
            <w:tcBorders>
              <w:left w:val="single" w:sz="8" w:color="auto"/>
            </w:tcBorders>
            <w:gridSpan w:val="2"/>
            <w:vMerge w:val="restart"/>
          </w:tcPr>
          <w:p>
            <w:pPr>
              <w:jc w:val="center"/>
              <w:ind w:left="890"/>
              <w:spacing w:after="0"/>
              <w:rPr>
                <w:sz w:val="20"/>
                <w:szCs w:val="20"/>
                <w:color w:val="auto"/>
              </w:rPr>
            </w:pPr>
            <w:r>
              <w:rPr>
                <w:rFonts w:ascii="Arial" w:cs="Arial" w:eastAsia="Arial" w:hAnsi="Arial"/>
                <w:sz w:val="18"/>
                <w:szCs w:val="18"/>
                <w:color w:val="auto"/>
                <w:w w:val="89"/>
              </w:rPr>
              <w:t>$&lt;5,200,000&gt;</w:t>
            </w:r>
          </w:p>
        </w:tc>
        <w:tc>
          <w:tcPr>
            <w:tcW w:w="980" w:type="dxa"/>
            <w:vAlign w:val="bottom"/>
            <w:tcBorders>
              <w:right w:val="single" w:sz="8" w:color="auto"/>
            </w:tcBorders>
          </w:tcPr>
          <w:p>
            <w:pPr>
              <w:spacing w:after="0"/>
              <w:rPr>
                <w:sz w:val="24"/>
                <w:szCs w:val="24"/>
                <w:color w:val="auto"/>
              </w:rPr>
            </w:pPr>
          </w:p>
        </w:tc>
        <w:tc>
          <w:tcPr>
            <w:tcW w:w="410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2"/>
              </w:rPr>
              <w:t>April 30, 2017, for the four month period ending on</w:t>
            </w:r>
          </w:p>
        </w:tc>
        <w:tc>
          <w:tcPr>
            <w:tcW w:w="0" w:type="dxa"/>
            <w:vAlign w:val="bottom"/>
          </w:tcPr>
          <w:p>
            <w:pPr>
              <w:spacing w:after="0"/>
              <w:rPr>
                <w:sz w:val="1"/>
                <w:szCs w:val="1"/>
                <w:color w:val="auto"/>
              </w:rPr>
            </w:pPr>
          </w:p>
        </w:tc>
      </w:tr>
      <w:tr>
        <w:trPr>
          <w:trHeight w:val="122"/>
        </w:trPr>
        <w:tc>
          <w:tcPr>
            <w:tcW w:w="3140" w:type="dxa"/>
            <w:vAlign w:val="bottom"/>
            <w:tcBorders>
              <w:left w:val="single" w:sz="8" w:color="auto"/>
            </w:tcBorders>
            <w:gridSpan w:val="2"/>
            <w:vMerge w:val="continue"/>
          </w:tcPr>
          <w:p>
            <w:pPr>
              <w:spacing w:after="0"/>
              <w:rPr>
                <w:sz w:val="10"/>
                <w:szCs w:val="10"/>
                <w:color w:val="auto"/>
              </w:rPr>
            </w:pPr>
          </w:p>
        </w:tc>
        <w:tc>
          <w:tcPr>
            <w:tcW w:w="980" w:type="dxa"/>
            <w:vAlign w:val="bottom"/>
            <w:tcBorders>
              <w:right w:val="single" w:sz="8" w:color="auto"/>
            </w:tcBorders>
          </w:tcPr>
          <w:p>
            <w:pPr>
              <w:spacing w:after="0"/>
              <w:rPr>
                <w:sz w:val="10"/>
                <w:szCs w:val="10"/>
                <w:color w:val="auto"/>
              </w:rPr>
            </w:pPr>
          </w:p>
        </w:tc>
        <w:tc>
          <w:tcPr>
            <w:tcW w:w="1100" w:type="dxa"/>
            <w:vAlign w:val="bottom"/>
          </w:tcPr>
          <w:p>
            <w:pPr>
              <w:spacing w:after="0"/>
              <w:rPr>
                <w:sz w:val="10"/>
                <w:szCs w:val="10"/>
                <w:color w:val="auto"/>
              </w:rPr>
            </w:pPr>
          </w:p>
        </w:tc>
        <w:tc>
          <w:tcPr>
            <w:tcW w:w="3000" w:type="dxa"/>
            <w:vAlign w:val="bottom"/>
            <w:tcBorders>
              <w:right w:val="single" w:sz="8" w:color="auto"/>
            </w:tcBorders>
            <w:gridSpan w:val="2"/>
            <w:vMerge w:val="restart"/>
          </w:tcPr>
          <w:p>
            <w:pPr>
              <w:jc w:val="center"/>
              <w:ind w:right="1120"/>
              <w:spacing w:after="0"/>
              <w:rPr>
                <w:sz w:val="20"/>
                <w:szCs w:val="20"/>
                <w:color w:val="auto"/>
              </w:rPr>
            </w:pPr>
            <w:r>
              <w:rPr>
                <w:rFonts w:ascii="Arial" w:cs="Arial" w:eastAsia="Arial" w:hAnsi="Arial"/>
                <w:sz w:val="18"/>
                <w:szCs w:val="18"/>
                <w:color w:val="auto"/>
                <w:w w:val="87"/>
              </w:rPr>
              <w:t>such date</w:t>
            </w:r>
          </w:p>
        </w:tc>
        <w:tc>
          <w:tcPr>
            <w:tcW w:w="0" w:type="dxa"/>
            <w:vAlign w:val="bottom"/>
          </w:tcPr>
          <w:p>
            <w:pPr>
              <w:spacing w:after="0"/>
              <w:rPr>
                <w:sz w:val="1"/>
                <w:szCs w:val="1"/>
                <w:color w:val="auto"/>
              </w:rPr>
            </w:pPr>
          </w:p>
        </w:tc>
      </w:tr>
      <w:tr>
        <w:trPr>
          <w:trHeight w:val="108"/>
        </w:trPr>
        <w:tc>
          <w:tcPr>
            <w:tcW w:w="960" w:type="dxa"/>
            <w:vAlign w:val="bottom"/>
            <w:tcBorders>
              <w:left w:val="single" w:sz="8" w:color="auto"/>
            </w:tcBorders>
          </w:tcPr>
          <w:p>
            <w:pPr>
              <w:spacing w:after="0"/>
              <w:rPr>
                <w:sz w:val="9"/>
                <w:szCs w:val="9"/>
                <w:color w:val="auto"/>
              </w:rPr>
            </w:pPr>
          </w:p>
        </w:tc>
        <w:tc>
          <w:tcPr>
            <w:tcW w:w="2180" w:type="dxa"/>
            <w:vAlign w:val="bottom"/>
          </w:tcPr>
          <w:p>
            <w:pPr>
              <w:spacing w:after="0"/>
              <w:rPr>
                <w:sz w:val="9"/>
                <w:szCs w:val="9"/>
                <w:color w:val="auto"/>
              </w:rPr>
            </w:pPr>
          </w:p>
        </w:tc>
        <w:tc>
          <w:tcPr>
            <w:tcW w:w="980" w:type="dxa"/>
            <w:vAlign w:val="bottom"/>
            <w:tcBorders>
              <w:right w:val="single" w:sz="8" w:color="auto"/>
            </w:tcBorders>
          </w:tcPr>
          <w:p>
            <w:pPr>
              <w:spacing w:after="0"/>
              <w:rPr>
                <w:sz w:val="9"/>
                <w:szCs w:val="9"/>
                <w:color w:val="auto"/>
              </w:rPr>
            </w:pPr>
          </w:p>
        </w:tc>
        <w:tc>
          <w:tcPr>
            <w:tcW w:w="1100" w:type="dxa"/>
            <w:vAlign w:val="bottom"/>
          </w:tcPr>
          <w:p>
            <w:pPr>
              <w:spacing w:after="0"/>
              <w:rPr>
                <w:sz w:val="9"/>
                <w:szCs w:val="9"/>
                <w:color w:val="auto"/>
              </w:rPr>
            </w:pPr>
          </w:p>
        </w:tc>
        <w:tc>
          <w:tcPr>
            <w:tcW w:w="300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960" w:type="dxa"/>
            <w:vAlign w:val="bottom"/>
            <w:tcBorders>
              <w:left w:val="single" w:sz="8" w:color="auto"/>
              <w:bottom w:val="single" w:sz="8" w:color="auto"/>
            </w:tcBorders>
          </w:tcPr>
          <w:p>
            <w:pPr>
              <w:spacing w:after="0"/>
              <w:rPr>
                <w:sz w:val="11"/>
                <w:szCs w:val="11"/>
                <w:color w:val="auto"/>
              </w:rPr>
            </w:pPr>
          </w:p>
        </w:tc>
        <w:tc>
          <w:tcPr>
            <w:tcW w:w="2180" w:type="dxa"/>
            <w:vAlign w:val="bottom"/>
            <w:tcBorders>
              <w:bottom w:val="single" w:sz="8" w:color="auto"/>
            </w:tcBorders>
          </w:tcPr>
          <w:p>
            <w:pPr>
              <w:spacing w:after="0"/>
              <w:rPr>
                <w:sz w:val="11"/>
                <w:szCs w:val="11"/>
                <w:color w:val="auto"/>
              </w:rPr>
            </w:pPr>
          </w:p>
        </w:tc>
        <w:tc>
          <w:tcPr>
            <w:tcW w:w="980" w:type="dxa"/>
            <w:vAlign w:val="bottom"/>
            <w:tcBorders>
              <w:bottom w:val="single" w:sz="8" w:color="auto"/>
              <w:right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1880" w:type="dxa"/>
            <w:vAlign w:val="bottom"/>
            <w:tcBorders>
              <w:bottom w:val="single" w:sz="8" w:color="auto"/>
            </w:tcBorders>
          </w:tcPr>
          <w:p>
            <w:pPr>
              <w:spacing w:after="0"/>
              <w:rPr>
                <w:sz w:val="11"/>
                <w:szCs w:val="11"/>
                <w:color w:val="auto"/>
              </w:rPr>
            </w:pPr>
          </w:p>
        </w:tc>
        <w:tc>
          <w:tcPr>
            <w:tcW w:w="1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30"/>
        </w:trPr>
        <w:tc>
          <w:tcPr>
            <w:tcW w:w="3140" w:type="dxa"/>
            <w:vAlign w:val="bottom"/>
            <w:tcBorders>
              <w:left w:val="single" w:sz="8" w:color="auto"/>
            </w:tcBorders>
            <w:gridSpan w:val="2"/>
            <w:vMerge w:val="restart"/>
          </w:tcPr>
          <w:p>
            <w:pPr>
              <w:jc w:val="center"/>
              <w:ind w:left="890"/>
              <w:spacing w:after="0"/>
              <w:rPr>
                <w:sz w:val="20"/>
                <w:szCs w:val="20"/>
                <w:color w:val="auto"/>
              </w:rPr>
            </w:pPr>
            <w:r>
              <w:rPr>
                <w:rFonts w:ascii="Arial" w:cs="Arial" w:eastAsia="Arial" w:hAnsi="Arial"/>
                <w:sz w:val="18"/>
                <w:szCs w:val="18"/>
                <w:color w:val="auto"/>
                <w:w w:val="89"/>
              </w:rPr>
              <w:t>$&lt;5,400,000&gt;</w:t>
            </w:r>
          </w:p>
        </w:tc>
        <w:tc>
          <w:tcPr>
            <w:tcW w:w="980" w:type="dxa"/>
            <w:vAlign w:val="bottom"/>
            <w:tcBorders>
              <w:right w:val="single" w:sz="8" w:color="auto"/>
            </w:tcBorders>
          </w:tcPr>
          <w:p>
            <w:pPr>
              <w:spacing w:after="0"/>
              <w:rPr>
                <w:sz w:val="24"/>
                <w:szCs w:val="24"/>
                <w:color w:val="auto"/>
              </w:rPr>
            </w:pPr>
          </w:p>
        </w:tc>
        <w:tc>
          <w:tcPr>
            <w:tcW w:w="410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2"/>
              </w:rPr>
              <w:t>May 31, 2017, for the five month period ending on</w:t>
            </w:r>
          </w:p>
        </w:tc>
        <w:tc>
          <w:tcPr>
            <w:tcW w:w="0" w:type="dxa"/>
            <w:vAlign w:val="bottom"/>
          </w:tcPr>
          <w:p>
            <w:pPr>
              <w:spacing w:after="0"/>
              <w:rPr>
                <w:sz w:val="1"/>
                <w:szCs w:val="1"/>
                <w:color w:val="auto"/>
              </w:rPr>
            </w:pPr>
          </w:p>
        </w:tc>
      </w:tr>
      <w:tr>
        <w:trPr>
          <w:trHeight w:val="122"/>
        </w:trPr>
        <w:tc>
          <w:tcPr>
            <w:tcW w:w="3140" w:type="dxa"/>
            <w:vAlign w:val="bottom"/>
            <w:tcBorders>
              <w:left w:val="single" w:sz="8" w:color="auto"/>
            </w:tcBorders>
            <w:gridSpan w:val="2"/>
            <w:vMerge w:val="continue"/>
          </w:tcPr>
          <w:p>
            <w:pPr>
              <w:spacing w:after="0"/>
              <w:rPr>
                <w:sz w:val="10"/>
                <w:szCs w:val="10"/>
                <w:color w:val="auto"/>
              </w:rPr>
            </w:pPr>
          </w:p>
        </w:tc>
        <w:tc>
          <w:tcPr>
            <w:tcW w:w="980" w:type="dxa"/>
            <w:vAlign w:val="bottom"/>
            <w:tcBorders>
              <w:right w:val="single" w:sz="8" w:color="auto"/>
            </w:tcBorders>
          </w:tcPr>
          <w:p>
            <w:pPr>
              <w:spacing w:after="0"/>
              <w:rPr>
                <w:sz w:val="10"/>
                <w:szCs w:val="10"/>
                <w:color w:val="auto"/>
              </w:rPr>
            </w:pPr>
          </w:p>
        </w:tc>
        <w:tc>
          <w:tcPr>
            <w:tcW w:w="1100" w:type="dxa"/>
            <w:vAlign w:val="bottom"/>
          </w:tcPr>
          <w:p>
            <w:pPr>
              <w:spacing w:after="0"/>
              <w:rPr>
                <w:sz w:val="10"/>
                <w:szCs w:val="10"/>
                <w:color w:val="auto"/>
              </w:rPr>
            </w:pPr>
          </w:p>
        </w:tc>
        <w:tc>
          <w:tcPr>
            <w:tcW w:w="3000" w:type="dxa"/>
            <w:vAlign w:val="bottom"/>
            <w:tcBorders>
              <w:right w:val="single" w:sz="8" w:color="auto"/>
            </w:tcBorders>
            <w:gridSpan w:val="2"/>
            <w:vMerge w:val="restart"/>
          </w:tcPr>
          <w:p>
            <w:pPr>
              <w:jc w:val="center"/>
              <w:ind w:right="1120"/>
              <w:spacing w:after="0"/>
              <w:rPr>
                <w:sz w:val="20"/>
                <w:szCs w:val="20"/>
                <w:color w:val="auto"/>
              </w:rPr>
            </w:pPr>
            <w:r>
              <w:rPr>
                <w:rFonts w:ascii="Arial" w:cs="Arial" w:eastAsia="Arial" w:hAnsi="Arial"/>
                <w:sz w:val="18"/>
                <w:szCs w:val="18"/>
                <w:color w:val="auto"/>
                <w:w w:val="87"/>
              </w:rPr>
              <w:t>such date</w:t>
            </w:r>
          </w:p>
        </w:tc>
        <w:tc>
          <w:tcPr>
            <w:tcW w:w="0" w:type="dxa"/>
            <w:vAlign w:val="bottom"/>
          </w:tcPr>
          <w:p>
            <w:pPr>
              <w:spacing w:after="0"/>
              <w:rPr>
                <w:sz w:val="1"/>
                <w:szCs w:val="1"/>
                <w:color w:val="auto"/>
              </w:rPr>
            </w:pPr>
          </w:p>
        </w:tc>
      </w:tr>
      <w:tr>
        <w:trPr>
          <w:trHeight w:val="108"/>
        </w:trPr>
        <w:tc>
          <w:tcPr>
            <w:tcW w:w="960" w:type="dxa"/>
            <w:vAlign w:val="bottom"/>
            <w:tcBorders>
              <w:left w:val="single" w:sz="8" w:color="auto"/>
            </w:tcBorders>
          </w:tcPr>
          <w:p>
            <w:pPr>
              <w:spacing w:after="0"/>
              <w:rPr>
                <w:sz w:val="9"/>
                <w:szCs w:val="9"/>
                <w:color w:val="auto"/>
              </w:rPr>
            </w:pPr>
          </w:p>
        </w:tc>
        <w:tc>
          <w:tcPr>
            <w:tcW w:w="2180" w:type="dxa"/>
            <w:vAlign w:val="bottom"/>
          </w:tcPr>
          <w:p>
            <w:pPr>
              <w:spacing w:after="0"/>
              <w:rPr>
                <w:sz w:val="9"/>
                <w:szCs w:val="9"/>
                <w:color w:val="auto"/>
              </w:rPr>
            </w:pPr>
          </w:p>
        </w:tc>
        <w:tc>
          <w:tcPr>
            <w:tcW w:w="980" w:type="dxa"/>
            <w:vAlign w:val="bottom"/>
            <w:tcBorders>
              <w:right w:val="single" w:sz="8" w:color="auto"/>
            </w:tcBorders>
          </w:tcPr>
          <w:p>
            <w:pPr>
              <w:spacing w:after="0"/>
              <w:rPr>
                <w:sz w:val="9"/>
                <w:szCs w:val="9"/>
                <w:color w:val="auto"/>
              </w:rPr>
            </w:pPr>
          </w:p>
        </w:tc>
        <w:tc>
          <w:tcPr>
            <w:tcW w:w="1100" w:type="dxa"/>
            <w:vAlign w:val="bottom"/>
          </w:tcPr>
          <w:p>
            <w:pPr>
              <w:spacing w:after="0"/>
              <w:rPr>
                <w:sz w:val="9"/>
                <w:szCs w:val="9"/>
                <w:color w:val="auto"/>
              </w:rPr>
            </w:pPr>
          </w:p>
        </w:tc>
        <w:tc>
          <w:tcPr>
            <w:tcW w:w="300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960" w:type="dxa"/>
            <w:vAlign w:val="bottom"/>
            <w:tcBorders>
              <w:left w:val="single" w:sz="8" w:color="auto"/>
              <w:bottom w:val="single" w:sz="8" w:color="auto"/>
            </w:tcBorders>
          </w:tcPr>
          <w:p>
            <w:pPr>
              <w:spacing w:after="0"/>
              <w:rPr>
                <w:sz w:val="11"/>
                <w:szCs w:val="11"/>
                <w:color w:val="auto"/>
              </w:rPr>
            </w:pPr>
          </w:p>
        </w:tc>
        <w:tc>
          <w:tcPr>
            <w:tcW w:w="2180" w:type="dxa"/>
            <w:vAlign w:val="bottom"/>
            <w:tcBorders>
              <w:bottom w:val="single" w:sz="8" w:color="auto"/>
            </w:tcBorders>
          </w:tcPr>
          <w:p>
            <w:pPr>
              <w:spacing w:after="0"/>
              <w:rPr>
                <w:sz w:val="11"/>
                <w:szCs w:val="11"/>
                <w:color w:val="auto"/>
              </w:rPr>
            </w:pPr>
          </w:p>
        </w:tc>
        <w:tc>
          <w:tcPr>
            <w:tcW w:w="980" w:type="dxa"/>
            <w:vAlign w:val="bottom"/>
            <w:tcBorders>
              <w:bottom w:val="single" w:sz="8" w:color="auto"/>
              <w:right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1880" w:type="dxa"/>
            <w:vAlign w:val="bottom"/>
            <w:tcBorders>
              <w:bottom w:val="single" w:sz="8" w:color="auto"/>
            </w:tcBorders>
          </w:tcPr>
          <w:p>
            <w:pPr>
              <w:spacing w:after="0"/>
              <w:rPr>
                <w:sz w:val="11"/>
                <w:szCs w:val="11"/>
                <w:color w:val="auto"/>
              </w:rPr>
            </w:pPr>
          </w:p>
        </w:tc>
        <w:tc>
          <w:tcPr>
            <w:tcW w:w="1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30"/>
        </w:trPr>
        <w:tc>
          <w:tcPr>
            <w:tcW w:w="3140" w:type="dxa"/>
            <w:vAlign w:val="bottom"/>
            <w:tcBorders>
              <w:left w:val="single" w:sz="8" w:color="auto"/>
            </w:tcBorders>
            <w:gridSpan w:val="2"/>
            <w:vMerge w:val="restart"/>
          </w:tcPr>
          <w:p>
            <w:pPr>
              <w:jc w:val="center"/>
              <w:ind w:left="890"/>
              <w:spacing w:after="0"/>
              <w:rPr>
                <w:sz w:val="20"/>
                <w:szCs w:val="20"/>
                <w:color w:val="auto"/>
              </w:rPr>
            </w:pPr>
            <w:r>
              <w:rPr>
                <w:rFonts w:ascii="Arial" w:cs="Arial" w:eastAsia="Arial" w:hAnsi="Arial"/>
                <w:sz w:val="18"/>
                <w:szCs w:val="18"/>
                <w:color w:val="auto"/>
                <w:w w:val="89"/>
              </w:rPr>
              <w:t>$&lt;5,600,000&gt;</w:t>
            </w:r>
          </w:p>
        </w:tc>
        <w:tc>
          <w:tcPr>
            <w:tcW w:w="980" w:type="dxa"/>
            <w:vAlign w:val="bottom"/>
            <w:tcBorders>
              <w:right w:val="single" w:sz="8" w:color="auto"/>
            </w:tcBorders>
          </w:tcPr>
          <w:p>
            <w:pPr>
              <w:spacing w:after="0"/>
              <w:rPr>
                <w:sz w:val="24"/>
                <w:szCs w:val="24"/>
                <w:color w:val="auto"/>
              </w:rPr>
            </w:pPr>
          </w:p>
        </w:tc>
        <w:tc>
          <w:tcPr>
            <w:tcW w:w="410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0"/>
              </w:rPr>
              <w:t>June 30, 2017, for the six month period ending on such</w:t>
            </w:r>
          </w:p>
        </w:tc>
        <w:tc>
          <w:tcPr>
            <w:tcW w:w="0" w:type="dxa"/>
            <w:vAlign w:val="bottom"/>
          </w:tcPr>
          <w:p>
            <w:pPr>
              <w:spacing w:after="0"/>
              <w:rPr>
                <w:sz w:val="1"/>
                <w:szCs w:val="1"/>
                <w:color w:val="auto"/>
              </w:rPr>
            </w:pPr>
          </w:p>
        </w:tc>
      </w:tr>
      <w:tr>
        <w:trPr>
          <w:trHeight w:val="122"/>
        </w:trPr>
        <w:tc>
          <w:tcPr>
            <w:tcW w:w="3140" w:type="dxa"/>
            <w:vAlign w:val="bottom"/>
            <w:tcBorders>
              <w:left w:val="single" w:sz="8" w:color="auto"/>
            </w:tcBorders>
            <w:gridSpan w:val="2"/>
            <w:vMerge w:val="continue"/>
          </w:tcPr>
          <w:p>
            <w:pPr>
              <w:spacing w:after="0"/>
              <w:rPr>
                <w:sz w:val="10"/>
                <w:szCs w:val="10"/>
                <w:color w:val="auto"/>
              </w:rPr>
            </w:pPr>
          </w:p>
        </w:tc>
        <w:tc>
          <w:tcPr>
            <w:tcW w:w="980" w:type="dxa"/>
            <w:vAlign w:val="bottom"/>
            <w:tcBorders>
              <w:right w:val="single" w:sz="8" w:color="auto"/>
            </w:tcBorders>
          </w:tcPr>
          <w:p>
            <w:pPr>
              <w:spacing w:after="0"/>
              <w:rPr>
                <w:sz w:val="10"/>
                <w:szCs w:val="10"/>
                <w:color w:val="auto"/>
              </w:rPr>
            </w:pPr>
          </w:p>
        </w:tc>
        <w:tc>
          <w:tcPr>
            <w:tcW w:w="1100" w:type="dxa"/>
            <w:vAlign w:val="bottom"/>
          </w:tcPr>
          <w:p>
            <w:pPr>
              <w:spacing w:after="0"/>
              <w:rPr>
                <w:sz w:val="10"/>
                <w:szCs w:val="10"/>
                <w:color w:val="auto"/>
              </w:rPr>
            </w:pPr>
          </w:p>
        </w:tc>
        <w:tc>
          <w:tcPr>
            <w:tcW w:w="3000" w:type="dxa"/>
            <w:vAlign w:val="bottom"/>
            <w:tcBorders>
              <w:right w:val="single" w:sz="8" w:color="auto"/>
            </w:tcBorders>
            <w:gridSpan w:val="2"/>
            <w:vMerge w:val="restart"/>
          </w:tcPr>
          <w:p>
            <w:pPr>
              <w:jc w:val="center"/>
              <w:ind w:right="1140"/>
              <w:spacing w:after="0"/>
              <w:rPr>
                <w:sz w:val="20"/>
                <w:szCs w:val="20"/>
                <w:color w:val="auto"/>
              </w:rPr>
            </w:pPr>
            <w:r>
              <w:rPr>
                <w:rFonts w:ascii="Arial" w:cs="Arial" w:eastAsia="Arial" w:hAnsi="Arial"/>
                <w:sz w:val="18"/>
                <w:szCs w:val="18"/>
                <w:color w:val="auto"/>
                <w:w w:val="85"/>
              </w:rPr>
              <w:t>date</w:t>
            </w:r>
          </w:p>
        </w:tc>
        <w:tc>
          <w:tcPr>
            <w:tcW w:w="0" w:type="dxa"/>
            <w:vAlign w:val="bottom"/>
          </w:tcPr>
          <w:p>
            <w:pPr>
              <w:spacing w:after="0"/>
              <w:rPr>
                <w:sz w:val="1"/>
                <w:szCs w:val="1"/>
                <w:color w:val="auto"/>
              </w:rPr>
            </w:pPr>
          </w:p>
        </w:tc>
      </w:tr>
      <w:tr>
        <w:trPr>
          <w:trHeight w:val="108"/>
        </w:trPr>
        <w:tc>
          <w:tcPr>
            <w:tcW w:w="960" w:type="dxa"/>
            <w:vAlign w:val="bottom"/>
            <w:tcBorders>
              <w:left w:val="single" w:sz="8" w:color="auto"/>
            </w:tcBorders>
          </w:tcPr>
          <w:p>
            <w:pPr>
              <w:spacing w:after="0"/>
              <w:rPr>
                <w:sz w:val="9"/>
                <w:szCs w:val="9"/>
                <w:color w:val="auto"/>
              </w:rPr>
            </w:pPr>
          </w:p>
        </w:tc>
        <w:tc>
          <w:tcPr>
            <w:tcW w:w="2180" w:type="dxa"/>
            <w:vAlign w:val="bottom"/>
          </w:tcPr>
          <w:p>
            <w:pPr>
              <w:spacing w:after="0"/>
              <w:rPr>
                <w:sz w:val="9"/>
                <w:szCs w:val="9"/>
                <w:color w:val="auto"/>
              </w:rPr>
            </w:pPr>
          </w:p>
        </w:tc>
        <w:tc>
          <w:tcPr>
            <w:tcW w:w="980" w:type="dxa"/>
            <w:vAlign w:val="bottom"/>
            <w:tcBorders>
              <w:right w:val="single" w:sz="8" w:color="auto"/>
            </w:tcBorders>
          </w:tcPr>
          <w:p>
            <w:pPr>
              <w:spacing w:after="0"/>
              <w:rPr>
                <w:sz w:val="9"/>
                <w:szCs w:val="9"/>
                <w:color w:val="auto"/>
              </w:rPr>
            </w:pPr>
          </w:p>
        </w:tc>
        <w:tc>
          <w:tcPr>
            <w:tcW w:w="1100" w:type="dxa"/>
            <w:vAlign w:val="bottom"/>
          </w:tcPr>
          <w:p>
            <w:pPr>
              <w:spacing w:after="0"/>
              <w:rPr>
                <w:sz w:val="9"/>
                <w:szCs w:val="9"/>
                <w:color w:val="auto"/>
              </w:rPr>
            </w:pPr>
          </w:p>
        </w:tc>
        <w:tc>
          <w:tcPr>
            <w:tcW w:w="300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960" w:type="dxa"/>
            <w:vAlign w:val="bottom"/>
            <w:tcBorders>
              <w:left w:val="single" w:sz="8" w:color="auto"/>
              <w:bottom w:val="single" w:sz="8" w:color="auto"/>
            </w:tcBorders>
          </w:tcPr>
          <w:p>
            <w:pPr>
              <w:spacing w:after="0"/>
              <w:rPr>
                <w:sz w:val="11"/>
                <w:szCs w:val="11"/>
                <w:color w:val="auto"/>
              </w:rPr>
            </w:pPr>
          </w:p>
        </w:tc>
        <w:tc>
          <w:tcPr>
            <w:tcW w:w="2180" w:type="dxa"/>
            <w:vAlign w:val="bottom"/>
            <w:tcBorders>
              <w:bottom w:val="single" w:sz="8" w:color="auto"/>
            </w:tcBorders>
          </w:tcPr>
          <w:p>
            <w:pPr>
              <w:spacing w:after="0"/>
              <w:rPr>
                <w:sz w:val="11"/>
                <w:szCs w:val="11"/>
                <w:color w:val="auto"/>
              </w:rPr>
            </w:pPr>
          </w:p>
        </w:tc>
        <w:tc>
          <w:tcPr>
            <w:tcW w:w="980" w:type="dxa"/>
            <w:vAlign w:val="bottom"/>
            <w:tcBorders>
              <w:bottom w:val="single" w:sz="8" w:color="auto"/>
              <w:right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1880" w:type="dxa"/>
            <w:vAlign w:val="bottom"/>
            <w:tcBorders>
              <w:bottom w:val="single" w:sz="8" w:color="auto"/>
            </w:tcBorders>
          </w:tcPr>
          <w:p>
            <w:pPr>
              <w:spacing w:after="0"/>
              <w:rPr>
                <w:sz w:val="11"/>
                <w:szCs w:val="11"/>
                <w:color w:val="auto"/>
              </w:rPr>
            </w:pPr>
          </w:p>
        </w:tc>
        <w:tc>
          <w:tcPr>
            <w:tcW w:w="1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30"/>
        </w:trPr>
        <w:tc>
          <w:tcPr>
            <w:tcW w:w="3140" w:type="dxa"/>
            <w:vAlign w:val="bottom"/>
            <w:tcBorders>
              <w:left w:val="single" w:sz="8" w:color="auto"/>
            </w:tcBorders>
            <w:gridSpan w:val="2"/>
            <w:vMerge w:val="restart"/>
          </w:tcPr>
          <w:p>
            <w:pPr>
              <w:jc w:val="center"/>
              <w:ind w:left="890"/>
              <w:spacing w:after="0"/>
              <w:rPr>
                <w:sz w:val="20"/>
                <w:szCs w:val="20"/>
                <w:color w:val="auto"/>
              </w:rPr>
            </w:pPr>
            <w:r>
              <w:rPr>
                <w:rFonts w:ascii="Arial" w:cs="Arial" w:eastAsia="Arial" w:hAnsi="Arial"/>
                <w:sz w:val="18"/>
                <w:szCs w:val="18"/>
                <w:color w:val="auto"/>
                <w:w w:val="89"/>
              </w:rPr>
              <w:t>$&lt;5,000,000&gt;</w:t>
            </w:r>
          </w:p>
        </w:tc>
        <w:tc>
          <w:tcPr>
            <w:tcW w:w="980" w:type="dxa"/>
            <w:vAlign w:val="bottom"/>
            <w:tcBorders>
              <w:right w:val="single" w:sz="8" w:color="auto"/>
            </w:tcBorders>
          </w:tcPr>
          <w:p>
            <w:pPr>
              <w:spacing w:after="0"/>
              <w:rPr>
                <w:sz w:val="24"/>
                <w:szCs w:val="24"/>
                <w:color w:val="auto"/>
              </w:rPr>
            </w:pPr>
          </w:p>
        </w:tc>
        <w:tc>
          <w:tcPr>
            <w:tcW w:w="410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0"/>
              </w:rPr>
              <w:t>July 31, 2017, for the seven month period ending on</w:t>
            </w:r>
          </w:p>
        </w:tc>
        <w:tc>
          <w:tcPr>
            <w:tcW w:w="0" w:type="dxa"/>
            <w:vAlign w:val="bottom"/>
          </w:tcPr>
          <w:p>
            <w:pPr>
              <w:spacing w:after="0"/>
              <w:rPr>
                <w:sz w:val="1"/>
                <w:szCs w:val="1"/>
                <w:color w:val="auto"/>
              </w:rPr>
            </w:pPr>
          </w:p>
        </w:tc>
      </w:tr>
      <w:tr>
        <w:trPr>
          <w:trHeight w:val="122"/>
        </w:trPr>
        <w:tc>
          <w:tcPr>
            <w:tcW w:w="3140" w:type="dxa"/>
            <w:vAlign w:val="bottom"/>
            <w:tcBorders>
              <w:left w:val="single" w:sz="8" w:color="auto"/>
            </w:tcBorders>
            <w:gridSpan w:val="2"/>
            <w:vMerge w:val="continue"/>
          </w:tcPr>
          <w:p>
            <w:pPr>
              <w:spacing w:after="0"/>
              <w:rPr>
                <w:sz w:val="10"/>
                <w:szCs w:val="10"/>
                <w:color w:val="auto"/>
              </w:rPr>
            </w:pPr>
          </w:p>
        </w:tc>
        <w:tc>
          <w:tcPr>
            <w:tcW w:w="980" w:type="dxa"/>
            <w:vAlign w:val="bottom"/>
            <w:tcBorders>
              <w:right w:val="single" w:sz="8" w:color="auto"/>
            </w:tcBorders>
          </w:tcPr>
          <w:p>
            <w:pPr>
              <w:spacing w:after="0"/>
              <w:rPr>
                <w:sz w:val="10"/>
                <w:szCs w:val="10"/>
                <w:color w:val="auto"/>
              </w:rPr>
            </w:pPr>
          </w:p>
        </w:tc>
        <w:tc>
          <w:tcPr>
            <w:tcW w:w="1100" w:type="dxa"/>
            <w:vAlign w:val="bottom"/>
          </w:tcPr>
          <w:p>
            <w:pPr>
              <w:spacing w:after="0"/>
              <w:rPr>
                <w:sz w:val="10"/>
                <w:szCs w:val="10"/>
                <w:color w:val="auto"/>
              </w:rPr>
            </w:pPr>
          </w:p>
        </w:tc>
        <w:tc>
          <w:tcPr>
            <w:tcW w:w="3000" w:type="dxa"/>
            <w:vAlign w:val="bottom"/>
            <w:tcBorders>
              <w:right w:val="single" w:sz="8" w:color="auto"/>
            </w:tcBorders>
            <w:gridSpan w:val="2"/>
            <w:vMerge w:val="restart"/>
          </w:tcPr>
          <w:p>
            <w:pPr>
              <w:jc w:val="center"/>
              <w:ind w:right="1120"/>
              <w:spacing w:after="0"/>
              <w:rPr>
                <w:sz w:val="20"/>
                <w:szCs w:val="20"/>
                <w:color w:val="auto"/>
              </w:rPr>
            </w:pPr>
            <w:r>
              <w:rPr>
                <w:rFonts w:ascii="Arial" w:cs="Arial" w:eastAsia="Arial" w:hAnsi="Arial"/>
                <w:sz w:val="18"/>
                <w:szCs w:val="18"/>
                <w:color w:val="auto"/>
                <w:w w:val="87"/>
              </w:rPr>
              <w:t>such date</w:t>
            </w:r>
          </w:p>
        </w:tc>
        <w:tc>
          <w:tcPr>
            <w:tcW w:w="0" w:type="dxa"/>
            <w:vAlign w:val="bottom"/>
          </w:tcPr>
          <w:p>
            <w:pPr>
              <w:spacing w:after="0"/>
              <w:rPr>
                <w:sz w:val="1"/>
                <w:szCs w:val="1"/>
                <w:color w:val="auto"/>
              </w:rPr>
            </w:pPr>
          </w:p>
        </w:tc>
      </w:tr>
      <w:tr>
        <w:trPr>
          <w:trHeight w:val="108"/>
        </w:trPr>
        <w:tc>
          <w:tcPr>
            <w:tcW w:w="960" w:type="dxa"/>
            <w:vAlign w:val="bottom"/>
            <w:tcBorders>
              <w:left w:val="single" w:sz="8" w:color="auto"/>
            </w:tcBorders>
          </w:tcPr>
          <w:p>
            <w:pPr>
              <w:spacing w:after="0"/>
              <w:rPr>
                <w:sz w:val="9"/>
                <w:szCs w:val="9"/>
                <w:color w:val="auto"/>
              </w:rPr>
            </w:pPr>
          </w:p>
        </w:tc>
        <w:tc>
          <w:tcPr>
            <w:tcW w:w="2180" w:type="dxa"/>
            <w:vAlign w:val="bottom"/>
          </w:tcPr>
          <w:p>
            <w:pPr>
              <w:spacing w:after="0"/>
              <w:rPr>
                <w:sz w:val="9"/>
                <w:szCs w:val="9"/>
                <w:color w:val="auto"/>
              </w:rPr>
            </w:pPr>
          </w:p>
        </w:tc>
        <w:tc>
          <w:tcPr>
            <w:tcW w:w="980" w:type="dxa"/>
            <w:vAlign w:val="bottom"/>
            <w:tcBorders>
              <w:right w:val="single" w:sz="8" w:color="auto"/>
            </w:tcBorders>
          </w:tcPr>
          <w:p>
            <w:pPr>
              <w:spacing w:after="0"/>
              <w:rPr>
                <w:sz w:val="9"/>
                <w:szCs w:val="9"/>
                <w:color w:val="auto"/>
              </w:rPr>
            </w:pPr>
          </w:p>
        </w:tc>
        <w:tc>
          <w:tcPr>
            <w:tcW w:w="1100" w:type="dxa"/>
            <w:vAlign w:val="bottom"/>
          </w:tcPr>
          <w:p>
            <w:pPr>
              <w:spacing w:after="0"/>
              <w:rPr>
                <w:sz w:val="9"/>
                <w:szCs w:val="9"/>
                <w:color w:val="auto"/>
              </w:rPr>
            </w:pPr>
          </w:p>
        </w:tc>
        <w:tc>
          <w:tcPr>
            <w:tcW w:w="300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960" w:type="dxa"/>
            <w:vAlign w:val="bottom"/>
            <w:tcBorders>
              <w:left w:val="single" w:sz="8" w:color="auto"/>
              <w:bottom w:val="single" w:sz="8" w:color="auto"/>
            </w:tcBorders>
          </w:tcPr>
          <w:p>
            <w:pPr>
              <w:spacing w:after="0"/>
              <w:rPr>
                <w:sz w:val="11"/>
                <w:szCs w:val="11"/>
                <w:color w:val="auto"/>
              </w:rPr>
            </w:pPr>
          </w:p>
        </w:tc>
        <w:tc>
          <w:tcPr>
            <w:tcW w:w="2180" w:type="dxa"/>
            <w:vAlign w:val="bottom"/>
            <w:tcBorders>
              <w:bottom w:val="single" w:sz="8" w:color="auto"/>
            </w:tcBorders>
          </w:tcPr>
          <w:p>
            <w:pPr>
              <w:spacing w:after="0"/>
              <w:rPr>
                <w:sz w:val="11"/>
                <w:szCs w:val="11"/>
                <w:color w:val="auto"/>
              </w:rPr>
            </w:pPr>
          </w:p>
        </w:tc>
        <w:tc>
          <w:tcPr>
            <w:tcW w:w="980" w:type="dxa"/>
            <w:vAlign w:val="bottom"/>
            <w:tcBorders>
              <w:bottom w:val="single" w:sz="8" w:color="auto"/>
              <w:right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1880" w:type="dxa"/>
            <w:vAlign w:val="bottom"/>
            <w:tcBorders>
              <w:bottom w:val="single" w:sz="8" w:color="auto"/>
            </w:tcBorders>
          </w:tcPr>
          <w:p>
            <w:pPr>
              <w:spacing w:after="0"/>
              <w:rPr>
                <w:sz w:val="11"/>
                <w:szCs w:val="11"/>
                <w:color w:val="auto"/>
              </w:rPr>
            </w:pPr>
          </w:p>
        </w:tc>
        <w:tc>
          <w:tcPr>
            <w:tcW w:w="1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30"/>
        </w:trPr>
        <w:tc>
          <w:tcPr>
            <w:tcW w:w="3140" w:type="dxa"/>
            <w:vAlign w:val="bottom"/>
            <w:tcBorders>
              <w:left w:val="single" w:sz="8" w:color="auto"/>
            </w:tcBorders>
            <w:gridSpan w:val="2"/>
            <w:vMerge w:val="restart"/>
          </w:tcPr>
          <w:p>
            <w:pPr>
              <w:jc w:val="center"/>
              <w:ind w:left="890"/>
              <w:spacing w:after="0"/>
              <w:rPr>
                <w:sz w:val="20"/>
                <w:szCs w:val="20"/>
                <w:color w:val="auto"/>
              </w:rPr>
            </w:pPr>
            <w:r>
              <w:rPr>
                <w:rFonts w:ascii="Arial" w:cs="Arial" w:eastAsia="Arial" w:hAnsi="Arial"/>
                <w:sz w:val="18"/>
                <w:szCs w:val="18"/>
                <w:color w:val="auto"/>
                <w:w w:val="89"/>
              </w:rPr>
              <w:t>$&lt;4,400,000&gt;</w:t>
            </w:r>
          </w:p>
        </w:tc>
        <w:tc>
          <w:tcPr>
            <w:tcW w:w="980" w:type="dxa"/>
            <w:vAlign w:val="bottom"/>
            <w:tcBorders>
              <w:right w:val="single" w:sz="8" w:color="auto"/>
            </w:tcBorders>
          </w:tcPr>
          <w:p>
            <w:pPr>
              <w:spacing w:after="0"/>
              <w:rPr>
                <w:sz w:val="24"/>
                <w:szCs w:val="24"/>
                <w:color w:val="auto"/>
              </w:rPr>
            </w:pPr>
          </w:p>
        </w:tc>
        <w:tc>
          <w:tcPr>
            <w:tcW w:w="410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1"/>
              </w:rPr>
              <w:t>August 31, 2017, for the eight month period ending on</w:t>
            </w:r>
          </w:p>
        </w:tc>
        <w:tc>
          <w:tcPr>
            <w:tcW w:w="0" w:type="dxa"/>
            <w:vAlign w:val="bottom"/>
          </w:tcPr>
          <w:p>
            <w:pPr>
              <w:spacing w:after="0"/>
              <w:rPr>
                <w:sz w:val="1"/>
                <w:szCs w:val="1"/>
                <w:color w:val="auto"/>
              </w:rPr>
            </w:pPr>
          </w:p>
        </w:tc>
      </w:tr>
      <w:tr>
        <w:trPr>
          <w:trHeight w:val="122"/>
        </w:trPr>
        <w:tc>
          <w:tcPr>
            <w:tcW w:w="3140" w:type="dxa"/>
            <w:vAlign w:val="bottom"/>
            <w:tcBorders>
              <w:left w:val="single" w:sz="8" w:color="auto"/>
            </w:tcBorders>
            <w:gridSpan w:val="2"/>
            <w:vMerge w:val="continue"/>
          </w:tcPr>
          <w:p>
            <w:pPr>
              <w:spacing w:after="0"/>
              <w:rPr>
                <w:sz w:val="10"/>
                <w:szCs w:val="10"/>
                <w:color w:val="auto"/>
              </w:rPr>
            </w:pPr>
          </w:p>
        </w:tc>
        <w:tc>
          <w:tcPr>
            <w:tcW w:w="980" w:type="dxa"/>
            <w:vAlign w:val="bottom"/>
            <w:tcBorders>
              <w:right w:val="single" w:sz="8" w:color="auto"/>
            </w:tcBorders>
          </w:tcPr>
          <w:p>
            <w:pPr>
              <w:spacing w:after="0"/>
              <w:rPr>
                <w:sz w:val="10"/>
                <w:szCs w:val="10"/>
                <w:color w:val="auto"/>
              </w:rPr>
            </w:pPr>
          </w:p>
        </w:tc>
        <w:tc>
          <w:tcPr>
            <w:tcW w:w="1100" w:type="dxa"/>
            <w:vAlign w:val="bottom"/>
          </w:tcPr>
          <w:p>
            <w:pPr>
              <w:spacing w:after="0"/>
              <w:rPr>
                <w:sz w:val="10"/>
                <w:szCs w:val="10"/>
                <w:color w:val="auto"/>
              </w:rPr>
            </w:pPr>
          </w:p>
        </w:tc>
        <w:tc>
          <w:tcPr>
            <w:tcW w:w="3000" w:type="dxa"/>
            <w:vAlign w:val="bottom"/>
            <w:tcBorders>
              <w:right w:val="single" w:sz="8" w:color="auto"/>
            </w:tcBorders>
            <w:gridSpan w:val="2"/>
            <w:vMerge w:val="restart"/>
          </w:tcPr>
          <w:p>
            <w:pPr>
              <w:jc w:val="center"/>
              <w:ind w:right="1120"/>
              <w:spacing w:after="0"/>
              <w:rPr>
                <w:sz w:val="20"/>
                <w:szCs w:val="20"/>
                <w:color w:val="auto"/>
              </w:rPr>
            </w:pPr>
            <w:r>
              <w:rPr>
                <w:rFonts w:ascii="Arial" w:cs="Arial" w:eastAsia="Arial" w:hAnsi="Arial"/>
                <w:sz w:val="18"/>
                <w:szCs w:val="18"/>
                <w:color w:val="auto"/>
                <w:w w:val="87"/>
              </w:rPr>
              <w:t>such date</w:t>
            </w:r>
          </w:p>
        </w:tc>
        <w:tc>
          <w:tcPr>
            <w:tcW w:w="0" w:type="dxa"/>
            <w:vAlign w:val="bottom"/>
          </w:tcPr>
          <w:p>
            <w:pPr>
              <w:spacing w:after="0"/>
              <w:rPr>
                <w:sz w:val="1"/>
                <w:szCs w:val="1"/>
                <w:color w:val="auto"/>
              </w:rPr>
            </w:pPr>
          </w:p>
        </w:tc>
      </w:tr>
      <w:tr>
        <w:trPr>
          <w:trHeight w:val="108"/>
        </w:trPr>
        <w:tc>
          <w:tcPr>
            <w:tcW w:w="960" w:type="dxa"/>
            <w:vAlign w:val="bottom"/>
            <w:tcBorders>
              <w:left w:val="single" w:sz="8" w:color="auto"/>
            </w:tcBorders>
          </w:tcPr>
          <w:p>
            <w:pPr>
              <w:spacing w:after="0"/>
              <w:rPr>
                <w:sz w:val="9"/>
                <w:szCs w:val="9"/>
                <w:color w:val="auto"/>
              </w:rPr>
            </w:pPr>
          </w:p>
        </w:tc>
        <w:tc>
          <w:tcPr>
            <w:tcW w:w="2180" w:type="dxa"/>
            <w:vAlign w:val="bottom"/>
          </w:tcPr>
          <w:p>
            <w:pPr>
              <w:spacing w:after="0"/>
              <w:rPr>
                <w:sz w:val="9"/>
                <w:szCs w:val="9"/>
                <w:color w:val="auto"/>
              </w:rPr>
            </w:pPr>
          </w:p>
        </w:tc>
        <w:tc>
          <w:tcPr>
            <w:tcW w:w="980" w:type="dxa"/>
            <w:vAlign w:val="bottom"/>
            <w:tcBorders>
              <w:right w:val="single" w:sz="8" w:color="auto"/>
            </w:tcBorders>
          </w:tcPr>
          <w:p>
            <w:pPr>
              <w:spacing w:after="0"/>
              <w:rPr>
                <w:sz w:val="9"/>
                <w:szCs w:val="9"/>
                <w:color w:val="auto"/>
              </w:rPr>
            </w:pPr>
          </w:p>
        </w:tc>
        <w:tc>
          <w:tcPr>
            <w:tcW w:w="1100" w:type="dxa"/>
            <w:vAlign w:val="bottom"/>
          </w:tcPr>
          <w:p>
            <w:pPr>
              <w:spacing w:after="0"/>
              <w:rPr>
                <w:sz w:val="9"/>
                <w:szCs w:val="9"/>
                <w:color w:val="auto"/>
              </w:rPr>
            </w:pPr>
          </w:p>
        </w:tc>
        <w:tc>
          <w:tcPr>
            <w:tcW w:w="300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960" w:type="dxa"/>
            <w:vAlign w:val="bottom"/>
            <w:tcBorders>
              <w:left w:val="single" w:sz="8" w:color="auto"/>
              <w:bottom w:val="single" w:sz="8" w:color="auto"/>
            </w:tcBorders>
          </w:tcPr>
          <w:p>
            <w:pPr>
              <w:spacing w:after="0"/>
              <w:rPr>
                <w:sz w:val="11"/>
                <w:szCs w:val="11"/>
                <w:color w:val="auto"/>
              </w:rPr>
            </w:pPr>
          </w:p>
        </w:tc>
        <w:tc>
          <w:tcPr>
            <w:tcW w:w="2180" w:type="dxa"/>
            <w:vAlign w:val="bottom"/>
            <w:tcBorders>
              <w:bottom w:val="single" w:sz="8" w:color="auto"/>
            </w:tcBorders>
          </w:tcPr>
          <w:p>
            <w:pPr>
              <w:spacing w:after="0"/>
              <w:rPr>
                <w:sz w:val="11"/>
                <w:szCs w:val="11"/>
                <w:color w:val="auto"/>
              </w:rPr>
            </w:pPr>
          </w:p>
        </w:tc>
        <w:tc>
          <w:tcPr>
            <w:tcW w:w="980" w:type="dxa"/>
            <w:vAlign w:val="bottom"/>
            <w:tcBorders>
              <w:bottom w:val="single" w:sz="8" w:color="auto"/>
              <w:right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1880" w:type="dxa"/>
            <w:vAlign w:val="bottom"/>
            <w:tcBorders>
              <w:bottom w:val="single" w:sz="8" w:color="auto"/>
            </w:tcBorders>
          </w:tcPr>
          <w:p>
            <w:pPr>
              <w:spacing w:after="0"/>
              <w:rPr>
                <w:sz w:val="11"/>
                <w:szCs w:val="11"/>
                <w:color w:val="auto"/>
              </w:rPr>
            </w:pPr>
          </w:p>
        </w:tc>
        <w:tc>
          <w:tcPr>
            <w:tcW w:w="1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30"/>
        </w:trPr>
        <w:tc>
          <w:tcPr>
            <w:tcW w:w="3140" w:type="dxa"/>
            <w:vAlign w:val="bottom"/>
            <w:tcBorders>
              <w:left w:val="single" w:sz="8" w:color="auto"/>
            </w:tcBorders>
            <w:gridSpan w:val="2"/>
            <w:vMerge w:val="restart"/>
          </w:tcPr>
          <w:p>
            <w:pPr>
              <w:jc w:val="center"/>
              <w:ind w:left="890"/>
              <w:spacing w:after="0"/>
              <w:rPr>
                <w:sz w:val="20"/>
                <w:szCs w:val="20"/>
                <w:color w:val="auto"/>
              </w:rPr>
            </w:pPr>
            <w:r>
              <w:rPr>
                <w:rFonts w:ascii="Arial" w:cs="Arial" w:eastAsia="Arial" w:hAnsi="Arial"/>
                <w:sz w:val="18"/>
                <w:szCs w:val="18"/>
                <w:color w:val="auto"/>
                <w:w w:val="89"/>
              </w:rPr>
              <w:t>$&lt;3,900,000&gt;</w:t>
            </w:r>
          </w:p>
        </w:tc>
        <w:tc>
          <w:tcPr>
            <w:tcW w:w="980" w:type="dxa"/>
            <w:vAlign w:val="bottom"/>
            <w:tcBorders>
              <w:right w:val="single" w:sz="8" w:color="auto"/>
            </w:tcBorders>
          </w:tcPr>
          <w:p>
            <w:pPr>
              <w:spacing w:after="0"/>
              <w:rPr>
                <w:sz w:val="24"/>
                <w:szCs w:val="24"/>
                <w:color w:val="auto"/>
              </w:rPr>
            </w:pPr>
          </w:p>
        </w:tc>
        <w:tc>
          <w:tcPr>
            <w:tcW w:w="410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0"/>
              </w:rPr>
              <w:t>September 30, 2017, for the nine month period ending</w:t>
            </w:r>
          </w:p>
        </w:tc>
        <w:tc>
          <w:tcPr>
            <w:tcW w:w="0" w:type="dxa"/>
            <w:vAlign w:val="bottom"/>
          </w:tcPr>
          <w:p>
            <w:pPr>
              <w:spacing w:after="0"/>
              <w:rPr>
                <w:sz w:val="1"/>
                <w:szCs w:val="1"/>
                <w:color w:val="auto"/>
              </w:rPr>
            </w:pPr>
          </w:p>
        </w:tc>
      </w:tr>
      <w:tr>
        <w:trPr>
          <w:trHeight w:val="122"/>
        </w:trPr>
        <w:tc>
          <w:tcPr>
            <w:tcW w:w="3140" w:type="dxa"/>
            <w:vAlign w:val="bottom"/>
            <w:tcBorders>
              <w:left w:val="single" w:sz="8" w:color="auto"/>
            </w:tcBorders>
            <w:gridSpan w:val="2"/>
            <w:vMerge w:val="continue"/>
          </w:tcPr>
          <w:p>
            <w:pPr>
              <w:spacing w:after="0"/>
              <w:rPr>
                <w:sz w:val="10"/>
                <w:szCs w:val="10"/>
                <w:color w:val="auto"/>
              </w:rPr>
            </w:pPr>
          </w:p>
        </w:tc>
        <w:tc>
          <w:tcPr>
            <w:tcW w:w="980" w:type="dxa"/>
            <w:vAlign w:val="bottom"/>
            <w:tcBorders>
              <w:right w:val="single" w:sz="8" w:color="auto"/>
            </w:tcBorders>
          </w:tcPr>
          <w:p>
            <w:pPr>
              <w:spacing w:after="0"/>
              <w:rPr>
                <w:sz w:val="10"/>
                <w:szCs w:val="10"/>
                <w:color w:val="auto"/>
              </w:rPr>
            </w:pPr>
          </w:p>
        </w:tc>
        <w:tc>
          <w:tcPr>
            <w:tcW w:w="1100" w:type="dxa"/>
            <w:vAlign w:val="bottom"/>
          </w:tcPr>
          <w:p>
            <w:pPr>
              <w:spacing w:after="0"/>
              <w:rPr>
                <w:sz w:val="10"/>
                <w:szCs w:val="10"/>
                <w:color w:val="auto"/>
              </w:rPr>
            </w:pPr>
          </w:p>
        </w:tc>
        <w:tc>
          <w:tcPr>
            <w:tcW w:w="3000" w:type="dxa"/>
            <w:vAlign w:val="bottom"/>
            <w:tcBorders>
              <w:right w:val="single" w:sz="8" w:color="auto"/>
            </w:tcBorders>
            <w:gridSpan w:val="2"/>
            <w:vMerge w:val="restart"/>
          </w:tcPr>
          <w:p>
            <w:pPr>
              <w:jc w:val="center"/>
              <w:ind w:right="1140"/>
              <w:spacing w:after="0"/>
              <w:rPr>
                <w:sz w:val="20"/>
                <w:szCs w:val="20"/>
                <w:color w:val="auto"/>
              </w:rPr>
            </w:pPr>
            <w:r>
              <w:rPr>
                <w:rFonts w:ascii="Arial" w:cs="Arial" w:eastAsia="Arial" w:hAnsi="Arial"/>
                <w:sz w:val="18"/>
                <w:szCs w:val="18"/>
                <w:color w:val="auto"/>
                <w:w w:val="87"/>
              </w:rPr>
              <w:t>on such date</w:t>
            </w:r>
          </w:p>
        </w:tc>
        <w:tc>
          <w:tcPr>
            <w:tcW w:w="0" w:type="dxa"/>
            <w:vAlign w:val="bottom"/>
          </w:tcPr>
          <w:p>
            <w:pPr>
              <w:spacing w:after="0"/>
              <w:rPr>
                <w:sz w:val="1"/>
                <w:szCs w:val="1"/>
                <w:color w:val="auto"/>
              </w:rPr>
            </w:pPr>
          </w:p>
        </w:tc>
      </w:tr>
      <w:tr>
        <w:trPr>
          <w:trHeight w:val="108"/>
        </w:trPr>
        <w:tc>
          <w:tcPr>
            <w:tcW w:w="960" w:type="dxa"/>
            <w:vAlign w:val="bottom"/>
            <w:tcBorders>
              <w:left w:val="single" w:sz="8" w:color="auto"/>
            </w:tcBorders>
          </w:tcPr>
          <w:p>
            <w:pPr>
              <w:spacing w:after="0"/>
              <w:rPr>
                <w:sz w:val="9"/>
                <w:szCs w:val="9"/>
                <w:color w:val="auto"/>
              </w:rPr>
            </w:pPr>
          </w:p>
        </w:tc>
        <w:tc>
          <w:tcPr>
            <w:tcW w:w="2180" w:type="dxa"/>
            <w:vAlign w:val="bottom"/>
          </w:tcPr>
          <w:p>
            <w:pPr>
              <w:spacing w:after="0"/>
              <w:rPr>
                <w:sz w:val="9"/>
                <w:szCs w:val="9"/>
                <w:color w:val="auto"/>
              </w:rPr>
            </w:pPr>
          </w:p>
        </w:tc>
        <w:tc>
          <w:tcPr>
            <w:tcW w:w="980" w:type="dxa"/>
            <w:vAlign w:val="bottom"/>
            <w:tcBorders>
              <w:right w:val="single" w:sz="8" w:color="auto"/>
            </w:tcBorders>
          </w:tcPr>
          <w:p>
            <w:pPr>
              <w:spacing w:after="0"/>
              <w:rPr>
                <w:sz w:val="9"/>
                <w:szCs w:val="9"/>
                <w:color w:val="auto"/>
              </w:rPr>
            </w:pPr>
          </w:p>
        </w:tc>
        <w:tc>
          <w:tcPr>
            <w:tcW w:w="1100" w:type="dxa"/>
            <w:vAlign w:val="bottom"/>
          </w:tcPr>
          <w:p>
            <w:pPr>
              <w:spacing w:after="0"/>
              <w:rPr>
                <w:sz w:val="9"/>
                <w:szCs w:val="9"/>
                <w:color w:val="auto"/>
              </w:rPr>
            </w:pPr>
          </w:p>
        </w:tc>
        <w:tc>
          <w:tcPr>
            <w:tcW w:w="300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960" w:type="dxa"/>
            <w:vAlign w:val="bottom"/>
            <w:tcBorders>
              <w:left w:val="single" w:sz="8" w:color="auto"/>
              <w:bottom w:val="single" w:sz="8" w:color="auto"/>
            </w:tcBorders>
          </w:tcPr>
          <w:p>
            <w:pPr>
              <w:spacing w:after="0"/>
              <w:rPr>
                <w:sz w:val="11"/>
                <w:szCs w:val="11"/>
                <w:color w:val="auto"/>
              </w:rPr>
            </w:pPr>
          </w:p>
        </w:tc>
        <w:tc>
          <w:tcPr>
            <w:tcW w:w="2180" w:type="dxa"/>
            <w:vAlign w:val="bottom"/>
            <w:tcBorders>
              <w:bottom w:val="single" w:sz="8" w:color="auto"/>
            </w:tcBorders>
          </w:tcPr>
          <w:p>
            <w:pPr>
              <w:spacing w:after="0"/>
              <w:rPr>
                <w:sz w:val="11"/>
                <w:szCs w:val="11"/>
                <w:color w:val="auto"/>
              </w:rPr>
            </w:pPr>
          </w:p>
        </w:tc>
        <w:tc>
          <w:tcPr>
            <w:tcW w:w="980" w:type="dxa"/>
            <w:vAlign w:val="bottom"/>
            <w:tcBorders>
              <w:bottom w:val="single" w:sz="8" w:color="auto"/>
              <w:right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1880" w:type="dxa"/>
            <w:vAlign w:val="bottom"/>
            <w:tcBorders>
              <w:bottom w:val="single" w:sz="8" w:color="auto"/>
            </w:tcBorders>
          </w:tcPr>
          <w:p>
            <w:pPr>
              <w:spacing w:after="0"/>
              <w:rPr>
                <w:sz w:val="11"/>
                <w:szCs w:val="11"/>
                <w:color w:val="auto"/>
              </w:rPr>
            </w:pPr>
          </w:p>
        </w:tc>
        <w:tc>
          <w:tcPr>
            <w:tcW w:w="1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30"/>
        </w:trPr>
        <w:tc>
          <w:tcPr>
            <w:tcW w:w="3140" w:type="dxa"/>
            <w:vAlign w:val="bottom"/>
            <w:tcBorders>
              <w:left w:val="single" w:sz="8" w:color="auto"/>
            </w:tcBorders>
            <w:gridSpan w:val="2"/>
            <w:vMerge w:val="restart"/>
          </w:tcPr>
          <w:p>
            <w:pPr>
              <w:jc w:val="center"/>
              <w:ind w:left="890"/>
              <w:spacing w:after="0"/>
              <w:rPr>
                <w:sz w:val="20"/>
                <w:szCs w:val="20"/>
                <w:color w:val="auto"/>
              </w:rPr>
            </w:pPr>
            <w:r>
              <w:rPr>
                <w:rFonts w:ascii="Arial" w:cs="Arial" w:eastAsia="Arial" w:hAnsi="Arial"/>
                <w:sz w:val="18"/>
                <w:szCs w:val="18"/>
                <w:color w:val="auto"/>
                <w:w w:val="89"/>
              </w:rPr>
              <w:t>$&lt;3,500,000&gt;</w:t>
            </w:r>
          </w:p>
        </w:tc>
        <w:tc>
          <w:tcPr>
            <w:tcW w:w="980" w:type="dxa"/>
            <w:vAlign w:val="bottom"/>
            <w:tcBorders>
              <w:right w:val="single" w:sz="8" w:color="auto"/>
            </w:tcBorders>
          </w:tcPr>
          <w:p>
            <w:pPr>
              <w:spacing w:after="0"/>
              <w:rPr>
                <w:sz w:val="24"/>
                <w:szCs w:val="24"/>
                <w:color w:val="auto"/>
              </w:rPr>
            </w:pPr>
          </w:p>
        </w:tc>
        <w:tc>
          <w:tcPr>
            <w:tcW w:w="410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0"/>
              </w:rPr>
              <w:t>October 31, 2017, for the ten month period ending on</w:t>
            </w:r>
          </w:p>
        </w:tc>
        <w:tc>
          <w:tcPr>
            <w:tcW w:w="0" w:type="dxa"/>
            <w:vAlign w:val="bottom"/>
          </w:tcPr>
          <w:p>
            <w:pPr>
              <w:spacing w:after="0"/>
              <w:rPr>
                <w:sz w:val="1"/>
                <w:szCs w:val="1"/>
                <w:color w:val="auto"/>
              </w:rPr>
            </w:pPr>
          </w:p>
        </w:tc>
      </w:tr>
      <w:tr>
        <w:trPr>
          <w:trHeight w:val="122"/>
        </w:trPr>
        <w:tc>
          <w:tcPr>
            <w:tcW w:w="3140" w:type="dxa"/>
            <w:vAlign w:val="bottom"/>
            <w:tcBorders>
              <w:left w:val="single" w:sz="8" w:color="auto"/>
            </w:tcBorders>
            <w:gridSpan w:val="2"/>
            <w:vMerge w:val="continue"/>
          </w:tcPr>
          <w:p>
            <w:pPr>
              <w:spacing w:after="0"/>
              <w:rPr>
                <w:sz w:val="10"/>
                <w:szCs w:val="10"/>
                <w:color w:val="auto"/>
              </w:rPr>
            </w:pPr>
          </w:p>
        </w:tc>
        <w:tc>
          <w:tcPr>
            <w:tcW w:w="980" w:type="dxa"/>
            <w:vAlign w:val="bottom"/>
            <w:tcBorders>
              <w:right w:val="single" w:sz="8" w:color="auto"/>
            </w:tcBorders>
          </w:tcPr>
          <w:p>
            <w:pPr>
              <w:spacing w:after="0"/>
              <w:rPr>
                <w:sz w:val="10"/>
                <w:szCs w:val="10"/>
                <w:color w:val="auto"/>
              </w:rPr>
            </w:pPr>
          </w:p>
        </w:tc>
        <w:tc>
          <w:tcPr>
            <w:tcW w:w="1100" w:type="dxa"/>
            <w:vAlign w:val="bottom"/>
          </w:tcPr>
          <w:p>
            <w:pPr>
              <w:spacing w:after="0"/>
              <w:rPr>
                <w:sz w:val="10"/>
                <w:szCs w:val="10"/>
                <w:color w:val="auto"/>
              </w:rPr>
            </w:pPr>
          </w:p>
        </w:tc>
        <w:tc>
          <w:tcPr>
            <w:tcW w:w="3000" w:type="dxa"/>
            <w:vAlign w:val="bottom"/>
            <w:tcBorders>
              <w:right w:val="single" w:sz="8" w:color="auto"/>
            </w:tcBorders>
            <w:gridSpan w:val="2"/>
            <w:vMerge w:val="restart"/>
          </w:tcPr>
          <w:p>
            <w:pPr>
              <w:jc w:val="center"/>
              <w:ind w:right="1120"/>
              <w:spacing w:after="0"/>
              <w:rPr>
                <w:sz w:val="20"/>
                <w:szCs w:val="20"/>
                <w:color w:val="auto"/>
              </w:rPr>
            </w:pPr>
            <w:r>
              <w:rPr>
                <w:rFonts w:ascii="Arial" w:cs="Arial" w:eastAsia="Arial" w:hAnsi="Arial"/>
                <w:sz w:val="18"/>
                <w:szCs w:val="18"/>
                <w:color w:val="auto"/>
                <w:w w:val="87"/>
              </w:rPr>
              <w:t>such date</w:t>
            </w:r>
          </w:p>
        </w:tc>
        <w:tc>
          <w:tcPr>
            <w:tcW w:w="0" w:type="dxa"/>
            <w:vAlign w:val="bottom"/>
          </w:tcPr>
          <w:p>
            <w:pPr>
              <w:spacing w:after="0"/>
              <w:rPr>
                <w:sz w:val="1"/>
                <w:szCs w:val="1"/>
                <w:color w:val="auto"/>
              </w:rPr>
            </w:pPr>
          </w:p>
        </w:tc>
      </w:tr>
      <w:tr>
        <w:trPr>
          <w:trHeight w:val="108"/>
        </w:trPr>
        <w:tc>
          <w:tcPr>
            <w:tcW w:w="960" w:type="dxa"/>
            <w:vAlign w:val="bottom"/>
            <w:tcBorders>
              <w:left w:val="single" w:sz="8" w:color="auto"/>
            </w:tcBorders>
          </w:tcPr>
          <w:p>
            <w:pPr>
              <w:spacing w:after="0"/>
              <w:rPr>
                <w:sz w:val="9"/>
                <w:szCs w:val="9"/>
                <w:color w:val="auto"/>
              </w:rPr>
            </w:pPr>
          </w:p>
        </w:tc>
        <w:tc>
          <w:tcPr>
            <w:tcW w:w="2180" w:type="dxa"/>
            <w:vAlign w:val="bottom"/>
          </w:tcPr>
          <w:p>
            <w:pPr>
              <w:spacing w:after="0"/>
              <w:rPr>
                <w:sz w:val="9"/>
                <w:szCs w:val="9"/>
                <w:color w:val="auto"/>
              </w:rPr>
            </w:pPr>
          </w:p>
        </w:tc>
        <w:tc>
          <w:tcPr>
            <w:tcW w:w="980" w:type="dxa"/>
            <w:vAlign w:val="bottom"/>
            <w:tcBorders>
              <w:right w:val="single" w:sz="8" w:color="auto"/>
            </w:tcBorders>
          </w:tcPr>
          <w:p>
            <w:pPr>
              <w:spacing w:after="0"/>
              <w:rPr>
                <w:sz w:val="9"/>
                <w:szCs w:val="9"/>
                <w:color w:val="auto"/>
              </w:rPr>
            </w:pPr>
          </w:p>
        </w:tc>
        <w:tc>
          <w:tcPr>
            <w:tcW w:w="1100" w:type="dxa"/>
            <w:vAlign w:val="bottom"/>
          </w:tcPr>
          <w:p>
            <w:pPr>
              <w:spacing w:after="0"/>
              <w:rPr>
                <w:sz w:val="9"/>
                <w:szCs w:val="9"/>
                <w:color w:val="auto"/>
              </w:rPr>
            </w:pPr>
          </w:p>
        </w:tc>
        <w:tc>
          <w:tcPr>
            <w:tcW w:w="300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960" w:type="dxa"/>
            <w:vAlign w:val="bottom"/>
            <w:tcBorders>
              <w:left w:val="single" w:sz="8" w:color="auto"/>
              <w:bottom w:val="single" w:sz="8" w:color="auto"/>
            </w:tcBorders>
          </w:tcPr>
          <w:p>
            <w:pPr>
              <w:spacing w:after="0"/>
              <w:rPr>
                <w:sz w:val="11"/>
                <w:szCs w:val="11"/>
                <w:color w:val="auto"/>
              </w:rPr>
            </w:pPr>
          </w:p>
        </w:tc>
        <w:tc>
          <w:tcPr>
            <w:tcW w:w="2180" w:type="dxa"/>
            <w:vAlign w:val="bottom"/>
            <w:tcBorders>
              <w:bottom w:val="single" w:sz="8" w:color="auto"/>
            </w:tcBorders>
          </w:tcPr>
          <w:p>
            <w:pPr>
              <w:spacing w:after="0"/>
              <w:rPr>
                <w:sz w:val="11"/>
                <w:szCs w:val="11"/>
                <w:color w:val="auto"/>
              </w:rPr>
            </w:pPr>
          </w:p>
        </w:tc>
        <w:tc>
          <w:tcPr>
            <w:tcW w:w="980" w:type="dxa"/>
            <w:vAlign w:val="bottom"/>
            <w:tcBorders>
              <w:bottom w:val="single" w:sz="8" w:color="auto"/>
              <w:right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1880" w:type="dxa"/>
            <w:vAlign w:val="bottom"/>
            <w:tcBorders>
              <w:bottom w:val="single" w:sz="8" w:color="auto"/>
            </w:tcBorders>
          </w:tcPr>
          <w:p>
            <w:pPr>
              <w:spacing w:after="0"/>
              <w:rPr>
                <w:sz w:val="11"/>
                <w:szCs w:val="11"/>
                <w:color w:val="auto"/>
              </w:rPr>
            </w:pPr>
          </w:p>
        </w:tc>
        <w:tc>
          <w:tcPr>
            <w:tcW w:w="1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30"/>
        </w:trPr>
        <w:tc>
          <w:tcPr>
            <w:tcW w:w="3140" w:type="dxa"/>
            <w:vAlign w:val="bottom"/>
            <w:tcBorders>
              <w:left w:val="single" w:sz="8" w:color="auto"/>
            </w:tcBorders>
            <w:gridSpan w:val="2"/>
            <w:vMerge w:val="restart"/>
          </w:tcPr>
          <w:p>
            <w:pPr>
              <w:jc w:val="center"/>
              <w:ind w:left="890"/>
              <w:spacing w:after="0"/>
              <w:rPr>
                <w:sz w:val="20"/>
                <w:szCs w:val="20"/>
                <w:color w:val="auto"/>
              </w:rPr>
            </w:pPr>
            <w:r>
              <w:rPr>
                <w:rFonts w:ascii="Arial" w:cs="Arial" w:eastAsia="Arial" w:hAnsi="Arial"/>
                <w:sz w:val="18"/>
                <w:szCs w:val="18"/>
                <w:color w:val="auto"/>
                <w:w w:val="89"/>
              </w:rPr>
              <w:t>$&lt;3,100,000&gt;</w:t>
            </w:r>
          </w:p>
        </w:tc>
        <w:tc>
          <w:tcPr>
            <w:tcW w:w="980" w:type="dxa"/>
            <w:vAlign w:val="bottom"/>
            <w:tcBorders>
              <w:right w:val="single" w:sz="8" w:color="auto"/>
            </w:tcBorders>
          </w:tcPr>
          <w:p>
            <w:pPr>
              <w:spacing w:after="0"/>
              <w:rPr>
                <w:sz w:val="24"/>
                <w:szCs w:val="24"/>
                <w:color w:val="auto"/>
              </w:rPr>
            </w:pPr>
          </w:p>
        </w:tc>
        <w:tc>
          <w:tcPr>
            <w:tcW w:w="410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0"/>
              </w:rPr>
              <w:t>November 30, 2017, for the eleven month period</w:t>
            </w:r>
          </w:p>
        </w:tc>
        <w:tc>
          <w:tcPr>
            <w:tcW w:w="0" w:type="dxa"/>
            <w:vAlign w:val="bottom"/>
          </w:tcPr>
          <w:p>
            <w:pPr>
              <w:spacing w:after="0"/>
              <w:rPr>
                <w:sz w:val="1"/>
                <w:szCs w:val="1"/>
                <w:color w:val="auto"/>
              </w:rPr>
            </w:pPr>
          </w:p>
        </w:tc>
      </w:tr>
      <w:tr>
        <w:trPr>
          <w:trHeight w:val="122"/>
        </w:trPr>
        <w:tc>
          <w:tcPr>
            <w:tcW w:w="3140" w:type="dxa"/>
            <w:vAlign w:val="bottom"/>
            <w:tcBorders>
              <w:left w:val="single" w:sz="8" w:color="auto"/>
            </w:tcBorders>
            <w:gridSpan w:val="2"/>
            <w:vMerge w:val="continue"/>
          </w:tcPr>
          <w:p>
            <w:pPr>
              <w:spacing w:after="0"/>
              <w:rPr>
                <w:sz w:val="10"/>
                <w:szCs w:val="10"/>
                <w:color w:val="auto"/>
              </w:rPr>
            </w:pPr>
          </w:p>
        </w:tc>
        <w:tc>
          <w:tcPr>
            <w:tcW w:w="980" w:type="dxa"/>
            <w:vAlign w:val="bottom"/>
            <w:tcBorders>
              <w:right w:val="single" w:sz="8" w:color="auto"/>
            </w:tcBorders>
          </w:tcPr>
          <w:p>
            <w:pPr>
              <w:spacing w:after="0"/>
              <w:rPr>
                <w:sz w:val="10"/>
                <w:szCs w:val="10"/>
                <w:color w:val="auto"/>
              </w:rPr>
            </w:pPr>
          </w:p>
        </w:tc>
        <w:tc>
          <w:tcPr>
            <w:tcW w:w="1100" w:type="dxa"/>
            <w:vAlign w:val="bottom"/>
          </w:tcPr>
          <w:p>
            <w:pPr>
              <w:spacing w:after="0"/>
              <w:rPr>
                <w:sz w:val="10"/>
                <w:szCs w:val="10"/>
                <w:color w:val="auto"/>
              </w:rPr>
            </w:pPr>
          </w:p>
        </w:tc>
        <w:tc>
          <w:tcPr>
            <w:tcW w:w="3000" w:type="dxa"/>
            <w:vAlign w:val="bottom"/>
            <w:tcBorders>
              <w:right w:val="single" w:sz="8" w:color="auto"/>
            </w:tcBorders>
            <w:gridSpan w:val="2"/>
            <w:vMerge w:val="restart"/>
          </w:tcPr>
          <w:p>
            <w:pPr>
              <w:jc w:val="center"/>
              <w:ind w:right="1120"/>
              <w:spacing w:after="0"/>
              <w:rPr>
                <w:sz w:val="20"/>
                <w:szCs w:val="20"/>
                <w:color w:val="auto"/>
              </w:rPr>
            </w:pPr>
            <w:r>
              <w:rPr>
                <w:rFonts w:ascii="Arial" w:cs="Arial" w:eastAsia="Arial" w:hAnsi="Arial"/>
                <w:sz w:val="18"/>
                <w:szCs w:val="18"/>
                <w:color w:val="auto"/>
                <w:w w:val="88"/>
              </w:rPr>
              <w:t>ending on such date</w:t>
            </w:r>
          </w:p>
        </w:tc>
        <w:tc>
          <w:tcPr>
            <w:tcW w:w="0" w:type="dxa"/>
            <w:vAlign w:val="bottom"/>
          </w:tcPr>
          <w:p>
            <w:pPr>
              <w:spacing w:after="0"/>
              <w:rPr>
                <w:sz w:val="1"/>
                <w:szCs w:val="1"/>
                <w:color w:val="auto"/>
              </w:rPr>
            </w:pPr>
          </w:p>
        </w:tc>
      </w:tr>
      <w:tr>
        <w:trPr>
          <w:trHeight w:val="108"/>
        </w:trPr>
        <w:tc>
          <w:tcPr>
            <w:tcW w:w="960" w:type="dxa"/>
            <w:vAlign w:val="bottom"/>
            <w:tcBorders>
              <w:left w:val="single" w:sz="8" w:color="auto"/>
            </w:tcBorders>
          </w:tcPr>
          <w:p>
            <w:pPr>
              <w:spacing w:after="0"/>
              <w:rPr>
                <w:sz w:val="9"/>
                <w:szCs w:val="9"/>
                <w:color w:val="auto"/>
              </w:rPr>
            </w:pPr>
          </w:p>
        </w:tc>
        <w:tc>
          <w:tcPr>
            <w:tcW w:w="2180" w:type="dxa"/>
            <w:vAlign w:val="bottom"/>
          </w:tcPr>
          <w:p>
            <w:pPr>
              <w:spacing w:after="0"/>
              <w:rPr>
                <w:sz w:val="9"/>
                <w:szCs w:val="9"/>
                <w:color w:val="auto"/>
              </w:rPr>
            </w:pPr>
          </w:p>
        </w:tc>
        <w:tc>
          <w:tcPr>
            <w:tcW w:w="980" w:type="dxa"/>
            <w:vAlign w:val="bottom"/>
            <w:tcBorders>
              <w:right w:val="single" w:sz="8" w:color="auto"/>
            </w:tcBorders>
          </w:tcPr>
          <w:p>
            <w:pPr>
              <w:spacing w:after="0"/>
              <w:rPr>
                <w:sz w:val="9"/>
                <w:szCs w:val="9"/>
                <w:color w:val="auto"/>
              </w:rPr>
            </w:pPr>
          </w:p>
        </w:tc>
        <w:tc>
          <w:tcPr>
            <w:tcW w:w="1100" w:type="dxa"/>
            <w:vAlign w:val="bottom"/>
          </w:tcPr>
          <w:p>
            <w:pPr>
              <w:spacing w:after="0"/>
              <w:rPr>
                <w:sz w:val="9"/>
                <w:szCs w:val="9"/>
                <w:color w:val="auto"/>
              </w:rPr>
            </w:pPr>
          </w:p>
        </w:tc>
        <w:tc>
          <w:tcPr>
            <w:tcW w:w="300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960" w:type="dxa"/>
            <w:vAlign w:val="bottom"/>
            <w:tcBorders>
              <w:left w:val="single" w:sz="8" w:color="auto"/>
              <w:bottom w:val="single" w:sz="8" w:color="auto"/>
            </w:tcBorders>
          </w:tcPr>
          <w:p>
            <w:pPr>
              <w:spacing w:after="0"/>
              <w:rPr>
                <w:sz w:val="11"/>
                <w:szCs w:val="11"/>
                <w:color w:val="auto"/>
              </w:rPr>
            </w:pPr>
          </w:p>
        </w:tc>
        <w:tc>
          <w:tcPr>
            <w:tcW w:w="2180" w:type="dxa"/>
            <w:vAlign w:val="bottom"/>
            <w:tcBorders>
              <w:bottom w:val="single" w:sz="8" w:color="auto"/>
            </w:tcBorders>
          </w:tcPr>
          <w:p>
            <w:pPr>
              <w:spacing w:after="0"/>
              <w:rPr>
                <w:sz w:val="11"/>
                <w:szCs w:val="11"/>
                <w:color w:val="auto"/>
              </w:rPr>
            </w:pPr>
          </w:p>
        </w:tc>
        <w:tc>
          <w:tcPr>
            <w:tcW w:w="980" w:type="dxa"/>
            <w:vAlign w:val="bottom"/>
            <w:tcBorders>
              <w:bottom w:val="single" w:sz="8" w:color="auto"/>
              <w:right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1880" w:type="dxa"/>
            <w:vAlign w:val="bottom"/>
            <w:tcBorders>
              <w:bottom w:val="single" w:sz="8" w:color="auto"/>
            </w:tcBorders>
          </w:tcPr>
          <w:p>
            <w:pPr>
              <w:spacing w:after="0"/>
              <w:rPr>
                <w:sz w:val="11"/>
                <w:szCs w:val="11"/>
                <w:color w:val="auto"/>
              </w:rPr>
            </w:pPr>
          </w:p>
        </w:tc>
        <w:tc>
          <w:tcPr>
            <w:tcW w:w="1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30"/>
        </w:trPr>
        <w:tc>
          <w:tcPr>
            <w:tcW w:w="3140" w:type="dxa"/>
            <w:vAlign w:val="bottom"/>
            <w:tcBorders>
              <w:left w:val="single" w:sz="8" w:color="auto"/>
            </w:tcBorders>
            <w:gridSpan w:val="2"/>
            <w:vMerge w:val="restart"/>
          </w:tcPr>
          <w:p>
            <w:pPr>
              <w:jc w:val="center"/>
              <w:ind w:left="890"/>
              <w:spacing w:after="0"/>
              <w:rPr>
                <w:sz w:val="20"/>
                <w:szCs w:val="20"/>
                <w:color w:val="auto"/>
              </w:rPr>
            </w:pPr>
            <w:r>
              <w:rPr>
                <w:rFonts w:ascii="Arial" w:cs="Arial" w:eastAsia="Arial" w:hAnsi="Arial"/>
                <w:sz w:val="18"/>
                <w:szCs w:val="18"/>
                <w:color w:val="auto"/>
                <w:w w:val="89"/>
              </w:rPr>
              <w:t>$&lt;3,400,000&gt;</w:t>
            </w:r>
          </w:p>
        </w:tc>
        <w:tc>
          <w:tcPr>
            <w:tcW w:w="980" w:type="dxa"/>
            <w:vAlign w:val="bottom"/>
            <w:tcBorders>
              <w:right w:val="single" w:sz="8" w:color="auto"/>
            </w:tcBorders>
          </w:tcPr>
          <w:p>
            <w:pPr>
              <w:spacing w:after="0"/>
              <w:rPr>
                <w:sz w:val="24"/>
                <w:szCs w:val="24"/>
                <w:color w:val="auto"/>
              </w:rPr>
            </w:pPr>
          </w:p>
        </w:tc>
        <w:tc>
          <w:tcPr>
            <w:tcW w:w="410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1"/>
              </w:rPr>
              <w:t>December 31, 2017, for the twelve month period</w:t>
            </w:r>
          </w:p>
        </w:tc>
        <w:tc>
          <w:tcPr>
            <w:tcW w:w="0" w:type="dxa"/>
            <w:vAlign w:val="bottom"/>
          </w:tcPr>
          <w:p>
            <w:pPr>
              <w:spacing w:after="0"/>
              <w:rPr>
                <w:sz w:val="1"/>
                <w:szCs w:val="1"/>
                <w:color w:val="auto"/>
              </w:rPr>
            </w:pPr>
          </w:p>
        </w:tc>
      </w:tr>
      <w:tr>
        <w:trPr>
          <w:trHeight w:val="122"/>
        </w:trPr>
        <w:tc>
          <w:tcPr>
            <w:tcW w:w="3140" w:type="dxa"/>
            <w:vAlign w:val="bottom"/>
            <w:tcBorders>
              <w:left w:val="single" w:sz="8" w:color="auto"/>
            </w:tcBorders>
            <w:gridSpan w:val="2"/>
            <w:vMerge w:val="continue"/>
          </w:tcPr>
          <w:p>
            <w:pPr>
              <w:spacing w:after="0"/>
              <w:rPr>
                <w:sz w:val="10"/>
                <w:szCs w:val="10"/>
                <w:color w:val="auto"/>
              </w:rPr>
            </w:pPr>
          </w:p>
        </w:tc>
        <w:tc>
          <w:tcPr>
            <w:tcW w:w="980" w:type="dxa"/>
            <w:vAlign w:val="bottom"/>
            <w:tcBorders>
              <w:right w:val="single" w:sz="8" w:color="auto"/>
            </w:tcBorders>
          </w:tcPr>
          <w:p>
            <w:pPr>
              <w:spacing w:after="0"/>
              <w:rPr>
                <w:sz w:val="10"/>
                <w:szCs w:val="10"/>
                <w:color w:val="auto"/>
              </w:rPr>
            </w:pPr>
          </w:p>
        </w:tc>
        <w:tc>
          <w:tcPr>
            <w:tcW w:w="1100" w:type="dxa"/>
            <w:vAlign w:val="bottom"/>
          </w:tcPr>
          <w:p>
            <w:pPr>
              <w:spacing w:after="0"/>
              <w:rPr>
                <w:sz w:val="10"/>
                <w:szCs w:val="10"/>
                <w:color w:val="auto"/>
              </w:rPr>
            </w:pPr>
          </w:p>
        </w:tc>
        <w:tc>
          <w:tcPr>
            <w:tcW w:w="3000" w:type="dxa"/>
            <w:vAlign w:val="bottom"/>
            <w:tcBorders>
              <w:right w:val="single" w:sz="8" w:color="auto"/>
            </w:tcBorders>
            <w:gridSpan w:val="2"/>
            <w:vMerge w:val="restart"/>
          </w:tcPr>
          <w:p>
            <w:pPr>
              <w:jc w:val="center"/>
              <w:ind w:right="1120"/>
              <w:spacing w:after="0"/>
              <w:rPr>
                <w:sz w:val="20"/>
                <w:szCs w:val="20"/>
                <w:color w:val="auto"/>
              </w:rPr>
            </w:pPr>
            <w:r>
              <w:rPr>
                <w:rFonts w:ascii="Arial" w:cs="Arial" w:eastAsia="Arial" w:hAnsi="Arial"/>
                <w:sz w:val="18"/>
                <w:szCs w:val="18"/>
                <w:color w:val="auto"/>
                <w:w w:val="88"/>
              </w:rPr>
              <w:t>ending on such date</w:t>
            </w:r>
          </w:p>
        </w:tc>
        <w:tc>
          <w:tcPr>
            <w:tcW w:w="0" w:type="dxa"/>
            <w:vAlign w:val="bottom"/>
          </w:tcPr>
          <w:p>
            <w:pPr>
              <w:spacing w:after="0"/>
              <w:rPr>
                <w:sz w:val="1"/>
                <w:szCs w:val="1"/>
                <w:color w:val="auto"/>
              </w:rPr>
            </w:pPr>
          </w:p>
        </w:tc>
      </w:tr>
      <w:tr>
        <w:trPr>
          <w:trHeight w:val="108"/>
        </w:trPr>
        <w:tc>
          <w:tcPr>
            <w:tcW w:w="960" w:type="dxa"/>
            <w:vAlign w:val="bottom"/>
            <w:tcBorders>
              <w:left w:val="single" w:sz="8" w:color="auto"/>
            </w:tcBorders>
          </w:tcPr>
          <w:p>
            <w:pPr>
              <w:spacing w:after="0"/>
              <w:rPr>
                <w:sz w:val="9"/>
                <w:szCs w:val="9"/>
                <w:color w:val="auto"/>
              </w:rPr>
            </w:pPr>
          </w:p>
        </w:tc>
        <w:tc>
          <w:tcPr>
            <w:tcW w:w="2180" w:type="dxa"/>
            <w:vAlign w:val="bottom"/>
          </w:tcPr>
          <w:p>
            <w:pPr>
              <w:spacing w:after="0"/>
              <w:rPr>
                <w:sz w:val="9"/>
                <w:szCs w:val="9"/>
                <w:color w:val="auto"/>
              </w:rPr>
            </w:pPr>
          </w:p>
        </w:tc>
        <w:tc>
          <w:tcPr>
            <w:tcW w:w="980" w:type="dxa"/>
            <w:vAlign w:val="bottom"/>
            <w:tcBorders>
              <w:right w:val="single" w:sz="8" w:color="auto"/>
            </w:tcBorders>
          </w:tcPr>
          <w:p>
            <w:pPr>
              <w:spacing w:after="0"/>
              <w:rPr>
                <w:sz w:val="9"/>
                <w:szCs w:val="9"/>
                <w:color w:val="auto"/>
              </w:rPr>
            </w:pPr>
          </w:p>
        </w:tc>
        <w:tc>
          <w:tcPr>
            <w:tcW w:w="1100" w:type="dxa"/>
            <w:vAlign w:val="bottom"/>
          </w:tcPr>
          <w:p>
            <w:pPr>
              <w:spacing w:after="0"/>
              <w:rPr>
                <w:sz w:val="9"/>
                <w:szCs w:val="9"/>
                <w:color w:val="auto"/>
              </w:rPr>
            </w:pPr>
          </w:p>
        </w:tc>
        <w:tc>
          <w:tcPr>
            <w:tcW w:w="300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960" w:type="dxa"/>
            <w:vAlign w:val="bottom"/>
            <w:tcBorders>
              <w:left w:val="single" w:sz="8" w:color="auto"/>
              <w:bottom w:val="single" w:sz="8" w:color="auto"/>
            </w:tcBorders>
          </w:tcPr>
          <w:p>
            <w:pPr>
              <w:spacing w:after="0"/>
              <w:rPr>
                <w:sz w:val="11"/>
                <w:szCs w:val="11"/>
                <w:color w:val="auto"/>
              </w:rPr>
            </w:pPr>
          </w:p>
        </w:tc>
        <w:tc>
          <w:tcPr>
            <w:tcW w:w="2180" w:type="dxa"/>
            <w:vAlign w:val="bottom"/>
            <w:tcBorders>
              <w:bottom w:val="single" w:sz="8" w:color="auto"/>
            </w:tcBorders>
          </w:tcPr>
          <w:p>
            <w:pPr>
              <w:spacing w:after="0"/>
              <w:rPr>
                <w:sz w:val="11"/>
                <w:szCs w:val="11"/>
                <w:color w:val="auto"/>
              </w:rPr>
            </w:pPr>
          </w:p>
        </w:tc>
        <w:tc>
          <w:tcPr>
            <w:tcW w:w="980" w:type="dxa"/>
            <w:vAlign w:val="bottom"/>
            <w:tcBorders>
              <w:bottom w:val="single" w:sz="8" w:color="auto"/>
              <w:right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1880" w:type="dxa"/>
            <w:vAlign w:val="bottom"/>
            <w:tcBorders>
              <w:bottom w:val="single" w:sz="8" w:color="auto"/>
            </w:tcBorders>
          </w:tcPr>
          <w:p>
            <w:pPr>
              <w:spacing w:after="0"/>
              <w:rPr>
                <w:sz w:val="11"/>
                <w:szCs w:val="11"/>
                <w:color w:val="auto"/>
              </w:rPr>
            </w:pPr>
          </w:p>
        </w:tc>
        <w:tc>
          <w:tcPr>
            <w:tcW w:w="1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370" w:lineRule="exact"/>
        <w:rPr>
          <w:sz w:val="20"/>
          <w:szCs w:val="20"/>
          <w:color w:val="auto"/>
        </w:rPr>
      </w:pPr>
    </w:p>
    <w:p>
      <w:pPr>
        <w:ind w:right="280"/>
        <w:spacing w:after="0" w:line="248" w:lineRule="auto"/>
        <w:rPr>
          <w:sz w:val="20"/>
          <w:szCs w:val="20"/>
          <w:color w:val="auto"/>
        </w:rPr>
      </w:pPr>
      <w:r>
        <w:rPr>
          <w:rFonts w:ascii="Arial" w:cs="Arial" w:eastAsia="Arial" w:hAnsi="Arial"/>
          <w:sz w:val="22"/>
          <w:szCs w:val="22"/>
          <w:color w:val="auto"/>
        </w:rPr>
        <w:t>Notwithstanding the foregoing, no later than December 31, 2017, Borrowers and Lender shall agree on new minimum required EBITDA amounts for the measurement periods ending in 2018, and such new minimum required EBITDA amounts shall be reasonably satisfactory to Lender. Failure to reset the minimum required EBITDA amounts for 2018 by December 31, 2017 (for any reason), shall constitute an immediate Event of Default under this Agreement and the other Loan Documents.”</w:t>
      </w:r>
    </w:p>
    <w:p>
      <w:pPr>
        <w:sectPr>
          <w:pgSz w:w="11900" w:h="16838" w:orient="portrait"/>
          <w:cols w:equalWidth="0" w:num="1">
            <w:col w:w="10740"/>
          </w:cols>
          <w:pgMar w:left="900" w:top="753" w:right="259" w:bottom="749" w:gutter="0" w:footer="0" w:header="0"/>
        </w:sectPr>
      </w:pPr>
    </w:p>
    <w:bookmarkStart w:id="35" w:name="page36"/>
    <w:bookmarkEnd w:id="35"/>
    <w:p>
      <w:pPr>
        <w:ind w:left="660"/>
        <w:spacing w:after="0"/>
        <w:tabs>
          <w:tab w:leader="none" w:pos="1560" w:val="left"/>
        </w:tabs>
        <w:rPr>
          <w:sz w:val="20"/>
          <w:szCs w:val="20"/>
          <w:color w:val="auto"/>
        </w:rPr>
      </w:pPr>
      <w:r>
        <w:rPr>
          <w:rFonts w:ascii="Arial" w:cs="Arial" w:eastAsia="Arial" w:hAnsi="Arial"/>
          <w:sz w:val="22"/>
          <w:szCs w:val="22"/>
          <w:color w:val="auto"/>
        </w:rPr>
        <w:t>1.4</w:t>
      </w:r>
      <w:r>
        <w:rPr>
          <w:sz w:val="20"/>
          <w:szCs w:val="20"/>
          <w:color w:val="auto"/>
        </w:rPr>
        <w:tab/>
      </w:r>
      <w:r>
        <w:rPr>
          <w:rFonts w:ascii="Arial" w:cs="Arial" w:eastAsia="Arial" w:hAnsi="Arial"/>
          <w:sz w:val="19"/>
          <w:szCs w:val="19"/>
          <w:u w:val="single" w:color="auto"/>
          <w:color w:val="auto"/>
        </w:rPr>
        <w:t xml:space="preserve">Section 8(c) </w:t>
      </w:r>
      <w:r>
        <w:rPr>
          <w:rFonts w:ascii="Arial" w:cs="Arial" w:eastAsia="Arial" w:hAnsi="Arial"/>
          <w:sz w:val="19"/>
          <w:szCs w:val="19"/>
          <w:color w:val="auto"/>
        </w:rPr>
        <w:t>of the Credit Agreement is hereby amended to read in its entirety as follows:</w:t>
      </w:r>
    </w:p>
    <w:p>
      <w:pPr>
        <w:spacing w:after="0" w:line="322"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19"/>
          <w:szCs w:val="19"/>
          <w:b w:val="1"/>
          <w:bCs w:val="1"/>
          <w:u w:val="single" w:color="auto"/>
          <w:color w:val="auto"/>
        </w:rPr>
        <w:t>Minimum Excess Availability and Liquidity</w:t>
      </w:r>
      <w:r>
        <w:rPr>
          <w:rFonts w:ascii="Arial" w:cs="Arial" w:eastAsia="Arial" w:hAnsi="Arial"/>
          <w:sz w:val="19"/>
          <w:szCs w:val="19"/>
          <w:color w:val="auto"/>
        </w:rPr>
        <w:t>. Borrowers shall maintain (i) so long as Advances are</w:t>
      </w:r>
    </w:p>
    <w:p>
      <w:pPr>
        <w:spacing w:after="0" w:line="2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outstanding, (x) at all times (other than on the last Business Day of any calendar month and continuing to and including the</w:t>
      </w:r>
    </w:p>
    <w:p>
      <w:pPr>
        <w:spacing w:after="0" w:line="3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first two Business Days of the succeeding calendar month) Excess Availability in an amount equal to or greater than</w:t>
      </w:r>
    </w:p>
    <w:p>
      <w:pPr>
        <w:spacing w:after="0" w:line="3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$3,000,000, and (y) on the last Business Day of any calendar month and continuing to and including the first two Business</w:t>
      </w:r>
    </w:p>
    <w:p>
      <w:pPr>
        <w:spacing w:after="0" w:line="3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Days of the succeeding calendar month, Liquidity in an amount equal to or greater than $3,000,000, and (ii) so long as no</w:t>
      </w:r>
    </w:p>
    <w:p>
      <w:pPr>
        <w:spacing w:after="0" w:line="3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Advances are outstanding, at all times Liquidity in an amount equal to or greater than $3,000,000.”</w:t>
      </w:r>
    </w:p>
    <w:p>
      <w:pPr>
        <w:spacing w:after="0" w:line="310" w:lineRule="exact"/>
        <w:rPr>
          <w:sz w:val="20"/>
          <w:szCs w:val="20"/>
          <w:color w:val="auto"/>
        </w:rPr>
      </w:pPr>
    </w:p>
    <w:p>
      <w:pPr>
        <w:ind w:right="200" w:firstLine="648"/>
        <w:spacing w:after="0" w:line="263" w:lineRule="auto"/>
        <w:rPr>
          <w:sz w:val="20"/>
          <w:szCs w:val="20"/>
          <w:color w:val="auto"/>
        </w:rPr>
      </w:pPr>
      <w:r>
        <w:rPr>
          <w:rFonts w:ascii="Arial" w:cs="Arial" w:eastAsia="Arial" w:hAnsi="Arial"/>
          <w:sz w:val="22"/>
          <w:szCs w:val="22"/>
          <w:color w:val="auto"/>
        </w:rPr>
        <w:t>1.5 The definition of “</w:t>
      </w:r>
      <w:r>
        <w:rPr>
          <w:rFonts w:ascii="Arial" w:cs="Arial" w:eastAsia="Arial" w:hAnsi="Arial"/>
          <w:sz w:val="22"/>
          <w:szCs w:val="22"/>
          <w:u w:val="single" w:color="auto"/>
          <w:color w:val="auto"/>
        </w:rPr>
        <w:t>Applicable Margin</w:t>
      </w:r>
      <w:r>
        <w:rPr>
          <w:rFonts w:ascii="Arial" w:cs="Arial" w:eastAsia="Arial" w:hAnsi="Arial"/>
          <w:sz w:val="22"/>
          <w:szCs w:val="22"/>
          <w:color w:val="auto"/>
        </w:rPr>
        <w:t xml:space="preserve">” set forth in </w:t>
      </w:r>
      <w:r>
        <w:rPr>
          <w:rFonts w:ascii="Arial" w:cs="Arial" w:eastAsia="Arial" w:hAnsi="Arial"/>
          <w:sz w:val="22"/>
          <w:szCs w:val="22"/>
          <w:u w:val="single" w:color="auto"/>
          <w:color w:val="auto"/>
        </w:rPr>
        <w:t>Schedule 1.1</w:t>
      </w:r>
      <w:r>
        <w:rPr>
          <w:rFonts w:ascii="Arial" w:cs="Arial" w:eastAsia="Arial" w:hAnsi="Arial"/>
          <w:sz w:val="22"/>
          <w:szCs w:val="22"/>
          <w:color w:val="auto"/>
        </w:rPr>
        <w:t xml:space="preserve"> to the Credit Agreement is hereby amended to read in its entirety as follows:</w:t>
      </w:r>
    </w:p>
    <w:p>
      <w:pPr>
        <w:spacing w:after="0" w:line="283" w:lineRule="exact"/>
        <w:rPr>
          <w:sz w:val="20"/>
          <w:szCs w:val="20"/>
          <w:color w:val="auto"/>
        </w:rPr>
      </w:pPr>
    </w:p>
    <w:p>
      <w:pPr>
        <w:ind w:left="660" w:right="8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Margin</w:t>
      </w:r>
      <w:r>
        <w:rPr>
          <w:rFonts w:ascii="Arial" w:cs="Arial" w:eastAsia="Arial" w:hAnsi="Arial"/>
          <w:sz w:val="22"/>
          <w:szCs w:val="22"/>
          <w:color w:val="auto"/>
        </w:rPr>
        <w:t>” means, with respect to interest accruing on the outstanding Advances and other Obligations, 4.0 percentage points when the interest rate is based on Daily Three Month LIBOR, and 1.5 percentage points when the interest rate is based on the Prime Rate.”</w:t>
      </w:r>
    </w:p>
    <w:p>
      <w:pPr>
        <w:spacing w:after="0" w:line="294" w:lineRule="exact"/>
        <w:rPr>
          <w:sz w:val="20"/>
          <w:szCs w:val="20"/>
          <w:color w:val="auto"/>
        </w:rPr>
      </w:pPr>
    </w:p>
    <w:p>
      <w:pPr>
        <w:ind w:right="80" w:firstLine="648"/>
        <w:spacing w:after="0" w:line="263" w:lineRule="auto"/>
        <w:rPr>
          <w:sz w:val="20"/>
          <w:szCs w:val="20"/>
          <w:color w:val="auto"/>
        </w:rPr>
      </w:pPr>
      <w:r>
        <w:rPr>
          <w:rFonts w:ascii="Arial" w:cs="Arial" w:eastAsia="Arial" w:hAnsi="Arial"/>
          <w:sz w:val="22"/>
          <w:szCs w:val="22"/>
          <w:color w:val="auto"/>
        </w:rPr>
        <w:t>1.6 The new defined term “</w:t>
      </w:r>
      <w:r>
        <w:rPr>
          <w:rFonts w:ascii="Arial" w:cs="Arial" w:eastAsia="Arial" w:hAnsi="Arial"/>
          <w:sz w:val="22"/>
          <w:szCs w:val="22"/>
          <w:u w:val="single" w:color="auto"/>
          <w:color w:val="auto"/>
        </w:rPr>
        <w:t>Availability Block Amount</w:t>
      </w:r>
      <w:r>
        <w:rPr>
          <w:rFonts w:ascii="Arial" w:cs="Arial" w:eastAsia="Arial" w:hAnsi="Arial"/>
          <w:sz w:val="22"/>
          <w:szCs w:val="22"/>
          <w:color w:val="auto"/>
        </w:rPr>
        <w:t xml:space="preserve">” is hereby added to </w:t>
      </w:r>
      <w:r>
        <w:rPr>
          <w:rFonts w:ascii="Arial" w:cs="Arial" w:eastAsia="Arial" w:hAnsi="Arial"/>
          <w:sz w:val="22"/>
          <w:szCs w:val="22"/>
          <w:u w:val="single" w:color="auto"/>
          <w:color w:val="auto"/>
        </w:rPr>
        <w:t>Schedule 1.1</w:t>
      </w:r>
      <w:r>
        <w:rPr>
          <w:rFonts w:ascii="Arial" w:cs="Arial" w:eastAsia="Arial" w:hAnsi="Arial"/>
          <w:sz w:val="22"/>
          <w:szCs w:val="22"/>
          <w:color w:val="auto"/>
        </w:rPr>
        <w:t xml:space="preserve"> to the Credit Agreement in the appropriate alphabetical position to read in its entirety as follows:</w:t>
      </w:r>
    </w:p>
    <w:p>
      <w:pPr>
        <w:spacing w:after="0" w:line="283" w:lineRule="exact"/>
        <w:rPr>
          <w:sz w:val="20"/>
          <w:szCs w:val="20"/>
          <w:color w:val="auto"/>
        </w:rPr>
      </w:pPr>
    </w:p>
    <w:p>
      <w:pPr>
        <w:ind w:left="660" w:right="2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Availability Block Amount</w:t>
      </w:r>
      <w:r>
        <w:rPr>
          <w:rFonts w:ascii="Arial" w:cs="Arial" w:eastAsia="Arial" w:hAnsi="Arial"/>
          <w:sz w:val="22"/>
          <w:szCs w:val="22"/>
          <w:color w:val="auto"/>
        </w:rPr>
        <w:t xml:space="preserve">” means $500,000;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such amount shall be permanently decreased to zero (-0-) on the first date that (i) Lender has received the results of a collateral examination on or after the Twelfth Amendment Effective Date, the results of which are satisfactory to Lender, and (ii) no Default or Event of Default has occurred and is continuing,”</w:t>
      </w:r>
    </w:p>
    <w:p>
      <w:pPr>
        <w:spacing w:after="0" w:line="296"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1.7 The definition of “</w:t>
      </w:r>
      <w:r>
        <w:rPr>
          <w:rFonts w:ascii="Arial" w:cs="Arial" w:eastAsia="Arial" w:hAnsi="Arial"/>
          <w:sz w:val="22"/>
          <w:szCs w:val="22"/>
          <w:u w:val="single" w:color="auto"/>
          <w:color w:val="auto"/>
        </w:rPr>
        <w:t>Borrowing Base</w:t>
      </w:r>
      <w:r>
        <w:rPr>
          <w:rFonts w:ascii="Arial" w:cs="Arial" w:eastAsia="Arial" w:hAnsi="Arial"/>
          <w:sz w:val="22"/>
          <w:szCs w:val="22"/>
          <w:color w:val="auto"/>
        </w:rPr>
        <w:t xml:space="preserve">” set forth in </w:t>
      </w:r>
      <w:r>
        <w:rPr>
          <w:rFonts w:ascii="Arial" w:cs="Arial" w:eastAsia="Arial" w:hAnsi="Arial"/>
          <w:sz w:val="22"/>
          <w:szCs w:val="22"/>
          <w:u w:val="single" w:color="auto"/>
          <w:color w:val="auto"/>
        </w:rPr>
        <w:t>Schedule 1.1</w:t>
      </w:r>
      <w:r>
        <w:rPr>
          <w:rFonts w:ascii="Arial" w:cs="Arial" w:eastAsia="Arial" w:hAnsi="Arial"/>
          <w:sz w:val="22"/>
          <w:szCs w:val="22"/>
          <w:color w:val="auto"/>
        </w:rPr>
        <w:t xml:space="preserve"> to the Credit Agreement is hereby amended to read in its entirety as follows:</w:t>
      </w:r>
    </w:p>
    <w:p>
      <w:pPr>
        <w:spacing w:after="0" w:line="28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Borrowing Base</w:t>
      </w:r>
      <w:r>
        <w:rPr>
          <w:rFonts w:ascii="Arial" w:cs="Arial" w:eastAsia="Arial" w:hAnsi="Arial"/>
          <w:sz w:val="22"/>
          <w:szCs w:val="22"/>
          <w:color w:val="auto"/>
        </w:rPr>
        <w:t>” means, as of any date of determination, the result of:</w:t>
      </w:r>
    </w:p>
    <w:p>
      <w:pPr>
        <w:spacing w:after="0" w:line="328" w:lineRule="exact"/>
        <w:rPr>
          <w:sz w:val="20"/>
          <w:szCs w:val="20"/>
          <w:color w:val="auto"/>
        </w:rPr>
      </w:pPr>
    </w:p>
    <w:p>
      <w:pPr>
        <w:ind w:left="1760" w:hanging="455"/>
        <w:spacing w:after="0"/>
        <w:tabs>
          <w:tab w:leader="none" w:pos="1760" w:val="left"/>
        </w:tabs>
        <w:numPr>
          <w:ilvl w:val="0"/>
          <w:numId w:val="13"/>
        </w:numPr>
        <w:rPr>
          <w:rFonts w:ascii="Arial" w:cs="Arial" w:eastAsia="Arial" w:hAnsi="Arial"/>
          <w:sz w:val="22"/>
          <w:szCs w:val="22"/>
          <w:color w:val="auto"/>
        </w:rPr>
      </w:pPr>
      <w:r>
        <w:rPr>
          <w:rFonts w:ascii="Arial" w:cs="Arial" w:eastAsia="Arial" w:hAnsi="Arial"/>
          <w:sz w:val="22"/>
          <w:szCs w:val="22"/>
          <w:color w:val="auto"/>
        </w:rPr>
        <w:t xml:space="preserve">85% of the amount of Eligible Accounts owned by the Borrowers, </w:t>
      </w:r>
      <w:r>
        <w:rPr>
          <w:rFonts w:ascii="Arial" w:cs="Arial" w:eastAsia="Arial" w:hAnsi="Arial"/>
          <w:sz w:val="22"/>
          <w:szCs w:val="22"/>
          <w:i w:val="1"/>
          <w:iCs w:val="1"/>
          <w:u w:val="single" w:color="auto"/>
          <w:color w:val="auto"/>
        </w:rPr>
        <w:t>plus</w:t>
      </w:r>
    </w:p>
    <w:p>
      <w:pPr>
        <w:spacing w:after="0" w:line="327" w:lineRule="exact"/>
        <w:rPr>
          <w:rFonts w:ascii="Arial" w:cs="Arial" w:eastAsia="Arial" w:hAnsi="Arial"/>
          <w:sz w:val="22"/>
          <w:szCs w:val="22"/>
          <w:color w:val="auto"/>
        </w:rPr>
      </w:pPr>
    </w:p>
    <w:p>
      <w:pPr>
        <w:ind w:left="1780" w:hanging="475"/>
        <w:spacing w:after="0"/>
        <w:tabs>
          <w:tab w:leader="none" w:pos="1780" w:val="left"/>
        </w:tabs>
        <w:numPr>
          <w:ilvl w:val="0"/>
          <w:numId w:val="13"/>
        </w:numPr>
        <w:rPr>
          <w:rFonts w:ascii="Arial" w:cs="Arial" w:eastAsia="Arial" w:hAnsi="Arial"/>
          <w:sz w:val="22"/>
          <w:szCs w:val="22"/>
          <w:color w:val="auto"/>
        </w:rPr>
      </w:pPr>
      <w:r>
        <w:rPr>
          <w:rFonts w:ascii="Arial" w:cs="Arial" w:eastAsia="Arial" w:hAnsi="Arial"/>
          <w:sz w:val="22"/>
          <w:szCs w:val="22"/>
          <w:color w:val="auto"/>
        </w:rPr>
        <w:t>the lower of:</w:t>
      </w:r>
    </w:p>
    <w:p>
      <w:pPr>
        <w:spacing w:after="0" w:line="327" w:lineRule="exact"/>
        <w:rPr>
          <w:rFonts w:ascii="Arial" w:cs="Arial" w:eastAsia="Arial" w:hAnsi="Arial"/>
          <w:sz w:val="22"/>
          <w:szCs w:val="22"/>
          <w:color w:val="auto"/>
        </w:rPr>
      </w:pPr>
    </w:p>
    <w:p>
      <w:pPr>
        <w:ind w:left="2380" w:hanging="427"/>
        <w:spacing w:after="0"/>
        <w:tabs>
          <w:tab w:leader="none" w:pos="2380" w:val="left"/>
        </w:tabs>
        <w:numPr>
          <w:ilvl w:val="1"/>
          <w:numId w:val="13"/>
        </w:numPr>
        <w:rPr>
          <w:rFonts w:ascii="Arial" w:cs="Arial" w:eastAsia="Arial" w:hAnsi="Arial"/>
          <w:sz w:val="22"/>
          <w:szCs w:val="22"/>
          <w:color w:val="auto"/>
        </w:rPr>
      </w:pPr>
      <w:r>
        <w:rPr>
          <w:rFonts w:ascii="Arial" w:cs="Arial" w:eastAsia="Arial" w:hAnsi="Arial"/>
          <w:sz w:val="22"/>
          <w:szCs w:val="22"/>
          <w:color w:val="auto"/>
        </w:rPr>
        <w:t>$2,500,000; or</w:t>
      </w:r>
    </w:p>
    <w:p>
      <w:pPr>
        <w:spacing w:after="0" w:line="327" w:lineRule="exact"/>
        <w:rPr>
          <w:rFonts w:ascii="Arial" w:cs="Arial" w:eastAsia="Arial" w:hAnsi="Arial"/>
          <w:sz w:val="22"/>
          <w:szCs w:val="22"/>
          <w:color w:val="auto"/>
        </w:rPr>
      </w:pPr>
    </w:p>
    <w:p>
      <w:pPr>
        <w:ind w:left="2440" w:hanging="487"/>
        <w:spacing w:after="0"/>
        <w:tabs>
          <w:tab w:leader="none" w:pos="2440" w:val="left"/>
        </w:tabs>
        <w:numPr>
          <w:ilvl w:val="1"/>
          <w:numId w:val="13"/>
        </w:numPr>
        <w:rPr>
          <w:rFonts w:ascii="Arial" w:cs="Arial" w:eastAsia="Arial" w:hAnsi="Arial"/>
          <w:sz w:val="21"/>
          <w:szCs w:val="21"/>
          <w:color w:val="auto"/>
        </w:rPr>
      </w:pPr>
      <w:r>
        <w:rPr>
          <w:rFonts w:ascii="Arial" w:cs="Arial" w:eastAsia="Arial" w:hAnsi="Arial"/>
          <w:sz w:val="21"/>
          <w:szCs w:val="21"/>
          <w:color w:val="auto"/>
        </w:rPr>
        <w:t xml:space="preserve">without duplication of </w:t>
      </w:r>
      <w:r>
        <w:rPr>
          <w:rFonts w:ascii="Arial" w:cs="Arial" w:eastAsia="Arial" w:hAnsi="Arial"/>
          <w:sz w:val="21"/>
          <w:szCs w:val="21"/>
          <w:u w:val="single" w:color="auto"/>
          <w:color w:val="auto"/>
        </w:rPr>
        <w:t>clause (a)</w:t>
      </w:r>
      <w:r>
        <w:rPr>
          <w:rFonts w:ascii="Arial" w:cs="Arial" w:eastAsia="Arial" w:hAnsi="Arial"/>
          <w:sz w:val="21"/>
          <w:szCs w:val="21"/>
          <w:color w:val="auto"/>
        </w:rPr>
        <w:t xml:space="preserve"> above, 85% of the amount of Eligible Foreign Accounts, </w:t>
      </w:r>
      <w:r>
        <w:rPr>
          <w:rFonts w:ascii="Arial" w:cs="Arial" w:eastAsia="Arial" w:hAnsi="Arial"/>
          <w:sz w:val="21"/>
          <w:szCs w:val="21"/>
          <w:i w:val="1"/>
          <w:iCs w:val="1"/>
          <w:u w:val="single" w:color="auto"/>
          <w:color w:val="auto"/>
        </w:rPr>
        <w:t>minus</w:t>
      </w:r>
    </w:p>
    <w:p>
      <w:pPr>
        <w:spacing w:after="0" w:line="339" w:lineRule="exact"/>
        <w:rPr>
          <w:rFonts w:ascii="Arial" w:cs="Arial" w:eastAsia="Arial" w:hAnsi="Arial"/>
          <w:sz w:val="21"/>
          <w:szCs w:val="21"/>
          <w:color w:val="auto"/>
        </w:rPr>
      </w:pPr>
    </w:p>
    <w:p>
      <w:pPr>
        <w:ind w:left="1760" w:hanging="455"/>
        <w:spacing w:after="0"/>
        <w:tabs>
          <w:tab w:leader="none" w:pos="1760" w:val="left"/>
        </w:tabs>
        <w:numPr>
          <w:ilvl w:val="0"/>
          <w:numId w:val="13"/>
        </w:numPr>
        <w:rPr>
          <w:rFonts w:ascii="Arial" w:cs="Arial" w:eastAsia="Arial" w:hAnsi="Arial"/>
          <w:sz w:val="22"/>
          <w:szCs w:val="22"/>
          <w:color w:val="auto"/>
        </w:rPr>
      </w:pPr>
      <w:r>
        <w:rPr>
          <w:rFonts w:ascii="Arial" w:cs="Arial" w:eastAsia="Arial" w:hAnsi="Arial"/>
          <w:sz w:val="22"/>
          <w:szCs w:val="22"/>
          <w:color w:val="auto"/>
        </w:rPr>
        <w:t xml:space="preserve">the Availability Block Amount, </w:t>
      </w:r>
      <w:r>
        <w:rPr>
          <w:rFonts w:ascii="Arial" w:cs="Arial" w:eastAsia="Arial" w:hAnsi="Arial"/>
          <w:sz w:val="22"/>
          <w:szCs w:val="22"/>
          <w:i w:val="1"/>
          <w:iCs w:val="1"/>
          <w:u w:val="single" w:color="auto"/>
          <w:color w:val="auto"/>
        </w:rPr>
        <w:t>minus</w:t>
      </w:r>
    </w:p>
    <w:p>
      <w:pPr>
        <w:spacing w:after="0" w:line="327" w:lineRule="exact"/>
        <w:rPr>
          <w:rFonts w:ascii="Arial" w:cs="Arial" w:eastAsia="Arial" w:hAnsi="Arial"/>
          <w:sz w:val="22"/>
          <w:szCs w:val="22"/>
          <w:color w:val="auto"/>
        </w:rPr>
      </w:pPr>
    </w:p>
    <w:p>
      <w:pPr>
        <w:ind w:left="1780" w:hanging="475"/>
        <w:spacing w:after="0"/>
        <w:tabs>
          <w:tab w:leader="none" w:pos="1780" w:val="left"/>
        </w:tabs>
        <w:numPr>
          <w:ilvl w:val="0"/>
          <w:numId w:val="13"/>
        </w:numPr>
        <w:rPr>
          <w:rFonts w:ascii="Arial" w:cs="Arial" w:eastAsia="Arial" w:hAnsi="Arial"/>
          <w:sz w:val="22"/>
          <w:szCs w:val="22"/>
          <w:color w:val="auto"/>
        </w:rPr>
      </w:pPr>
      <w:r>
        <w:rPr>
          <w:rFonts w:ascii="Arial" w:cs="Arial" w:eastAsia="Arial" w:hAnsi="Arial"/>
          <w:sz w:val="22"/>
          <w:szCs w:val="22"/>
          <w:color w:val="auto"/>
        </w:rPr>
        <w:t>the aggregate amount of Reserves, if any, established by Lender.”</w:t>
      </w:r>
    </w:p>
    <w:p>
      <w:pPr>
        <w:spacing w:after="0" w:line="328" w:lineRule="exact"/>
        <w:rPr>
          <w:sz w:val="20"/>
          <w:szCs w:val="20"/>
          <w:color w:val="auto"/>
        </w:rPr>
      </w:pPr>
    </w:p>
    <w:p>
      <w:pPr>
        <w:ind w:right="140" w:firstLine="648"/>
        <w:spacing w:after="0" w:line="263" w:lineRule="auto"/>
        <w:rPr>
          <w:sz w:val="20"/>
          <w:szCs w:val="20"/>
          <w:color w:val="auto"/>
        </w:rPr>
      </w:pPr>
      <w:r>
        <w:rPr>
          <w:rFonts w:ascii="Arial" w:cs="Arial" w:eastAsia="Arial" w:hAnsi="Arial"/>
          <w:sz w:val="22"/>
          <w:szCs w:val="22"/>
          <w:color w:val="auto"/>
        </w:rPr>
        <w:t>1.8 The definition of “</w:t>
      </w:r>
      <w:r>
        <w:rPr>
          <w:rFonts w:ascii="Arial" w:cs="Arial" w:eastAsia="Arial" w:hAnsi="Arial"/>
          <w:sz w:val="22"/>
          <w:szCs w:val="22"/>
          <w:u w:val="single" w:color="auto"/>
          <w:color w:val="auto"/>
        </w:rPr>
        <w:t>Collection Account</w:t>
      </w:r>
      <w:r>
        <w:rPr>
          <w:rFonts w:ascii="Arial" w:cs="Arial" w:eastAsia="Arial" w:hAnsi="Arial"/>
          <w:sz w:val="22"/>
          <w:szCs w:val="22"/>
          <w:color w:val="auto"/>
        </w:rPr>
        <w:t xml:space="preserve">” set forth in </w:t>
      </w:r>
      <w:r>
        <w:rPr>
          <w:rFonts w:ascii="Arial" w:cs="Arial" w:eastAsia="Arial" w:hAnsi="Arial"/>
          <w:sz w:val="22"/>
          <w:szCs w:val="22"/>
          <w:u w:val="single" w:color="auto"/>
          <w:color w:val="auto"/>
        </w:rPr>
        <w:t>Schedule 1.1</w:t>
      </w:r>
      <w:r>
        <w:rPr>
          <w:rFonts w:ascii="Arial" w:cs="Arial" w:eastAsia="Arial" w:hAnsi="Arial"/>
          <w:sz w:val="22"/>
          <w:szCs w:val="22"/>
          <w:color w:val="auto"/>
        </w:rPr>
        <w:t xml:space="preserve"> to the Credit Agreement is hereby amended to read in its entirety as follows:</w:t>
      </w:r>
    </w:p>
    <w:p>
      <w:pPr>
        <w:spacing w:after="0" w:line="283" w:lineRule="exact"/>
        <w:rPr>
          <w:sz w:val="20"/>
          <w:szCs w:val="20"/>
          <w:color w:val="auto"/>
        </w:rPr>
      </w:pPr>
    </w:p>
    <w:p>
      <w:pPr>
        <w:ind w:left="660" w:right="38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Collection Account</w:t>
      </w:r>
      <w:r>
        <w:rPr>
          <w:rFonts w:ascii="Arial" w:cs="Arial" w:eastAsia="Arial" w:hAnsi="Arial"/>
          <w:sz w:val="22"/>
          <w:szCs w:val="22"/>
          <w:color w:val="auto"/>
        </w:rPr>
        <w:t xml:space="preserve">” means, with respect to any Loan Party, such Loan Party’s Deposit Account identified on </w:t>
      </w:r>
      <w:r>
        <w:rPr>
          <w:rFonts w:ascii="Arial" w:cs="Arial" w:eastAsia="Arial" w:hAnsi="Arial"/>
          <w:sz w:val="22"/>
          <w:szCs w:val="22"/>
          <w:u w:val="single" w:color="auto"/>
          <w:color w:val="auto"/>
        </w:rPr>
        <w:t>Schedule A-1</w:t>
      </w:r>
      <w:r>
        <w:rPr>
          <w:rFonts w:ascii="Arial" w:cs="Arial" w:eastAsia="Arial" w:hAnsi="Arial"/>
          <w:sz w:val="22"/>
          <w:szCs w:val="22"/>
          <w:color w:val="auto"/>
        </w:rPr>
        <w:t>.”</w:t>
      </w:r>
    </w:p>
    <w:p>
      <w:pPr>
        <w:spacing w:after="0" w:line="283" w:lineRule="exact"/>
        <w:rPr>
          <w:sz w:val="20"/>
          <w:szCs w:val="20"/>
          <w:color w:val="auto"/>
        </w:rPr>
      </w:pPr>
    </w:p>
    <w:p>
      <w:pPr>
        <w:ind w:right="80" w:firstLine="648"/>
        <w:spacing w:after="0" w:line="263" w:lineRule="auto"/>
        <w:rPr>
          <w:sz w:val="20"/>
          <w:szCs w:val="20"/>
          <w:color w:val="auto"/>
        </w:rPr>
      </w:pPr>
      <w:r>
        <w:rPr>
          <w:rFonts w:ascii="Arial" w:cs="Arial" w:eastAsia="Arial" w:hAnsi="Arial"/>
          <w:sz w:val="22"/>
          <w:szCs w:val="22"/>
          <w:color w:val="auto"/>
        </w:rPr>
        <w:t>1.9 The definition of “</w:t>
      </w:r>
      <w:r>
        <w:rPr>
          <w:rFonts w:ascii="Arial" w:cs="Arial" w:eastAsia="Arial" w:hAnsi="Arial"/>
          <w:sz w:val="22"/>
          <w:szCs w:val="22"/>
          <w:u w:val="single" w:color="auto"/>
          <w:color w:val="auto"/>
        </w:rPr>
        <w:t>Designated Account</w:t>
      </w:r>
      <w:r>
        <w:rPr>
          <w:rFonts w:ascii="Arial" w:cs="Arial" w:eastAsia="Arial" w:hAnsi="Arial"/>
          <w:sz w:val="22"/>
          <w:szCs w:val="22"/>
          <w:color w:val="auto"/>
        </w:rPr>
        <w:t xml:space="preserve">” set forth in </w:t>
      </w:r>
      <w:r>
        <w:rPr>
          <w:rFonts w:ascii="Arial" w:cs="Arial" w:eastAsia="Arial" w:hAnsi="Arial"/>
          <w:sz w:val="22"/>
          <w:szCs w:val="22"/>
          <w:u w:val="single" w:color="auto"/>
          <w:color w:val="auto"/>
        </w:rPr>
        <w:t>Schedule 1.1</w:t>
      </w:r>
      <w:r>
        <w:rPr>
          <w:rFonts w:ascii="Arial" w:cs="Arial" w:eastAsia="Arial" w:hAnsi="Arial"/>
          <w:sz w:val="22"/>
          <w:szCs w:val="22"/>
          <w:color w:val="auto"/>
        </w:rPr>
        <w:t xml:space="preserve"> to the Credit Agreement is hereby amended to read in its entirety as follows:</w:t>
      </w:r>
    </w:p>
    <w:p>
      <w:pPr>
        <w:spacing w:after="0" w:line="283" w:lineRule="exact"/>
        <w:rPr>
          <w:sz w:val="20"/>
          <w:szCs w:val="20"/>
          <w:color w:val="auto"/>
        </w:rPr>
      </w:pPr>
    </w:p>
    <w:p>
      <w:pPr>
        <w:ind w:left="660" w:right="8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Designated Account</w:t>
      </w:r>
      <w:r>
        <w:rPr>
          <w:rFonts w:ascii="Arial" w:cs="Arial" w:eastAsia="Arial" w:hAnsi="Arial"/>
          <w:sz w:val="22"/>
          <w:szCs w:val="22"/>
          <w:color w:val="auto"/>
        </w:rPr>
        <w:t xml:space="preserve">” means, with respect to any Borrower, such Borrower’s operating Deposit Account maintained with Lender identified on </w:t>
      </w:r>
      <w:r>
        <w:rPr>
          <w:rFonts w:ascii="Arial" w:cs="Arial" w:eastAsia="Arial" w:hAnsi="Arial"/>
          <w:sz w:val="22"/>
          <w:szCs w:val="22"/>
          <w:u w:val="single" w:color="auto"/>
          <w:color w:val="auto"/>
        </w:rPr>
        <w:t>Schedule D-1</w:t>
      </w:r>
      <w:r>
        <w:rPr>
          <w:rFonts w:ascii="Arial" w:cs="Arial" w:eastAsia="Arial" w:hAnsi="Arial"/>
          <w:sz w:val="22"/>
          <w:szCs w:val="22"/>
          <w:color w:val="auto"/>
        </w:rPr>
        <w:t>.”</w:t>
      </w:r>
    </w:p>
    <w:p>
      <w:pPr>
        <w:sectPr>
          <w:pgSz w:w="11900" w:h="16838" w:orient="portrait"/>
          <w:cols w:equalWidth="0" w:num="1">
            <w:col w:w="11320"/>
          </w:cols>
          <w:pgMar w:left="240" w:top="753" w:right="339" w:bottom="988" w:gutter="0" w:footer="0" w:header="0"/>
        </w:sectPr>
      </w:pPr>
    </w:p>
    <w:bookmarkStart w:id="36" w:name="page37"/>
    <w:bookmarkEnd w:id="36"/>
    <w:p>
      <w:pPr>
        <w:ind w:right="220" w:firstLine="648"/>
        <w:spacing w:after="0" w:line="263" w:lineRule="auto"/>
        <w:rPr>
          <w:sz w:val="20"/>
          <w:szCs w:val="20"/>
          <w:color w:val="auto"/>
        </w:rPr>
      </w:pPr>
      <w:r>
        <w:rPr>
          <w:rFonts w:ascii="Arial" w:cs="Arial" w:eastAsia="Arial" w:hAnsi="Arial"/>
          <w:sz w:val="22"/>
          <w:szCs w:val="22"/>
          <w:color w:val="auto"/>
        </w:rPr>
        <w:t>1.10 The definition of “</w:t>
      </w:r>
      <w:r>
        <w:rPr>
          <w:rFonts w:ascii="Arial" w:cs="Arial" w:eastAsia="Arial" w:hAnsi="Arial"/>
          <w:sz w:val="22"/>
          <w:szCs w:val="22"/>
          <w:u w:val="single" w:color="auto"/>
          <w:color w:val="auto"/>
        </w:rPr>
        <w:t>Covenant Threshold</w:t>
      </w:r>
      <w:r>
        <w:rPr>
          <w:rFonts w:ascii="Arial" w:cs="Arial" w:eastAsia="Arial" w:hAnsi="Arial"/>
          <w:sz w:val="22"/>
          <w:szCs w:val="22"/>
          <w:color w:val="auto"/>
        </w:rPr>
        <w:t xml:space="preserve">” set forth in </w:t>
      </w:r>
      <w:r>
        <w:rPr>
          <w:rFonts w:ascii="Arial" w:cs="Arial" w:eastAsia="Arial" w:hAnsi="Arial"/>
          <w:sz w:val="22"/>
          <w:szCs w:val="22"/>
          <w:u w:val="single" w:color="auto"/>
          <w:color w:val="auto"/>
        </w:rPr>
        <w:t>Schedule 1.1</w:t>
      </w:r>
      <w:r>
        <w:rPr>
          <w:rFonts w:ascii="Arial" w:cs="Arial" w:eastAsia="Arial" w:hAnsi="Arial"/>
          <w:sz w:val="22"/>
          <w:szCs w:val="22"/>
          <w:color w:val="auto"/>
        </w:rPr>
        <w:t xml:space="preserve"> to the Credit Agreement is hereby deleted in its entirety.</w:t>
      </w:r>
    </w:p>
    <w:p>
      <w:pPr>
        <w:spacing w:after="0" w:line="283"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 xml:space="preserve">1.11 </w:t>
      </w:r>
      <w:r>
        <w:rPr>
          <w:rFonts w:ascii="Arial" w:cs="Arial" w:eastAsia="Arial" w:hAnsi="Arial"/>
          <w:sz w:val="22"/>
          <w:szCs w:val="22"/>
          <w:u w:val="single" w:color="auto"/>
          <w:color w:val="auto"/>
        </w:rPr>
        <w:t>Clauses (a)</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(k)</w:t>
      </w:r>
      <w:r>
        <w:rPr>
          <w:rFonts w:ascii="Arial" w:cs="Arial" w:eastAsia="Arial" w:hAnsi="Arial"/>
          <w:sz w:val="22"/>
          <w:szCs w:val="22"/>
          <w:color w:val="auto"/>
        </w:rPr>
        <w:t xml:space="preserve"> of the definition of “</w:t>
      </w:r>
      <w:r>
        <w:rPr>
          <w:rFonts w:ascii="Arial" w:cs="Arial" w:eastAsia="Arial" w:hAnsi="Arial"/>
          <w:sz w:val="22"/>
          <w:szCs w:val="22"/>
          <w:u w:val="single" w:color="auto"/>
          <w:color w:val="auto"/>
        </w:rPr>
        <w:t>Eligible Accounts</w:t>
      </w:r>
      <w:r>
        <w:rPr>
          <w:rFonts w:ascii="Arial" w:cs="Arial" w:eastAsia="Arial" w:hAnsi="Arial"/>
          <w:sz w:val="22"/>
          <w:szCs w:val="22"/>
          <w:color w:val="auto"/>
        </w:rPr>
        <w:t xml:space="preserve">” set forth in </w:t>
      </w:r>
      <w:r>
        <w:rPr>
          <w:rFonts w:ascii="Arial" w:cs="Arial" w:eastAsia="Arial" w:hAnsi="Arial"/>
          <w:sz w:val="22"/>
          <w:szCs w:val="22"/>
          <w:u w:val="single" w:color="auto"/>
          <w:color w:val="auto"/>
        </w:rPr>
        <w:t>Schedule 1.1</w:t>
      </w:r>
      <w:r>
        <w:rPr>
          <w:rFonts w:ascii="Arial" w:cs="Arial" w:eastAsia="Arial" w:hAnsi="Arial"/>
          <w:sz w:val="22"/>
          <w:szCs w:val="22"/>
          <w:color w:val="auto"/>
        </w:rPr>
        <w:t xml:space="preserve"> to the Credit Agreement are each hereby amended to read in its entirety as follows:</w:t>
      </w:r>
    </w:p>
    <w:p>
      <w:pPr>
        <w:spacing w:after="0" w:line="283" w:lineRule="exact"/>
        <w:rPr>
          <w:sz w:val="20"/>
          <w:szCs w:val="20"/>
          <w:color w:val="auto"/>
        </w:rPr>
      </w:pPr>
    </w:p>
    <w:p>
      <w:pPr>
        <w:ind w:left="660" w:right="140" w:firstLine="648"/>
        <w:spacing w:after="0" w:line="263" w:lineRule="auto"/>
        <w:rPr>
          <w:sz w:val="20"/>
          <w:szCs w:val="20"/>
          <w:color w:val="auto"/>
        </w:rPr>
      </w:pPr>
      <w:r>
        <w:rPr>
          <w:rFonts w:ascii="Arial" w:cs="Arial" w:eastAsia="Arial" w:hAnsi="Arial"/>
          <w:sz w:val="21"/>
          <w:szCs w:val="21"/>
          <w:color w:val="auto"/>
        </w:rPr>
        <w:t>“(a) Accounts that the Account Debtor (other than Verizon and/or its Affiliates (“Verizon”)) has failed to pay within 60 days of original due date, not to exceed 90 days past invoice date, and Accounts that Verizon has failed to pay (i) during the period from the Twelfth Amendment Effective Date through and including June 15, 2017, within 45 days of original due date, not to exceed 75 days past invoice date, and (ii) during the period from June 16, 2017 and at all times thereafter, within 60 days of original due date, not to exceed 90 days past invoice date;”</w:t>
      </w:r>
    </w:p>
    <w:p>
      <w:pPr>
        <w:spacing w:after="0" w:line="284" w:lineRule="exact"/>
        <w:rPr>
          <w:sz w:val="20"/>
          <w:szCs w:val="20"/>
          <w:color w:val="auto"/>
        </w:rPr>
      </w:pPr>
    </w:p>
    <w:p>
      <w:pPr>
        <w:ind w:left="660" w:right="220" w:firstLine="648"/>
        <w:spacing w:after="0" w:line="246" w:lineRule="auto"/>
        <w:rPr>
          <w:sz w:val="20"/>
          <w:szCs w:val="20"/>
          <w:color w:val="auto"/>
        </w:rPr>
      </w:pPr>
      <w:r>
        <w:rPr>
          <w:rFonts w:ascii="Arial" w:cs="Arial" w:eastAsia="Arial" w:hAnsi="Arial"/>
          <w:sz w:val="22"/>
          <w:szCs w:val="22"/>
          <w:color w:val="auto"/>
        </w:rPr>
        <w:t>“(k) Accounts owing by a single Account Debtor or group of Affiliated Account Debtors (other than Verizon) whose total obligations owing to Borrower exceed fifteen percent (15%) of the aggregate amount of all otherwise Eligible Accounts, and such Accounts owing by Verizon which exceed the following percentages of the aggregate amount of all otherwise Eligible Accounts for the applicable periods related thereto: (i) from the Twelfth Amendment Effective Date through and including June 15, 2017, sixty percent (60%), and (ii) from June 16, 2017 and at all times thereafter, fifty percent (50%) (but the portion of the Accounts not in excess of the foregoing applicable percentages may be deemed Eligible Accounts), such percentages being subject to reduction if the creditworthiness of such Account Debtor deteriorates;”</w:t>
      </w:r>
    </w:p>
    <w:p>
      <w:pPr>
        <w:spacing w:after="0" w:line="303" w:lineRule="exact"/>
        <w:rPr>
          <w:sz w:val="20"/>
          <w:szCs w:val="20"/>
          <w:color w:val="auto"/>
        </w:rPr>
      </w:pPr>
    </w:p>
    <w:p>
      <w:pPr>
        <w:ind w:right="120" w:firstLine="648"/>
        <w:spacing w:after="0" w:line="263" w:lineRule="auto"/>
        <w:rPr>
          <w:sz w:val="20"/>
          <w:szCs w:val="20"/>
          <w:color w:val="auto"/>
        </w:rPr>
      </w:pPr>
      <w:r>
        <w:rPr>
          <w:rFonts w:ascii="Arial" w:cs="Arial" w:eastAsia="Arial" w:hAnsi="Arial"/>
          <w:sz w:val="22"/>
          <w:szCs w:val="22"/>
          <w:color w:val="auto"/>
        </w:rPr>
        <w:t>1.12 The definition of “</w:t>
      </w:r>
      <w:r>
        <w:rPr>
          <w:rFonts w:ascii="Arial" w:cs="Arial" w:eastAsia="Arial" w:hAnsi="Arial"/>
          <w:sz w:val="22"/>
          <w:szCs w:val="22"/>
          <w:u w:val="single" w:color="auto"/>
          <w:color w:val="auto"/>
        </w:rPr>
        <w:t>Liquidity</w:t>
      </w:r>
      <w:r>
        <w:rPr>
          <w:rFonts w:ascii="Arial" w:cs="Arial" w:eastAsia="Arial" w:hAnsi="Arial"/>
          <w:sz w:val="22"/>
          <w:szCs w:val="22"/>
          <w:color w:val="auto"/>
        </w:rPr>
        <w:t xml:space="preserve">” set forth in </w:t>
      </w:r>
      <w:r>
        <w:rPr>
          <w:rFonts w:ascii="Arial" w:cs="Arial" w:eastAsia="Arial" w:hAnsi="Arial"/>
          <w:sz w:val="22"/>
          <w:szCs w:val="22"/>
          <w:u w:val="single" w:color="auto"/>
          <w:color w:val="auto"/>
        </w:rPr>
        <w:t>Schedule 1.1</w:t>
      </w:r>
      <w:r>
        <w:rPr>
          <w:rFonts w:ascii="Arial" w:cs="Arial" w:eastAsia="Arial" w:hAnsi="Arial"/>
          <w:sz w:val="22"/>
          <w:szCs w:val="22"/>
          <w:color w:val="auto"/>
        </w:rPr>
        <w:t xml:space="preserve"> to the Credit Agreement is hereby amended to read in its entirety as follows:</w:t>
      </w:r>
    </w:p>
    <w:p>
      <w:pPr>
        <w:spacing w:after="0" w:line="283" w:lineRule="exact"/>
        <w:rPr>
          <w:sz w:val="20"/>
          <w:szCs w:val="20"/>
          <w:color w:val="auto"/>
        </w:rPr>
      </w:pPr>
    </w:p>
    <w:p>
      <w:pPr>
        <w:ind w:left="660" w:right="60" w:firstLine="648"/>
        <w:spacing w:after="0" w:line="29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Liquidity</w:t>
      </w:r>
      <w:r>
        <w:rPr>
          <w:rFonts w:ascii="Arial" w:cs="Arial" w:eastAsia="Arial" w:hAnsi="Arial"/>
          <w:sz w:val="19"/>
          <w:szCs w:val="19"/>
          <w:color w:val="auto"/>
        </w:rPr>
        <w:t xml:space="preserve">” means, as of any date of determination, the sum of (i) Excess Availability, plus (ii) Qualified Cash;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for purposes of </w:t>
      </w:r>
      <w:r>
        <w:rPr>
          <w:rFonts w:ascii="Arial" w:cs="Arial" w:eastAsia="Arial" w:hAnsi="Arial"/>
          <w:sz w:val="19"/>
          <w:szCs w:val="19"/>
          <w:u w:val="single" w:color="auto"/>
          <w:color w:val="auto"/>
        </w:rPr>
        <w:t>clause (o)</w:t>
      </w:r>
      <w:r>
        <w:rPr>
          <w:rFonts w:ascii="Arial" w:cs="Arial" w:eastAsia="Arial" w:hAnsi="Arial"/>
          <w:sz w:val="19"/>
          <w:szCs w:val="19"/>
          <w:color w:val="auto"/>
        </w:rPr>
        <w:t xml:space="preserve"> of the defined term “Permitted Investments”, the amount included in this </w:t>
      </w:r>
      <w:r>
        <w:rPr>
          <w:rFonts w:ascii="Arial" w:cs="Arial" w:eastAsia="Arial" w:hAnsi="Arial"/>
          <w:sz w:val="19"/>
          <w:szCs w:val="19"/>
          <w:u w:val="single" w:color="auto"/>
          <w:color w:val="auto"/>
        </w:rPr>
        <w:t>clause</w:t>
      </w:r>
    </w:p>
    <w:p>
      <w:pPr>
        <w:spacing w:after="0" w:line="1" w:lineRule="exact"/>
        <w:rPr>
          <w:sz w:val="20"/>
          <w:szCs w:val="20"/>
          <w:color w:val="auto"/>
        </w:rPr>
      </w:pPr>
    </w:p>
    <w:p>
      <w:pPr>
        <w:ind w:left="660" w:hanging="4"/>
        <w:spacing w:after="0" w:line="244" w:lineRule="auto"/>
        <w:tabs>
          <w:tab w:leader="none" w:pos="978" w:val="left"/>
        </w:tabs>
        <w:numPr>
          <w:ilvl w:val="0"/>
          <w:numId w:val="14"/>
        </w:numPr>
        <w:rPr>
          <w:rFonts w:ascii="Arial" w:cs="Arial" w:eastAsia="Arial" w:hAnsi="Arial"/>
          <w:sz w:val="22"/>
          <w:szCs w:val="22"/>
          <w:u w:val="single" w:color="auto"/>
          <w:color w:val="auto"/>
        </w:rPr>
      </w:pPr>
      <w:r>
        <w:rPr>
          <w:rFonts w:ascii="Arial" w:cs="Arial" w:eastAsia="Arial" w:hAnsi="Arial"/>
          <w:sz w:val="22"/>
          <w:szCs w:val="22"/>
          <w:color w:val="auto"/>
        </w:rPr>
        <w:t xml:space="preserve">in order to calculate Liquidity shall in no event exceed (x) during the period from June 22, 2016 through January 31, 2017, so long as no Advances are outstanding as of such date, more than 66 2/3% of the Liquidity as of any date of determination, and (y) at any time other than the period described in the immediately preceding </w:t>
      </w:r>
      <w:r>
        <w:rPr>
          <w:rFonts w:ascii="Arial" w:cs="Arial" w:eastAsia="Arial" w:hAnsi="Arial"/>
          <w:sz w:val="22"/>
          <w:szCs w:val="22"/>
          <w:u w:val="single" w:color="auto"/>
          <w:color w:val="auto"/>
        </w:rPr>
        <w:t>clause (x)</w:t>
      </w:r>
      <w:r>
        <w:rPr>
          <w:rFonts w:ascii="Arial" w:cs="Arial" w:eastAsia="Arial" w:hAnsi="Arial"/>
          <w:sz w:val="22"/>
          <w:szCs w:val="22"/>
          <w:color w:val="auto"/>
        </w:rPr>
        <w:t xml:space="preserve"> more than 50% of the Liquidity as of any date of determination, and (B) for purposes of </w:t>
      </w:r>
      <w:r>
        <w:rPr>
          <w:rFonts w:ascii="Arial" w:cs="Arial" w:eastAsia="Arial" w:hAnsi="Arial"/>
          <w:sz w:val="22"/>
          <w:szCs w:val="22"/>
          <w:u w:val="single" w:color="auto"/>
          <w:color w:val="auto"/>
        </w:rPr>
        <w:t>Section 8(c)(ii)</w:t>
      </w:r>
      <w:r>
        <w:rPr>
          <w:rFonts w:ascii="Arial" w:cs="Arial" w:eastAsia="Arial" w:hAnsi="Arial"/>
          <w:sz w:val="22"/>
          <w:szCs w:val="22"/>
          <w:color w:val="auto"/>
        </w:rPr>
        <w:t xml:space="preserve">, so long as any Letter of Credit is outstanding, the amount included in the foregoing </w:t>
      </w:r>
      <w:r>
        <w:rPr>
          <w:rFonts w:ascii="Arial" w:cs="Arial" w:eastAsia="Arial" w:hAnsi="Arial"/>
          <w:sz w:val="22"/>
          <w:szCs w:val="22"/>
          <w:u w:val="single" w:color="auto"/>
          <w:color w:val="auto"/>
        </w:rPr>
        <w:t>clause (i)</w:t>
      </w:r>
      <w:r>
        <w:rPr>
          <w:rFonts w:ascii="Arial" w:cs="Arial" w:eastAsia="Arial" w:hAnsi="Arial"/>
          <w:sz w:val="22"/>
          <w:szCs w:val="22"/>
          <w:color w:val="auto"/>
        </w:rPr>
        <w:t xml:space="preserve"> in order to calculate Liquidity shall in no event be less than $1,175,000.”</w:t>
      </w:r>
    </w:p>
    <w:p>
      <w:pPr>
        <w:spacing w:after="0" w:line="303" w:lineRule="exact"/>
        <w:rPr>
          <w:sz w:val="20"/>
          <w:szCs w:val="20"/>
          <w:color w:val="auto"/>
        </w:rPr>
      </w:pPr>
    </w:p>
    <w:p>
      <w:pPr>
        <w:ind w:right="360" w:firstLine="648"/>
        <w:spacing w:after="0" w:line="263" w:lineRule="auto"/>
        <w:rPr>
          <w:sz w:val="20"/>
          <w:szCs w:val="20"/>
          <w:color w:val="auto"/>
        </w:rPr>
      </w:pPr>
      <w:r>
        <w:rPr>
          <w:rFonts w:ascii="Arial" w:cs="Arial" w:eastAsia="Arial" w:hAnsi="Arial"/>
          <w:sz w:val="22"/>
          <w:szCs w:val="22"/>
          <w:color w:val="auto"/>
        </w:rPr>
        <w:t>1.13 The definition of “</w:t>
      </w:r>
      <w:r>
        <w:rPr>
          <w:rFonts w:ascii="Arial" w:cs="Arial" w:eastAsia="Arial" w:hAnsi="Arial"/>
          <w:sz w:val="22"/>
          <w:szCs w:val="22"/>
          <w:u w:val="single" w:color="auto"/>
          <w:color w:val="auto"/>
        </w:rPr>
        <w:t>Maximum Revolver Amount</w:t>
      </w:r>
      <w:r>
        <w:rPr>
          <w:rFonts w:ascii="Arial" w:cs="Arial" w:eastAsia="Arial" w:hAnsi="Arial"/>
          <w:sz w:val="22"/>
          <w:szCs w:val="22"/>
          <w:color w:val="auto"/>
        </w:rPr>
        <w:t xml:space="preserve">” set forth in </w:t>
      </w:r>
      <w:r>
        <w:rPr>
          <w:rFonts w:ascii="Arial" w:cs="Arial" w:eastAsia="Arial" w:hAnsi="Arial"/>
          <w:sz w:val="22"/>
          <w:szCs w:val="22"/>
          <w:u w:val="single" w:color="auto"/>
          <w:color w:val="auto"/>
        </w:rPr>
        <w:t>Schedule 1.1</w:t>
      </w:r>
      <w:r>
        <w:rPr>
          <w:rFonts w:ascii="Arial" w:cs="Arial" w:eastAsia="Arial" w:hAnsi="Arial"/>
          <w:sz w:val="22"/>
          <w:szCs w:val="22"/>
          <w:color w:val="auto"/>
        </w:rPr>
        <w:t xml:space="preserve"> to the Credit Agreement is hereby amended to read in its entirety as follows:</w:t>
      </w:r>
    </w:p>
    <w:p>
      <w:pPr>
        <w:spacing w:after="0" w:line="283" w:lineRule="exact"/>
        <w:rPr>
          <w:sz w:val="20"/>
          <w:szCs w:val="20"/>
          <w:color w:val="auto"/>
        </w:rPr>
      </w:pPr>
    </w:p>
    <w:p>
      <w:pPr>
        <w:ind w:left="660" w:right="30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Maximum Revolver Amount</w:t>
      </w:r>
      <w:r>
        <w:rPr>
          <w:rFonts w:ascii="Arial" w:cs="Arial" w:eastAsia="Arial" w:hAnsi="Arial"/>
          <w:sz w:val="22"/>
          <w:szCs w:val="22"/>
          <w:color w:val="auto"/>
        </w:rPr>
        <w:t xml:space="preserve">” means $10,000,000, decreased by permanent reductions in such amount made in accordance with </w:t>
      </w:r>
      <w:r>
        <w:rPr>
          <w:rFonts w:ascii="Arial" w:cs="Arial" w:eastAsia="Arial" w:hAnsi="Arial"/>
          <w:sz w:val="22"/>
          <w:szCs w:val="22"/>
          <w:u w:val="single" w:color="auto"/>
          <w:color w:val="auto"/>
        </w:rPr>
        <w:t>Section 2.11</w:t>
      </w:r>
      <w:r>
        <w:rPr>
          <w:rFonts w:ascii="Arial" w:cs="Arial" w:eastAsia="Arial" w:hAnsi="Arial"/>
          <w:sz w:val="22"/>
          <w:szCs w:val="22"/>
          <w:color w:val="auto"/>
        </w:rPr>
        <w:t>.”</w:t>
      </w:r>
    </w:p>
    <w:p>
      <w:pPr>
        <w:spacing w:after="0" w:line="283" w:lineRule="exact"/>
        <w:rPr>
          <w:sz w:val="20"/>
          <w:szCs w:val="20"/>
          <w:color w:val="auto"/>
        </w:rPr>
      </w:pPr>
    </w:p>
    <w:p>
      <w:pPr>
        <w:ind w:right="560" w:firstLine="648"/>
        <w:spacing w:after="0" w:line="263" w:lineRule="auto"/>
        <w:rPr>
          <w:sz w:val="20"/>
          <w:szCs w:val="20"/>
          <w:color w:val="auto"/>
        </w:rPr>
      </w:pPr>
      <w:r>
        <w:rPr>
          <w:rFonts w:ascii="Arial" w:cs="Arial" w:eastAsia="Arial" w:hAnsi="Arial"/>
          <w:sz w:val="22"/>
          <w:szCs w:val="22"/>
          <w:color w:val="auto"/>
        </w:rPr>
        <w:t>1.14 The new defined term “</w:t>
      </w:r>
      <w:r>
        <w:rPr>
          <w:rFonts w:ascii="Arial" w:cs="Arial" w:eastAsia="Arial" w:hAnsi="Arial"/>
          <w:sz w:val="22"/>
          <w:szCs w:val="22"/>
          <w:u w:val="single" w:color="auto"/>
          <w:color w:val="auto"/>
        </w:rPr>
        <w:t>Twelfth Amendment Effective Date</w:t>
      </w:r>
      <w:r>
        <w:rPr>
          <w:rFonts w:ascii="Arial" w:cs="Arial" w:eastAsia="Arial" w:hAnsi="Arial"/>
          <w:sz w:val="22"/>
          <w:szCs w:val="22"/>
          <w:color w:val="auto"/>
        </w:rPr>
        <w:t xml:space="preserve">” is hereby added to </w:t>
      </w:r>
      <w:r>
        <w:rPr>
          <w:rFonts w:ascii="Arial" w:cs="Arial" w:eastAsia="Arial" w:hAnsi="Arial"/>
          <w:sz w:val="22"/>
          <w:szCs w:val="22"/>
          <w:u w:val="single" w:color="auto"/>
          <w:color w:val="auto"/>
        </w:rPr>
        <w:t>Schedule 1.1</w:t>
      </w:r>
      <w:r>
        <w:rPr>
          <w:rFonts w:ascii="Arial" w:cs="Arial" w:eastAsia="Arial" w:hAnsi="Arial"/>
          <w:sz w:val="22"/>
          <w:szCs w:val="22"/>
          <w:color w:val="auto"/>
        </w:rPr>
        <w:t xml:space="preserve"> to the Credit Agreement in the appropriate alphabetical position to read in its entirety as follows:</w:t>
      </w:r>
    </w:p>
    <w:p>
      <w:pPr>
        <w:spacing w:after="0" w:line="28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Twelfth Amendment Effective Date</w:t>
      </w:r>
      <w:r>
        <w:rPr>
          <w:rFonts w:ascii="Arial" w:cs="Arial" w:eastAsia="Arial" w:hAnsi="Arial"/>
          <w:sz w:val="22"/>
          <w:szCs w:val="22"/>
          <w:color w:val="auto"/>
        </w:rPr>
        <w:t>” means March 20, 2017.”</w:t>
      </w:r>
    </w:p>
    <w:p>
      <w:pPr>
        <w:spacing w:after="0" w:line="328" w:lineRule="exact"/>
        <w:rPr>
          <w:sz w:val="20"/>
          <w:szCs w:val="20"/>
          <w:color w:val="auto"/>
        </w:rPr>
      </w:pPr>
    </w:p>
    <w:p>
      <w:pPr>
        <w:ind w:right="740" w:firstLine="648"/>
        <w:spacing w:after="0" w:line="263" w:lineRule="auto"/>
        <w:rPr>
          <w:sz w:val="20"/>
          <w:szCs w:val="20"/>
          <w:color w:val="auto"/>
        </w:rPr>
      </w:pPr>
      <w:r>
        <w:rPr>
          <w:rFonts w:ascii="Arial" w:cs="Arial" w:eastAsia="Arial" w:hAnsi="Arial"/>
          <w:sz w:val="22"/>
          <w:szCs w:val="22"/>
          <w:color w:val="auto"/>
        </w:rPr>
        <w:t xml:space="preserve">1.15 </w:t>
      </w:r>
      <w:r>
        <w:rPr>
          <w:rFonts w:ascii="Arial" w:cs="Arial" w:eastAsia="Arial" w:hAnsi="Arial"/>
          <w:sz w:val="22"/>
          <w:szCs w:val="22"/>
          <w:u w:val="single" w:color="auto"/>
          <w:color w:val="auto"/>
        </w:rPr>
        <w:t>Schedule 2.12</w:t>
      </w:r>
      <w:r>
        <w:rPr>
          <w:rFonts w:ascii="Arial" w:cs="Arial" w:eastAsia="Arial" w:hAnsi="Arial"/>
          <w:sz w:val="22"/>
          <w:szCs w:val="22"/>
          <w:color w:val="auto"/>
        </w:rPr>
        <w:t xml:space="preserve"> to the Credit Agreement is hereby amended to read in its entirety as set forth on </w:t>
      </w:r>
      <w:r>
        <w:rPr>
          <w:rFonts w:ascii="Arial" w:cs="Arial" w:eastAsia="Arial" w:hAnsi="Arial"/>
          <w:sz w:val="22"/>
          <w:szCs w:val="22"/>
          <w:u w:val="single" w:color="auto"/>
          <w:color w:val="auto"/>
        </w:rPr>
        <w:t>Annex A</w:t>
      </w:r>
      <w:r>
        <w:rPr>
          <w:rFonts w:ascii="Arial" w:cs="Arial" w:eastAsia="Arial" w:hAnsi="Arial"/>
          <w:sz w:val="22"/>
          <w:szCs w:val="22"/>
          <w:color w:val="auto"/>
        </w:rPr>
        <w:t xml:space="preserve"> attached to this Amendment:</w:t>
      </w:r>
    </w:p>
    <w:p>
      <w:pPr>
        <w:spacing w:after="0" w:line="283" w:lineRule="exact"/>
        <w:rPr>
          <w:sz w:val="20"/>
          <w:szCs w:val="20"/>
          <w:color w:val="auto"/>
        </w:rPr>
      </w:pPr>
    </w:p>
    <w:p>
      <w:pPr>
        <w:ind w:right="80" w:firstLine="648"/>
        <w:spacing w:after="0" w:line="263" w:lineRule="auto"/>
        <w:rPr>
          <w:sz w:val="20"/>
          <w:szCs w:val="20"/>
          <w:color w:val="auto"/>
        </w:rPr>
      </w:pPr>
      <w:r>
        <w:rPr>
          <w:rFonts w:ascii="Arial" w:cs="Arial" w:eastAsia="Arial" w:hAnsi="Arial"/>
          <w:sz w:val="22"/>
          <w:szCs w:val="22"/>
          <w:color w:val="auto"/>
        </w:rPr>
        <w:t xml:space="preserve">1.16 </w:t>
      </w:r>
      <w:r>
        <w:rPr>
          <w:rFonts w:ascii="Arial" w:cs="Arial" w:eastAsia="Arial" w:hAnsi="Arial"/>
          <w:sz w:val="22"/>
          <w:szCs w:val="22"/>
          <w:u w:val="single" w:color="auto"/>
          <w:color w:val="auto"/>
        </w:rPr>
        <w:t>Schedule 6.2</w:t>
      </w:r>
      <w:r>
        <w:rPr>
          <w:rFonts w:ascii="Arial" w:cs="Arial" w:eastAsia="Arial" w:hAnsi="Arial"/>
          <w:sz w:val="22"/>
          <w:szCs w:val="22"/>
          <w:color w:val="auto"/>
        </w:rPr>
        <w:t xml:space="preserve"> to the Credit Agreement is hereby amended to read in its entirety as set forth on </w:t>
      </w:r>
      <w:r>
        <w:rPr>
          <w:rFonts w:ascii="Arial" w:cs="Arial" w:eastAsia="Arial" w:hAnsi="Arial"/>
          <w:sz w:val="22"/>
          <w:szCs w:val="22"/>
          <w:u w:val="single" w:color="auto"/>
          <w:color w:val="auto"/>
        </w:rPr>
        <w:t>Annex B</w:t>
      </w:r>
      <w:r>
        <w:rPr>
          <w:rFonts w:ascii="Arial" w:cs="Arial" w:eastAsia="Arial" w:hAnsi="Arial"/>
          <w:sz w:val="22"/>
          <w:szCs w:val="22"/>
          <w:color w:val="auto"/>
        </w:rPr>
        <w:t xml:space="preserve"> attached to this Amendment.</w:t>
      </w:r>
    </w:p>
    <w:p>
      <w:pPr>
        <w:sectPr>
          <w:pgSz w:w="11900" w:h="16838" w:orient="portrait"/>
          <w:cols w:equalWidth="0" w:num="1">
            <w:col w:w="11420"/>
          </w:cols>
          <w:pgMar w:left="240" w:top="753" w:right="239" w:bottom="1440" w:gutter="0" w:footer="0" w:header="0"/>
        </w:sectPr>
      </w:pPr>
    </w:p>
    <w:bookmarkStart w:id="37" w:name="page38"/>
    <w:bookmarkEnd w:id="37"/>
    <w:p>
      <w:pPr>
        <w:ind w:right="580" w:firstLine="648"/>
        <w:spacing w:after="0" w:line="263" w:lineRule="auto"/>
        <w:rPr>
          <w:sz w:val="20"/>
          <w:szCs w:val="20"/>
          <w:color w:val="auto"/>
        </w:rPr>
      </w:pPr>
      <w:r>
        <w:rPr>
          <w:rFonts w:ascii="Arial" w:cs="Arial" w:eastAsia="Arial" w:hAnsi="Arial"/>
          <w:sz w:val="22"/>
          <w:szCs w:val="22"/>
          <w:color w:val="auto"/>
        </w:rPr>
        <w:t xml:space="preserve">1.17 </w:t>
      </w:r>
      <w:r>
        <w:rPr>
          <w:rFonts w:ascii="Arial" w:cs="Arial" w:eastAsia="Arial" w:hAnsi="Arial"/>
          <w:sz w:val="22"/>
          <w:szCs w:val="22"/>
          <w:u w:val="single" w:color="auto"/>
          <w:color w:val="auto"/>
        </w:rPr>
        <w:t>Schedule 1</w:t>
      </w:r>
      <w:r>
        <w:rPr>
          <w:rFonts w:ascii="Arial" w:cs="Arial" w:eastAsia="Arial" w:hAnsi="Arial"/>
          <w:sz w:val="22"/>
          <w:szCs w:val="22"/>
          <w:color w:val="auto"/>
        </w:rPr>
        <w:t xml:space="preserve"> to the form of Compliance Certificate attached as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to the Credit Agreement is hereby amended to read in its entirety as set forth on </w:t>
      </w:r>
      <w:r>
        <w:rPr>
          <w:rFonts w:ascii="Arial" w:cs="Arial" w:eastAsia="Arial" w:hAnsi="Arial"/>
          <w:sz w:val="22"/>
          <w:szCs w:val="22"/>
          <w:u w:val="single" w:color="auto"/>
          <w:color w:val="auto"/>
        </w:rPr>
        <w:t>Annex C</w:t>
      </w:r>
      <w:r>
        <w:rPr>
          <w:rFonts w:ascii="Arial" w:cs="Arial" w:eastAsia="Arial" w:hAnsi="Arial"/>
          <w:sz w:val="22"/>
          <w:szCs w:val="22"/>
          <w:color w:val="auto"/>
        </w:rPr>
        <w:t xml:space="preserve"> attached to this Amendment.</w:t>
      </w:r>
    </w:p>
    <w:p>
      <w:pPr>
        <w:spacing w:after="0" w:line="283"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 xml:space="preserve">1.18 </w:t>
      </w:r>
      <w:r>
        <w:rPr>
          <w:rFonts w:ascii="Arial" w:cs="Arial" w:eastAsia="Arial" w:hAnsi="Arial"/>
          <w:sz w:val="22"/>
          <w:szCs w:val="22"/>
          <w:u w:val="single" w:color="auto"/>
          <w:color w:val="auto"/>
        </w:rPr>
        <w:t>Schedule A-1</w:t>
      </w:r>
      <w:r>
        <w:rPr>
          <w:rFonts w:ascii="Arial" w:cs="Arial" w:eastAsia="Arial" w:hAnsi="Arial"/>
          <w:sz w:val="22"/>
          <w:szCs w:val="22"/>
          <w:color w:val="auto"/>
        </w:rPr>
        <w:t xml:space="preserve"> to the Credit Agreement is hereby amended to read in its entirety as set forth on </w:t>
      </w:r>
      <w:r>
        <w:rPr>
          <w:rFonts w:ascii="Arial" w:cs="Arial" w:eastAsia="Arial" w:hAnsi="Arial"/>
          <w:sz w:val="22"/>
          <w:szCs w:val="22"/>
          <w:u w:val="single" w:color="auto"/>
          <w:color w:val="auto"/>
        </w:rPr>
        <w:t>Annex D</w:t>
      </w:r>
      <w:r>
        <w:rPr>
          <w:rFonts w:ascii="Arial" w:cs="Arial" w:eastAsia="Arial" w:hAnsi="Arial"/>
          <w:sz w:val="22"/>
          <w:szCs w:val="22"/>
          <w:color w:val="auto"/>
        </w:rPr>
        <w:t xml:space="preserve"> attached to this Amendment.</w:t>
      </w:r>
    </w:p>
    <w:p>
      <w:pPr>
        <w:spacing w:after="0" w:line="283"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 xml:space="preserve">1.19 </w:t>
      </w:r>
      <w:r>
        <w:rPr>
          <w:rFonts w:ascii="Arial" w:cs="Arial" w:eastAsia="Arial" w:hAnsi="Arial"/>
          <w:sz w:val="22"/>
          <w:szCs w:val="22"/>
          <w:u w:val="single" w:color="auto"/>
          <w:color w:val="auto"/>
        </w:rPr>
        <w:t>Schedule D-1</w:t>
      </w:r>
      <w:r>
        <w:rPr>
          <w:rFonts w:ascii="Arial" w:cs="Arial" w:eastAsia="Arial" w:hAnsi="Arial"/>
          <w:sz w:val="22"/>
          <w:szCs w:val="22"/>
          <w:color w:val="auto"/>
        </w:rPr>
        <w:t xml:space="preserve"> to the Credit Agreement is hereby amended to read in its entirety as set forth on </w:t>
      </w:r>
      <w:r>
        <w:rPr>
          <w:rFonts w:ascii="Arial" w:cs="Arial" w:eastAsia="Arial" w:hAnsi="Arial"/>
          <w:sz w:val="22"/>
          <w:szCs w:val="22"/>
          <w:u w:val="single" w:color="auto"/>
          <w:color w:val="auto"/>
        </w:rPr>
        <w:t>Annex E</w:t>
      </w:r>
      <w:r>
        <w:rPr>
          <w:rFonts w:ascii="Arial" w:cs="Arial" w:eastAsia="Arial" w:hAnsi="Arial"/>
          <w:sz w:val="22"/>
          <w:szCs w:val="22"/>
          <w:color w:val="auto"/>
        </w:rPr>
        <w:t xml:space="preserve"> attached to this Amendment.</w:t>
      </w:r>
    </w:p>
    <w:p>
      <w:pPr>
        <w:spacing w:after="0" w:line="283" w:lineRule="exact"/>
        <w:rPr>
          <w:sz w:val="20"/>
          <w:szCs w:val="20"/>
          <w:color w:val="auto"/>
        </w:rPr>
      </w:pPr>
    </w:p>
    <w:p>
      <w:pPr>
        <w:ind w:right="80" w:firstLine="8"/>
        <w:spacing w:after="0" w:line="253" w:lineRule="auto"/>
        <w:tabs>
          <w:tab w:leader="none" w:pos="810" w:val="left"/>
        </w:tabs>
        <w:numPr>
          <w:ilvl w:val="0"/>
          <w:numId w:val="15"/>
        </w:numPr>
        <w:rPr>
          <w:rFonts w:ascii="Arial" w:cs="Arial" w:eastAsia="Arial" w:hAnsi="Arial"/>
          <w:sz w:val="22"/>
          <w:szCs w:val="22"/>
          <w:color w:val="auto"/>
        </w:rPr>
      </w:pPr>
      <w:r>
        <w:rPr>
          <w:rFonts w:ascii="Arial" w:cs="Arial" w:eastAsia="Arial" w:hAnsi="Arial"/>
          <w:sz w:val="22"/>
          <w:szCs w:val="22"/>
          <w:u w:val="single" w:color="auto"/>
          <w:color w:val="auto"/>
        </w:rPr>
        <w:t>Amendment to Eleventh Amendment</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2</w:t>
      </w:r>
      <w:r>
        <w:rPr>
          <w:rFonts w:ascii="Arial" w:cs="Arial" w:eastAsia="Arial" w:hAnsi="Arial"/>
          <w:sz w:val="22"/>
          <w:szCs w:val="22"/>
          <w:color w:val="auto"/>
        </w:rPr>
        <w:t xml:space="preserve"> of the Eleventh Amendment is hereby amended by deleting the reference to “February 28, 2017” that appears therein and replacing it with “June 30, 2017 (or such later date as Lender may agree to in its sole discretion)”.</w:t>
      </w:r>
    </w:p>
    <w:p>
      <w:pPr>
        <w:spacing w:after="0" w:line="293" w:lineRule="exact"/>
        <w:rPr>
          <w:rFonts w:ascii="Arial" w:cs="Arial" w:eastAsia="Arial" w:hAnsi="Arial"/>
          <w:sz w:val="22"/>
          <w:szCs w:val="22"/>
          <w:color w:val="auto"/>
        </w:rPr>
      </w:pPr>
    </w:p>
    <w:p>
      <w:pPr>
        <w:jc w:val="both"/>
        <w:ind w:right="400" w:firstLine="8"/>
        <w:spacing w:after="0" w:line="253" w:lineRule="auto"/>
        <w:tabs>
          <w:tab w:leader="none" w:pos="810" w:val="left"/>
        </w:tabs>
        <w:numPr>
          <w:ilvl w:val="0"/>
          <w:numId w:val="15"/>
        </w:numPr>
        <w:rPr>
          <w:rFonts w:ascii="Arial" w:cs="Arial" w:eastAsia="Arial" w:hAnsi="Arial"/>
          <w:sz w:val="22"/>
          <w:szCs w:val="22"/>
          <w:color w:val="auto"/>
        </w:rPr>
      </w:pPr>
      <w:r>
        <w:rPr>
          <w:rFonts w:ascii="Arial" w:cs="Arial" w:eastAsia="Arial" w:hAnsi="Arial"/>
          <w:sz w:val="22"/>
          <w:szCs w:val="22"/>
          <w:u w:val="single" w:color="auto"/>
          <w:color w:val="auto"/>
        </w:rPr>
        <w:t>Accommodation Fees</w:t>
      </w:r>
      <w:r>
        <w:rPr>
          <w:rFonts w:ascii="Arial" w:cs="Arial" w:eastAsia="Arial" w:hAnsi="Arial"/>
          <w:sz w:val="22"/>
          <w:szCs w:val="22"/>
          <w:color w:val="auto"/>
        </w:rPr>
        <w:t xml:space="preserve">. Borrowers shall pay Lender, in lieu of the amounts due pursuant to </w:t>
      </w:r>
      <w:r>
        <w:rPr>
          <w:rFonts w:ascii="Arial" w:cs="Arial" w:eastAsia="Arial" w:hAnsi="Arial"/>
          <w:sz w:val="22"/>
          <w:szCs w:val="22"/>
          <w:u w:val="single" w:color="auto"/>
          <w:color w:val="auto"/>
        </w:rPr>
        <w:t>Schedule 2.12</w:t>
      </w:r>
      <w:r>
        <w:rPr>
          <w:rFonts w:ascii="Arial" w:cs="Arial" w:eastAsia="Arial" w:hAnsi="Arial"/>
          <w:sz w:val="22"/>
          <w:szCs w:val="22"/>
          <w:color w:val="auto"/>
        </w:rPr>
        <w:t xml:space="preserve"> of the Credit Agreement with respect to the reduction of the Maximum Revolving Amount on the date hereof, the following accommodation fees:</w:t>
      </w:r>
    </w:p>
    <w:p>
      <w:pPr>
        <w:spacing w:after="0" w:line="294" w:lineRule="exact"/>
        <w:rPr>
          <w:sz w:val="20"/>
          <w:szCs w:val="20"/>
          <w:color w:val="auto"/>
        </w:rPr>
      </w:pPr>
    </w:p>
    <w:p>
      <w:pPr>
        <w:ind w:right="40" w:firstLine="648"/>
        <w:spacing w:after="0" w:line="253" w:lineRule="auto"/>
        <w:rPr>
          <w:sz w:val="20"/>
          <w:szCs w:val="20"/>
          <w:color w:val="auto"/>
        </w:rPr>
      </w:pPr>
      <w:r>
        <w:rPr>
          <w:rFonts w:ascii="Arial" w:cs="Arial" w:eastAsia="Arial" w:hAnsi="Arial"/>
          <w:sz w:val="22"/>
          <w:szCs w:val="22"/>
          <w:color w:val="auto"/>
        </w:rPr>
        <w:t>3.1 A fee in the amount of $50,000 (the “</w:t>
      </w:r>
      <w:r>
        <w:rPr>
          <w:rFonts w:ascii="Arial" w:cs="Arial" w:eastAsia="Arial" w:hAnsi="Arial"/>
          <w:sz w:val="22"/>
          <w:szCs w:val="22"/>
          <w:u w:val="single" w:color="auto"/>
          <w:color w:val="auto"/>
        </w:rPr>
        <w:t>Twelfth Amendment Accommodation Fee</w:t>
      </w:r>
      <w:r>
        <w:rPr>
          <w:rFonts w:ascii="Arial" w:cs="Arial" w:eastAsia="Arial" w:hAnsi="Arial"/>
          <w:sz w:val="22"/>
          <w:szCs w:val="22"/>
          <w:color w:val="auto"/>
        </w:rPr>
        <w:t>”), which is fully earned and non-refundable as of the date of this Amendment, and due payable upon execution of this Amendment by Borrowers, Guarantors and Lender.</w:t>
      </w:r>
    </w:p>
    <w:p>
      <w:pPr>
        <w:spacing w:after="0" w:line="294" w:lineRule="exact"/>
        <w:rPr>
          <w:sz w:val="20"/>
          <w:szCs w:val="20"/>
          <w:color w:val="auto"/>
        </w:rPr>
      </w:pPr>
    </w:p>
    <w:p>
      <w:pPr>
        <w:ind w:right="640" w:firstLine="648"/>
        <w:spacing w:after="0" w:line="343" w:lineRule="auto"/>
        <w:rPr>
          <w:sz w:val="20"/>
          <w:szCs w:val="20"/>
          <w:color w:val="auto"/>
        </w:rPr>
      </w:pPr>
      <w:r>
        <w:rPr>
          <w:rFonts w:ascii="Arial" w:cs="Arial" w:eastAsia="Arial" w:hAnsi="Arial"/>
          <w:sz w:val="19"/>
          <w:szCs w:val="19"/>
          <w:color w:val="auto"/>
        </w:rPr>
        <w:t>3.2 A fee in the amount of $50,000 in the event the Sale (as defined in the Eleventh Amendment) has not been consummated by June 30, 2017, which shall be fully earned and non-refundable, and due and payable, on such date.</w:t>
      </w:r>
    </w:p>
    <w:p>
      <w:pPr>
        <w:spacing w:after="0" w:line="213" w:lineRule="exact"/>
        <w:rPr>
          <w:sz w:val="20"/>
          <w:szCs w:val="20"/>
          <w:color w:val="auto"/>
        </w:rPr>
      </w:pPr>
    </w:p>
    <w:p>
      <w:pPr>
        <w:ind w:right="380" w:firstLine="8"/>
        <w:spacing w:after="0" w:line="263" w:lineRule="auto"/>
        <w:tabs>
          <w:tab w:leader="none" w:pos="810" w:val="left"/>
        </w:tabs>
        <w:numPr>
          <w:ilvl w:val="0"/>
          <w:numId w:val="16"/>
        </w:numPr>
        <w:rPr>
          <w:rFonts w:ascii="Arial" w:cs="Arial" w:eastAsia="Arial" w:hAnsi="Arial"/>
          <w:sz w:val="22"/>
          <w:szCs w:val="22"/>
          <w:color w:val="auto"/>
        </w:rPr>
      </w:pPr>
      <w:r>
        <w:rPr>
          <w:rFonts w:ascii="Arial" w:cs="Arial" w:eastAsia="Arial" w:hAnsi="Arial"/>
          <w:sz w:val="22"/>
          <w:szCs w:val="22"/>
          <w:u w:val="single" w:color="auto"/>
          <w:color w:val="auto"/>
        </w:rPr>
        <w:t>Effectiveness of this Amendment</w:t>
      </w:r>
      <w:r>
        <w:rPr>
          <w:rFonts w:ascii="Arial" w:cs="Arial" w:eastAsia="Arial" w:hAnsi="Arial"/>
          <w:sz w:val="22"/>
          <w:szCs w:val="22"/>
          <w:color w:val="auto"/>
        </w:rPr>
        <w:t>. This Amendment shall be effective upon Lender’s receipt of the following items, in form and content acceptable to the Lender:</w:t>
      </w:r>
    </w:p>
    <w:p>
      <w:pPr>
        <w:spacing w:after="0" w:line="283"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22"/>
          <w:szCs w:val="22"/>
          <w:color w:val="auto"/>
        </w:rPr>
        <w:t>4.1</w:t>
      </w:r>
      <w:r>
        <w:rPr>
          <w:sz w:val="20"/>
          <w:szCs w:val="20"/>
          <w:color w:val="auto"/>
        </w:rPr>
        <w:tab/>
      </w:r>
      <w:r>
        <w:rPr>
          <w:rFonts w:ascii="Arial" w:cs="Arial" w:eastAsia="Arial" w:hAnsi="Arial"/>
          <w:sz w:val="19"/>
          <w:szCs w:val="19"/>
          <w:color w:val="auto"/>
        </w:rPr>
        <w:t>This Amendment, duly executed in a sufficient number of counterparts for distribution to all parties;</w:t>
      </w:r>
    </w:p>
    <w:p>
      <w:pPr>
        <w:spacing w:after="0" w:line="328"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19"/>
          <w:szCs w:val="19"/>
          <w:color w:val="auto"/>
        </w:rPr>
        <w:t>The Twelfth Amendment Accommodation Fee;</w:t>
      </w:r>
    </w:p>
    <w:p>
      <w:pPr>
        <w:spacing w:after="0" w:line="328" w:lineRule="exact"/>
        <w:rPr>
          <w:sz w:val="20"/>
          <w:szCs w:val="20"/>
          <w:color w:val="auto"/>
        </w:rPr>
      </w:pPr>
    </w:p>
    <w:p>
      <w:pPr>
        <w:ind w:right="140" w:firstLine="648"/>
        <w:spacing w:after="0" w:line="248" w:lineRule="auto"/>
        <w:rPr>
          <w:sz w:val="20"/>
          <w:szCs w:val="20"/>
          <w:color w:val="auto"/>
        </w:rPr>
      </w:pPr>
      <w:r>
        <w:rPr>
          <w:rFonts w:ascii="Arial" w:cs="Arial" w:eastAsia="Arial" w:hAnsi="Arial"/>
          <w:sz w:val="22"/>
          <w:szCs w:val="22"/>
          <w:color w:val="auto"/>
        </w:rPr>
        <w:t>4.3 A certificate from the Secretary or Assistant Secretary of each Loan Party (i) attesting to the Governing Documents of such Loan Party, (ii) attesting to the resolutions of the Board of such Loan Party, authorizing its execution, delivery, and performance of this Amendment and the other Loan Documents to which such Loan Party is a party, (iii) authorizing specific officers of such Loan Party to execute the same, and (iv) attesting to the incumbency and signatures of such specific officers of such Loan Party;</w:t>
      </w:r>
    </w:p>
    <w:p>
      <w:pPr>
        <w:spacing w:after="0" w:line="300" w:lineRule="exact"/>
        <w:rPr>
          <w:sz w:val="20"/>
          <w:szCs w:val="20"/>
          <w:color w:val="auto"/>
        </w:rPr>
      </w:pPr>
    </w:p>
    <w:p>
      <w:pPr>
        <w:ind w:right="200" w:firstLine="648"/>
        <w:spacing w:after="0" w:line="253" w:lineRule="auto"/>
        <w:rPr>
          <w:sz w:val="20"/>
          <w:szCs w:val="20"/>
          <w:color w:val="auto"/>
        </w:rPr>
      </w:pPr>
      <w:r>
        <w:rPr>
          <w:rFonts w:ascii="Arial" w:cs="Arial" w:eastAsia="Arial" w:hAnsi="Arial"/>
          <w:sz w:val="22"/>
          <w:szCs w:val="22"/>
          <w:color w:val="auto"/>
        </w:rPr>
        <w:t>4.4 The representations and warranties set forth in this Amendment must be true and correct in all material respects (except that such materiality qualifier shall not be applicable to any representations and warranties that already are qualified or modified by materiality in the text thereof); and</w:t>
      </w:r>
    </w:p>
    <w:p>
      <w:pPr>
        <w:spacing w:after="0" w:line="294" w:lineRule="exact"/>
        <w:rPr>
          <w:sz w:val="20"/>
          <w:szCs w:val="20"/>
          <w:color w:val="auto"/>
        </w:rPr>
      </w:pPr>
    </w:p>
    <w:p>
      <w:pPr>
        <w:ind w:right="40" w:firstLine="648"/>
        <w:spacing w:after="0" w:line="263" w:lineRule="auto"/>
        <w:rPr>
          <w:sz w:val="20"/>
          <w:szCs w:val="20"/>
          <w:color w:val="auto"/>
        </w:rPr>
      </w:pPr>
      <w:r>
        <w:rPr>
          <w:rFonts w:ascii="Arial" w:cs="Arial" w:eastAsia="Arial" w:hAnsi="Arial"/>
          <w:sz w:val="22"/>
          <w:szCs w:val="22"/>
          <w:color w:val="auto"/>
        </w:rPr>
        <w:t>4.5 All other documents and legal matters in connection with the transactions contemplated by this Amendment shall have been delivered or executed or recorded, as reasonably required by the Lender.</w:t>
      </w:r>
    </w:p>
    <w:p>
      <w:pPr>
        <w:spacing w:after="0" w:line="283" w:lineRule="exact"/>
        <w:rPr>
          <w:sz w:val="20"/>
          <w:szCs w:val="20"/>
          <w:color w:val="auto"/>
        </w:rPr>
      </w:pPr>
    </w:p>
    <w:p>
      <w:pPr>
        <w:ind w:left="820" w:hanging="812"/>
        <w:spacing w:after="0"/>
        <w:tabs>
          <w:tab w:leader="none" w:pos="820" w:val="left"/>
        </w:tabs>
        <w:numPr>
          <w:ilvl w:val="0"/>
          <w:numId w:val="17"/>
        </w:numPr>
        <w:rPr>
          <w:rFonts w:ascii="Arial" w:cs="Arial" w:eastAsia="Arial" w:hAnsi="Arial"/>
          <w:sz w:val="19"/>
          <w:szCs w:val="19"/>
          <w:color w:val="auto"/>
        </w:rPr>
      </w:pPr>
      <w:r>
        <w:rPr>
          <w:rFonts w:ascii="Arial" w:cs="Arial" w:eastAsia="Arial" w:hAnsi="Arial"/>
          <w:sz w:val="19"/>
          <w:szCs w:val="19"/>
          <w:u w:val="single" w:color="auto"/>
          <w:color w:val="auto"/>
        </w:rPr>
        <w:t>Extension of Post-Amendment Covenants</w:t>
      </w:r>
      <w:r>
        <w:rPr>
          <w:rFonts w:ascii="Arial" w:cs="Arial" w:eastAsia="Arial" w:hAnsi="Arial"/>
          <w:sz w:val="19"/>
          <w:szCs w:val="19"/>
          <w:color w:val="auto"/>
        </w:rPr>
        <w:t>. Lender hereby extends the due date for the post-closing obligation set forth in</w:t>
      </w:r>
    </w:p>
    <w:p>
      <w:pPr>
        <w:spacing w:after="0" w:line="56" w:lineRule="exact"/>
        <w:rPr>
          <w:rFonts w:ascii="Arial" w:cs="Arial" w:eastAsia="Arial" w:hAnsi="Arial"/>
          <w:sz w:val="19"/>
          <w:szCs w:val="19"/>
          <w:color w:val="auto"/>
        </w:rPr>
      </w:pPr>
    </w:p>
    <w:p>
      <w:pPr>
        <w:ind w:right="140"/>
        <w:spacing w:after="0" w:line="295" w:lineRule="auto"/>
        <w:rPr>
          <w:rFonts w:ascii="Arial" w:cs="Arial" w:eastAsia="Arial" w:hAnsi="Arial"/>
          <w:sz w:val="19"/>
          <w:szCs w:val="19"/>
          <w:color w:val="auto"/>
        </w:rPr>
      </w:pPr>
      <w:r>
        <w:rPr>
          <w:rFonts w:ascii="Arial" w:cs="Arial" w:eastAsia="Arial" w:hAnsi="Arial"/>
          <w:sz w:val="19"/>
          <w:szCs w:val="19"/>
          <w:color w:val="auto"/>
        </w:rPr>
        <w:t xml:space="preserve">(i) </w:t>
      </w:r>
      <w:r>
        <w:rPr>
          <w:rFonts w:ascii="Arial" w:cs="Arial" w:eastAsia="Arial" w:hAnsi="Arial"/>
          <w:sz w:val="19"/>
          <w:szCs w:val="19"/>
          <w:u w:val="single" w:color="auto"/>
          <w:color w:val="auto"/>
        </w:rPr>
        <w:t>Section 6.1</w:t>
      </w:r>
      <w:r>
        <w:rPr>
          <w:rFonts w:ascii="Arial" w:cs="Arial" w:eastAsia="Arial" w:hAnsi="Arial"/>
          <w:sz w:val="19"/>
          <w:szCs w:val="19"/>
          <w:color w:val="auto"/>
        </w:rPr>
        <w:t xml:space="preserve"> of the Joinder and Tenth Amendment to Credit and Security Agreement and other Loan Documents and Consent, dated as of November 8, 2016, by and among the Borrowers, Guarantors and Lender (the “</w:t>
      </w:r>
      <w:r>
        <w:rPr>
          <w:rFonts w:ascii="Arial" w:cs="Arial" w:eastAsia="Arial" w:hAnsi="Arial"/>
          <w:sz w:val="19"/>
          <w:szCs w:val="19"/>
          <w:u w:val="single" w:color="auto"/>
          <w:color w:val="auto"/>
        </w:rPr>
        <w:t>Tenth Amendment</w:t>
      </w:r>
      <w:r>
        <w:rPr>
          <w:rFonts w:ascii="Arial" w:cs="Arial" w:eastAsia="Arial" w:hAnsi="Arial"/>
          <w:sz w:val="19"/>
          <w:szCs w:val="19"/>
          <w:color w:val="auto"/>
        </w:rPr>
        <w:t>”), to April 30, 2017 (or such later date as Lender may agree to in its sole discretion), and (ii) Section 6.2 of the Tenth Amendment to the date that is 15 Business Days following the date of this Amendment (or such later date as Lender may agree to in its sole discretion).</w:t>
      </w:r>
    </w:p>
    <w:p>
      <w:pPr>
        <w:sectPr>
          <w:pgSz w:w="11900" w:h="16838" w:orient="portrait"/>
          <w:cols w:equalWidth="0" w:num="1">
            <w:col w:w="11420"/>
          </w:cols>
          <w:pgMar w:left="240" w:top="753" w:right="239" w:bottom="1440" w:gutter="0" w:footer="0" w:header="0"/>
        </w:sectPr>
      </w:pPr>
    </w:p>
    <w:bookmarkStart w:id="38" w:name="page39"/>
    <w:bookmarkEnd w:id="38"/>
    <w:p>
      <w:pPr>
        <w:ind w:left="820" w:hanging="812"/>
        <w:spacing w:after="0"/>
        <w:tabs>
          <w:tab w:leader="none" w:pos="820" w:val="left"/>
        </w:tabs>
        <w:numPr>
          <w:ilvl w:val="0"/>
          <w:numId w:val="18"/>
        </w:numPr>
        <w:rPr>
          <w:rFonts w:ascii="Arial" w:cs="Arial" w:eastAsia="Arial" w:hAnsi="Arial"/>
          <w:sz w:val="22"/>
          <w:szCs w:val="22"/>
          <w:color w:val="auto"/>
        </w:rPr>
      </w:pPr>
      <w:r>
        <w:rPr>
          <w:rFonts w:ascii="Arial" w:cs="Arial" w:eastAsia="Arial" w:hAnsi="Arial"/>
          <w:sz w:val="22"/>
          <w:szCs w:val="22"/>
          <w:u w:val="single" w:color="auto"/>
          <w:color w:val="auto"/>
        </w:rPr>
        <w:t>Representations and Warranties</w:t>
      </w:r>
      <w:r>
        <w:rPr>
          <w:rFonts w:ascii="Arial" w:cs="Arial" w:eastAsia="Arial" w:hAnsi="Arial"/>
          <w:sz w:val="22"/>
          <w:szCs w:val="22"/>
          <w:color w:val="auto"/>
        </w:rPr>
        <w:t>. Each Loan Party represents and warrants as follows:</w:t>
      </w:r>
    </w:p>
    <w:p>
      <w:pPr>
        <w:spacing w:after="0" w:line="328" w:lineRule="exact"/>
        <w:rPr>
          <w:sz w:val="20"/>
          <w:szCs w:val="20"/>
          <w:color w:val="auto"/>
        </w:rPr>
      </w:pPr>
    </w:p>
    <w:p>
      <w:pPr>
        <w:ind w:right="340" w:firstLine="648"/>
        <w:spacing w:after="0" w:line="297" w:lineRule="auto"/>
        <w:rPr>
          <w:sz w:val="20"/>
          <w:szCs w:val="20"/>
          <w:color w:val="auto"/>
        </w:rPr>
      </w:pPr>
      <w:r>
        <w:rPr>
          <w:rFonts w:ascii="Arial" w:cs="Arial" w:eastAsia="Arial" w:hAnsi="Arial"/>
          <w:sz w:val="19"/>
          <w:szCs w:val="19"/>
          <w:color w:val="auto"/>
        </w:rPr>
        <w:t xml:space="preserve">6.1 </w:t>
      </w:r>
      <w:r>
        <w:rPr>
          <w:rFonts w:ascii="Arial" w:cs="Arial" w:eastAsia="Arial" w:hAnsi="Arial"/>
          <w:sz w:val="19"/>
          <w:szCs w:val="19"/>
          <w:u w:val="single" w:color="auto"/>
          <w:color w:val="auto"/>
        </w:rPr>
        <w:t>Authority</w:t>
      </w:r>
      <w:r>
        <w:rPr>
          <w:rFonts w:ascii="Arial" w:cs="Arial" w:eastAsia="Arial" w:hAnsi="Arial"/>
          <w:sz w:val="19"/>
          <w:szCs w:val="19"/>
          <w:color w:val="auto"/>
        </w:rPr>
        <w:t>. Each Loan Party has the requisite corporate or limited liability company, as applicable, power and authority to execute and deliver this Amendment, and to perform its obligations hereunder and under the Loan Documents (as amended or modified hereby) to which it is a party. The execution, delivery and performance by the Loan Parties of this Amendment have been duly approved by all necessary corporate or limited liability company, as applicable, action and no other corporate or limited liability company, as applicable, proceedings are necessary to consummate such transactions.</w:t>
      </w:r>
    </w:p>
    <w:p>
      <w:pPr>
        <w:spacing w:after="0" w:line="255" w:lineRule="exact"/>
        <w:rPr>
          <w:sz w:val="20"/>
          <w:szCs w:val="20"/>
          <w:color w:val="auto"/>
        </w:rPr>
      </w:pPr>
    </w:p>
    <w:p>
      <w:pPr>
        <w:ind w:right="140" w:firstLine="648"/>
        <w:spacing w:after="0" w:line="248" w:lineRule="auto"/>
        <w:rPr>
          <w:sz w:val="20"/>
          <w:szCs w:val="20"/>
          <w:color w:val="auto"/>
        </w:rPr>
      </w:pPr>
      <w:r>
        <w:rPr>
          <w:rFonts w:ascii="Arial" w:cs="Arial" w:eastAsia="Arial" w:hAnsi="Arial"/>
          <w:sz w:val="22"/>
          <w:szCs w:val="22"/>
          <w:color w:val="auto"/>
        </w:rPr>
        <w:t xml:space="preserve">6.2 </w:t>
      </w:r>
      <w:r>
        <w:rPr>
          <w:rFonts w:ascii="Arial" w:cs="Arial" w:eastAsia="Arial" w:hAnsi="Arial"/>
          <w:sz w:val="22"/>
          <w:szCs w:val="22"/>
          <w:u w:val="single" w:color="auto"/>
          <w:color w:val="auto"/>
        </w:rPr>
        <w:t>Enforceability</w:t>
      </w:r>
      <w:r>
        <w:rPr>
          <w:rFonts w:ascii="Arial" w:cs="Arial" w:eastAsia="Arial" w:hAnsi="Arial"/>
          <w:sz w:val="22"/>
          <w:szCs w:val="22"/>
          <w:color w:val="auto"/>
        </w:rPr>
        <w:t>. This Amendment has been duly executed and delivered by the Loan Parties. This Amendment and each Loan Document (as amended or modified hereby) is the legal, valid and binding obligation of each Loan Party, enforceable against each Loan Party in accordance with its terms, except as enforcement may be limited by equitable principles or by bankruptcy, insolvency, reorganization, moratorium, or similar laws relating to or limiting creditors’ rights generally, and is in full force and effect.</w:t>
      </w:r>
    </w:p>
    <w:p>
      <w:pPr>
        <w:spacing w:after="0" w:line="300" w:lineRule="exact"/>
        <w:rPr>
          <w:sz w:val="20"/>
          <w:szCs w:val="20"/>
          <w:color w:val="auto"/>
        </w:rPr>
      </w:pPr>
    </w:p>
    <w:p>
      <w:pPr>
        <w:jc w:val="both"/>
        <w:ind w:right="340" w:firstLine="648"/>
        <w:spacing w:after="0" w:line="312" w:lineRule="auto"/>
        <w:rPr>
          <w:sz w:val="20"/>
          <w:szCs w:val="20"/>
          <w:color w:val="auto"/>
        </w:rPr>
      </w:pPr>
      <w:r>
        <w:rPr>
          <w:rFonts w:ascii="Arial" w:cs="Arial" w:eastAsia="Arial" w:hAnsi="Arial"/>
          <w:sz w:val="19"/>
          <w:szCs w:val="19"/>
          <w:color w:val="auto"/>
        </w:rPr>
        <w:t xml:space="preserve">6.3 </w:t>
      </w:r>
      <w:r>
        <w:rPr>
          <w:rFonts w:ascii="Arial" w:cs="Arial" w:eastAsia="Arial" w:hAnsi="Arial"/>
          <w:sz w:val="19"/>
          <w:szCs w:val="19"/>
          <w:u w:val="single" w:color="auto"/>
          <w:color w:val="auto"/>
        </w:rPr>
        <w:t>Representations and Warranties</w:t>
      </w:r>
      <w:r>
        <w:rPr>
          <w:rFonts w:ascii="Arial" w:cs="Arial" w:eastAsia="Arial" w:hAnsi="Arial"/>
          <w:sz w:val="19"/>
          <w:szCs w:val="19"/>
          <w:color w:val="auto"/>
        </w:rPr>
        <w:t>. The representations and warranties contained in each Loan Document (other than any such representations or warranties that, by their terms, are specifically made as of a date other than the date hereof) are true and correct in all material respects on and as of the date hereof as though made on and as of the date hereof.</w:t>
      </w:r>
    </w:p>
    <w:p>
      <w:pPr>
        <w:spacing w:after="0" w:line="242" w:lineRule="exact"/>
        <w:rPr>
          <w:sz w:val="20"/>
          <w:szCs w:val="20"/>
          <w:color w:val="auto"/>
        </w:rPr>
      </w:pPr>
    </w:p>
    <w:p>
      <w:pPr>
        <w:ind w:right="140" w:firstLine="648"/>
        <w:spacing w:after="0" w:line="248" w:lineRule="auto"/>
        <w:rPr>
          <w:sz w:val="20"/>
          <w:szCs w:val="20"/>
          <w:color w:val="auto"/>
        </w:rPr>
      </w:pPr>
      <w:r>
        <w:rPr>
          <w:rFonts w:ascii="Arial" w:cs="Arial" w:eastAsia="Arial" w:hAnsi="Arial"/>
          <w:sz w:val="22"/>
          <w:szCs w:val="22"/>
          <w:color w:val="auto"/>
        </w:rPr>
        <w:t xml:space="preserve">6.4 </w:t>
      </w:r>
      <w:r>
        <w:rPr>
          <w:rFonts w:ascii="Arial" w:cs="Arial" w:eastAsia="Arial" w:hAnsi="Arial"/>
          <w:sz w:val="22"/>
          <w:szCs w:val="22"/>
          <w:u w:val="single" w:color="auto"/>
          <w:color w:val="auto"/>
        </w:rPr>
        <w:t>Due Execution</w:t>
      </w:r>
      <w:r>
        <w:rPr>
          <w:rFonts w:ascii="Arial" w:cs="Arial" w:eastAsia="Arial" w:hAnsi="Arial"/>
          <w:sz w:val="22"/>
          <w:szCs w:val="22"/>
          <w:color w:val="auto"/>
        </w:rPr>
        <w:t>. The execution, delivery and performance of this Amendment are within the corporate or limited liability company, as applicable, power of each Loan Party, have been duly authorized by all necessary action, have received all necessary governmental approval, if any, and do not contravene any law or any contractual restrictions binding on any Loan Party except to the extent that any such contravention could not individually or in the aggregate reasonably be expected to cause a Material Adverse Change.</w:t>
      </w:r>
    </w:p>
    <w:p>
      <w:pPr>
        <w:spacing w:after="0" w:line="300"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 xml:space="preserve">6.5 </w:t>
      </w:r>
      <w:r>
        <w:rPr>
          <w:rFonts w:ascii="Arial" w:cs="Arial" w:eastAsia="Arial" w:hAnsi="Arial"/>
          <w:sz w:val="22"/>
          <w:szCs w:val="22"/>
          <w:u w:val="single" w:color="auto"/>
          <w:color w:val="auto"/>
        </w:rPr>
        <w:t>No Default</w:t>
      </w:r>
      <w:r>
        <w:rPr>
          <w:rFonts w:ascii="Arial" w:cs="Arial" w:eastAsia="Arial" w:hAnsi="Arial"/>
          <w:sz w:val="22"/>
          <w:szCs w:val="22"/>
          <w:color w:val="auto"/>
        </w:rPr>
        <w:t>. Upon the effectiveness of this Amendment, no event has occurred and is continuing that constitutes a Default or an Event of Default.</w:t>
      </w:r>
    </w:p>
    <w:p>
      <w:pPr>
        <w:spacing w:after="0" w:line="283" w:lineRule="exact"/>
        <w:rPr>
          <w:sz w:val="20"/>
          <w:szCs w:val="20"/>
          <w:color w:val="auto"/>
        </w:rPr>
      </w:pPr>
    </w:p>
    <w:p>
      <w:pPr>
        <w:jc w:val="both"/>
        <w:ind w:right="40" w:firstLine="8"/>
        <w:spacing w:after="0" w:line="302" w:lineRule="auto"/>
        <w:tabs>
          <w:tab w:leader="none" w:pos="810" w:val="left"/>
        </w:tabs>
        <w:numPr>
          <w:ilvl w:val="0"/>
          <w:numId w:val="19"/>
        </w:numPr>
        <w:rPr>
          <w:rFonts w:ascii="Arial" w:cs="Arial" w:eastAsia="Arial" w:hAnsi="Arial"/>
          <w:sz w:val="19"/>
          <w:szCs w:val="19"/>
          <w:color w:val="auto"/>
        </w:rPr>
      </w:pPr>
      <w:r>
        <w:rPr>
          <w:rFonts w:ascii="Arial" w:cs="Arial" w:eastAsia="Arial" w:hAnsi="Arial"/>
          <w:sz w:val="19"/>
          <w:szCs w:val="19"/>
          <w:u w:val="single" w:color="auto"/>
          <w:color w:val="auto"/>
        </w:rPr>
        <w:t>No Waiver</w:t>
      </w:r>
      <w:r>
        <w:rPr>
          <w:rFonts w:ascii="Arial" w:cs="Arial" w:eastAsia="Arial" w:hAnsi="Arial"/>
          <w:sz w:val="19"/>
          <w:szCs w:val="19"/>
          <w:color w:val="auto"/>
        </w:rPr>
        <w:t>. Except as otherwise expressly provided herein, the execution of this Amendment and the acceptance of all other agreements and instruments related hereto shall not be deemed to be a waiver of any Default or Event of Default under the Credit Agreement or a waiver of any breach, default or event of default under any other Loan Document or other document held by Lender, whether or not known to Lender and whether or not existing on the date of this Amendment.</w:t>
      </w:r>
    </w:p>
    <w:p>
      <w:pPr>
        <w:spacing w:after="0" w:line="250" w:lineRule="exact"/>
        <w:rPr>
          <w:rFonts w:ascii="Arial" w:cs="Arial" w:eastAsia="Arial" w:hAnsi="Arial"/>
          <w:sz w:val="19"/>
          <w:szCs w:val="19"/>
          <w:color w:val="auto"/>
        </w:rPr>
      </w:pPr>
    </w:p>
    <w:p>
      <w:pPr>
        <w:ind w:right="20" w:firstLine="8"/>
        <w:spacing w:after="0" w:line="288" w:lineRule="auto"/>
        <w:tabs>
          <w:tab w:leader="none" w:pos="810" w:val="left"/>
        </w:tabs>
        <w:numPr>
          <w:ilvl w:val="0"/>
          <w:numId w:val="19"/>
        </w:numPr>
        <w:rPr>
          <w:rFonts w:ascii="Arial" w:cs="Arial" w:eastAsia="Arial" w:hAnsi="Arial"/>
          <w:sz w:val="19"/>
          <w:szCs w:val="19"/>
          <w:color w:val="auto"/>
        </w:rPr>
      </w:pPr>
      <w:r>
        <w:rPr>
          <w:rFonts w:ascii="Arial" w:cs="Arial" w:eastAsia="Arial" w:hAnsi="Arial"/>
          <w:sz w:val="19"/>
          <w:szCs w:val="19"/>
          <w:u w:val="single" w:color="auto"/>
          <w:color w:val="auto"/>
        </w:rPr>
        <w:t>Release</w:t>
      </w:r>
      <w:r>
        <w:rPr>
          <w:rFonts w:ascii="Arial" w:cs="Arial" w:eastAsia="Arial" w:hAnsi="Arial"/>
          <w:sz w:val="19"/>
          <w:szCs w:val="19"/>
          <w:color w:val="auto"/>
        </w:rPr>
        <w:t>. Each of the Loan Parties hereby absolutely and unconditionally releases and forever discharges Lender, and any and all participants, parent corporations, subsidiary corporations, affiliated corporations, insurers, indemnitors, successors and assigns thereof, together with all of the present and former directors, officers, agents and employees of any of the foregoing, from any and all claims, demands or causes of action of any kind, nature or description, whether arising in law or equity or upon contract or tort or under any state or federal law or otherwise, which the Loan Parties have had, now have or have made claim to have against any such person for or by reason of any act, omission, matter, cause or thing whatsoever arising from the beginning of time to and including the date of this Amendment, whether such claims, demands and causes of action are matured or unmatured or known or unknown. It is the intention of the Loan Parties in executing this release that the same shall be effective as a bar to each and every claim, demand and cause of action specified and in furtherance of this intention the Loan Parties each waives and relinquishes all rights and benefits under Section 1542 of the Civil Code of the State of California, which provides:</w:t>
      </w:r>
    </w:p>
    <w:p>
      <w:pPr>
        <w:sectPr>
          <w:pgSz w:w="11900" w:h="16838" w:orient="portrait"/>
          <w:cols w:equalWidth="0" w:num="1">
            <w:col w:w="11400"/>
          </w:cols>
          <w:pgMar w:left="240" w:top="753" w:right="259" w:bottom="1440" w:gutter="0" w:footer="0" w:header="0"/>
        </w:sectPr>
      </w:pPr>
    </w:p>
    <w:bookmarkStart w:id="39" w:name="page40"/>
    <w:bookmarkEnd w:id="39"/>
    <w:p>
      <w:pPr>
        <w:ind w:left="1300"/>
        <w:spacing w:after="0" w:line="250" w:lineRule="auto"/>
        <w:rPr>
          <w:sz w:val="20"/>
          <w:szCs w:val="20"/>
          <w:color w:val="auto"/>
        </w:rPr>
      </w:pPr>
      <w:r>
        <w:rPr>
          <w:rFonts w:ascii="Arial" w:cs="Arial" w:eastAsia="Arial" w:hAnsi="Arial"/>
          <w:sz w:val="22"/>
          <w:szCs w:val="22"/>
          <w:color w:val="auto"/>
        </w:rPr>
        <w:t>“A GENERAL RELEASE DOES NOT EXTEND TO CLAIMS WHICH THE CREDITOR DOES NOT KNOW OR SUSPECT TO EXIST IN HIS OR HER FAVOR AT THE TIME OF EXECUTING THE RELEASE, WHICH IF KNOWN BY HIM OR HER MIGHT HAVE MATERIALLY AFFECTED HIS OR HER SETTLEMENT WITH THE DEBTOR.”</w:t>
      </w:r>
    </w:p>
    <w:p>
      <w:pPr>
        <w:spacing w:after="0" w:line="296" w:lineRule="exact"/>
        <w:rPr>
          <w:sz w:val="20"/>
          <w:szCs w:val="20"/>
          <w:color w:val="auto"/>
        </w:rPr>
      </w:pPr>
    </w:p>
    <w:p>
      <w:pPr>
        <w:ind w:right="140"/>
        <w:spacing w:after="0" w:line="253" w:lineRule="auto"/>
        <w:rPr>
          <w:sz w:val="20"/>
          <w:szCs w:val="20"/>
          <w:color w:val="auto"/>
        </w:rPr>
      </w:pPr>
      <w:r>
        <w:rPr>
          <w:rFonts w:ascii="Arial" w:cs="Arial" w:eastAsia="Arial" w:hAnsi="Arial"/>
          <w:sz w:val="22"/>
          <w:szCs w:val="22"/>
          <w:color w:val="auto"/>
        </w:rPr>
        <w:t>The parties acknowledge that each may hereafter discover facts different from or in addition to those now known or believed to be true with respect to such claims, demands, or causes of action and agree that this instrument shall be and remain effective in all respects notwithstanding any such differences or additional facts.</w:t>
      </w:r>
    </w:p>
    <w:p>
      <w:pPr>
        <w:spacing w:after="0" w:line="294" w:lineRule="exact"/>
        <w:rPr>
          <w:sz w:val="20"/>
          <w:szCs w:val="20"/>
          <w:color w:val="auto"/>
        </w:rPr>
      </w:pPr>
    </w:p>
    <w:p>
      <w:pPr>
        <w:ind w:right="100" w:firstLine="8"/>
        <w:spacing w:after="0" w:line="290" w:lineRule="auto"/>
        <w:tabs>
          <w:tab w:leader="none" w:pos="810" w:val="left"/>
        </w:tabs>
        <w:numPr>
          <w:ilvl w:val="0"/>
          <w:numId w:val="20"/>
        </w:numPr>
        <w:rPr>
          <w:rFonts w:ascii="Arial" w:cs="Arial" w:eastAsia="Arial" w:hAnsi="Arial"/>
          <w:sz w:val="19"/>
          <w:szCs w:val="19"/>
          <w:color w:val="auto"/>
        </w:rPr>
      </w:pPr>
      <w:r>
        <w:rPr>
          <w:rFonts w:ascii="Arial" w:cs="Arial" w:eastAsia="Arial" w:hAnsi="Arial"/>
          <w:sz w:val="19"/>
          <w:szCs w:val="19"/>
          <w:u w:val="single" w:color="auto"/>
          <w:color w:val="auto"/>
        </w:rPr>
        <w:t>Costs and Expenses</w:t>
      </w:r>
      <w:r>
        <w:rPr>
          <w:rFonts w:ascii="Arial" w:cs="Arial" w:eastAsia="Arial" w:hAnsi="Arial"/>
          <w:sz w:val="19"/>
          <w:szCs w:val="19"/>
          <w:color w:val="auto"/>
        </w:rPr>
        <w:t>. Borrowers hereby reaffirm their agreement under the Credit Agreement to pay or reimburse Lender on demand for all Lender Expenses incurred by Lender in connection with the Loan Documents. Without limiting the generality of the foregoing, Borrowers specifically agree to pay all reasonable and documented (to the extent such documentation is reasonably requested by Borrowers) out-of-pocket fees and disbursements of counsel to Lender for the services performed by such counsel in connection with the preparation of this Amendment and the documents and instruments incidental hereto. Borrowers hereby agree that Lender may, at any time or from time to time in its sole discretion and without further authorization by Borrowers, make an Advance to the Borrowers under the Credit Agreement, or apply the proceeds of any Advance, for the purpose of paying any such fees, disbursements, costs and expenses.</w:t>
      </w:r>
    </w:p>
    <w:p>
      <w:pPr>
        <w:spacing w:after="0" w:line="264" w:lineRule="exact"/>
        <w:rPr>
          <w:rFonts w:ascii="Arial" w:cs="Arial" w:eastAsia="Arial" w:hAnsi="Arial"/>
          <w:sz w:val="19"/>
          <w:szCs w:val="19"/>
          <w:color w:val="auto"/>
        </w:rPr>
      </w:pPr>
    </w:p>
    <w:p>
      <w:pPr>
        <w:ind w:right="140" w:firstLine="8"/>
        <w:spacing w:after="0" w:line="302" w:lineRule="auto"/>
        <w:tabs>
          <w:tab w:leader="none" w:pos="918" w:val="left"/>
        </w:tabs>
        <w:numPr>
          <w:ilvl w:val="0"/>
          <w:numId w:val="20"/>
        </w:numPr>
        <w:rPr>
          <w:rFonts w:ascii="Arial" w:cs="Arial" w:eastAsia="Arial" w:hAnsi="Arial"/>
          <w:sz w:val="19"/>
          <w:szCs w:val="19"/>
          <w:color w:val="auto"/>
        </w:rPr>
      </w:pPr>
      <w:r>
        <w:rPr>
          <w:rFonts w:ascii="Arial" w:cs="Arial" w:eastAsia="Arial" w:hAnsi="Arial"/>
          <w:sz w:val="19"/>
          <w:szCs w:val="19"/>
          <w:u w:val="single" w:color="auto"/>
          <w:color w:val="auto"/>
        </w:rPr>
        <w:t>Choice of Law; Venue; Jury Trial Waiver; Arbitration</w:t>
      </w:r>
      <w:r>
        <w:rPr>
          <w:rFonts w:ascii="Arial" w:cs="Arial" w:eastAsia="Arial" w:hAnsi="Arial"/>
          <w:sz w:val="19"/>
          <w:szCs w:val="19"/>
          <w:color w:val="auto"/>
        </w:rPr>
        <w:t xml:space="preserve">. The validity of this Amendment, its construction, interpretation and enforcement, and the rights of the parties hereunder shall be determined under, governed by, and construed in accordance with the internal laws of the State of California governing contracts only to be performed in that State. All of the terms of </w:t>
      </w:r>
      <w:r>
        <w:rPr>
          <w:rFonts w:ascii="Arial" w:cs="Arial" w:eastAsia="Arial" w:hAnsi="Arial"/>
          <w:sz w:val="19"/>
          <w:szCs w:val="19"/>
          <w:u w:val="single" w:color="auto"/>
          <w:color w:val="auto"/>
        </w:rPr>
        <w:t>Section 13</w:t>
      </w:r>
      <w:r>
        <w:rPr>
          <w:rFonts w:ascii="Arial" w:cs="Arial" w:eastAsia="Arial" w:hAnsi="Arial"/>
          <w:sz w:val="19"/>
          <w:szCs w:val="19"/>
          <w:color w:val="auto"/>
        </w:rPr>
        <w:t xml:space="preserve"> of the Credit Agreement are hereby incorporated by reference into this Amendment, </w:t>
      </w:r>
      <w:r>
        <w:rPr>
          <w:rFonts w:ascii="Arial" w:cs="Arial" w:eastAsia="Arial" w:hAnsi="Arial"/>
          <w:sz w:val="19"/>
          <w:szCs w:val="19"/>
          <w:i w:val="1"/>
          <w:iCs w:val="1"/>
          <w:color w:val="auto"/>
        </w:rPr>
        <w:t>mutatis mutandis</w:t>
      </w:r>
      <w:r>
        <w:rPr>
          <w:rFonts w:ascii="Arial" w:cs="Arial" w:eastAsia="Arial" w:hAnsi="Arial"/>
          <w:sz w:val="19"/>
          <w:szCs w:val="19"/>
          <w:color w:val="auto"/>
        </w:rPr>
        <w:t>.</w:t>
      </w:r>
    </w:p>
    <w:p>
      <w:pPr>
        <w:spacing w:after="0" w:line="250" w:lineRule="exact"/>
        <w:rPr>
          <w:rFonts w:ascii="Arial" w:cs="Arial" w:eastAsia="Arial" w:hAnsi="Arial"/>
          <w:sz w:val="19"/>
          <w:szCs w:val="19"/>
          <w:color w:val="auto"/>
        </w:rPr>
      </w:pPr>
    </w:p>
    <w:p>
      <w:pPr>
        <w:ind w:right="240" w:firstLine="8"/>
        <w:spacing w:after="0" w:line="248" w:lineRule="auto"/>
        <w:tabs>
          <w:tab w:leader="none" w:pos="910" w:val="left"/>
        </w:tabs>
        <w:numPr>
          <w:ilvl w:val="0"/>
          <w:numId w:val="20"/>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Amendment may be executed in any number of counterparts and by different parties and separate counterparts, each of which when so executed and delivered, shall be deemed an original, and all of which, when taken together, shall constitute one and the same instrument. Delivery of an executed counterpart of a signature page to this Amendment by telefacsimile or “pdf” file or other similar method of electronic transmission shall be effective as delivery of a manually executed counterpart of this Amendment.</w:t>
      </w:r>
    </w:p>
    <w:p>
      <w:pPr>
        <w:spacing w:after="0" w:line="300" w:lineRule="exact"/>
        <w:rPr>
          <w:rFonts w:ascii="Arial" w:cs="Arial" w:eastAsia="Arial" w:hAnsi="Arial"/>
          <w:sz w:val="22"/>
          <w:szCs w:val="22"/>
          <w:color w:val="auto"/>
        </w:rPr>
      </w:pPr>
    </w:p>
    <w:p>
      <w:pPr>
        <w:ind w:left="920" w:hanging="912"/>
        <w:spacing w:after="0"/>
        <w:tabs>
          <w:tab w:leader="none" w:pos="920" w:val="left"/>
        </w:tabs>
        <w:numPr>
          <w:ilvl w:val="0"/>
          <w:numId w:val="20"/>
        </w:numPr>
        <w:rPr>
          <w:rFonts w:ascii="Arial" w:cs="Arial" w:eastAsia="Arial" w:hAnsi="Arial"/>
          <w:sz w:val="22"/>
          <w:szCs w:val="22"/>
          <w:color w:val="auto"/>
        </w:rPr>
      </w:pPr>
      <w:r>
        <w:rPr>
          <w:rFonts w:ascii="Arial" w:cs="Arial" w:eastAsia="Arial" w:hAnsi="Arial"/>
          <w:sz w:val="22"/>
          <w:szCs w:val="22"/>
          <w:u w:val="single" w:color="auto"/>
          <w:color w:val="auto"/>
        </w:rPr>
        <w:t>Reference to and Effect on the Loan Documents</w:t>
      </w:r>
      <w:r>
        <w:rPr>
          <w:rFonts w:ascii="Arial" w:cs="Arial" w:eastAsia="Arial" w:hAnsi="Arial"/>
          <w:sz w:val="22"/>
          <w:szCs w:val="22"/>
          <w:color w:val="auto"/>
        </w:rPr>
        <w:t>.</w:t>
      </w:r>
    </w:p>
    <w:p>
      <w:pPr>
        <w:spacing w:after="0" w:line="328" w:lineRule="exact"/>
        <w:rPr>
          <w:sz w:val="20"/>
          <w:szCs w:val="20"/>
          <w:color w:val="auto"/>
        </w:rPr>
      </w:pPr>
    </w:p>
    <w:p>
      <w:pPr>
        <w:ind w:right="60" w:firstLine="648"/>
        <w:spacing w:after="0" w:line="250" w:lineRule="auto"/>
        <w:rPr>
          <w:sz w:val="20"/>
          <w:szCs w:val="20"/>
          <w:color w:val="auto"/>
        </w:rPr>
      </w:pPr>
      <w:r>
        <w:rPr>
          <w:rFonts w:ascii="Arial" w:cs="Arial" w:eastAsia="Arial" w:hAnsi="Arial"/>
          <w:sz w:val="22"/>
          <w:szCs w:val="22"/>
          <w:color w:val="auto"/>
        </w:rPr>
        <w:t>12.1 Upon and after the effectiveness of this Amendment, each reference in the Credit Agreement to “this Agreement”, “hereunder”, “hereof” or words of like import referring to the Credit Agreement, and each reference in the other Loan Documents to “the Credit Agreement”, “thereof” or words of like import referring to the Credit Agreement, shall mean and be a reference to the Credit Agreement as modified and amended hereby.</w:t>
      </w:r>
    </w:p>
    <w:p>
      <w:pPr>
        <w:spacing w:after="0" w:line="296" w:lineRule="exact"/>
        <w:rPr>
          <w:sz w:val="20"/>
          <w:szCs w:val="20"/>
          <w:color w:val="auto"/>
        </w:rPr>
      </w:pPr>
    </w:p>
    <w:p>
      <w:pPr>
        <w:ind w:right="240" w:firstLine="648"/>
        <w:spacing w:after="0" w:line="248" w:lineRule="auto"/>
        <w:rPr>
          <w:sz w:val="20"/>
          <w:szCs w:val="20"/>
          <w:color w:val="auto"/>
        </w:rPr>
      </w:pPr>
      <w:r>
        <w:rPr>
          <w:rFonts w:ascii="Arial" w:cs="Arial" w:eastAsia="Arial" w:hAnsi="Arial"/>
          <w:sz w:val="22"/>
          <w:szCs w:val="22"/>
          <w:color w:val="auto"/>
        </w:rPr>
        <w:t>12.2 Except as specifically amended by this Amendment, the Credit Agreement and all other Loan Documents, are and shall continue to be in full force and effect and are hereby in all respects ratified and confirmed and shall constitute the legal, valid, binding and enforceable obligations of the Loan Parties to the Lender and Bank Product Providers, except as enforcement may be limited by equitable principles or by bankruptcy, insolvency, reorganization, moratorium, or similar laws relating to or limiting creditors’ rights generally.</w:t>
      </w:r>
    </w:p>
    <w:p>
      <w:pPr>
        <w:sectPr>
          <w:pgSz w:w="11900" w:h="16838" w:orient="portrait"/>
          <w:cols w:equalWidth="0" w:num="1">
            <w:col w:w="11420"/>
          </w:cols>
          <w:pgMar w:left="240" w:top="753" w:right="239" w:bottom="1440" w:gutter="0" w:footer="0" w:header="0"/>
        </w:sectPr>
      </w:pPr>
    </w:p>
    <w:bookmarkStart w:id="40" w:name="page41"/>
    <w:bookmarkEnd w:id="40"/>
    <w:p>
      <w:pPr>
        <w:ind w:right="180" w:firstLine="648"/>
        <w:spacing w:after="0" w:line="253" w:lineRule="auto"/>
        <w:rPr>
          <w:sz w:val="20"/>
          <w:szCs w:val="20"/>
          <w:color w:val="auto"/>
        </w:rPr>
      </w:pPr>
      <w:r>
        <w:rPr>
          <w:rFonts w:ascii="Arial" w:cs="Arial" w:eastAsia="Arial" w:hAnsi="Arial"/>
          <w:sz w:val="22"/>
          <w:szCs w:val="22"/>
          <w:color w:val="auto"/>
        </w:rPr>
        <w:t>12.3 The execution, delivery and effectiveness of this Amendment shall not, except as expressly provided herein, operate as a waiver of any right, power or remedy of the Lender under any of the Loan Documents, nor constitute a waiver of any provision of any of the Loan Documents.</w:t>
      </w:r>
    </w:p>
    <w:p>
      <w:pPr>
        <w:spacing w:after="0" w:line="294" w:lineRule="exact"/>
        <w:rPr>
          <w:sz w:val="20"/>
          <w:szCs w:val="20"/>
          <w:color w:val="auto"/>
        </w:rPr>
      </w:pPr>
    </w:p>
    <w:p>
      <w:pPr>
        <w:ind w:right="60" w:firstLine="648"/>
        <w:spacing w:after="0" w:line="250" w:lineRule="auto"/>
        <w:rPr>
          <w:sz w:val="20"/>
          <w:szCs w:val="20"/>
          <w:color w:val="auto"/>
        </w:rPr>
      </w:pPr>
      <w:r>
        <w:rPr>
          <w:rFonts w:ascii="Arial" w:cs="Arial" w:eastAsia="Arial" w:hAnsi="Arial"/>
          <w:sz w:val="22"/>
          <w:szCs w:val="22"/>
          <w:color w:val="auto"/>
        </w:rPr>
        <w:t>12.4 To the extent that any terms and conditions in any of the Loan Documents shall contradict or be in conflict with any terms or conditions of the Credit Agreement, after giving effect to this Amendment, such terms and conditions are hereby deemed modified or amended accordingly to reflect the terms and conditions of the Credit Agreement as modified or amended hereby.</w:t>
      </w:r>
    </w:p>
    <w:p>
      <w:pPr>
        <w:spacing w:after="0" w:line="296" w:lineRule="exact"/>
        <w:rPr>
          <w:sz w:val="20"/>
          <w:szCs w:val="20"/>
          <w:color w:val="auto"/>
        </w:rPr>
      </w:pPr>
    </w:p>
    <w:p>
      <w:pPr>
        <w:ind w:left="660"/>
        <w:spacing w:after="0"/>
        <w:tabs>
          <w:tab w:leader="none" w:pos="1660" w:val="left"/>
        </w:tabs>
        <w:rPr>
          <w:sz w:val="20"/>
          <w:szCs w:val="20"/>
          <w:color w:val="auto"/>
        </w:rPr>
      </w:pPr>
      <w:r>
        <w:rPr>
          <w:rFonts w:ascii="Arial" w:cs="Arial" w:eastAsia="Arial" w:hAnsi="Arial"/>
          <w:sz w:val="22"/>
          <w:szCs w:val="22"/>
          <w:color w:val="auto"/>
        </w:rPr>
        <w:t>12.5</w:t>
      </w:r>
      <w:r>
        <w:rPr>
          <w:sz w:val="20"/>
          <w:szCs w:val="20"/>
          <w:color w:val="auto"/>
        </w:rPr>
        <w:tab/>
      </w:r>
      <w:r>
        <w:rPr>
          <w:rFonts w:ascii="Arial" w:cs="Arial" w:eastAsia="Arial" w:hAnsi="Arial"/>
          <w:sz w:val="19"/>
          <w:szCs w:val="19"/>
          <w:color w:val="auto"/>
        </w:rPr>
        <w:t>This Amendment shall be deemed to be a “Loan Document” (as defined in the Credit Agreement).</w:t>
      </w:r>
    </w:p>
    <w:p>
      <w:pPr>
        <w:spacing w:after="0" w:line="328" w:lineRule="exact"/>
        <w:rPr>
          <w:sz w:val="20"/>
          <w:szCs w:val="20"/>
          <w:color w:val="auto"/>
        </w:rPr>
      </w:pPr>
    </w:p>
    <w:p>
      <w:pPr>
        <w:ind w:firstLine="8"/>
        <w:spacing w:after="0" w:line="253" w:lineRule="auto"/>
        <w:tabs>
          <w:tab w:leader="none" w:pos="918" w:val="left"/>
        </w:tabs>
        <w:numPr>
          <w:ilvl w:val="0"/>
          <w:numId w:val="21"/>
        </w:numPr>
        <w:rPr>
          <w:rFonts w:ascii="Arial" w:cs="Arial" w:eastAsia="Arial" w:hAnsi="Arial"/>
          <w:sz w:val="22"/>
          <w:szCs w:val="22"/>
          <w:color w:val="auto"/>
        </w:rPr>
      </w:pPr>
      <w:r>
        <w:rPr>
          <w:rFonts w:ascii="Arial" w:cs="Arial" w:eastAsia="Arial" w:hAnsi="Arial"/>
          <w:sz w:val="22"/>
          <w:szCs w:val="22"/>
          <w:u w:val="single" w:color="auto"/>
          <w:color w:val="auto"/>
        </w:rPr>
        <w:t>Ratification</w:t>
      </w:r>
      <w:r>
        <w:rPr>
          <w:rFonts w:ascii="Arial" w:cs="Arial" w:eastAsia="Arial" w:hAnsi="Arial"/>
          <w:sz w:val="22"/>
          <w:szCs w:val="22"/>
          <w:color w:val="auto"/>
        </w:rPr>
        <w:t>. The Loan Parties each hereby restate, ratify and reaffirm each and every term and condition set forth in the Credit Agreement and the other Loan Documents to which it is a party, in each case as amended by this Amendment, effective as of the date hereof.</w:t>
      </w:r>
    </w:p>
    <w:p>
      <w:pPr>
        <w:spacing w:after="0" w:line="293" w:lineRule="exact"/>
        <w:rPr>
          <w:rFonts w:ascii="Arial" w:cs="Arial" w:eastAsia="Arial" w:hAnsi="Arial"/>
          <w:sz w:val="22"/>
          <w:szCs w:val="22"/>
          <w:color w:val="auto"/>
        </w:rPr>
      </w:pPr>
    </w:p>
    <w:p>
      <w:pPr>
        <w:ind w:right="200" w:firstLine="8"/>
        <w:spacing w:after="0" w:line="265" w:lineRule="auto"/>
        <w:tabs>
          <w:tab w:leader="none" w:pos="918" w:val="left"/>
        </w:tabs>
        <w:numPr>
          <w:ilvl w:val="0"/>
          <w:numId w:val="21"/>
        </w:numPr>
        <w:rPr>
          <w:rFonts w:ascii="Arial" w:cs="Arial" w:eastAsia="Arial" w:hAnsi="Arial"/>
          <w:sz w:val="21"/>
          <w:szCs w:val="21"/>
          <w:color w:val="auto"/>
        </w:rPr>
      </w:pPr>
      <w:r>
        <w:rPr>
          <w:rFonts w:ascii="Arial" w:cs="Arial" w:eastAsia="Arial" w:hAnsi="Arial"/>
          <w:sz w:val="21"/>
          <w:szCs w:val="21"/>
          <w:u w:val="single" w:color="auto"/>
          <w:color w:val="auto"/>
        </w:rPr>
        <w:t>Estoppel</w:t>
      </w:r>
      <w:r>
        <w:rPr>
          <w:rFonts w:ascii="Arial" w:cs="Arial" w:eastAsia="Arial" w:hAnsi="Arial"/>
          <w:sz w:val="21"/>
          <w:szCs w:val="21"/>
          <w:color w:val="auto"/>
        </w:rPr>
        <w:t>. To induce the Lender to enter into this Amendment and to continue to make Advances or issue Letters of Credit to or for the account of the Borrowers under the Credit Agreement, the Loan Parties each hereby acknowledges and agrees that, as of the date hereof, there exists no right of offset, defense, counterclaim or objection in favor of the Loan Parties as against the Lender or any Bank Product Provider with respect to the Obligations.</w:t>
      </w:r>
    </w:p>
    <w:p>
      <w:pPr>
        <w:spacing w:after="0" w:line="283" w:lineRule="exact"/>
        <w:rPr>
          <w:rFonts w:ascii="Arial" w:cs="Arial" w:eastAsia="Arial" w:hAnsi="Arial"/>
          <w:sz w:val="21"/>
          <w:szCs w:val="21"/>
          <w:color w:val="auto"/>
        </w:rPr>
      </w:pPr>
    </w:p>
    <w:p>
      <w:pPr>
        <w:ind w:right="20" w:firstLine="8"/>
        <w:spacing w:after="0" w:line="292" w:lineRule="auto"/>
        <w:tabs>
          <w:tab w:leader="none" w:pos="918" w:val="left"/>
        </w:tabs>
        <w:numPr>
          <w:ilvl w:val="0"/>
          <w:numId w:val="21"/>
        </w:numPr>
        <w:rPr>
          <w:rFonts w:ascii="Arial" w:cs="Arial" w:eastAsia="Arial" w:hAnsi="Arial"/>
          <w:sz w:val="19"/>
          <w:szCs w:val="19"/>
          <w:color w:val="auto"/>
        </w:rPr>
      </w:pPr>
      <w:r>
        <w:rPr>
          <w:rFonts w:ascii="Arial" w:cs="Arial" w:eastAsia="Arial" w:hAnsi="Arial"/>
          <w:sz w:val="19"/>
          <w:szCs w:val="19"/>
          <w:u w:val="single" w:color="auto"/>
          <w:color w:val="auto"/>
        </w:rPr>
        <w:t>Integration; Conflict; Successors and Assigns; Amendment</w:t>
      </w:r>
      <w:r>
        <w:rPr>
          <w:rFonts w:ascii="Arial" w:cs="Arial" w:eastAsia="Arial" w:hAnsi="Arial"/>
          <w:sz w:val="19"/>
          <w:szCs w:val="19"/>
          <w:color w:val="auto"/>
        </w:rPr>
        <w:t>. This Amendment, together with the other Loan Documents, incorporates all negotiations of the parties hereto with respect to the subject matter hereof and is the final expression and agreement of the parties hereto with respect to the subject matter hereof. In the event of any conflict between this Amendment and the Credit Agreement, the terms of this Amendment shall govern. This Amendment shall bind and inure to the benefit of the respective successors and assigns of each of the parties, subject to the provisions of the Credit Agreement and the other Loan Documents. No amendment or modification of this Amendment shall be effective unless it has been agreed to by Lender in a writing that specifically states that it is intended to amend or modify this Amendment.</w:t>
      </w:r>
    </w:p>
    <w:p>
      <w:pPr>
        <w:spacing w:after="0" w:line="259" w:lineRule="exact"/>
        <w:rPr>
          <w:rFonts w:ascii="Arial" w:cs="Arial" w:eastAsia="Arial" w:hAnsi="Arial"/>
          <w:sz w:val="19"/>
          <w:szCs w:val="19"/>
          <w:color w:val="auto"/>
        </w:rPr>
      </w:pPr>
    </w:p>
    <w:p>
      <w:pPr>
        <w:jc w:val="both"/>
        <w:ind w:right="140" w:firstLine="8"/>
        <w:spacing w:after="0" w:line="253" w:lineRule="auto"/>
        <w:tabs>
          <w:tab w:leader="none" w:pos="918" w:val="left"/>
        </w:tabs>
        <w:numPr>
          <w:ilvl w:val="0"/>
          <w:numId w:val="21"/>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In case any provision in this Amendment shall be invalid, illegal or unenforceable, such provision shall be severable from the remainder of this Amendment and the validity, legality and enforceability of the remaining provisions shall not in any way be affected or impaired thereby.</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22"/>
          <w:szCs w:val="22"/>
          <w:i w:val="1"/>
          <w:iCs w:val="1"/>
          <w:color w:val="auto"/>
        </w:rPr>
        <w:t>[signature pages follow]</w:t>
      </w:r>
    </w:p>
    <w:p>
      <w:pPr>
        <w:sectPr>
          <w:pgSz w:w="11900" w:h="16838" w:orient="portrait"/>
          <w:cols w:equalWidth="0" w:num="1">
            <w:col w:w="11400"/>
          </w:cols>
          <w:pgMar w:left="240" w:top="753" w:right="259" w:bottom="1440" w:gutter="0" w:footer="0" w:header="0"/>
        </w:sectPr>
      </w:pPr>
    </w:p>
    <w:bookmarkStart w:id="41" w:name="page42"/>
    <w:bookmarkEnd w:id="41"/>
    <w:p>
      <w:pPr>
        <w:spacing w:after="0"/>
        <w:rPr>
          <w:sz w:val="20"/>
          <w:szCs w:val="20"/>
          <w:color w:val="auto"/>
        </w:rPr>
      </w:pPr>
      <w:r>
        <w:rPr>
          <w:rFonts w:ascii="Arial" w:cs="Arial" w:eastAsia="Arial" w:hAnsi="Arial"/>
          <w:sz w:val="19"/>
          <w:szCs w:val="19"/>
          <w:color w:val="auto"/>
        </w:rPr>
        <w:t>IN WITNESS WHEREOF, the parties have entered into this Amendment as of the date first above written.</w:t>
      </w:r>
    </w:p>
    <w:p>
      <w:pPr>
        <w:sectPr>
          <w:pgSz w:w="11900" w:h="16838" w:orient="portrait"/>
          <w:cols w:equalWidth="0" w:num="1">
            <w:col w:w="9559"/>
          </w:cols>
          <w:pgMar w:left="900" w:top="807"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ind w:left="3260"/>
        <w:spacing w:after="0"/>
        <w:rPr>
          <w:sz w:val="20"/>
          <w:szCs w:val="20"/>
          <w:color w:val="auto"/>
        </w:rPr>
      </w:pPr>
      <w:r>
        <w:rPr>
          <w:rFonts w:ascii="Arial" w:cs="Arial" w:eastAsia="Arial" w:hAnsi="Arial"/>
          <w:sz w:val="21"/>
          <w:szCs w:val="21"/>
          <w:b w:val="1"/>
          <w:bCs w:val="1"/>
          <w:u w:val="single" w:color="auto"/>
          <w:color w:val="auto"/>
        </w:rPr>
        <w:t>BORROWERS:</w:t>
      </w:r>
    </w:p>
    <w:p>
      <w:pPr>
        <w:spacing w:after="0" w:line="285" w:lineRule="exact"/>
        <w:rPr>
          <w:sz w:val="20"/>
          <w:szCs w:val="20"/>
          <w:color w:val="auto"/>
        </w:rPr>
      </w:pPr>
    </w:p>
    <w:p>
      <w:pPr>
        <w:ind w:left="3260"/>
        <w:spacing w:after="0"/>
        <w:rPr>
          <w:sz w:val="20"/>
          <w:szCs w:val="20"/>
          <w:color w:val="auto"/>
        </w:rPr>
      </w:pPr>
      <w:r>
        <w:rPr>
          <w:rFonts w:ascii="Arial" w:cs="Arial" w:eastAsia="Arial" w:hAnsi="Arial"/>
          <w:sz w:val="21"/>
          <w:szCs w:val="21"/>
          <w:b w:val="1"/>
          <w:bCs w:val="1"/>
          <w:color w:val="auto"/>
        </w:rPr>
        <w:t>NOVATEL WIRELESS, INC.</w:t>
      </w:r>
    </w:p>
    <w:p>
      <w:pPr>
        <w:spacing w:after="0" w:line="288" w:lineRule="exact"/>
        <w:rPr>
          <w:sz w:val="20"/>
          <w:szCs w:val="20"/>
          <w:color w:val="auto"/>
        </w:rPr>
      </w:pPr>
    </w:p>
    <w:tbl>
      <w:tblPr>
        <w:tblLayout w:type="fixed"/>
        <w:tblInd w:w="3260" w:type="dxa"/>
        <w:tblCellMar>
          <w:top w:w="0" w:type="dxa"/>
          <w:left w:w="0" w:type="dxa"/>
          <w:bottom w:w="0" w:type="dxa"/>
          <w:right w:w="0" w:type="dxa"/>
        </w:tblCellMar>
      </w:tblPr>
      <w:tr>
        <w:trPr>
          <w:trHeight w:val="250"/>
        </w:trPr>
        <w:tc>
          <w:tcPr>
            <w:tcW w:w="660" w:type="dxa"/>
            <w:vAlign w:val="bottom"/>
          </w:tcPr>
          <w:p>
            <w:pPr>
              <w:spacing w:after="0"/>
              <w:rPr>
                <w:sz w:val="20"/>
                <w:szCs w:val="20"/>
                <w:color w:val="auto"/>
              </w:rPr>
            </w:pPr>
            <w:r>
              <w:rPr>
                <w:rFonts w:ascii="Arial" w:cs="Arial" w:eastAsia="Arial" w:hAnsi="Arial"/>
                <w:sz w:val="20"/>
                <w:szCs w:val="20"/>
                <w:color w:val="auto"/>
              </w:rPr>
              <w:t>By:</w:t>
            </w:r>
          </w:p>
        </w:tc>
        <w:tc>
          <w:tcPr>
            <w:tcW w:w="3360" w:type="dxa"/>
            <w:vAlign w:val="bottom"/>
          </w:tcPr>
          <w:p>
            <w:pPr>
              <w:ind w:left="20"/>
              <w:spacing w:after="0"/>
              <w:rPr>
                <w:sz w:val="20"/>
                <w:szCs w:val="20"/>
                <w:color w:val="auto"/>
              </w:rPr>
            </w:pPr>
            <w:r>
              <w:rPr>
                <w:rFonts w:ascii="Arial" w:cs="Arial" w:eastAsia="Arial" w:hAnsi="Arial"/>
                <w:sz w:val="20"/>
                <w:szCs w:val="20"/>
                <w:color w:val="auto"/>
              </w:rPr>
              <w:t>/s/ Michael Newman</w:t>
            </w:r>
          </w:p>
        </w:tc>
        <w:tc>
          <w:tcPr>
            <w:tcW w:w="0" w:type="dxa"/>
            <w:vAlign w:val="bottom"/>
          </w:tcPr>
          <w:p>
            <w:pPr>
              <w:spacing w:after="0"/>
              <w:rPr>
                <w:sz w:val="1"/>
                <w:szCs w:val="1"/>
                <w:color w:val="auto"/>
              </w:rPr>
            </w:pPr>
          </w:p>
        </w:tc>
      </w:tr>
      <w:tr>
        <w:trPr>
          <w:trHeight w:val="23"/>
        </w:trPr>
        <w:tc>
          <w:tcPr>
            <w:tcW w:w="660" w:type="dxa"/>
            <w:vAlign w:val="bottom"/>
            <w:vMerge w:val="restart"/>
          </w:tcPr>
          <w:p>
            <w:pPr>
              <w:spacing w:after="0"/>
              <w:rPr>
                <w:sz w:val="20"/>
                <w:szCs w:val="20"/>
                <w:color w:val="auto"/>
              </w:rPr>
            </w:pPr>
            <w:r>
              <w:rPr>
                <w:rFonts w:ascii="Arial" w:cs="Arial" w:eastAsia="Arial" w:hAnsi="Arial"/>
                <w:sz w:val="20"/>
                <w:szCs w:val="20"/>
                <w:color w:val="auto"/>
              </w:rPr>
              <w:t>Name:</w:t>
            </w:r>
          </w:p>
        </w:tc>
        <w:tc>
          <w:tcPr>
            <w:tcW w:w="3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660" w:type="dxa"/>
            <w:vAlign w:val="bottom"/>
            <w:vMerge w:val="continue"/>
          </w:tcPr>
          <w:p>
            <w:pPr>
              <w:spacing w:after="0"/>
              <w:rPr>
                <w:sz w:val="22"/>
                <w:szCs w:val="22"/>
                <w:color w:val="auto"/>
              </w:rPr>
            </w:pPr>
          </w:p>
        </w:tc>
        <w:tc>
          <w:tcPr>
            <w:tcW w:w="3360" w:type="dxa"/>
            <w:vAlign w:val="bottom"/>
          </w:tcPr>
          <w:p>
            <w:pPr>
              <w:ind w:left="20"/>
              <w:spacing w:after="0"/>
              <w:rPr>
                <w:sz w:val="20"/>
                <w:szCs w:val="20"/>
                <w:color w:val="auto"/>
              </w:rPr>
            </w:pPr>
            <w:r>
              <w:rPr>
                <w:rFonts w:ascii="Arial" w:cs="Arial" w:eastAsia="Arial" w:hAnsi="Arial"/>
                <w:sz w:val="20"/>
                <w:szCs w:val="20"/>
                <w:color w:val="auto"/>
              </w:rPr>
              <w:t>Michael Newman</w:t>
            </w:r>
          </w:p>
        </w:tc>
        <w:tc>
          <w:tcPr>
            <w:tcW w:w="0" w:type="dxa"/>
            <w:vAlign w:val="bottom"/>
          </w:tcPr>
          <w:p>
            <w:pPr>
              <w:spacing w:after="0"/>
              <w:rPr>
                <w:sz w:val="1"/>
                <w:szCs w:val="1"/>
                <w:color w:val="auto"/>
              </w:rPr>
            </w:pPr>
          </w:p>
        </w:tc>
      </w:tr>
      <w:tr>
        <w:trPr>
          <w:trHeight w:val="284"/>
        </w:trPr>
        <w:tc>
          <w:tcPr>
            <w:tcW w:w="660" w:type="dxa"/>
            <w:vAlign w:val="bottom"/>
          </w:tcPr>
          <w:p>
            <w:pPr>
              <w:spacing w:after="0"/>
              <w:rPr>
                <w:sz w:val="20"/>
                <w:szCs w:val="20"/>
                <w:color w:val="auto"/>
              </w:rPr>
            </w:pPr>
            <w:r>
              <w:rPr>
                <w:rFonts w:ascii="Arial" w:cs="Arial" w:eastAsia="Arial" w:hAnsi="Arial"/>
                <w:sz w:val="20"/>
                <w:szCs w:val="20"/>
                <w:color w:val="auto"/>
              </w:rPr>
              <w:t>Title:</w:t>
            </w:r>
          </w:p>
        </w:tc>
        <w:tc>
          <w:tcPr>
            <w:tcW w:w="3360" w:type="dxa"/>
            <w:vAlign w:val="bottom"/>
          </w:tcPr>
          <w:p>
            <w:pPr>
              <w:ind w:left="20"/>
              <w:spacing w:after="0"/>
              <w:rPr>
                <w:sz w:val="20"/>
                <w:szCs w:val="20"/>
                <w:color w:val="auto"/>
              </w:rPr>
            </w:pPr>
            <w:r>
              <w:rPr>
                <w:rFonts w:ascii="Arial" w:cs="Arial" w:eastAsia="Arial" w:hAnsi="Arial"/>
                <w:sz w:val="20"/>
                <w:szCs w:val="20"/>
                <w:color w:val="auto"/>
              </w:rPr>
              <w:t>Chief Financial Officer</w:t>
            </w:r>
          </w:p>
        </w:tc>
        <w:tc>
          <w:tcPr>
            <w:tcW w:w="0" w:type="dxa"/>
            <w:vAlign w:val="bottom"/>
          </w:tcPr>
          <w:p>
            <w:pPr>
              <w:spacing w:after="0"/>
              <w:rPr>
                <w:sz w:val="1"/>
                <w:szCs w:val="1"/>
                <w:color w:val="auto"/>
              </w:rPr>
            </w:pPr>
          </w:p>
        </w:tc>
      </w:tr>
      <w:tr>
        <w:trPr>
          <w:trHeight w:val="679"/>
        </w:trPr>
        <w:tc>
          <w:tcPr>
            <w:tcW w:w="4020" w:type="dxa"/>
            <w:vAlign w:val="bottom"/>
            <w:gridSpan w:val="2"/>
          </w:tcPr>
          <w:p>
            <w:pPr>
              <w:spacing w:after="0"/>
              <w:rPr>
                <w:sz w:val="20"/>
                <w:szCs w:val="20"/>
                <w:color w:val="auto"/>
              </w:rPr>
            </w:pPr>
            <w:r>
              <w:rPr>
                <w:rFonts w:ascii="Arial" w:cs="Arial" w:eastAsia="Arial" w:hAnsi="Arial"/>
                <w:sz w:val="21"/>
                <w:szCs w:val="21"/>
                <w:b w:val="1"/>
                <w:bCs w:val="1"/>
                <w:color w:val="auto"/>
              </w:rPr>
              <w:t>ENFORA, INC.</w:t>
            </w:r>
          </w:p>
        </w:tc>
        <w:tc>
          <w:tcPr>
            <w:tcW w:w="0" w:type="dxa"/>
            <w:vAlign w:val="bottom"/>
          </w:tcPr>
          <w:p>
            <w:pPr>
              <w:spacing w:after="0"/>
              <w:rPr>
                <w:sz w:val="1"/>
                <w:szCs w:val="1"/>
                <w:color w:val="auto"/>
              </w:rPr>
            </w:pPr>
          </w:p>
        </w:tc>
      </w:tr>
      <w:tr>
        <w:trPr>
          <w:trHeight w:val="509"/>
        </w:trPr>
        <w:tc>
          <w:tcPr>
            <w:tcW w:w="660" w:type="dxa"/>
            <w:vAlign w:val="bottom"/>
          </w:tcPr>
          <w:p>
            <w:pPr>
              <w:spacing w:after="0"/>
              <w:rPr>
                <w:sz w:val="20"/>
                <w:szCs w:val="20"/>
                <w:color w:val="auto"/>
              </w:rPr>
            </w:pPr>
            <w:r>
              <w:rPr>
                <w:rFonts w:ascii="Arial" w:cs="Arial" w:eastAsia="Arial" w:hAnsi="Arial"/>
                <w:sz w:val="20"/>
                <w:szCs w:val="20"/>
                <w:color w:val="auto"/>
              </w:rPr>
              <w:t>By:</w:t>
            </w:r>
          </w:p>
        </w:tc>
        <w:tc>
          <w:tcPr>
            <w:tcW w:w="3360" w:type="dxa"/>
            <w:vAlign w:val="bottom"/>
          </w:tcPr>
          <w:p>
            <w:pPr>
              <w:ind w:left="20"/>
              <w:spacing w:after="0"/>
              <w:rPr>
                <w:sz w:val="20"/>
                <w:szCs w:val="20"/>
                <w:color w:val="auto"/>
              </w:rPr>
            </w:pPr>
            <w:r>
              <w:rPr>
                <w:rFonts w:ascii="Arial" w:cs="Arial" w:eastAsia="Arial" w:hAnsi="Arial"/>
                <w:sz w:val="20"/>
                <w:szCs w:val="20"/>
                <w:color w:val="auto"/>
              </w:rPr>
              <w:t>/s/ Michael Newman</w:t>
            </w:r>
          </w:p>
        </w:tc>
        <w:tc>
          <w:tcPr>
            <w:tcW w:w="0" w:type="dxa"/>
            <w:vAlign w:val="bottom"/>
          </w:tcPr>
          <w:p>
            <w:pPr>
              <w:spacing w:after="0"/>
              <w:rPr>
                <w:sz w:val="1"/>
                <w:szCs w:val="1"/>
                <w:color w:val="auto"/>
              </w:rPr>
            </w:pPr>
          </w:p>
        </w:tc>
      </w:tr>
      <w:tr>
        <w:trPr>
          <w:trHeight w:val="23"/>
        </w:trPr>
        <w:tc>
          <w:tcPr>
            <w:tcW w:w="660" w:type="dxa"/>
            <w:vAlign w:val="bottom"/>
            <w:vMerge w:val="restart"/>
          </w:tcPr>
          <w:p>
            <w:pPr>
              <w:spacing w:after="0"/>
              <w:rPr>
                <w:sz w:val="20"/>
                <w:szCs w:val="20"/>
                <w:color w:val="auto"/>
              </w:rPr>
            </w:pPr>
            <w:r>
              <w:rPr>
                <w:rFonts w:ascii="Arial" w:cs="Arial" w:eastAsia="Arial" w:hAnsi="Arial"/>
                <w:sz w:val="20"/>
                <w:szCs w:val="20"/>
                <w:color w:val="auto"/>
              </w:rPr>
              <w:t>Name:</w:t>
            </w:r>
          </w:p>
        </w:tc>
        <w:tc>
          <w:tcPr>
            <w:tcW w:w="3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660" w:type="dxa"/>
            <w:vAlign w:val="bottom"/>
            <w:vMerge w:val="continue"/>
          </w:tcPr>
          <w:p>
            <w:pPr>
              <w:spacing w:after="0"/>
              <w:rPr>
                <w:sz w:val="22"/>
                <w:szCs w:val="22"/>
                <w:color w:val="auto"/>
              </w:rPr>
            </w:pPr>
          </w:p>
        </w:tc>
        <w:tc>
          <w:tcPr>
            <w:tcW w:w="3360" w:type="dxa"/>
            <w:vAlign w:val="bottom"/>
          </w:tcPr>
          <w:p>
            <w:pPr>
              <w:ind w:left="20"/>
              <w:spacing w:after="0"/>
              <w:rPr>
                <w:sz w:val="20"/>
                <w:szCs w:val="20"/>
                <w:color w:val="auto"/>
              </w:rPr>
            </w:pPr>
            <w:r>
              <w:rPr>
                <w:rFonts w:ascii="Arial" w:cs="Arial" w:eastAsia="Arial" w:hAnsi="Arial"/>
                <w:sz w:val="20"/>
                <w:szCs w:val="20"/>
                <w:color w:val="auto"/>
              </w:rPr>
              <w:t>Michael Newman</w:t>
            </w:r>
          </w:p>
        </w:tc>
        <w:tc>
          <w:tcPr>
            <w:tcW w:w="0" w:type="dxa"/>
            <w:vAlign w:val="bottom"/>
          </w:tcPr>
          <w:p>
            <w:pPr>
              <w:spacing w:after="0"/>
              <w:rPr>
                <w:sz w:val="1"/>
                <w:szCs w:val="1"/>
                <w:color w:val="auto"/>
              </w:rPr>
            </w:pPr>
          </w:p>
        </w:tc>
      </w:tr>
      <w:tr>
        <w:trPr>
          <w:trHeight w:val="284"/>
        </w:trPr>
        <w:tc>
          <w:tcPr>
            <w:tcW w:w="660" w:type="dxa"/>
            <w:vAlign w:val="bottom"/>
          </w:tcPr>
          <w:p>
            <w:pPr>
              <w:spacing w:after="0"/>
              <w:rPr>
                <w:sz w:val="20"/>
                <w:szCs w:val="20"/>
                <w:color w:val="auto"/>
              </w:rPr>
            </w:pPr>
            <w:r>
              <w:rPr>
                <w:rFonts w:ascii="Arial" w:cs="Arial" w:eastAsia="Arial" w:hAnsi="Arial"/>
                <w:sz w:val="20"/>
                <w:szCs w:val="20"/>
                <w:color w:val="auto"/>
              </w:rPr>
              <w:t>Title:</w:t>
            </w:r>
          </w:p>
        </w:tc>
        <w:tc>
          <w:tcPr>
            <w:tcW w:w="3360" w:type="dxa"/>
            <w:vAlign w:val="bottom"/>
          </w:tcPr>
          <w:p>
            <w:pPr>
              <w:ind w:left="20"/>
              <w:spacing w:after="0"/>
              <w:rPr>
                <w:sz w:val="20"/>
                <w:szCs w:val="20"/>
                <w:color w:val="auto"/>
              </w:rPr>
            </w:pPr>
            <w:r>
              <w:rPr>
                <w:rFonts w:ascii="Arial" w:cs="Arial" w:eastAsia="Arial" w:hAnsi="Arial"/>
                <w:sz w:val="20"/>
                <w:szCs w:val="20"/>
                <w:color w:val="auto"/>
              </w:rPr>
              <w:t>Chief Financial Officer</w:t>
            </w:r>
          </w:p>
        </w:tc>
        <w:tc>
          <w:tcPr>
            <w:tcW w:w="0" w:type="dxa"/>
            <w:vAlign w:val="bottom"/>
          </w:tcPr>
          <w:p>
            <w:pPr>
              <w:spacing w:after="0"/>
              <w:rPr>
                <w:sz w:val="1"/>
                <w:szCs w:val="1"/>
                <w:color w:val="auto"/>
              </w:rPr>
            </w:pPr>
          </w:p>
        </w:tc>
      </w:tr>
      <w:tr>
        <w:trPr>
          <w:trHeight w:val="679"/>
        </w:trPr>
        <w:tc>
          <w:tcPr>
            <w:tcW w:w="4020" w:type="dxa"/>
            <w:vAlign w:val="bottom"/>
            <w:gridSpan w:val="2"/>
          </w:tcPr>
          <w:p>
            <w:pPr>
              <w:spacing w:after="0"/>
              <w:rPr>
                <w:sz w:val="20"/>
                <w:szCs w:val="20"/>
                <w:color w:val="auto"/>
              </w:rPr>
            </w:pPr>
            <w:r>
              <w:rPr>
                <w:rFonts w:ascii="Arial" w:cs="Arial" w:eastAsia="Arial" w:hAnsi="Arial"/>
                <w:sz w:val="21"/>
                <w:szCs w:val="21"/>
                <w:b w:val="1"/>
                <w:bCs w:val="1"/>
                <w:color w:val="auto"/>
              </w:rPr>
              <w:t>FEENEY WIRELESS, LLC</w:t>
            </w:r>
          </w:p>
        </w:tc>
        <w:tc>
          <w:tcPr>
            <w:tcW w:w="0" w:type="dxa"/>
            <w:vAlign w:val="bottom"/>
          </w:tcPr>
          <w:p>
            <w:pPr>
              <w:spacing w:after="0"/>
              <w:rPr>
                <w:sz w:val="1"/>
                <w:szCs w:val="1"/>
                <w:color w:val="auto"/>
              </w:rPr>
            </w:pPr>
          </w:p>
        </w:tc>
      </w:tr>
      <w:tr>
        <w:trPr>
          <w:trHeight w:val="509"/>
        </w:trPr>
        <w:tc>
          <w:tcPr>
            <w:tcW w:w="660" w:type="dxa"/>
            <w:vAlign w:val="bottom"/>
          </w:tcPr>
          <w:p>
            <w:pPr>
              <w:spacing w:after="0"/>
              <w:rPr>
                <w:sz w:val="20"/>
                <w:szCs w:val="20"/>
                <w:color w:val="auto"/>
              </w:rPr>
            </w:pPr>
            <w:r>
              <w:rPr>
                <w:rFonts w:ascii="Arial" w:cs="Arial" w:eastAsia="Arial" w:hAnsi="Arial"/>
                <w:sz w:val="20"/>
                <w:szCs w:val="20"/>
                <w:color w:val="auto"/>
              </w:rPr>
              <w:t>By:</w:t>
            </w:r>
          </w:p>
        </w:tc>
        <w:tc>
          <w:tcPr>
            <w:tcW w:w="3360" w:type="dxa"/>
            <w:vAlign w:val="bottom"/>
          </w:tcPr>
          <w:p>
            <w:pPr>
              <w:ind w:left="20"/>
              <w:spacing w:after="0"/>
              <w:rPr>
                <w:sz w:val="20"/>
                <w:szCs w:val="20"/>
                <w:color w:val="auto"/>
              </w:rPr>
            </w:pPr>
            <w:r>
              <w:rPr>
                <w:rFonts w:ascii="Arial" w:cs="Arial" w:eastAsia="Arial" w:hAnsi="Arial"/>
                <w:sz w:val="20"/>
                <w:szCs w:val="20"/>
                <w:color w:val="auto"/>
              </w:rPr>
              <w:t>/s/ Michael Newman</w:t>
            </w:r>
          </w:p>
        </w:tc>
        <w:tc>
          <w:tcPr>
            <w:tcW w:w="0" w:type="dxa"/>
            <w:vAlign w:val="bottom"/>
          </w:tcPr>
          <w:p>
            <w:pPr>
              <w:spacing w:after="0"/>
              <w:rPr>
                <w:sz w:val="1"/>
                <w:szCs w:val="1"/>
                <w:color w:val="auto"/>
              </w:rPr>
            </w:pPr>
          </w:p>
        </w:tc>
      </w:tr>
      <w:tr>
        <w:trPr>
          <w:trHeight w:val="23"/>
        </w:trPr>
        <w:tc>
          <w:tcPr>
            <w:tcW w:w="660" w:type="dxa"/>
            <w:vAlign w:val="bottom"/>
            <w:vMerge w:val="restart"/>
          </w:tcPr>
          <w:p>
            <w:pPr>
              <w:spacing w:after="0"/>
              <w:rPr>
                <w:sz w:val="20"/>
                <w:szCs w:val="20"/>
                <w:color w:val="auto"/>
              </w:rPr>
            </w:pPr>
            <w:r>
              <w:rPr>
                <w:rFonts w:ascii="Arial" w:cs="Arial" w:eastAsia="Arial" w:hAnsi="Arial"/>
                <w:sz w:val="20"/>
                <w:szCs w:val="20"/>
                <w:color w:val="auto"/>
              </w:rPr>
              <w:t>Name:</w:t>
            </w:r>
          </w:p>
        </w:tc>
        <w:tc>
          <w:tcPr>
            <w:tcW w:w="3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660" w:type="dxa"/>
            <w:vAlign w:val="bottom"/>
            <w:vMerge w:val="continue"/>
          </w:tcPr>
          <w:p>
            <w:pPr>
              <w:spacing w:after="0"/>
              <w:rPr>
                <w:sz w:val="22"/>
                <w:szCs w:val="22"/>
                <w:color w:val="auto"/>
              </w:rPr>
            </w:pPr>
          </w:p>
        </w:tc>
        <w:tc>
          <w:tcPr>
            <w:tcW w:w="3360" w:type="dxa"/>
            <w:vAlign w:val="bottom"/>
          </w:tcPr>
          <w:p>
            <w:pPr>
              <w:ind w:left="20"/>
              <w:spacing w:after="0"/>
              <w:rPr>
                <w:sz w:val="20"/>
                <w:szCs w:val="20"/>
                <w:color w:val="auto"/>
              </w:rPr>
            </w:pPr>
            <w:r>
              <w:rPr>
                <w:rFonts w:ascii="Arial" w:cs="Arial" w:eastAsia="Arial" w:hAnsi="Arial"/>
                <w:sz w:val="20"/>
                <w:szCs w:val="20"/>
                <w:color w:val="auto"/>
              </w:rPr>
              <w:t>Michael Newman</w:t>
            </w:r>
          </w:p>
        </w:tc>
        <w:tc>
          <w:tcPr>
            <w:tcW w:w="0" w:type="dxa"/>
            <w:vAlign w:val="bottom"/>
          </w:tcPr>
          <w:p>
            <w:pPr>
              <w:spacing w:after="0"/>
              <w:rPr>
                <w:sz w:val="1"/>
                <w:szCs w:val="1"/>
                <w:color w:val="auto"/>
              </w:rPr>
            </w:pPr>
          </w:p>
        </w:tc>
      </w:tr>
      <w:tr>
        <w:trPr>
          <w:trHeight w:val="284"/>
        </w:trPr>
        <w:tc>
          <w:tcPr>
            <w:tcW w:w="660" w:type="dxa"/>
            <w:vAlign w:val="bottom"/>
          </w:tcPr>
          <w:p>
            <w:pPr>
              <w:spacing w:after="0"/>
              <w:rPr>
                <w:sz w:val="20"/>
                <w:szCs w:val="20"/>
                <w:color w:val="auto"/>
              </w:rPr>
            </w:pPr>
            <w:r>
              <w:rPr>
                <w:rFonts w:ascii="Arial" w:cs="Arial" w:eastAsia="Arial" w:hAnsi="Arial"/>
                <w:sz w:val="20"/>
                <w:szCs w:val="20"/>
                <w:color w:val="auto"/>
              </w:rPr>
              <w:t>Title:</w:t>
            </w:r>
          </w:p>
        </w:tc>
        <w:tc>
          <w:tcPr>
            <w:tcW w:w="3360" w:type="dxa"/>
            <w:vAlign w:val="bottom"/>
          </w:tcPr>
          <w:p>
            <w:pPr>
              <w:ind w:left="20"/>
              <w:spacing w:after="0"/>
              <w:rPr>
                <w:sz w:val="20"/>
                <w:szCs w:val="20"/>
                <w:color w:val="auto"/>
              </w:rPr>
            </w:pPr>
            <w:r>
              <w:rPr>
                <w:rFonts w:ascii="Arial" w:cs="Arial" w:eastAsia="Arial" w:hAnsi="Arial"/>
                <w:sz w:val="20"/>
                <w:szCs w:val="20"/>
                <w:color w:val="auto"/>
              </w:rPr>
              <w:t>Secretary</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ind w:left="3260"/>
        <w:spacing w:after="0"/>
        <w:rPr>
          <w:sz w:val="20"/>
          <w:szCs w:val="20"/>
          <w:color w:val="auto"/>
        </w:rPr>
      </w:pPr>
      <w:r>
        <w:rPr>
          <w:rFonts w:ascii="Arial" w:cs="Arial" w:eastAsia="Arial" w:hAnsi="Arial"/>
          <w:sz w:val="21"/>
          <w:szCs w:val="21"/>
          <w:b w:val="1"/>
          <w:bCs w:val="1"/>
          <w:u w:val="single" w:color="auto"/>
          <w:color w:val="auto"/>
        </w:rPr>
        <w:t>GUARANTORS:</w:t>
      </w:r>
    </w:p>
    <w:p>
      <w:pPr>
        <w:spacing w:after="0" w:line="285" w:lineRule="exact"/>
        <w:rPr>
          <w:sz w:val="20"/>
          <w:szCs w:val="20"/>
          <w:color w:val="auto"/>
        </w:rPr>
      </w:pPr>
    </w:p>
    <w:p>
      <w:pPr>
        <w:ind w:left="3260"/>
        <w:spacing w:after="0"/>
        <w:rPr>
          <w:sz w:val="20"/>
          <w:szCs w:val="20"/>
          <w:color w:val="auto"/>
        </w:rPr>
      </w:pPr>
      <w:r>
        <w:rPr>
          <w:rFonts w:ascii="Arial" w:cs="Arial" w:eastAsia="Arial" w:hAnsi="Arial"/>
          <w:sz w:val="21"/>
          <w:szCs w:val="21"/>
          <w:b w:val="1"/>
          <w:bCs w:val="1"/>
          <w:color w:val="auto"/>
        </w:rPr>
        <w:t>R.E.R. ENTERPRISES, INC.</w:t>
      </w:r>
    </w:p>
    <w:p>
      <w:pPr>
        <w:spacing w:after="0" w:line="288" w:lineRule="exact"/>
        <w:rPr>
          <w:sz w:val="20"/>
          <w:szCs w:val="20"/>
          <w:color w:val="auto"/>
        </w:rPr>
      </w:pPr>
    </w:p>
    <w:p>
      <w:pPr>
        <w:ind w:left="3260"/>
        <w:spacing w:after="0"/>
        <w:tabs>
          <w:tab w:leader="none" w:pos="392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Michael Newman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2484755</wp:posOffset>
            </wp:positionH>
            <wp:positionV relativeFrom="paragraph">
              <wp:posOffset>27305</wp:posOffset>
            </wp:positionV>
            <wp:extent cx="214376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34" w:lineRule="exact"/>
        <w:rPr>
          <w:sz w:val="20"/>
          <w:szCs w:val="20"/>
          <w:color w:val="auto"/>
        </w:rPr>
      </w:pPr>
    </w:p>
    <w:p>
      <w:pPr>
        <w:ind w:left="3260"/>
        <w:spacing w:after="0"/>
        <w:rPr>
          <w:sz w:val="20"/>
          <w:szCs w:val="20"/>
          <w:color w:val="auto"/>
        </w:rPr>
      </w:pPr>
      <w:r>
        <w:rPr>
          <w:rFonts w:ascii="Arial" w:cs="Arial" w:eastAsia="Arial" w:hAnsi="Arial"/>
          <w:sz w:val="20"/>
          <w:szCs w:val="20"/>
          <w:color w:val="auto"/>
        </w:rPr>
        <w:t>Name:  Michael Newman</w:t>
      </w:r>
    </w:p>
    <w:p>
      <w:pPr>
        <w:spacing w:after="0" w:line="67" w:lineRule="exact"/>
        <w:rPr>
          <w:sz w:val="20"/>
          <w:szCs w:val="20"/>
          <w:color w:val="auto"/>
        </w:rPr>
      </w:pPr>
    </w:p>
    <w:p>
      <w:pPr>
        <w:ind w:left="3260"/>
        <w:spacing w:after="0"/>
        <w:tabs>
          <w:tab w:leader="none" w:pos="3920" w:val="left"/>
        </w:tabs>
        <w:rPr>
          <w:sz w:val="20"/>
          <w:szCs w:val="20"/>
          <w:color w:val="auto"/>
        </w:rPr>
      </w:pPr>
      <w:r>
        <w:rPr>
          <w:rFonts w:ascii="Arial" w:cs="Arial" w:eastAsia="Arial" w:hAnsi="Arial"/>
          <w:sz w:val="20"/>
          <w:szCs w:val="20"/>
          <w:color w:val="auto"/>
        </w:rPr>
        <w:t>Title:</w:t>
        <w:tab/>
        <w:t>Secretary</w:t>
      </w:r>
    </w:p>
    <w:p>
      <w:pPr>
        <w:spacing w:after="0" w:line="200" w:lineRule="exact"/>
        <w:rPr>
          <w:sz w:val="20"/>
          <w:szCs w:val="20"/>
          <w:color w:val="auto"/>
        </w:rPr>
      </w:pPr>
    </w:p>
    <w:p>
      <w:pPr>
        <w:spacing w:after="0" w:line="229" w:lineRule="exact"/>
        <w:rPr>
          <w:sz w:val="20"/>
          <w:szCs w:val="20"/>
          <w:color w:val="auto"/>
        </w:rPr>
      </w:pPr>
    </w:p>
    <w:p>
      <w:pPr>
        <w:ind w:left="3260"/>
        <w:spacing w:after="0"/>
        <w:rPr>
          <w:sz w:val="20"/>
          <w:szCs w:val="20"/>
          <w:color w:val="auto"/>
        </w:rPr>
      </w:pPr>
      <w:r>
        <w:rPr>
          <w:rFonts w:ascii="Arial" w:cs="Arial" w:eastAsia="Arial" w:hAnsi="Arial"/>
          <w:sz w:val="21"/>
          <w:szCs w:val="21"/>
          <w:b w:val="1"/>
          <w:bCs w:val="1"/>
          <w:color w:val="auto"/>
        </w:rPr>
        <w:t>FEENEY WIRELESS IC-DISC, INC.</w:t>
      </w:r>
    </w:p>
    <w:p>
      <w:pPr>
        <w:spacing w:after="0" w:line="288" w:lineRule="exact"/>
        <w:rPr>
          <w:sz w:val="20"/>
          <w:szCs w:val="20"/>
          <w:color w:val="auto"/>
        </w:rPr>
      </w:pPr>
    </w:p>
    <w:p>
      <w:pPr>
        <w:ind w:left="3260"/>
        <w:spacing w:after="0"/>
        <w:tabs>
          <w:tab w:leader="none" w:pos="392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Michael Newman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2484755</wp:posOffset>
            </wp:positionH>
            <wp:positionV relativeFrom="paragraph">
              <wp:posOffset>27305</wp:posOffset>
            </wp:positionV>
            <wp:extent cx="214376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34" w:lineRule="exact"/>
        <w:rPr>
          <w:sz w:val="20"/>
          <w:szCs w:val="20"/>
          <w:color w:val="auto"/>
        </w:rPr>
      </w:pPr>
    </w:p>
    <w:p>
      <w:pPr>
        <w:ind w:left="3260"/>
        <w:spacing w:after="0"/>
        <w:rPr>
          <w:sz w:val="20"/>
          <w:szCs w:val="20"/>
          <w:color w:val="auto"/>
        </w:rPr>
      </w:pPr>
      <w:r>
        <w:rPr>
          <w:rFonts w:ascii="Arial" w:cs="Arial" w:eastAsia="Arial" w:hAnsi="Arial"/>
          <w:sz w:val="20"/>
          <w:szCs w:val="20"/>
          <w:color w:val="auto"/>
        </w:rPr>
        <w:t>Name:  Michael Newman</w:t>
      </w:r>
    </w:p>
    <w:p>
      <w:pPr>
        <w:spacing w:after="0" w:line="67" w:lineRule="exact"/>
        <w:rPr>
          <w:sz w:val="20"/>
          <w:szCs w:val="20"/>
          <w:color w:val="auto"/>
        </w:rPr>
      </w:pPr>
    </w:p>
    <w:p>
      <w:pPr>
        <w:ind w:left="3260"/>
        <w:spacing w:after="0"/>
        <w:tabs>
          <w:tab w:leader="none" w:pos="3920" w:val="left"/>
        </w:tabs>
        <w:rPr>
          <w:sz w:val="20"/>
          <w:szCs w:val="20"/>
          <w:color w:val="auto"/>
        </w:rPr>
      </w:pPr>
      <w:r>
        <w:rPr>
          <w:rFonts w:ascii="Arial" w:cs="Arial" w:eastAsia="Arial" w:hAnsi="Arial"/>
          <w:sz w:val="20"/>
          <w:szCs w:val="20"/>
          <w:color w:val="auto"/>
        </w:rPr>
        <w:t>Title:</w:t>
        <w:tab/>
        <w:t>Secretary</w:t>
      </w:r>
    </w:p>
    <w:p>
      <w:pPr>
        <w:spacing w:after="0" w:line="200" w:lineRule="exact"/>
        <w:rPr>
          <w:sz w:val="20"/>
          <w:szCs w:val="20"/>
          <w:color w:val="auto"/>
        </w:rPr>
      </w:pPr>
    </w:p>
    <w:p>
      <w:pPr>
        <w:spacing w:after="0" w:line="229" w:lineRule="exact"/>
        <w:rPr>
          <w:sz w:val="20"/>
          <w:szCs w:val="20"/>
          <w:color w:val="auto"/>
        </w:rPr>
      </w:pPr>
    </w:p>
    <w:p>
      <w:pPr>
        <w:ind w:left="3260"/>
        <w:spacing w:after="0"/>
        <w:rPr>
          <w:sz w:val="20"/>
          <w:szCs w:val="20"/>
          <w:color w:val="auto"/>
        </w:rPr>
      </w:pPr>
      <w:r>
        <w:rPr>
          <w:rFonts w:ascii="Arial" w:cs="Arial" w:eastAsia="Arial" w:hAnsi="Arial"/>
          <w:sz w:val="21"/>
          <w:szCs w:val="21"/>
          <w:b w:val="1"/>
          <w:bCs w:val="1"/>
          <w:color w:val="auto"/>
        </w:rPr>
        <w:t>INSEEGO CORP.</w:t>
      </w:r>
    </w:p>
    <w:p>
      <w:pPr>
        <w:spacing w:after="0" w:line="288" w:lineRule="exact"/>
        <w:rPr>
          <w:sz w:val="20"/>
          <w:szCs w:val="20"/>
          <w:color w:val="auto"/>
        </w:rPr>
      </w:pPr>
    </w:p>
    <w:p>
      <w:pPr>
        <w:ind w:left="3260"/>
        <w:spacing w:after="0"/>
        <w:tabs>
          <w:tab w:leader="none" w:pos="392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Michael Newman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2484755</wp:posOffset>
            </wp:positionH>
            <wp:positionV relativeFrom="paragraph">
              <wp:posOffset>27305</wp:posOffset>
            </wp:positionV>
            <wp:extent cx="214376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34" w:lineRule="exact"/>
        <w:rPr>
          <w:sz w:val="20"/>
          <w:szCs w:val="20"/>
          <w:color w:val="auto"/>
        </w:rPr>
      </w:pPr>
    </w:p>
    <w:p>
      <w:pPr>
        <w:ind w:left="3260"/>
        <w:spacing w:after="0"/>
        <w:rPr>
          <w:sz w:val="20"/>
          <w:szCs w:val="20"/>
          <w:color w:val="auto"/>
        </w:rPr>
      </w:pPr>
      <w:r>
        <w:rPr>
          <w:rFonts w:ascii="Arial" w:cs="Arial" w:eastAsia="Arial" w:hAnsi="Arial"/>
          <w:sz w:val="20"/>
          <w:szCs w:val="20"/>
          <w:color w:val="auto"/>
        </w:rPr>
        <w:t>Name:  Michael Newman</w:t>
      </w:r>
    </w:p>
    <w:p>
      <w:pPr>
        <w:spacing w:after="0" w:line="67" w:lineRule="exact"/>
        <w:rPr>
          <w:sz w:val="20"/>
          <w:szCs w:val="20"/>
          <w:color w:val="auto"/>
        </w:rPr>
      </w:pPr>
    </w:p>
    <w:p>
      <w:pPr>
        <w:ind w:left="3260"/>
        <w:spacing w:after="0"/>
        <w:tabs>
          <w:tab w:leader="none" w:pos="3920" w:val="left"/>
        </w:tabs>
        <w:rPr>
          <w:sz w:val="20"/>
          <w:szCs w:val="20"/>
          <w:color w:val="auto"/>
        </w:rPr>
      </w:pPr>
      <w:r>
        <w:rPr>
          <w:rFonts w:ascii="Arial" w:cs="Arial" w:eastAsia="Arial" w:hAnsi="Arial"/>
          <w:sz w:val="20"/>
          <w:szCs w:val="20"/>
          <w:color w:val="auto"/>
        </w:rPr>
        <w:t>Title:</w:t>
        <w:tab/>
        <w:t>Chief Financial Officer</w:t>
      </w:r>
    </w:p>
    <w:p>
      <w:pPr>
        <w:sectPr>
          <w:pgSz w:w="11900" w:h="16838" w:orient="portrait"/>
          <w:cols w:equalWidth="0" w:num="1">
            <w:col w:w="9559"/>
          </w:cols>
          <w:pgMar w:left="900" w:top="807" w:right="1440" w:bottom="1440" w:gutter="0" w:footer="0" w:header="0"/>
          <w:type w:val="continuous"/>
        </w:sectPr>
      </w:pPr>
    </w:p>
    <w:bookmarkStart w:id="42" w:name="page43"/>
    <w:bookmarkEnd w:id="42"/>
    <w:p>
      <w:pPr>
        <w:spacing w:after="0" w:line="91" w:lineRule="exact"/>
        <w:rPr>
          <w:sz w:val="20"/>
          <w:szCs w:val="20"/>
          <w:color w:val="auto"/>
        </w:rPr>
      </w:pPr>
    </w:p>
    <w:p>
      <w:pPr>
        <w:ind w:left="2700"/>
        <w:spacing w:after="0"/>
        <w:rPr>
          <w:sz w:val="20"/>
          <w:szCs w:val="20"/>
          <w:color w:val="auto"/>
        </w:rPr>
      </w:pPr>
      <w:r>
        <w:rPr>
          <w:rFonts w:ascii="Arial" w:cs="Arial" w:eastAsia="Arial" w:hAnsi="Arial"/>
          <w:sz w:val="22"/>
          <w:szCs w:val="22"/>
          <w:b w:val="1"/>
          <w:bCs w:val="1"/>
          <w:u w:val="single" w:color="auto"/>
          <w:color w:val="auto"/>
        </w:rPr>
        <w:t>LENDER:</w:t>
      </w:r>
    </w:p>
    <w:p>
      <w:pPr>
        <w:spacing w:after="0" w:line="152" w:lineRule="exact"/>
        <w:rPr>
          <w:sz w:val="20"/>
          <w:szCs w:val="20"/>
          <w:color w:val="auto"/>
        </w:rPr>
      </w:pPr>
    </w:p>
    <w:p>
      <w:pPr>
        <w:ind w:left="2720"/>
        <w:spacing w:after="0"/>
        <w:rPr>
          <w:sz w:val="20"/>
          <w:szCs w:val="20"/>
          <w:color w:val="auto"/>
        </w:rPr>
      </w:pPr>
      <w:r>
        <w:rPr>
          <w:rFonts w:ascii="Arial" w:cs="Arial" w:eastAsia="Arial" w:hAnsi="Arial"/>
          <w:sz w:val="22"/>
          <w:szCs w:val="22"/>
          <w:b w:val="1"/>
          <w:bCs w:val="1"/>
          <w:color w:val="auto"/>
        </w:rPr>
        <w:t>WELLS FARGO BANK,</w:t>
      </w:r>
    </w:p>
    <w:p>
      <w:pPr>
        <w:spacing w:after="0" w:line="14" w:lineRule="exact"/>
        <w:rPr>
          <w:sz w:val="20"/>
          <w:szCs w:val="20"/>
          <w:color w:val="auto"/>
        </w:rPr>
      </w:pPr>
    </w:p>
    <w:p>
      <w:pPr>
        <w:ind w:left="2720"/>
        <w:spacing w:after="0"/>
        <w:rPr>
          <w:sz w:val="20"/>
          <w:szCs w:val="20"/>
          <w:color w:val="auto"/>
        </w:rPr>
      </w:pPr>
      <w:r>
        <w:rPr>
          <w:rFonts w:ascii="Arial" w:cs="Arial" w:eastAsia="Arial" w:hAnsi="Arial"/>
          <w:sz w:val="21"/>
          <w:szCs w:val="21"/>
          <w:b w:val="1"/>
          <w:bCs w:val="1"/>
          <w:color w:val="auto"/>
        </w:rPr>
        <w:t>NATIONAL ASSOCIATION</w:t>
      </w:r>
    </w:p>
    <w:p>
      <w:pPr>
        <w:spacing w:after="0" w:line="267" w:lineRule="exact"/>
        <w:rPr>
          <w:sz w:val="20"/>
          <w:szCs w:val="20"/>
          <w:color w:val="auto"/>
        </w:rPr>
      </w:pPr>
    </w:p>
    <w:p>
      <w:pPr>
        <w:ind w:left="2720"/>
        <w:spacing w:after="0"/>
        <w:tabs>
          <w:tab w:leader="none" w:pos="33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Robin Van Meter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2141855</wp:posOffset>
            </wp:positionH>
            <wp:positionV relativeFrom="paragraph">
              <wp:posOffset>24765</wp:posOffset>
            </wp:positionV>
            <wp:extent cx="214376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38" w:lineRule="exact"/>
        <w:rPr>
          <w:sz w:val="20"/>
          <w:szCs w:val="20"/>
          <w:color w:val="auto"/>
        </w:rPr>
      </w:pPr>
    </w:p>
    <w:p>
      <w:pPr>
        <w:ind w:left="2720"/>
        <w:spacing w:after="0"/>
        <w:rPr>
          <w:sz w:val="20"/>
          <w:szCs w:val="20"/>
          <w:color w:val="auto"/>
        </w:rPr>
      </w:pPr>
      <w:r>
        <w:rPr>
          <w:rFonts w:ascii="Arial" w:cs="Arial" w:eastAsia="Arial" w:hAnsi="Arial"/>
          <w:sz w:val="22"/>
          <w:szCs w:val="22"/>
          <w:color w:val="auto"/>
        </w:rPr>
        <w:t>Name: Robin Van Meter</w:t>
      </w:r>
    </w:p>
    <w:p>
      <w:pPr>
        <w:spacing w:after="0" w:line="44" w:lineRule="exact"/>
        <w:rPr>
          <w:sz w:val="20"/>
          <w:szCs w:val="20"/>
          <w:color w:val="auto"/>
        </w:rPr>
      </w:pPr>
    </w:p>
    <w:p>
      <w:pPr>
        <w:ind w:left="2720"/>
        <w:spacing w:after="0"/>
        <w:tabs>
          <w:tab w:leader="none" w:pos="338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Authorized Signatory</w:t>
      </w:r>
    </w:p>
    <w:p>
      <w:pPr>
        <w:sectPr>
          <w:pgSz w:w="11900" w:h="16838" w:orient="portrait"/>
          <w:cols w:equalWidth="0" w:num="1">
            <w:col w:w="9019"/>
          </w:cols>
          <w:pgMar w:left="1440" w:top="1440" w:right="1440"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10.2</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2017 Inseego Corporate Bonus Plan</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Officers and employees (“Participants”) of Inseego Corp. (the “Company”) and its subsidiaries will be eligible for bonuses under the 2017</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Corporate Bonus Plan, with target bonus amounts set as a percentage of base salary based on rank or job title within the Company (the “Bonus</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Awards”). Commissioned employees are not covered by the Plan and are instead covered by their commission plans.</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Performance Goals</w:t>
      </w:r>
    </w:p>
    <w:p>
      <w:pPr>
        <w:spacing w:after="0" w:line="222" w:lineRule="exact"/>
        <w:rPr>
          <w:sz w:val="20"/>
          <w:szCs w:val="20"/>
          <w:color w:val="auto"/>
        </w:rPr>
      </w:pPr>
    </w:p>
    <w:p>
      <w:pPr>
        <w:ind w:right="180"/>
        <w:spacing w:after="0" w:line="316" w:lineRule="auto"/>
        <w:rPr>
          <w:sz w:val="20"/>
          <w:szCs w:val="20"/>
          <w:color w:val="auto"/>
        </w:rPr>
      </w:pPr>
      <w:r>
        <w:rPr>
          <w:rFonts w:ascii="Arial" w:cs="Arial" w:eastAsia="Arial" w:hAnsi="Arial"/>
          <w:sz w:val="18"/>
          <w:szCs w:val="18"/>
          <w:color w:val="auto"/>
        </w:rPr>
        <w:t>The Bonus Awards under this Plan are based upon the Company meeting its revenue and EBITDA objectives, as well as the Company’s other 2017 Corporate Goals (the “Performance Goals”). The weightings of the Company’s Performance Goals are as follows:</w:t>
      </w:r>
    </w:p>
    <w:p>
      <w:pPr>
        <w:spacing w:after="0" w:line="130" w:lineRule="exact"/>
        <w:rPr>
          <w:sz w:val="20"/>
          <w:szCs w:val="20"/>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20"/>
          <w:szCs w:val="20"/>
          <w:color w:val="auto"/>
        </w:rPr>
        <w:t>Forty percent (40%) will be weighted to the Company’s Revenue objectives.</w:t>
      </w:r>
    </w:p>
    <w:p>
      <w:pPr>
        <w:spacing w:after="0" w:line="1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20"/>
          <w:szCs w:val="20"/>
          <w:color w:val="auto"/>
        </w:rPr>
        <w:t>Forty percent (40%) will be weighted to the Company’s EBITDA objectives.</w:t>
      </w: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20"/>
          <w:szCs w:val="20"/>
          <w:color w:val="auto"/>
        </w:rPr>
        <w:t>Twenty percent (20%) will be weighted to the Company’s 2017 Corporate Goals.</w:t>
      </w:r>
    </w:p>
    <w:p>
      <w:pPr>
        <w:spacing w:after="0" w:line="200" w:lineRule="exact"/>
        <w:rPr>
          <w:sz w:val="20"/>
          <w:szCs w:val="20"/>
          <w:color w:val="auto"/>
        </w:rPr>
      </w:pPr>
    </w:p>
    <w:p>
      <w:pPr>
        <w:ind w:right="40"/>
        <w:spacing w:after="0" w:line="250" w:lineRule="auto"/>
        <w:rPr>
          <w:sz w:val="20"/>
          <w:szCs w:val="20"/>
          <w:color w:val="auto"/>
        </w:rPr>
      </w:pPr>
      <w:r>
        <w:rPr>
          <w:rFonts w:ascii="Arial" w:cs="Arial" w:eastAsia="Arial" w:hAnsi="Arial"/>
          <w:sz w:val="20"/>
          <w:szCs w:val="20"/>
          <w:color w:val="auto"/>
        </w:rPr>
        <w:t>Achievement of at least 85% of the revenue and/or EBITDA Performance Goal is required for any payment of bonuses based on achievement of that applicable Performance Goal. Should the Company achieve at least 85% of its Revenue or EBITDA Performance Goals, bonuses for the applicable Performance Goal will be paid as follows:</w:t>
      </w:r>
    </w:p>
    <w:p>
      <w:pPr>
        <w:spacing w:after="0" w:line="200" w:lineRule="exact"/>
        <w:rPr>
          <w:sz w:val="20"/>
          <w:szCs w:val="20"/>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20"/>
          <w:szCs w:val="20"/>
          <w:color w:val="auto"/>
        </w:rPr>
        <w:t>85% performance equating to 50% payout for each Performance Goal.</w:t>
      </w:r>
    </w:p>
    <w:p>
      <w:pPr>
        <w:spacing w:after="0" w:line="15"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20"/>
          <w:szCs w:val="20"/>
          <w:color w:val="auto"/>
        </w:rPr>
        <w:t>100% performance equating to 100% payout for each Performance Goal.</w:t>
      </w: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20"/>
          <w:szCs w:val="20"/>
          <w:color w:val="auto"/>
        </w:rPr>
        <w:t>115% performance equating to 150% payout for each Performance Goal.</w:t>
      </w: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20"/>
          <w:szCs w:val="20"/>
          <w:color w:val="auto"/>
        </w:rPr>
        <w:t>Bonus Awards will be pro-rated for achievement between 85% and 115%.</w:t>
      </w:r>
    </w:p>
    <w:p>
      <w:pPr>
        <w:spacing w:after="0" w:line="200" w:lineRule="exact"/>
        <w:rPr>
          <w:sz w:val="20"/>
          <w:szCs w:val="20"/>
          <w:color w:val="auto"/>
        </w:rPr>
      </w:pPr>
    </w:p>
    <w:p>
      <w:pPr>
        <w:ind w:right="40"/>
        <w:spacing w:after="0" w:line="260" w:lineRule="auto"/>
        <w:rPr>
          <w:sz w:val="20"/>
          <w:szCs w:val="20"/>
          <w:color w:val="auto"/>
        </w:rPr>
      </w:pPr>
      <w:r>
        <w:rPr>
          <w:rFonts w:ascii="Arial" w:cs="Arial" w:eastAsia="Arial" w:hAnsi="Arial"/>
          <w:sz w:val="20"/>
          <w:szCs w:val="20"/>
          <w:color w:val="auto"/>
        </w:rPr>
        <w:t>Achievement of the Company’s 2017 Corporate Goals will be determined by the Company’s Compensation Committee in consultation with the Company’s CEO because several of the 2017 Corporate Goals are subjective in nature.</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Individual Performance</w:t>
      </w:r>
    </w:p>
    <w:p>
      <w:pPr>
        <w:spacing w:after="0" w:line="222" w:lineRule="exact"/>
        <w:rPr>
          <w:sz w:val="20"/>
          <w:szCs w:val="20"/>
          <w:color w:val="auto"/>
        </w:rPr>
      </w:pPr>
    </w:p>
    <w:p>
      <w:pPr>
        <w:ind w:right="220"/>
        <w:spacing w:after="0" w:line="260" w:lineRule="auto"/>
        <w:rPr>
          <w:sz w:val="20"/>
          <w:szCs w:val="20"/>
          <w:color w:val="auto"/>
        </w:rPr>
      </w:pPr>
      <w:r>
        <w:rPr>
          <w:rFonts w:ascii="Arial" w:cs="Arial" w:eastAsia="Arial" w:hAnsi="Arial"/>
          <w:sz w:val="20"/>
          <w:szCs w:val="20"/>
          <w:color w:val="auto"/>
        </w:rPr>
        <w:t>Bonus Awards may be adjusted upward or downward by twenty-five percent (25%) based on individual performance during the Performance Period.</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Eligibility</w:t>
      </w:r>
    </w:p>
    <w:p>
      <w:pPr>
        <w:spacing w:after="0" w:line="222" w:lineRule="exact"/>
        <w:rPr>
          <w:sz w:val="20"/>
          <w:szCs w:val="20"/>
          <w:color w:val="auto"/>
        </w:rPr>
      </w:pPr>
    </w:p>
    <w:p>
      <w:pPr>
        <w:ind w:right="280"/>
        <w:spacing w:after="0" w:line="250" w:lineRule="auto"/>
        <w:rPr>
          <w:sz w:val="20"/>
          <w:szCs w:val="20"/>
          <w:color w:val="auto"/>
        </w:rPr>
      </w:pPr>
      <w:r>
        <w:rPr>
          <w:rFonts w:ascii="Arial" w:cs="Arial" w:eastAsia="Arial" w:hAnsi="Arial"/>
          <w:sz w:val="20"/>
          <w:szCs w:val="20"/>
          <w:color w:val="auto"/>
        </w:rPr>
        <w:t>Bonus Award amounts are based upon actual base salary paid during the performance period, exclusive of other payments or bonuses. A Participant must be an employee of the Company on the date of distribution of the Bonus Award payment in order to receive a Bonus Award payment.</w:t>
      </w:r>
    </w:p>
    <w:p>
      <w:pPr>
        <w:spacing w:after="0" w:line="186" w:lineRule="exact"/>
        <w:rPr>
          <w:sz w:val="20"/>
          <w:szCs w:val="20"/>
          <w:color w:val="auto"/>
        </w:rPr>
      </w:pPr>
    </w:p>
    <w:p>
      <w:pPr>
        <w:jc w:val="both"/>
        <w:ind w:right="220"/>
        <w:spacing w:after="0" w:line="282" w:lineRule="auto"/>
        <w:rPr>
          <w:sz w:val="20"/>
          <w:szCs w:val="20"/>
          <w:color w:val="auto"/>
        </w:rPr>
      </w:pPr>
      <w:r>
        <w:rPr>
          <w:rFonts w:ascii="Arial" w:cs="Arial" w:eastAsia="Arial" w:hAnsi="Arial"/>
          <w:sz w:val="18"/>
          <w:szCs w:val="18"/>
          <w:color w:val="auto"/>
        </w:rPr>
        <w:t>Eligibility to receive a Bonus Award under the Plan shall not confer upon any Participant any right with respect to continued employment by the Company or continued participation in the Plan. The Company reaffirms its at-will relationship with its employees and expressly reserves the right at any time to dismiss an employee free from any liability or claim for benefits pursuant to the Bonus Awards or the Plan, except as provided under the Plan or other written plan adopted by the Company or written agreement between the Company and a Participant.</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Award Payments</w:t>
      </w:r>
    </w:p>
    <w:p>
      <w:pPr>
        <w:spacing w:after="0" w:line="222" w:lineRule="exact"/>
        <w:rPr>
          <w:sz w:val="20"/>
          <w:szCs w:val="20"/>
          <w:color w:val="auto"/>
        </w:rPr>
      </w:pPr>
    </w:p>
    <w:p>
      <w:pPr>
        <w:jc w:val="both"/>
        <w:ind w:right="260"/>
        <w:spacing w:after="0" w:line="250" w:lineRule="auto"/>
        <w:rPr>
          <w:sz w:val="20"/>
          <w:szCs w:val="20"/>
          <w:color w:val="auto"/>
        </w:rPr>
      </w:pPr>
      <w:r>
        <w:rPr>
          <w:rFonts w:ascii="Arial" w:cs="Arial" w:eastAsia="Arial" w:hAnsi="Arial"/>
          <w:sz w:val="20"/>
          <w:szCs w:val="20"/>
          <w:color w:val="auto"/>
        </w:rPr>
        <w:t>After the end of the Performance Period, the Compensation Committee shall determine (i) whether the established Performance Goals were achieved and (ii) the amount of the aggregate Bonus Awards. Payment of each Bonus Award amount shall be made within 60 days following the determination by the Committee that the Performance</w:t>
      </w:r>
    </w:p>
    <w:p>
      <w:pPr>
        <w:sectPr>
          <w:pgSz w:w="11900" w:h="16838" w:orient="portrait"/>
          <w:cols w:equalWidth="0" w:num="1">
            <w:col w:w="11420"/>
          </w:cols>
          <w:pgMar w:left="240" w:top="580" w:right="239" w:bottom="1440" w:gutter="0" w:footer="0" w:header="0"/>
        </w:sectPr>
      </w:pPr>
    </w:p>
    <w:bookmarkStart w:id="44" w:name="page45"/>
    <w:bookmarkEnd w:id="44"/>
    <w:p>
      <w:pPr>
        <w:spacing w:after="0" w:line="260" w:lineRule="auto"/>
        <w:rPr>
          <w:sz w:val="20"/>
          <w:szCs w:val="20"/>
          <w:color w:val="auto"/>
        </w:rPr>
      </w:pPr>
      <w:r>
        <w:rPr>
          <w:rFonts w:ascii="Arial" w:cs="Arial" w:eastAsia="Arial" w:hAnsi="Arial"/>
          <w:sz w:val="20"/>
          <w:szCs w:val="20"/>
          <w:color w:val="auto"/>
        </w:rPr>
        <w:t>Goals and other criteria for payment were satisfied. Payroll and other taxes shall be withheld as determined by the Company in accordance with law.</w:t>
      </w:r>
    </w:p>
    <w:p>
      <w:pPr>
        <w:spacing w:after="0" w:line="177" w:lineRule="exact"/>
        <w:rPr>
          <w:sz w:val="20"/>
          <w:szCs w:val="20"/>
          <w:color w:val="auto"/>
        </w:rPr>
      </w:pPr>
    </w:p>
    <w:p>
      <w:pPr>
        <w:jc w:val="both"/>
        <w:ind w:right="300"/>
        <w:spacing w:after="0" w:line="250" w:lineRule="auto"/>
        <w:rPr>
          <w:sz w:val="20"/>
          <w:szCs w:val="20"/>
          <w:color w:val="auto"/>
        </w:rPr>
      </w:pPr>
      <w:r>
        <w:rPr>
          <w:rFonts w:ascii="Arial" w:cs="Arial" w:eastAsia="Arial" w:hAnsi="Arial"/>
          <w:sz w:val="20"/>
          <w:szCs w:val="20"/>
          <w:color w:val="auto"/>
        </w:rPr>
        <w:t>Notwithstanding the Committee's determination that the Performance Goals were fully satisfied, the Committee shall have the discretion to reduce each Bonus Award amount as it considers appropriate, including as a result of market conditions, personnel, new or different product offerings and/or Company restructuring.</w:t>
      </w:r>
    </w:p>
    <w:p>
      <w:pPr>
        <w:sectPr>
          <w:pgSz w:w="11900" w:h="16838" w:orient="portrait"/>
          <w:cols w:equalWidth="0" w:num="1">
            <w:col w:w="11400"/>
          </w:cols>
          <w:pgMar w:left="240" w:top="582" w:right="25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adopted pursuant to Section 302 of the Sarbanes-Oxley Act of 2002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Sue Swenson, certify that:</w:t>
      </w:r>
    </w:p>
    <w:p>
      <w:pPr>
        <w:spacing w:after="0" w:line="117" w:lineRule="exact"/>
        <w:rPr>
          <w:sz w:val="20"/>
          <w:szCs w:val="20"/>
          <w:color w:val="auto"/>
        </w:rPr>
      </w:pPr>
    </w:p>
    <w:p>
      <w:pPr>
        <w:ind w:left="620" w:hanging="180"/>
        <w:spacing w:after="0"/>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Inseego Corp.;</w:t>
      </w:r>
    </w:p>
    <w:p>
      <w:pPr>
        <w:spacing w:after="0" w:line="117" w:lineRule="exact"/>
        <w:rPr>
          <w:rFonts w:ascii="Arial" w:cs="Arial" w:eastAsia="Arial" w:hAnsi="Arial"/>
          <w:sz w:val="18"/>
          <w:szCs w:val="18"/>
          <w:color w:val="auto"/>
        </w:rPr>
      </w:pPr>
    </w:p>
    <w:p>
      <w:pPr>
        <w:ind w:right="320" w:firstLine="440"/>
        <w:spacing w:after="0" w:line="342" w:lineRule="auto"/>
        <w:tabs>
          <w:tab w:leader="none" w:pos="612"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300" w:firstLine="440"/>
        <w:spacing w:after="0" w:line="277" w:lineRule="auto"/>
        <w:tabs>
          <w:tab w:leader="none" w:pos="612"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60" w:firstLine="440"/>
        <w:spacing w:after="0" w:line="264" w:lineRule="auto"/>
        <w:tabs>
          <w:tab w:leader="none" w:pos="612"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920" w:right="300" w:hanging="331"/>
        <w:spacing w:after="0" w:line="264" w:lineRule="auto"/>
        <w:tabs>
          <w:tab w:leader="none" w:pos="9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20" w:right="620" w:hanging="331"/>
        <w:spacing w:after="0" w:line="264" w:lineRule="auto"/>
        <w:tabs>
          <w:tab w:leader="none" w:pos="9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920" w:right="780" w:hanging="331"/>
        <w:spacing w:after="0" w:line="342" w:lineRule="auto"/>
        <w:tabs>
          <w:tab w:leader="none" w:pos="920"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20" w:hanging="331"/>
        <w:spacing w:after="0" w:line="264" w:lineRule="auto"/>
        <w:tabs>
          <w:tab w:leader="none" w:pos="9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right="220" w:firstLine="440"/>
        <w:spacing w:after="0" w:line="308" w:lineRule="auto"/>
        <w:tabs>
          <w:tab w:leader="none" w:pos="612"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20" w:right="200" w:hanging="331"/>
        <w:spacing w:after="0" w:line="277" w:lineRule="auto"/>
        <w:tabs>
          <w:tab w:leader="none" w:pos="9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920" w:right="160" w:hanging="331"/>
        <w:spacing w:after="0" w:line="277" w:lineRule="auto"/>
        <w:tabs>
          <w:tab w:leader="none" w:pos="9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May 15, 2017</w:t>
      </w:r>
    </w:p>
    <w:p>
      <w:pPr>
        <w:spacing w:after="0" w:line="171" w:lineRule="exact"/>
        <w:rPr>
          <w:sz w:val="20"/>
          <w:szCs w:val="20"/>
          <w:color w:val="auto"/>
        </w:rPr>
      </w:pPr>
    </w:p>
    <w:p>
      <w:pPr>
        <w:ind w:left="5720"/>
        <w:spacing w:after="0"/>
        <w:tabs>
          <w:tab w:leader="none" w:pos="60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SUE SWENSON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3615690</wp:posOffset>
            </wp:positionH>
            <wp:positionV relativeFrom="paragraph">
              <wp:posOffset>31750</wp:posOffset>
            </wp:positionV>
            <wp:extent cx="363601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636010" cy="8890"/>
                    </a:xfrm>
                    <a:prstGeom prst="rect">
                      <a:avLst/>
                    </a:prstGeom>
                    <a:noFill/>
                  </pic:spPr>
                </pic:pic>
              </a:graphicData>
            </a:graphic>
          </wp:anchor>
        </w:drawing>
      </w:r>
    </w:p>
    <w:p>
      <w:pPr>
        <w:spacing w:after="0" w:line="5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Sue Swenson</w:t>
      </w:r>
    </w:p>
    <w:p>
      <w:pPr>
        <w:spacing w:after="0" w:line="121"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Chief Executive Officer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580"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adopted pursuant to Section 302 of the Sarbanes-Oxley Act of 2002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Michael Newman, certify that:</w:t>
      </w:r>
    </w:p>
    <w:p>
      <w:pPr>
        <w:spacing w:after="0" w:line="117" w:lineRule="exact"/>
        <w:rPr>
          <w:sz w:val="20"/>
          <w:szCs w:val="20"/>
          <w:color w:val="auto"/>
        </w:rPr>
      </w:pPr>
    </w:p>
    <w:p>
      <w:pPr>
        <w:ind w:left="620" w:hanging="180"/>
        <w:spacing w:after="0"/>
        <w:tabs>
          <w:tab w:leader="none" w:pos="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Inseego Corp.;</w:t>
      </w:r>
    </w:p>
    <w:p>
      <w:pPr>
        <w:spacing w:after="0" w:line="225" w:lineRule="exact"/>
        <w:rPr>
          <w:rFonts w:ascii="Arial" w:cs="Arial" w:eastAsia="Arial" w:hAnsi="Arial"/>
          <w:sz w:val="18"/>
          <w:szCs w:val="18"/>
          <w:color w:val="auto"/>
        </w:rPr>
      </w:pPr>
    </w:p>
    <w:p>
      <w:pPr>
        <w:ind w:right="320" w:firstLine="440"/>
        <w:spacing w:after="0" w:line="342" w:lineRule="auto"/>
        <w:tabs>
          <w:tab w:leader="none" w:pos="612" w:val="left"/>
        </w:tabs>
        <w:numPr>
          <w:ilvl w:val="0"/>
          <w:numId w:val="2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300" w:firstLine="440"/>
        <w:spacing w:after="0" w:line="277" w:lineRule="auto"/>
        <w:tabs>
          <w:tab w:leader="none" w:pos="612"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60" w:firstLine="440"/>
        <w:spacing w:after="0" w:line="264" w:lineRule="auto"/>
        <w:tabs>
          <w:tab w:leader="none" w:pos="612"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920" w:right="300" w:hanging="331"/>
        <w:spacing w:after="0" w:line="264" w:lineRule="auto"/>
        <w:tabs>
          <w:tab w:leader="none" w:pos="9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20" w:right="620" w:hanging="331"/>
        <w:spacing w:after="0" w:line="264" w:lineRule="auto"/>
        <w:tabs>
          <w:tab w:leader="none" w:pos="9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920" w:right="780" w:hanging="331"/>
        <w:spacing w:after="0" w:line="342" w:lineRule="auto"/>
        <w:tabs>
          <w:tab w:leader="none" w:pos="920" w:val="left"/>
        </w:tabs>
        <w:numPr>
          <w:ilvl w:val="1"/>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20" w:hanging="331"/>
        <w:spacing w:after="0" w:line="264" w:lineRule="auto"/>
        <w:tabs>
          <w:tab w:leader="none" w:pos="9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right="220" w:firstLine="440"/>
        <w:spacing w:after="0" w:line="308" w:lineRule="auto"/>
        <w:tabs>
          <w:tab w:leader="none" w:pos="612"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20" w:right="200" w:hanging="331"/>
        <w:spacing w:after="0" w:line="277" w:lineRule="auto"/>
        <w:tabs>
          <w:tab w:leader="none" w:pos="9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20" w:right="160" w:hanging="331"/>
        <w:spacing w:after="0" w:line="277" w:lineRule="auto"/>
        <w:tabs>
          <w:tab w:leader="none" w:pos="9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May 15, 2017</w:t>
      </w:r>
    </w:p>
    <w:p>
      <w:pPr>
        <w:spacing w:after="0" w:line="171" w:lineRule="exact"/>
        <w:rPr>
          <w:sz w:val="20"/>
          <w:szCs w:val="20"/>
          <w:color w:val="auto"/>
        </w:rPr>
      </w:pPr>
    </w:p>
    <w:p>
      <w:pPr>
        <w:ind w:left="5720"/>
        <w:spacing w:after="0"/>
        <w:tabs>
          <w:tab w:leader="none" w:pos="6060" w:val="left"/>
        </w:tabs>
        <w:rPr>
          <w:sz w:val="20"/>
          <w:szCs w:val="20"/>
          <w:color w:val="auto"/>
        </w:rPr>
      </w:pPr>
      <w:r>
        <w:rPr>
          <w:rFonts w:ascii="Arial" w:cs="Arial" w:eastAsia="Arial" w:hAnsi="Arial"/>
          <w:sz w:val="18"/>
          <w:szCs w:val="18"/>
          <w:color w:val="auto"/>
        </w:rPr>
        <w:t>/s/</w:t>
        <w:tab/>
        <w:t>MICHAEL NEWMAN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3615690</wp:posOffset>
            </wp:positionH>
            <wp:positionV relativeFrom="paragraph">
              <wp:posOffset>31750</wp:posOffset>
            </wp:positionV>
            <wp:extent cx="363601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636010" cy="8890"/>
                    </a:xfrm>
                    <a:prstGeom prst="rect">
                      <a:avLst/>
                    </a:prstGeom>
                    <a:noFill/>
                  </pic:spPr>
                </pic:pic>
              </a:graphicData>
            </a:graphic>
          </wp:anchor>
        </w:drawing>
      </w:r>
    </w:p>
    <w:p>
      <w:pPr>
        <w:spacing w:after="0" w:line="5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Michael Newman</w:t>
      </w:r>
    </w:p>
    <w:p>
      <w:pPr>
        <w:spacing w:after="0" w:line="121"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Chief Financial Officer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420"/>
          </w:cols>
          <w:pgMar w:left="240" w:top="580"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32.1</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I, Sue Swenson, Chief Executive Officer of Inseego Corp. (the “Company”), do hereby certify, pursuant to 18 U.S.C. Section 1350, as adopted pursuant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 that to the best of my knowledge:</w:t>
      </w:r>
    </w:p>
    <w:p>
      <w:pPr>
        <w:spacing w:after="0" w:line="319" w:lineRule="exact"/>
        <w:rPr>
          <w:sz w:val="20"/>
          <w:szCs w:val="20"/>
          <w:color w:val="auto"/>
        </w:rPr>
      </w:pPr>
    </w:p>
    <w:p>
      <w:pPr>
        <w:ind w:left="1360" w:right="760" w:hanging="305"/>
        <w:spacing w:after="0" w:line="277" w:lineRule="auto"/>
        <w:tabs>
          <w:tab w:leader="none" w:pos="13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March 31, 2017 (the “Report”) fully complies with the requirements of Section 13(a) or 15(d) of the Securities Exchange Act of 1934; and</w:t>
      </w:r>
    </w:p>
    <w:p>
      <w:pPr>
        <w:spacing w:after="0" w:line="143" w:lineRule="exact"/>
        <w:rPr>
          <w:rFonts w:ascii="Arial" w:cs="Arial" w:eastAsia="Arial" w:hAnsi="Arial"/>
          <w:sz w:val="18"/>
          <w:szCs w:val="18"/>
          <w:color w:val="auto"/>
        </w:rPr>
      </w:pPr>
    </w:p>
    <w:p>
      <w:pPr>
        <w:ind w:left="1360" w:right="720" w:hanging="305"/>
        <w:spacing w:after="0" w:line="277" w:lineRule="auto"/>
        <w:tabs>
          <w:tab w:leader="none" w:pos="13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Date: May 15, 2017</w:t>
      </w:r>
    </w:p>
    <w:p>
      <w:pPr>
        <w:spacing w:after="0" w:line="200" w:lineRule="exact"/>
        <w:rPr>
          <w:sz w:val="20"/>
          <w:szCs w:val="20"/>
          <w:color w:val="auto"/>
        </w:rPr>
      </w:pPr>
    </w:p>
    <w:p>
      <w:pPr>
        <w:spacing w:after="0" w:line="295" w:lineRule="exact"/>
        <w:rPr>
          <w:sz w:val="20"/>
          <w:szCs w:val="20"/>
          <w:color w:val="auto"/>
        </w:rPr>
      </w:pPr>
    </w:p>
    <w:p>
      <w:pPr>
        <w:ind w:left="5880"/>
        <w:spacing w:after="0"/>
        <w:tabs>
          <w:tab w:leader="none" w:pos="62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SUE SWENSON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3718560</wp:posOffset>
            </wp:positionH>
            <wp:positionV relativeFrom="paragraph">
              <wp:posOffset>31750</wp:posOffset>
            </wp:positionV>
            <wp:extent cx="353314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53" w:lineRule="exact"/>
        <w:rPr>
          <w:sz w:val="20"/>
          <w:szCs w:val="20"/>
          <w:color w:val="auto"/>
        </w:rPr>
      </w:pPr>
    </w:p>
    <w:p>
      <w:pPr>
        <w:ind w:left="5880"/>
        <w:spacing w:after="0"/>
        <w:rPr>
          <w:sz w:val="20"/>
          <w:szCs w:val="20"/>
          <w:color w:val="auto"/>
        </w:rPr>
      </w:pPr>
      <w:r>
        <w:rPr>
          <w:rFonts w:ascii="Arial" w:cs="Arial" w:eastAsia="Arial" w:hAnsi="Arial"/>
          <w:sz w:val="18"/>
          <w:szCs w:val="18"/>
          <w:b w:val="1"/>
          <w:bCs w:val="1"/>
          <w:color w:val="auto"/>
        </w:rPr>
        <w:t>Sue Swenson</w:t>
      </w:r>
    </w:p>
    <w:p>
      <w:pPr>
        <w:spacing w:after="0" w:line="67" w:lineRule="exact"/>
        <w:rPr>
          <w:sz w:val="20"/>
          <w:szCs w:val="20"/>
          <w:color w:val="auto"/>
        </w:rPr>
      </w:pPr>
    </w:p>
    <w:p>
      <w:pPr>
        <w:ind w:left="5880"/>
        <w:spacing w:after="0"/>
        <w:rPr>
          <w:sz w:val="20"/>
          <w:szCs w:val="20"/>
          <w:color w:val="auto"/>
        </w:rPr>
      </w:pPr>
      <w:r>
        <w:rPr>
          <w:rFonts w:ascii="Arial" w:cs="Arial" w:eastAsia="Arial" w:hAnsi="Arial"/>
          <w:sz w:val="18"/>
          <w:szCs w:val="18"/>
          <w:i w:val="1"/>
          <w:iCs w:val="1"/>
          <w:color w:val="auto"/>
        </w:rPr>
        <w:t>Chief Executive Officer</w:t>
      </w:r>
    </w:p>
    <w:p>
      <w:pPr>
        <w:spacing w:after="0" w:line="23" w:lineRule="exact"/>
        <w:rPr>
          <w:sz w:val="20"/>
          <w:szCs w:val="20"/>
          <w:color w:val="auto"/>
        </w:rPr>
      </w:pPr>
    </w:p>
    <w:p>
      <w:pPr>
        <w:ind w:left="588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580"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32.2</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I, Michael Newman, Chief Financial Officer of Inseego Corp. (the “Company”), do hereby certify, pursuant to 18 U.S.C. Section 1350, as adopted pursuant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 that to the best of my knowledge:</w:t>
      </w:r>
    </w:p>
    <w:p>
      <w:pPr>
        <w:spacing w:after="0" w:line="265" w:lineRule="exact"/>
        <w:rPr>
          <w:sz w:val="20"/>
          <w:szCs w:val="20"/>
          <w:color w:val="auto"/>
        </w:rPr>
      </w:pPr>
    </w:p>
    <w:p>
      <w:pPr>
        <w:ind w:left="1360" w:right="760" w:hanging="305"/>
        <w:spacing w:after="0" w:line="277" w:lineRule="auto"/>
        <w:tabs>
          <w:tab w:leader="none" w:pos="13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March 31, 2017 (the “Report”) fully complies with the requirements of Section 13(a) or 15(d) of the Securities Exchange Act of 1934; and</w:t>
      </w:r>
    </w:p>
    <w:p>
      <w:pPr>
        <w:spacing w:after="0" w:line="143" w:lineRule="exact"/>
        <w:rPr>
          <w:rFonts w:ascii="Arial" w:cs="Arial" w:eastAsia="Arial" w:hAnsi="Arial"/>
          <w:sz w:val="18"/>
          <w:szCs w:val="18"/>
          <w:color w:val="auto"/>
        </w:rPr>
      </w:pPr>
    </w:p>
    <w:p>
      <w:pPr>
        <w:ind w:left="1360" w:right="720" w:hanging="305"/>
        <w:spacing w:after="0" w:line="277" w:lineRule="auto"/>
        <w:tabs>
          <w:tab w:leader="none" w:pos="13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Date: May 15, 2017</w:t>
      </w:r>
    </w:p>
    <w:p>
      <w:pPr>
        <w:spacing w:after="0" w:line="279" w:lineRule="exact"/>
        <w:rPr>
          <w:sz w:val="20"/>
          <w:szCs w:val="20"/>
          <w:color w:val="auto"/>
        </w:rPr>
      </w:pPr>
    </w:p>
    <w:p>
      <w:pPr>
        <w:ind w:left="5880"/>
        <w:spacing w:after="0"/>
        <w:tabs>
          <w:tab w:leader="none" w:pos="6220" w:val="left"/>
        </w:tabs>
        <w:rPr>
          <w:sz w:val="20"/>
          <w:szCs w:val="20"/>
          <w:color w:val="auto"/>
        </w:rPr>
      </w:pPr>
      <w:r>
        <w:rPr>
          <w:rFonts w:ascii="Arial" w:cs="Arial" w:eastAsia="Arial" w:hAnsi="Arial"/>
          <w:sz w:val="18"/>
          <w:szCs w:val="18"/>
          <w:color w:val="auto"/>
        </w:rPr>
        <w:t>/s/</w:t>
        <w:tab/>
        <w:t>MICHAEL NEWMAN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3718560</wp:posOffset>
            </wp:positionH>
            <wp:positionV relativeFrom="paragraph">
              <wp:posOffset>31750</wp:posOffset>
            </wp:positionV>
            <wp:extent cx="353314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53" w:lineRule="exact"/>
        <w:rPr>
          <w:sz w:val="20"/>
          <w:szCs w:val="20"/>
          <w:color w:val="auto"/>
        </w:rPr>
      </w:pPr>
    </w:p>
    <w:p>
      <w:pPr>
        <w:ind w:left="5880"/>
        <w:spacing w:after="0"/>
        <w:rPr>
          <w:sz w:val="20"/>
          <w:szCs w:val="20"/>
          <w:color w:val="auto"/>
        </w:rPr>
      </w:pPr>
      <w:r>
        <w:rPr>
          <w:rFonts w:ascii="Arial" w:cs="Arial" w:eastAsia="Arial" w:hAnsi="Arial"/>
          <w:sz w:val="18"/>
          <w:szCs w:val="18"/>
          <w:b w:val="1"/>
          <w:bCs w:val="1"/>
          <w:color w:val="auto"/>
        </w:rPr>
        <w:t>Michael Newman</w:t>
      </w:r>
    </w:p>
    <w:p>
      <w:pPr>
        <w:spacing w:after="0" w:line="67" w:lineRule="exact"/>
        <w:rPr>
          <w:sz w:val="20"/>
          <w:szCs w:val="20"/>
          <w:color w:val="auto"/>
        </w:rPr>
      </w:pPr>
    </w:p>
    <w:p>
      <w:pPr>
        <w:ind w:left="5880"/>
        <w:spacing w:after="0"/>
        <w:rPr>
          <w:sz w:val="20"/>
          <w:szCs w:val="20"/>
          <w:color w:val="auto"/>
        </w:rPr>
      </w:pPr>
      <w:r>
        <w:rPr>
          <w:rFonts w:ascii="Arial" w:cs="Arial" w:eastAsia="Arial" w:hAnsi="Arial"/>
          <w:sz w:val="18"/>
          <w:szCs w:val="18"/>
          <w:i w:val="1"/>
          <w:iCs w:val="1"/>
          <w:color w:val="auto"/>
        </w:rPr>
        <w:t>Chief Financial Officer</w:t>
      </w:r>
    </w:p>
    <w:p>
      <w:pPr>
        <w:spacing w:after="0" w:line="23" w:lineRule="exact"/>
        <w:rPr>
          <w:sz w:val="20"/>
          <w:szCs w:val="20"/>
          <w:color w:val="auto"/>
        </w:rPr>
      </w:pPr>
    </w:p>
    <w:p>
      <w:pPr>
        <w:ind w:left="5880"/>
        <w:spacing w:after="0"/>
        <w:rPr>
          <w:sz w:val="20"/>
          <w:szCs w:val="20"/>
          <w:color w:val="auto"/>
        </w:rPr>
      </w:pPr>
      <w:r>
        <w:rPr>
          <w:rFonts w:ascii="Arial" w:cs="Arial" w:eastAsia="Arial" w:hAnsi="Arial"/>
          <w:sz w:val="18"/>
          <w:szCs w:val="18"/>
          <w:i w:val="1"/>
          <w:iCs w:val="1"/>
          <w:color w:val="auto"/>
        </w:rPr>
        <w:t>(principal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x"/>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1)"/>
      <w:numFmt w:val="lowerRoman"/>
      <w:start w:val="1"/>
    </w:lvl>
  </w:abstractNum>
  <w:abstractNum w:abstractNumId="3">
    <w:nsid w:val="41A7C4C9"/>
    <w:multiLevelType w:val="hybridMultilevel"/>
    <w:lvl w:ilvl="0">
      <w:lvlJc w:val="left"/>
      <w:lvlText w:val="%1."/>
      <w:numFmt w:val="decimal"/>
      <w:start w:val="10"/>
    </w:lvl>
  </w:abstractNum>
  <w:abstractNum w:abstractNumId="4">
    <w:nsid w:val="6B68079A"/>
    <w:multiLevelType w:val="hybridMultilevel"/>
    <w:lvl w:ilvl="0">
      <w:lvlJc w:val="left"/>
      <w:lvlText w:val="•"/>
      <w:numFmt w:val="bullet"/>
      <w:start w:val="1"/>
    </w:lvl>
    <w:lvl w:ilvl="1">
      <w:lvlJc w:val="left"/>
      <w:lvlText w:val="•"/>
      <w:numFmt w:val="bullet"/>
      <w:start w:val="1"/>
    </w:lvl>
  </w:abstractNum>
  <w:abstractNum w:abstractNumId="5">
    <w:nsid w:val="4E6AFB66"/>
    <w:multiLevelType w:val="hybridMultilevel"/>
    <w:lvl w:ilvl="0">
      <w:lvlJc w:val="left"/>
      <w:lvlText w:val="•"/>
      <w:numFmt w:val="bullet"/>
      <w:start w:val="1"/>
    </w:lvl>
  </w:abstractNum>
  <w:abstractNum w:abstractNumId="6">
    <w:nsid w:val="25E45D32"/>
    <w:multiLevelType w:val="hybridMultilevel"/>
    <w:lvl w:ilvl="0">
      <w:lvlJc w:val="left"/>
      <w:lvlText w:val="•"/>
      <w:numFmt w:val="bullet"/>
      <w:start w:val="1"/>
    </w:lvl>
  </w:abstractNum>
  <w:abstractNum w:abstractNumId="7">
    <w:nsid w:val="519B500D"/>
    <w:multiLevelType w:val="hybridMultilevel"/>
    <w:lvl w:ilvl="0">
      <w:lvlJc w:val="left"/>
      <w:lvlText w:val="•"/>
      <w:numFmt w:val="bullet"/>
      <w:start w:val="1"/>
    </w:lvl>
  </w:abstractNum>
  <w:abstractNum w:abstractNumId="8">
    <w:nsid w:val="431BD7B7"/>
    <w:multiLevelType w:val="hybridMultilevel"/>
    <w:lvl w:ilvl="0">
      <w:lvlJc w:val="left"/>
      <w:lvlText w:val="*"/>
      <w:numFmt w:val="bullet"/>
      <w:start w:val="1"/>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1."/>
      <w:numFmt w:val="upperLetter"/>
      <w:start w:val="1"/>
    </w:lvl>
  </w:abstractNum>
  <w:abstractNum w:abstractNumId="11">
    <w:nsid w:val="257130A3"/>
    <w:multiLevelType w:val="hybridMultilevel"/>
    <w:lvl w:ilvl="0">
      <w:lvlJc w:val="left"/>
      <w:lvlText w:val="%1."/>
      <w:numFmt w:val="decimal"/>
      <w:start w:val="1"/>
    </w:lvl>
  </w:abstractNum>
  <w:abstractNum w:abstractNumId="12">
    <w:nsid w:val="62BBD95A"/>
    <w:multiLevelType w:val="hybridMultilevel"/>
    <w:lvl w:ilvl="0">
      <w:lvlJc w:val="left"/>
      <w:lvlText w:val="(%1)"/>
      <w:numFmt w:val="lowerLetter"/>
      <w:start w:val="1"/>
    </w:lvl>
    <w:lvl w:ilvl="1">
      <w:lvlJc w:val="left"/>
      <w:lvlText w:val="(%2)"/>
      <w:numFmt w:val="lowerRoman"/>
      <w:start w:val="1"/>
    </w:lvl>
  </w:abstractNum>
  <w:abstractNum w:abstractNumId="13">
    <w:nsid w:val="436C6125"/>
    <w:multiLevelType w:val="hybridMultilevel"/>
    <w:lvl w:ilvl="0">
      <w:lvlJc w:val="left"/>
      <w:lvlText w:val="(%1)"/>
      <w:numFmt w:val="lowerRoman"/>
      <w:start w:val="2"/>
    </w:lvl>
  </w:abstractNum>
  <w:abstractNum w:abstractNumId="14">
    <w:nsid w:val="628C895D"/>
    <w:multiLevelType w:val="hybridMultilevel"/>
    <w:lvl w:ilvl="0">
      <w:lvlJc w:val="left"/>
      <w:lvlText w:val="%1."/>
      <w:numFmt w:val="decimal"/>
      <w:start w:val="2"/>
    </w:lvl>
  </w:abstractNum>
  <w:abstractNum w:abstractNumId="15">
    <w:nsid w:val="333AB105"/>
    <w:multiLevelType w:val="hybridMultilevel"/>
    <w:lvl w:ilvl="0">
      <w:lvlJc w:val="left"/>
      <w:lvlText w:val="%1."/>
      <w:numFmt w:val="decimal"/>
      <w:start w:val="4"/>
    </w:lvl>
  </w:abstractNum>
  <w:abstractNum w:abstractNumId="16">
    <w:nsid w:val="721DA317"/>
    <w:multiLevelType w:val="hybridMultilevel"/>
    <w:lvl w:ilvl="0">
      <w:lvlJc w:val="left"/>
      <w:lvlText w:val="%1."/>
      <w:numFmt w:val="decimal"/>
      <w:start w:val="5"/>
    </w:lvl>
  </w:abstractNum>
  <w:abstractNum w:abstractNumId="17">
    <w:nsid w:val="2443A858"/>
    <w:multiLevelType w:val="hybridMultilevel"/>
    <w:lvl w:ilvl="0">
      <w:lvlJc w:val="left"/>
      <w:lvlText w:val="%1."/>
      <w:numFmt w:val="decimal"/>
      <w:start w:val="6"/>
    </w:lvl>
  </w:abstractNum>
  <w:abstractNum w:abstractNumId="18">
    <w:nsid w:val="2D1D5AE9"/>
    <w:multiLevelType w:val="hybridMultilevel"/>
    <w:lvl w:ilvl="0">
      <w:lvlJc w:val="left"/>
      <w:lvlText w:val="%1."/>
      <w:numFmt w:val="decimal"/>
      <w:start w:val="7"/>
    </w:lvl>
  </w:abstractNum>
  <w:abstractNum w:abstractNumId="19">
    <w:nsid w:val="6763845E"/>
    <w:multiLevelType w:val="hybridMultilevel"/>
    <w:lvl w:ilvl="0">
      <w:lvlJc w:val="left"/>
      <w:lvlText w:val="%1."/>
      <w:numFmt w:val="decimal"/>
      <w:start w:val="9"/>
    </w:lvl>
  </w:abstractNum>
  <w:abstractNum w:abstractNumId="20">
    <w:nsid w:val="75A2A8D4"/>
    <w:multiLevelType w:val="hybridMultilevel"/>
    <w:lvl w:ilvl="0">
      <w:lvlJc w:val="left"/>
      <w:lvlText w:val="%1."/>
      <w:numFmt w:val="decimal"/>
      <w:start w:val="13"/>
    </w:lvl>
  </w:abstractNum>
  <w:abstractNum w:abstractNumId="21">
    <w:nsid w:val="8EDBDAB"/>
    <w:multiLevelType w:val="hybridMultilevel"/>
    <w:lvl w:ilvl="0">
      <w:lvlJc w:val="left"/>
      <w:lvlText w:val="•"/>
      <w:numFmt w:val="bullet"/>
      <w:start w:val="1"/>
    </w:lvl>
  </w:abstractNum>
  <w:abstractNum w:abstractNumId="22">
    <w:nsid w:val="79838CB2"/>
    <w:multiLevelType w:val="hybridMultilevel"/>
    <w:lvl w:ilvl="0">
      <w:lvlJc w:val="left"/>
      <w:lvlText w:val="•"/>
      <w:numFmt w:val="bullet"/>
      <w:start w:val="1"/>
    </w:lvl>
  </w:abstractNum>
  <w:abstractNum w:abstractNumId="23">
    <w:nsid w:val="4353D0CD"/>
    <w:multiLevelType w:val="hybridMultilevel"/>
    <w:lvl w:ilvl="0">
      <w:lvlJc w:val="left"/>
      <w:lvlText w:val="%1."/>
      <w:numFmt w:val="decimal"/>
      <w:start w:val="1"/>
    </w:lvl>
    <w:lvl w:ilvl="1">
      <w:lvlJc w:val="left"/>
      <w:lvlText w:val="(%2)"/>
      <w:numFmt w:val="lowerLetter"/>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
      <w:numFmt w:val="bullet"/>
      <w:start w:val="1"/>
    </w:lvl>
  </w:abstractNum>
  <w:abstractNum w:abstractNumId="26">
    <w:nsid w:val="54E49EB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2019-12-06T05:21:49Z</dcterms:created>
  <dcterms:modified xsi:type="dcterms:W3CDTF">2019-12-06T05:21:49Z</dcterms:modified>
</cp:coreProperties>
</file>