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inseego_defa14a.htm"/>
      <w:bookmarkStart w:id="1" w:name="ksinseego_defa14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                             Filed by a Party other than the Registrant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710"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710"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6710"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6710" w:type="dxa"/>
            <w:tcBorders/>
            <w:vAlign w:val="center"/>
          </w:tcPr>
          <w:p>
            <w:pPr>
              <w:pStyle w:val="TableContents"/>
              <w:bidi w:val="0"/>
              <w:spacing w:before="0" w:after="283"/>
              <w:jc w:val="left"/>
              <w:rPr>
                <w:sz w:val="20"/>
              </w:rPr>
            </w:pPr>
            <w:r>
              <w:rPr>
                <w:sz w:val="20"/>
              </w:rPr>
              <w:t>Soliciting Material Pursuant to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INSEEGO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48"/>
        <w:gridCol w:w="9712"/>
      </w:tblGrid>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9960" w:type="dxa"/>
            <w:gridSpan w:val="2"/>
            <w:tcBorders/>
            <w:vAlign w:val="center"/>
          </w:tcPr>
          <w:p>
            <w:pPr>
              <w:pStyle w:val="TableContents"/>
              <w:bidi w:val="0"/>
              <w:spacing w:before="0" w:after="283"/>
              <w:jc w:val="left"/>
              <w:rPr>
                <w:sz w:val="20"/>
              </w:rPr>
            </w:pPr>
            <w:r>
              <w:rPr>
                <w:sz w:val="20"/>
              </w:rPr>
              <w:t>No fee required.</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960" w:type="dxa"/>
            <w:gridSpan w:val="2"/>
            <w:tcBorders/>
            <w:vAlign w:val="center"/>
          </w:tcPr>
          <w:p>
            <w:pPr>
              <w:pStyle w:val="TableContents"/>
              <w:bidi w:val="0"/>
              <w:spacing w:before="0" w:after="283"/>
              <w:jc w:val="left"/>
              <w:rPr>
                <w:sz w:val="20"/>
              </w:rPr>
            </w:pPr>
            <w:r>
              <w:rPr>
                <w:sz w:val="20"/>
              </w:rPr>
              <w:t>Fee computed on table below per Exchange Act Rules 14a-6(i)(1) and 0-11</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(1)</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Title of each class of securities to which transaction applies:</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(2)</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Aggregate number of securities to which transaction applies:</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(3)</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Per unit price or other underlying value of transaction computed pursuant to Exchange Act Rule 0-11 (set forth the amount on which the filing fee is calculated and state how it was determined):</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(4)</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Proposed maximum aggregate value of transaction:</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(5)</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Total fee paid:</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960" w:type="dxa"/>
            <w:gridSpan w:val="2"/>
            <w:tcBorders/>
            <w:vAlign w:val="center"/>
          </w:tcPr>
          <w:p>
            <w:pPr>
              <w:pStyle w:val="TableContents"/>
              <w:bidi w:val="0"/>
              <w:spacing w:before="0" w:after="283"/>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rFonts w:ascii="Wingdings" w:hAnsi="Wingdings"/>
                <w:sz w:val="20"/>
              </w:rPr>
            </w:pPr>
            <w:r>
              <w:rPr>
                <w:rFonts w:ascii="Wingdings" w:hAnsi="Wingdings"/>
                <w:sz w:val="20"/>
              </w:rPr>
              <w:t>o</w:t>
            </w:r>
          </w:p>
        </w:tc>
        <w:tc>
          <w:tcPr>
            <w:tcW w:w="9960" w:type="dxa"/>
            <w:gridSpan w:val="2"/>
            <w:tcBorders/>
            <w:vAlign w:val="center"/>
          </w:tcPr>
          <w:p>
            <w:pPr>
              <w:pStyle w:val="TableContents"/>
              <w:bidi w:val="0"/>
              <w:spacing w:before="0" w:after="283"/>
              <w:jc w:val="left"/>
              <w:rPr>
                <w:sz w:val="20"/>
              </w:rPr>
            </w:pPr>
            <w:r>
              <w:rPr>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(1)</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Amount previously paid:</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(2)</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Form, Schedule or Registration Statement No.:</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(3)</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Filing Party:</w:t>
            </w:r>
          </w:p>
        </w:tc>
      </w:tr>
      <w:tr>
        <w:trPr/>
        <w:tc>
          <w:tcPr>
            <w:tcW w:w="24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sz w:val="20"/>
              </w:rPr>
            </w:pPr>
            <w:r>
              <w:rPr>
                <w:sz w:val="20"/>
              </w:rPr>
              <w:t>(4)</w:t>
            </w:r>
          </w:p>
        </w:tc>
        <w:tc>
          <w:tcPr>
            <w:tcW w:w="9712" w:type="dxa"/>
            <w:tcBorders>
              <w:bottom w:val="single" w:sz="8" w:space="0" w:color="000000"/>
            </w:tcBorders>
            <w:tcMar>
              <w:bottom w:w="28" w:type="dxa"/>
            </w:tcMar>
            <w:vAlign w:val="center"/>
          </w:tcPr>
          <w:p>
            <w:pPr>
              <w:pStyle w:val="TableContents"/>
              <w:bidi w:val="0"/>
              <w:spacing w:before="0" w:after="283"/>
              <w:jc w:val="left"/>
              <w:rPr>
                <w:sz w:val="20"/>
              </w:rPr>
            </w:pPr>
            <w:r>
              <w:rPr>
                <w:sz w:val="20"/>
              </w:rPr>
              <w:t>Date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 </w:t>
      </w:r>
      <w:r>
        <w:rPr/>
        <w:drawing>
          <wp:inline distT="0" distB="0" distL="0" distR="0">
            <wp:extent cx="6543675" cy="821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43675" cy="8210550"/>
                    </a:xfrm>
                    <a:prstGeom prst="rect">
                      <a:avLst/>
                    </a:prstGeom>
                  </pic:spPr>
                </pic:pic>
              </a:graphicData>
            </a:graphic>
          </wp:inline>
        </w:drawing>
      </w:r>
    </w:p>
    <w:p>
      <w:pPr>
        <w:pStyle w:val="TextBody"/>
        <w:bidi w:val="0"/>
        <w:spacing w:before="0" w:after="283"/>
        <w:jc w:val="left"/>
        <w:rPr/>
      </w:pPr>
      <w:r>
        <w:rPr/>
        <w:t> </w:t>
      </w:r>
    </w:p>
    <w:p>
      <w:pPr>
        <w:pStyle w:val="TextBody"/>
        <w:bidi w:val="0"/>
        <w:jc w:val="left"/>
        <w:rPr>
          <w:color w:val="FFFFFF"/>
          <w:sz w:val="2"/>
        </w:rPr>
      </w:pPr>
      <w:r>
        <w:rPr>
          <w:color w:val="FFFFFF"/>
          <w:sz w:val="2"/>
        </w:rPr>
        <w:t>www.investorvote.com/INSG Easy Online Access — View your proxy materials and vote. Step 1: Step 2: Step 3: Step 4: Step 5: Go to www.investorvote.com/INSG. Click on the icon on the right to view meeting materials. Return to the investorvote.com window and follow the instructions on the screen to log in. Make your selections as instructed on each screen for your delivery preferences. Vote your shares. Online Go to www.investorvote.com/INSG or scan the QR code — login details are located in the shaded bar below. Stockholder Meeting Notice 1234 5678 9012 345 Important Notice Regarding the Availability of Proxy Materials for the Inseego Corp. Stockholder Meeting to be Held on June 16, 2026.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The 2025 Annual Report and Proxy Statement are available at: 04A1NB 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June 5, 2026 to facilitate timely delivery. 2 N O T Votes submitted electronically must be received by June 15, 2026, at 11:59 P.M., Pacific Time. MMMMMMMMMMMM MMMMMMMMM 000001 MR A SAMPLE DESIGNATION (IF ANY) ADD 1 ADD 2 ADD 3 ADD 4 ADD 5 ADD 6 ENDORSEMENT_LINE SACKPACK C 1234567890 C O Y MMMMMMM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jc w:val="center"/>
        <w:rPr/>
      </w:pPr>
      <w:r>
        <w:rPr/>
        <w:drawing>
          <wp:inline distT="0" distB="0" distL="0" distR="0">
            <wp:extent cx="6534150" cy="7581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34150" cy="7581900"/>
                    </a:xfrm>
                    <a:prstGeom prst="rect">
                      <a:avLst/>
                    </a:prstGeom>
                  </pic:spPr>
                </pic:pic>
              </a:graphicData>
            </a:graphic>
          </wp:inline>
        </w:drawing>
      </w:r>
      <w:r>
        <w:rPr/>
        <w:t> </w:t>
      </w:r>
    </w:p>
    <w:p>
      <w:pPr>
        <w:pStyle w:val="TextBody"/>
        <w:bidi w:val="0"/>
        <w:spacing w:before="0" w:after="283"/>
        <w:jc w:val="left"/>
        <w:rPr/>
      </w:pPr>
      <w:r>
        <w:rPr/>
        <w:t> </w:t>
      </w:r>
    </w:p>
    <w:p>
      <w:pPr>
        <w:pStyle w:val="TextBody"/>
        <w:bidi w:val="0"/>
        <w:jc w:val="left"/>
        <w:rPr>
          <w:color w:val="FFFFFF"/>
          <w:sz w:val="2"/>
        </w:rPr>
      </w:pPr>
      <w:r>
        <w:rPr>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www.investorvote.com/INSG. — Phone – Call us free of charge at 1 - 866 - 641 - 4276. — Email – Send an email to investorvote@computershare.com with “Proxy Materials Inseego Corp.” in the subject line. Include your full name and address, plus the number located in the shaded bar on the reverse side, and state that you want a paper copy of the meeting materials. To facilitate timely delivery, requests for a paper copy of proxy materials must be received by June 5, 2026. Stockholder Meeting Notice Inseego Corp.’s Annual Meeting of Stockholders will be held on Wednesday, June 16, 2026 at 10:00 A.M. Pacific Time, at 9710 Scranton Road, Suite 200, San Diego, California. Proposals to be voted on at the meeting are listed below along with the Board of Directors’ recommendations. The Board of Directors recommends a vote FOR the nominees listed, FOR Proposals 2 and 3. 1. Elect two directors to serve until the 2029 Annual Meeting of Stockholders: 01 - James B. Avery 02 - Jeffrey Tuder 2. Ratify the appointment of CBIZ CPAs P.C. as the Company’s independent registered public accounting firm for the fiscal year ending December 31, 2026. 3. Approve, in an advisory vote, the compensation paid to the Company’s named executive officers, as presented in the proxy statement. PLEASE NOTE – YOU CANNOT VOTE BY RETURNING THIS NOTICE. To vote your shares you must go online or request a paper copy of the proxy materials to receive a proxy card. If you wish to attend and vote at the meeting, please bring this notice with you.</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921</Words>
  <Characters>4609</Characters>
  <CharactersWithSpaces>5558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