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8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ind w:left="214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5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124460</wp:posOffset>
            </wp:positionV>
            <wp:extent cx="1243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FORM 10-Q</w:t>
      </w:r>
    </w:p>
    <w:p>
      <w:pPr>
        <w:spacing w:after="0" w:line="67"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QUARTERLY REPORT PURSUANT TO SECTION 13 OR 15(d) OF THE SECURITIES EXCHANGE ACT OF 1934</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420" w:hanging="394"/>
        <w:spacing w:after="0" w:line="211" w:lineRule="auto"/>
        <w:tabs>
          <w:tab w:leader="none" w:pos="42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tbl>
      <w:tblPr>
        <w:tblLayout w:type="fixed"/>
        <w:tblInd w:w="3260" w:type="dxa"/>
        <w:tblCellMar>
          <w:top w:w="0" w:type="dxa"/>
          <w:left w:w="0" w:type="dxa"/>
          <w:bottom w:w="0" w:type="dxa"/>
          <w:right w:w="0" w:type="dxa"/>
        </w:tblCellMar>
      </w:tblPr>
      <w:tr>
        <w:trPr>
          <w:trHeight w:val="207"/>
        </w:trPr>
        <w:tc>
          <w:tcPr>
            <w:tcW w:w="2420" w:type="dxa"/>
            <w:vAlign w:val="bottom"/>
          </w:tcPr>
          <w:p>
            <w:pPr>
              <w:spacing w:after="0"/>
              <w:rPr>
                <w:sz w:val="20"/>
                <w:szCs w:val="20"/>
                <w:color w:val="auto"/>
              </w:rPr>
            </w:pPr>
            <w:r>
              <w:rPr>
                <w:rFonts w:ascii="Arial" w:cs="Arial" w:eastAsia="Arial" w:hAnsi="Arial"/>
                <w:sz w:val="18"/>
                <w:szCs w:val="18"/>
                <w:b w:val="1"/>
                <w:bCs w:val="1"/>
                <w:color w:val="auto"/>
                <w:w w:val="94"/>
              </w:rPr>
              <w:t>For the transition period from</w:t>
            </w:r>
          </w:p>
        </w:tc>
        <w:tc>
          <w:tcPr>
            <w:tcW w:w="940" w:type="dxa"/>
            <w:vAlign w:val="bottom"/>
            <w:tcBorders>
              <w:bottom w:val="single" w:sz="8" w:color="auto"/>
            </w:tcBorders>
          </w:tcPr>
          <w:p>
            <w:pPr>
              <w:spacing w:after="0"/>
              <w:rPr>
                <w:sz w:val="17"/>
                <w:szCs w:val="17"/>
                <w:color w:val="auto"/>
              </w:rPr>
            </w:pPr>
          </w:p>
        </w:tc>
        <w:tc>
          <w:tcPr>
            <w:tcW w:w="340" w:type="dxa"/>
            <w:vAlign w:val="bottom"/>
          </w:tcPr>
          <w:p>
            <w:pPr>
              <w:ind w:left="140"/>
              <w:spacing w:after="0"/>
              <w:rPr>
                <w:sz w:val="20"/>
                <w:szCs w:val="20"/>
                <w:color w:val="auto"/>
              </w:rPr>
            </w:pPr>
            <w:r>
              <w:rPr>
                <w:rFonts w:ascii="Arial" w:cs="Arial" w:eastAsia="Arial" w:hAnsi="Arial"/>
                <w:sz w:val="18"/>
                <w:szCs w:val="18"/>
                <w:b w:val="1"/>
                <w:bCs w:val="1"/>
                <w:color w:val="auto"/>
              </w:rPr>
              <w:t>to</w:t>
            </w:r>
          </w:p>
        </w:tc>
        <w:tc>
          <w:tcPr>
            <w:tcW w:w="840" w:type="dxa"/>
            <w:vAlign w:val="bottom"/>
            <w:tcBorders>
              <w:bottom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1"/>
        </w:trPr>
        <w:tc>
          <w:tcPr>
            <w:tcW w:w="4540" w:type="dxa"/>
            <w:vAlign w:val="bottom"/>
            <w:gridSpan w:val="4"/>
          </w:tcPr>
          <w:p>
            <w:pPr>
              <w:ind w:left="940"/>
              <w:spacing w:after="0"/>
              <w:rPr>
                <w:sz w:val="20"/>
                <w:szCs w:val="20"/>
                <w:color w:val="auto"/>
              </w:rPr>
            </w:pPr>
            <w:r>
              <w:rPr>
                <w:rFonts w:ascii="Arial" w:cs="Arial" w:eastAsia="Arial" w:hAnsi="Arial"/>
                <w:sz w:val="18"/>
                <w:szCs w:val="18"/>
                <w:b w:val="1"/>
                <w:bCs w:val="1"/>
                <w:color w:val="auto"/>
              </w:rPr>
              <w:t>Commission File Number: 001-38358</w:t>
            </w:r>
          </w:p>
        </w:tc>
        <w:tc>
          <w:tcPr>
            <w:tcW w:w="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102870</wp:posOffset>
            </wp:positionV>
            <wp:extent cx="2665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410"/>
        </w:trPr>
        <w:tc>
          <w:tcPr>
            <w:tcW w:w="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20" w:type="dxa"/>
            <w:vAlign w:val="bottom"/>
          </w:tcPr>
          <w:p>
            <w:pPr>
              <w:spacing w:after="0"/>
              <w:rPr>
                <w:sz w:val="20"/>
                <w:szCs w:val="20"/>
                <w:color w:val="auto"/>
              </w:rPr>
            </w:pPr>
            <w:r>
              <w:rPr>
                <w:rFonts w:ascii="Arial" w:cs="Arial" w:eastAsia="Arial" w:hAnsi="Arial"/>
                <w:sz w:val="32"/>
                <w:szCs w:val="32"/>
                <w:b w:val="1"/>
                <w:bCs w:val="1"/>
                <w:color w:val="auto"/>
              </w:rPr>
              <w:t>INSEEGO CORP.</w:t>
            </w:r>
          </w:p>
        </w:tc>
        <w:tc>
          <w:tcPr>
            <w:tcW w:w="5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92"/>
        </w:trPr>
        <w:tc>
          <w:tcPr>
            <w:tcW w:w="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2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3460" w:type="dxa"/>
            <w:vAlign w:val="bottom"/>
          </w:tcPr>
          <w:p>
            <w:pPr>
              <w:spacing w:after="0"/>
              <w:rPr>
                <w:sz w:val="16"/>
                <w:szCs w:val="16"/>
                <w:color w:val="auto"/>
              </w:rPr>
            </w:pPr>
          </w:p>
        </w:tc>
      </w:tr>
      <w:tr>
        <w:trPr>
          <w:trHeight w:val="364"/>
        </w:trPr>
        <w:tc>
          <w:tcPr>
            <w:tcW w:w="60" w:type="dxa"/>
            <w:vAlign w:val="bottom"/>
          </w:tcPr>
          <w:p>
            <w:pPr>
              <w:spacing w:after="0"/>
              <w:rPr>
                <w:sz w:val="24"/>
                <w:szCs w:val="24"/>
                <w:color w:val="auto"/>
              </w:rPr>
            </w:pPr>
          </w:p>
        </w:tc>
        <w:tc>
          <w:tcPr>
            <w:tcW w:w="4360" w:type="dxa"/>
            <w:vAlign w:val="bottom"/>
            <w:gridSpan w:val="2"/>
          </w:tcPr>
          <w:p>
            <w:pPr>
              <w:jc w:val="center"/>
              <w:ind w:left="995"/>
              <w:spacing w:after="0"/>
              <w:rPr>
                <w:sz w:val="20"/>
                <w:szCs w:val="20"/>
                <w:color w:val="auto"/>
              </w:rPr>
            </w:pPr>
            <w:r>
              <w:rPr>
                <w:rFonts w:ascii="Arial" w:cs="Arial" w:eastAsia="Arial" w:hAnsi="Arial"/>
                <w:sz w:val="18"/>
                <w:szCs w:val="18"/>
                <w:b w:val="1"/>
                <w:bCs w:val="1"/>
                <w:color w:val="auto"/>
                <w:w w:val="91"/>
              </w:rPr>
              <w:t>Delaware</w:t>
            </w:r>
          </w:p>
        </w:tc>
        <w:tc>
          <w:tcPr>
            <w:tcW w:w="2820" w:type="dxa"/>
            <w:vAlign w:val="bottom"/>
          </w:tcPr>
          <w:p>
            <w:pPr>
              <w:spacing w:after="0"/>
              <w:rPr>
                <w:sz w:val="24"/>
                <w:szCs w:val="24"/>
                <w:color w:val="auto"/>
              </w:rPr>
            </w:pPr>
          </w:p>
        </w:tc>
        <w:tc>
          <w:tcPr>
            <w:tcW w:w="4000" w:type="dxa"/>
            <w:vAlign w:val="bottom"/>
            <w:gridSpan w:val="2"/>
          </w:tcPr>
          <w:p>
            <w:pPr>
              <w:jc w:val="right"/>
              <w:ind w:right="2128"/>
              <w:spacing w:after="0"/>
              <w:rPr>
                <w:sz w:val="20"/>
                <w:szCs w:val="20"/>
                <w:color w:val="auto"/>
              </w:rPr>
            </w:pPr>
            <w:r>
              <w:rPr>
                <w:rFonts w:ascii="Arial" w:cs="Arial" w:eastAsia="Arial" w:hAnsi="Arial"/>
                <w:sz w:val="18"/>
                <w:szCs w:val="18"/>
                <w:b w:val="1"/>
                <w:bCs w:val="1"/>
                <w:color w:val="auto"/>
              </w:rPr>
              <w:t>81-3377646</w:t>
            </w:r>
          </w:p>
        </w:tc>
      </w:tr>
      <w:tr>
        <w:trPr>
          <w:trHeight w:val="180"/>
        </w:trPr>
        <w:tc>
          <w:tcPr>
            <w:tcW w:w="60" w:type="dxa"/>
            <w:vAlign w:val="bottom"/>
          </w:tcPr>
          <w:p>
            <w:pPr>
              <w:spacing w:after="0"/>
              <w:rPr>
                <w:sz w:val="15"/>
                <w:szCs w:val="15"/>
                <w:color w:val="auto"/>
              </w:rPr>
            </w:pPr>
          </w:p>
        </w:tc>
        <w:tc>
          <w:tcPr>
            <w:tcW w:w="4360" w:type="dxa"/>
            <w:vAlign w:val="bottom"/>
            <w:gridSpan w:val="2"/>
          </w:tcPr>
          <w:p>
            <w:pPr>
              <w:jc w:val="center"/>
              <w:ind w:left="975"/>
              <w:spacing w:after="0"/>
              <w:rPr>
                <w:sz w:val="20"/>
                <w:szCs w:val="20"/>
                <w:color w:val="auto"/>
              </w:rPr>
            </w:pPr>
            <w:r>
              <w:rPr>
                <w:rFonts w:ascii="Arial" w:cs="Arial" w:eastAsia="Arial" w:hAnsi="Arial"/>
                <w:sz w:val="14"/>
                <w:szCs w:val="14"/>
                <w:b w:val="1"/>
                <w:bCs w:val="1"/>
                <w:color w:val="auto"/>
                <w:w w:val="93"/>
              </w:rPr>
              <w:t>(State or Other Jurisdiction</w:t>
            </w:r>
          </w:p>
        </w:tc>
        <w:tc>
          <w:tcPr>
            <w:tcW w:w="2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60" w:type="dxa"/>
            <w:vAlign w:val="bottom"/>
          </w:tcPr>
          <w:p>
            <w:pPr>
              <w:jc w:val="center"/>
              <w:ind w:right="174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0" w:type="dxa"/>
            <w:vAlign w:val="bottom"/>
          </w:tcPr>
          <w:p>
            <w:pPr>
              <w:spacing w:after="0"/>
              <w:rPr>
                <w:sz w:val="16"/>
                <w:szCs w:val="16"/>
                <w:color w:val="auto"/>
              </w:rPr>
            </w:pPr>
          </w:p>
        </w:tc>
        <w:tc>
          <w:tcPr>
            <w:tcW w:w="4360" w:type="dxa"/>
            <w:vAlign w:val="bottom"/>
            <w:gridSpan w:val="2"/>
          </w:tcPr>
          <w:p>
            <w:pPr>
              <w:jc w:val="center"/>
              <w:ind w:left="995"/>
              <w:spacing w:after="0"/>
              <w:rPr>
                <w:sz w:val="20"/>
                <w:szCs w:val="20"/>
                <w:color w:val="auto"/>
              </w:rPr>
            </w:pPr>
            <w:r>
              <w:rPr>
                <w:rFonts w:ascii="Arial" w:cs="Arial" w:eastAsia="Arial" w:hAnsi="Arial"/>
                <w:sz w:val="14"/>
                <w:szCs w:val="14"/>
                <w:b w:val="1"/>
                <w:bCs w:val="1"/>
                <w:color w:val="auto"/>
                <w:w w:val="94"/>
              </w:rPr>
              <w:t>of Incorporation or Organization)</w:t>
            </w:r>
          </w:p>
        </w:tc>
        <w:tc>
          <w:tcPr>
            <w:tcW w:w="2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60" w:type="dxa"/>
            <w:vAlign w:val="bottom"/>
          </w:tcPr>
          <w:p>
            <w:pPr>
              <w:jc w:val="center"/>
              <w:ind w:right="1748"/>
              <w:spacing w:after="0"/>
              <w:rPr>
                <w:sz w:val="20"/>
                <w:szCs w:val="20"/>
                <w:color w:val="auto"/>
              </w:rPr>
            </w:pPr>
            <w:r>
              <w:rPr>
                <w:rFonts w:ascii="Arial" w:cs="Arial" w:eastAsia="Arial" w:hAnsi="Arial"/>
                <w:sz w:val="14"/>
                <w:szCs w:val="14"/>
                <w:b w:val="1"/>
                <w:bCs w:val="1"/>
                <w:color w:val="auto"/>
                <w:w w:val="94"/>
              </w:rPr>
              <w:t>Identification No.)</w:t>
            </w:r>
          </w:p>
        </w:tc>
      </w:tr>
      <w:tr>
        <w:trPr>
          <w:trHeight w:val="309"/>
        </w:trPr>
        <w:tc>
          <w:tcPr>
            <w:tcW w:w="60" w:type="dxa"/>
            <w:vAlign w:val="bottom"/>
          </w:tcPr>
          <w:p>
            <w:pPr>
              <w:spacing w:after="0"/>
              <w:rPr>
                <w:sz w:val="24"/>
                <w:szCs w:val="24"/>
                <w:color w:val="auto"/>
              </w:rPr>
            </w:pPr>
          </w:p>
        </w:tc>
        <w:tc>
          <w:tcPr>
            <w:tcW w:w="4360" w:type="dxa"/>
            <w:vAlign w:val="bottom"/>
            <w:gridSpan w:val="2"/>
          </w:tcPr>
          <w:p>
            <w:pPr>
              <w:jc w:val="center"/>
              <w:ind w:left="995"/>
              <w:spacing w:after="0"/>
              <w:rPr>
                <w:sz w:val="20"/>
                <w:szCs w:val="20"/>
                <w:color w:val="auto"/>
              </w:rPr>
            </w:pPr>
            <w:r>
              <w:rPr>
                <w:rFonts w:ascii="Arial" w:cs="Arial" w:eastAsia="Arial" w:hAnsi="Arial"/>
                <w:sz w:val="18"/>
                <w:szCs w:val="18"/>
                <w:b w:val="1"/>
                <w:bCs w:val="1"/>
                <w:color w:val="auto"/>
                <w:w w:val="90"/>
              </w:rPr>
              <w:t>12600 Deerfield Parkway, Suite 100</w:t>
            </w:r>
          </w:p>
        </w:tc>
        <w:tc>
          <w:tcPr>
            <w:tcW w:w="2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4360" w:type="dxa"/>
            <w:vAlign w:val="bottom"/>
            <w:gridSpan w:val="2"/>
          </w:tcPr>
          <w:p>
            <w:pPr>
              <w:ind w:left="1880"/>
              <w:spacing w:after="0"/>
              <w:rPr>
                <w:sz w:val="20"/>
                <w:szCs w:val="20"/>
                <w:color w:val="auto"/>
              </w:rPr>
            </w:pPr>
            <w:r>
              <w:rPr>
                <w:rFonts w:ascii="Arial" w:cs="Arial" w:eastAsia="Arial" w:hAnsi="Arial"/>
                <w:sz w:val="18"/>
                <w:szCs w:val="18"/>
                <w:b w:val="1"/>
                <w:bCs w:val="1"/>
                <w:color w:val="auto"/>
              </w:rPr>
              <w:t>Alpharetta Georgia</w:t>
            </w:r>
          </w:p>
        </w:tc>
        <w:tc>
          <w:tcPr>
            <w:tcW w:w="2820" w:type="dxa"/>
            <w:vAlign w:val="bottom"/>
          </w:tcPr>
          <w:p>
            <w:pPr>
              <w:spacing w:after="0"/>
              <w:rPr>
                <w:sz w:val="23"/>
                <w:szCs w:val="23"/>
                <w:color w:val="auto"/>
              </w:rPr>
            </w:pPr>
          </w:p>
        </w:tc>
        <w:tc>
          <w:tcPr>
            <w:tcW w:w="4000" w:type="dxa"/>
            <w:vAlign w:val="bottom"/>
            <w:gridSpan w:val="2"/>
          </w:tcPr>
          <w:p>
            <w:pPr>
              <w:jc w:val="right"/>
              <w:ind w:right="2348"/>
              <w:spacing w:after="0"/>
              <w:rPr>
                <w:sz w:val="20"/>
                <w:szCs w:val="20"/>
                <w:color w:val="auto"/>
              </w:rPr>
            </w:pPr>
            <w:r>
              <w:rPr>
                <w:rFonts w:ascii="Arial" w:cs="Arial" w:eastAsia="Arial" w:hAnsi="Arial"/>
                <w:sz w:val="18"/>
                <w:szCs w:val="18"/>
                <w:b w:val="1"/>
                <w:bCs w:val="1"/>
                <w:color w:val="auto"/>
              </w:rPr>
              <w:t>30004</w:t>
            </w:r>
          </w:p>
        </w:tc>
      </w:tr>
      <w:tr>
        <w:trPr>
          <w:trHeight w:val="218"/>
        </w:trPr>
        <w:tc>
          <w:tcPr>
            <w:tcW w:w="60" w:type="dxa"/>
            <w:vAlign w:val="bottom"/>
          </w:tcPr>
          <w:p>
            <w:pPr>
              <w:spacing w:after="0"/>
              <w:rPr>
                <w:sz w:val="18"/>
                <w:szCs w:val="18"/>
                <w:color w:val="auto"/>
              </w:rPr>
            </w:pPr>
          </w:p>
        </w:tc>
        <w:tc>
          <w:tcPr>
            <w:tcW w:w="4360" w:type="dxa"/>
            <w:vAlign w:val="bottom"/>
            <w:gridSpan w:val="2"/>
          </w:tcPr>
          <w:p>
            <w:pPr>
              <w:jc w:val="center"/>
              <w:ind w:left="975"/>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60" w:type="dxa"/>
            <w:vAlign w:val="bottom"/>
          </w:tcPr>
          <w:p>
            <w:pPr>
              <w:jc w:val="center"/>
              <w:ind w:right="1748"/>
              <w:spacing w:after="0"/>
              <w:rPr>
                <w:sz w:val="20"/>
                <w:szCs w:val="20"/>
                <w:color w:val="auto"/>
              </w:rPr>
            </w:pPr>
            <w:r>
              <w:rPr>
                <w:rFonts w:ascii="Arial" w:cs="Arial" w:eastAsia="Arial" w:hAnsi="Arial"/>
                <w:sz w:val="14"/>
                <w:szCs w:val="14"/>
                <w:b w:val="1"/>
                <w:bCs w:val="1"/>
                <w:color w:val="auto"/>
                <w:w w:val="98"/>
              </w:rPr>
              <w:t>(Zip Code)</w:t>
            </w:r>
          </w:p>
        </w:tc>
      </w:tr>
      <w:tr>
        <w:trPr>
          <w:trHeight w:val="323"/>
        </w:trPr>
        <w:tc>
          <w:tcPr>
            <w:tcW w:w="60" w:type="dxa"/>
            <w:vAlign w:val="bottom"/>
          </w:tcPr>
          <w:p>
            <w:pPr>
              <w:spacing w:after="0"/>
              <w:rPr>
                <w:sz w:val="24"/>
                <w:szCs w:val="24"/>
                <w:color w:val="auto"/>
              </w:rPr>
            </w:pPr>
          </w:p>
        </w:tc>
        <w:tc>
          <w:tcPr>
            <w:tcW w:w="11180" w:type="dxa"/>
            <w:vAlign w:val="bottom"/>
            <w:gridSpan w:val="5"/>
          </w:tcPr>
          <w:p>
            <w:pPr>
              <w:ind w:left="2980"/>
              <w:spacing w:after="0"/>
              <w:rPr>
                <w:sz w:val="20"/>
                <w:szCs w:val="20"/>
                <w:color w:val="auto"/>
              </w:rPr>
            </w:pPr>
            <w:r>
              <w:rPr>
                <w:rFonts w:ascii="Arial" w:cs="Arial" w:eastAsia="Arial" w:hAnsi="Arial"/>
                <w:sz w:val="18"/>
                <w:szCs w:val="18"/>
                <w:b w:val="1"/>
                <w:bCs w:val="1"/>
                <w:color w:val="auto"/>
              </w:rPr>
              <w:t>Registrant’s telephone number, including area code: (858) 812-3400</w:t>
            </w:r>
          </w:p>
        </w:tc>
      </w:tr>
      <w:tr>
        <w:trPr>
          <w:trHeight w:val="324"/>
        </w:trPr>
        <w:tc>
          <w:tcPr>
            <w:tcW w:w="4420" w:type="dxa"/>
            <w:vAlign w:val="bottom"/>
            <w:gridSpan w:val="3"/>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2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08"/>
        </w:trPr>
        <w:tc>
          <w:tcPr>
            <w:tcW w:w="60" w:type="dxa"/>
            <w:vAlign w:val="bottom"/>
          </w:tcPr>
          <w:p>
            <w:pPr>
              <w:spacing w:after="0"/>
              <w:rPr>
                <w:sz w:val="9"/>
                <w:szCs w:val="9"/>
                <w:color w:val="auto"/>
              </w:rPr>
            </w:pPr>
          </w:p>
        </w:tc>
        <w:tc>
          <w:tcPr>
            <w:tcW w:w="4360" w:type="dxa"/>
            <w:vAlign w:val="bottom"/>
            <w:tcBorders>
              <w:bottom w:val="single" w:sz="8" w:color="auto"/>
            </w:tcBorders>
            <w:gridSpan w:val="2"/>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4000" w:type="dxa"/>
            <w:vAlign w:val="bottom"/>
            <w:tcBorders>
              <w:bottom w:val="single" w:sz="8" w:color="auto"/>
            </w:tcBorders>
            <w:gridSpan w:val="2"/>
          </w:tcPr>
          <w:p>
            <w:pPr>
              <w:spacing w:after="0"/>
              <w:rPr>
                <w:sz w:val="9"/>
                <w:szCs w:val="9"/>
                <w:color w:val="auto"/>
              </w:rPr>
            </w:pPr>
          </w:p>
        </w:tc>
      </w:tr>
      <w:tr>
        <w:trPr>
          <w:trHeight w:val="237"/>
        </w:trPr>
        <w:tc>
          <w:tcPr>
            <w:tcW w:w="60" w:type="dxa"/>
            <w:vAlign w:val="bottom"/>
            <w:tcBorders>
              <w:right w:val="single" w:sz="8" w:color="auto"/>
            </w:tcBorders>
          </w:tcPr>
          <w:p>
            <w:pPr>
              <w:spacing w:after="0"/>
              <w:rPr>
                <w:sz w:val="20"/>
                <w:szCs w:val="20"/>
                <w:color w:val="auto"/>
              </w:rPr>
            </w:pPr>
          </w:p>
        </w:tc>
        <w:tc>
          <w:tcPr>
            <w:tcW w:w="43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Title of each class</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Trading Symbol(s)</w:t>
            </w:r>
          </w:p>
        </w:tc>
        <w:tc>
          <w:tcPr>
            <w:tcW w:w="40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Name of each exchange on which registered</w:t>
            </w:r>
          </w:p>
        </w:tc>
      </w:tr>
      <w:tr>
        <w:trPr>
          <w:trHeight w:val="27"/>
        </w:trPr>
        <w:tc>
          <w:tcPr>
            <w:tcW w:w="60" w:type="dxa"/>
            <w:vAlign w:val="bottom"/>
            <w:tcBorders>
              <w:right w:val="single" w:sz="8" w:color="auto"/>
            </w:tcBorders>
          </w:tcPr>
          <w:p>
            <w:pPr>
              <w:spacing w:after="0"/>
              <w:rPr>
                <w:sz w:val="2"/>
                <w:szCs w:val="2"/>
                <w:color w:val="auto"/>
              </w:rPr>
            </w:pPr>
          </w:p>
        </w:tc>
        <w:tc>
          <w:tcPr>
            <w:tcW w:w="4360" w:type="dxa"/>
            <w:vAlign w:val="bottom"/>
            <w:tcBorders>
              <w:bottom w:val="single" w:sz="8" w:color="auto"/>
              <w:right w:val="single" w:sz="8" w:color="auto"/>
            </w:tcBorders>
            <w:gridSpan w:val="2"/>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gridSpan w:val="2"/>
          </w:tcPr>
          <w:p>
            <w:pPr>
              <w:spacing w:after="0"/>
              <w:rPr>
                <w:sz w:val="2"/>
                <w:szCs w:val="2"/>
                <w:color w:val="auto"/>
              </w:rPr>
            </w:pPr>
          </w:p>
        </w:tc>
      </w:tr>
      <w:tr>
        <w:trPr>
          <w:trHeight w:val="237"/>
        </w:trPr>
        <w:tc>
          <w:tcPr>
            <w:tcW w:w="60" w:type="dxa"/>
            <w:vAlign w:val="bottom"/>
            <w:tcBorders>
              <w:right w:val="single" w:sz="8" w:color="auto"/>
            </w:tcBorders>
          </w:tcPr>
          <w:p>
            <w:pPr>
              <w:spacing w:after="0"/>
              <w:rPr>
                <w:sz w:val="20"/>
                <w:szCs w:val="20"/>
                <w:color w:val="auto"/>
              </w:rPr>
            </w:pPr>
          </w:p>
        </w:tc>
        <w:tc>
          <w:tcPr>
            <w:tcW w:w="43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Common Stock, par value $0.001 per share</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INSG</w:t>
            </w:r>
          </w:p>
        </w:tc>
        <w:tc>
          <w:tcPr>
            <w:tcW w:w="40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Nasdaq Global Select Market</w:t>
            </w:r>
          </w:p>
        </w:tc>
      </w:tr>
      <w:tr>
        <w:trPr>
          <w:trHeight w:val="270"/>
        </w:trPr>
        <w:tc>
          <w:tcPr>
            <w:tcW w:w="60" w:type="dxa"/>
            <w:vAlign w:val="bottom"/>
            <w:tcBorders>
              <w:right w:val="single" w:sz="8" w:color="auto"/>
            </w:tcBorders>
          </w:tcPr>
          <w:p>
            <w:pPr>
              <w:spacing w:after="0"/>
              <w:rPr>
                <w:sz w:val="23"/>
                <w:szCs w:val="23"/>
                <w:color w:val="auto"/>
              </w:rPr>
            </w:pPr>
          </w:p>
        </w:tc>
        <w:tc>
          <w:tcPr>
            <w:tcW w:w="43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Preferred Stock Purchase Rights</w:t>
            </w:r>
          </w:p>
        </w:tc>
        <w:tc>
          <w:tcPr>
            <w:tcW w:w="2820" w:type="dxa"/>
            <w:vAlign w:val="bottom"/>
            <w:tcBorders>
              <w:right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3460" w:type="dxa"/>
            <w:vAlign w:val="bottom"/>
            <w:tcBorders>
              <w:right w:val="single" w:sz="8" w:color="auto"/>
            </w:tcBorders>
          </w:tcPr>
          <w:p>
            <w:pPr>
              <w:spacing w:after="0"/>
              <w:rPr>
                <w:sz w:val="23"/>
                <w:szCs w:val="23"/>
                <w:color w:val="auto"/>
              </w:rPr>
            </w:pPr>
          </w:p>
        </w:tc>
      </w:tr>
      <w:tr>
        <w:trPr>
          <w:trHeight w:val="27"/>
        </w:trPr>
        <w:tc>
          <w:tcPr>
            <w:tcW w:w="60" w:type="dxa"/>
            <w:vAlign w:val="bottom"/>
            <w:tcBorders>
              <w:right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r>
    </w:tbl>
    <w:p>
      <w:pPr>
        <w:spacing w:after="0" w:line="80"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0" w:lineRule="exact"/>
        <w:rPr>
          <w:sz w:val="24"/>
          <w:szCs w:val="24"/>
          <w:color w:val="auto"/>
        </w:rPr>
      </w:pPr>
    </w:p>
    <w:p>
      <w:pPr>
        <w:ind w:right="100"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8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0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0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60" w:type="dxa"/>
            <w:vAlign w:val="bottom"/>
          </w:tcPr>
          <w:p>
            <w:pPr>
              <w:ind w:left="300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jc w:val="both"/>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240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w:t>
      </w:r>
      <w:r>
        <w:rPr>
          <w:rFonts w:ascii="Arial" w:cs="Arial" w:eastAsia="Arial" w:hAnsi="Arial"/>
          <w:sz w:val="15"/>
          <w:szCs w:val="15"/>
          <w:color w:val="auto"/>
        </w:rPr>
        <w:t>(as defined in Rule 12b-2 of the Exchange Act)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of the registrant’s common stock outstanding as of August 4, 2020 was 97,159,678.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 w:type="dxa"/>
            <w:vAlign w:val="bottom"/>
          </w:tcPr>
          <w:p>
            <w:pPr>
              <w:spacing w:after="0"/>
              <w:rPr>
                <w:sz w:val="16"/>
                <w:szCs w:val="16"/>
                <w:color w:val="auto"/>
              </w:rPr>
            </w:pPr>
          </w:p>
        </w:tc>
        <w:tc>
          <w:tcPr>
            <w:tcW w:w="9840" w:type="dxa"/>
            <w:vAlign w:val="bottom"/>
          </w:tcPr>
          <w:p>
            <w:pPr>
              <w:spacing w:after="0"/>
              <w:rPr>
                <w:sz w:val="16"/>
                <w:szCs w:val="16"/>
                <w:color w:val="auto"/>
              </w:rPr>
            </w:pPr>
          </w:p>
        </w:tc>
        <w:tc>
          <w:tcPr>
            <w:tcW w:w="560" w:type="dxa"/>
            <w:vAlign w:val="bottom"/>
            <w:gridSpan w:val="2"/>
          </w:tcPr>
          <w:p>
            <w:pPr>
              <w:ind w:left="240"/>
              <w:spacing w:after="0"/>
              <w:rPr>
                <w:sz w:val="20"/>
                <w:szCs w:val="20"/>
                <w:color w:val="auto"/>
              </w:rPr>
            </w:pPr>
            <w:r>
              <w:rPr>
                <w:rFonts w:ascii="Arial" w:cs="Arial" w:eastAsia="Arial" w:hAnsi="Arial"/>
                <w:sz w:val="14"/>
                <w:szCs w:val="14"/>
                <w:b w:val="1"/>
                <w:bCs w:val="1"/>
                <w:color w:val="auto"/>
                <w:w w:val="89"/>
              </w:rPr>
              <w:t>Page</w:t>
            </w:r>
          </w:p>
        </w:tc>
      </w:tr>
      <w:tr>
        <w:trPr>
          <w:trHeight w:val="297"/>
        </w:trPr>
        <w:tc>
          <w:tcPr>
            <w:tcW w:w="10680" w:type="dxa"/>
            <w:vAlign w:val="bottom"/>
            <w:gridSpan w:val="2"/>
          </w:tcPr>
          <w:p>
            <w:pPr>
              <w:ind w:left="40"/>
              <w:spacing w:after="0"/>
              <w:rPr>
                <w:rFonts w:ascii="Arial" w:cs="Arial" w:eastAsia="Arial" w:hAnsi="Arial"/>
                <w:sz w:val="18"/>
                <w:szCs w:val="18"/>
                <w:color w:val="0000FF"/>
              </w:rPr>
            </w:pPr>
            <w:hyperlink w:anchor="page2">
              <w:r>
                <w:rPr>
                  <w:rFonts w:ascii="Arial" w:cs="Arial" w:eastAsia="Arial" w:hAnsi="Arial"/>
                  <w:sz w:val="18"/>
                  <w:szCs w:val="18"/>
                  <w:color w:val="0000FF"/>
                </w:rPr>
                <w:t>PART I—FINANCIAL INFORMATION</w:t>
              </w:r>
            </w:hyperlink>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73"/>
        </w:trPr>
        <w:tc>
          <w:tcPr>
            <w:tcW w:w="840" w:type="dxa"/>
            <w:vAlign w:val="bottom"/>
          </w:tcPr>
          <w:p>
            <w:pPr>
              <w:ind w:left="40"/>
              <w:spacing w:after="0"/>
              <w:rPr>
                <w:sz w:val="20"/>
                <w:szCs w:val="20"/>
                <w:color w:val="auto"/>
              </w:rPr>
            </w:pPr>
            <w:r>
              <w:rPr>
                <w:rFonts w:ascii="Arial" w:cs="Arial" w:eastAsia="Arial" w:hAnsi="Arial"/>
                <w:sz w:val="18"/>
                <w:szCs w:val="18"/>
                <w:color w:val="auto"/>
              </w:rPr>
              <w:t>Item 1.</w:t>
            </w:r>
          </w:p>
        </w:tc>
        <w:tc>
          <w:tcPr>
            <w:tcW w:w="9840" w:type="dxa"/>
            <w:vAlign w:val="bottom"/>
          </w:tcPr>
          <w:p>
            <w:pPr>
              <w:ind w:left="140"/>
              <w:spacing w:after="0"/>
              <w:rPr>
                <w:rFonts w:ascii="Arial" w:cs="Arial" w:eastAsia="Arial" w:hAnsi="Arial"/>
                <w:sz w:val="18"/>
                <w:szCs w:val="18"/>
                <w:color w:val="0000FF"/>
              </w:rPr>
            </w:pPr>
            <w:hyperlink w:anchor="page2">
              <w:r>
                <w:rPr>
                  <w:rFonts w:ascii="Arial" w:cs="Arial" w:eastAsia="Arial" w:hAnsi="Arial"/>
                  <w:sz w:val="18"/>
                  <w:szCs w:val="18"/>
                  <w:color w:val="0000FF"/>
                </w:rPr>
                <w:t>Financial Statements</w:t>
              </w:r>
            </w:hyperlink>
          </w:p>
        </w:tc>
        <w:tc>
          <w:tcPr>
            <w:tcW w:w="540" w:type="dxa"/>
            <w:vAlign w:val="bottom"/>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c>
          <w:tcPr>
            <w:tcW w:w="20" w:type="dxa"/>
            <w:vAlign w:val="bottom"/>
          </w:tcPr>
          <w:p>
            <w:pPr>
              <w:spacing w:after="0"/>
              <w:rPr>
                <w:sz w:val="24"/>
                <w:szCs w:val="24"/>
                <w:color w:val="auto"/>
              </w:rPr>
            </w:pPr>
          </w:p>
        </w:tc>
      </w:tr>
      <w:tr>
        <w:trPr>
          <w:trHeight w:val="338"/>
        </w:trPr>
        <w:tc>
          <w:tcPr>
            <w:tcW w:w="840" w:type="dxa"/>
            <w:vAlign w:val="bottom"/>
          </w:tcPr>
          <w:p>
            <w:pPr>
              <w:spacing w:after="0"/>
              <w:rPr>
                <w:sz w:val="24"/>
                <w:szCs w:val="24"/>
                <w:color w:val="auto"/>
              </w:rPr>
            </w:pPr>
          </w:p>
        </w:tc>
        <w:tc>
          <w:tcPr>
            <w:tcW w:w="9840" w:type="dxa"/>
            <w:vAlign w:val="bottom"/>
          </w:tcPr>
          <w:p>
            <w:pPr>
              <w:ind w:left="140"/>
              <w:spacing w:after="0"/>
              <w:rPr>
                <w:rFonts w:ascii="Arial" w:cs="Arial" w:eastAsia="Arial" w:hAnsi="Arial"/>
                <w:sz w:val="18"/>
                <w:szCs w:val="18"/>
                <w:color w:val="0000FF"/>
              </w:rPr>
            </w:pPr>
            <w:hyperlink w:anchor="page2">
              <w:r>
                <w:rPr>
                  <w:rFonts w:ascii="Arial" w:cs="Arial" w:eastAsia="Arial" w:hAnsi="Arial"/>
                  <w:sz w:val="18"/>
                  <w:szCs w:val="18"/>
                  <w:color w:val="0000FF"/>
                </w:rPr>
                <w:t>Condensed Consolidated Balance Sheets (Unaudited)</w:t>
              </w:r>
            </w:hyperlink>
          </w:p>
        </w:tc>
        <w:tc>
          <w:tcPr>
            <w:tcW w:w="540" w:type="dxa"/>
            <w:vAlign w:val="bottom"/>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c>
          <w:tcPr>
            <w:tcW w:w="20" w:type="dxa"/>
            <w:vAlign w:val="bottom"/>
          </w:tcPr>
          <w:p>
            <w:pPr>
              <w:spacing w:after="0"/>
              <w:rPr>
                <w:sz w:val="24"/>
                <w:szCs w:val="24"/>
                <w:color w:val="auto"/>
              </w:rPr>
            </w:pPr>
          </w:p>
        </w:tc>
      </w:tr>
      <w:tr>
        <w:trPr>
          <w:trHeight w:val="338"/>
        </w:trPr>
        <w:tc>
          <w:tcPr>
            <w:tcW w:w="840" w:type="dxa"/>
            <w:vAlign w:val="bottom"/>
          </w:tcPr>
          <w:p>
            <w:pPr>
              <w:spacing w:after="0"/>
              <w:rPr>
                <w:sz w:val="24"/>
                <w:szCs w:val="24"/>
                <w:color w:val="auto"/>
              </w:rPr>
            </w:pPr>
          </w:p>
        </w:tc>
        <w:tc>
          <w:tcPr>
            <w:tcW w:w="9840" w:type="dxa"/>
            <w:vAlign w:val="bottom"/>
          </w:tcPr>
          <w:p>
            <w:pPr>
              <w:ind w:left="140"/>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(Unaudited)</w:t>
              </w:r>
            </w:hyperlink>
          </w:p>
        </w:tc>
        <w:tc>
          <w:tcPr>
            <w:tcW w:w="54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20" w:type="dxa"/>
            <w:vAlign w:val="bottom"/>
          </w:tcPr>
          <w:p>
            <w:pPr>
              <w:spacing w:after="0"/>
              <w:rPr>
                <w:sz w:val="24"/>
                <w:szCs w:val="24"/>
                <w:color w:val="auto"/>
              </w:rPr>
            </w:pPr>
          </w:p>
        </w:tc>
      </w:tr>
      <w:tr>
        <w:trPr>
          <w:trHeight w:val="338"/>
        </w:trPr>
        <w:tc>
          <w:tcPr>
            <w:tcW w:w="840" w:type="dxa"/>
            <w:vAlign w:val="bottom"/>
          </w:tcPr>
          <w:p>
            <w:pPr>
              <w:spacing w:after="0"/>
              <w:rPr>
                <w:sz w:val="24"/>
                <w:szCs w:val="24"/>
                <w:color w:val="auto"/>
              </w:rPr>
            </w:pPr>
          </w:p>
        </w:tc>
        <w:tc>
          <w:tcPr>
            <w:tcW w:w="9840" w:type="dxa"/>
            <w:vAlign w:val="bottom"/>
          </w:tcPr>
          <w:p>
            <w:pPr>
              <w:ind w:left="140"/>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Loss (Unaudited)</w:t>
              </w:r>
            </w:hyperlink>
          </w:p>
        </w:tc>
        <w:tc>
          <w:tcPr>
            <w:tcW w:w="540" w:type="dxa"/>
            <w:vAlign w:val="bottom"/>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20" w:type="dxa"/>
            <w:vAlign w:val="bottom"/>
          </w:tcPr>
          <w:p>
            <w:pPr>
              <w:spacing w:after="0"/>
              <w:rPr>
                <w:sz w:val="24"/>
                <w:szCs w:val="24"/>
                <w:color w:val="auto"/>
              </w:rPr>
            </w:pPr>
          </w:p>
        </w:tc>
      </w:tr>
      <w:tr>
        <w:trPr>
          <w:trHeight w:val="338"/>
        </w:trPr>
        <w:tc>
          <w:tcPr>
            <w:tcW w:w="840" w:type="dxa"/>
            <w:vAlign w:val="bottom"/>
          </w:tcPr>
          <w:p>
            <w:pPr>
              <w:spacing w:after="0"/>
              <w:rPr>
                <w:sz w:val="24"/>
                <w:szCs w:val="24"/>
                <w:color w:val="auto"/>
              </w:rPr>
            </w:pPr>
          </w:p>
        </w:tc>
        <w:tc>
          <w:tcPr>
            <w:tcW w:w="9840" w:type="dxa"/>
            <w:vAlign w:val="bottom"/>
          </w:tcPr>
          <w:p>
            <w:pPr>
              <w:ind w:left="140"/>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Stockholders’ Equity (Deficit) (Unaudited)</w:t>
              </w:r>
            </w:hyperlink>
          </w:p>
        </w:tc>
        <w:tc>
          <w:tcPr>
            <w:tcW w:w="54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20" w:type="dxa"/>
            <w:vAlign w:val="bottom"/>
          </w:tcPr>
          <w:p>
            <w:pPr>
              <w:spacing w:after="0"/>
              <w:rPr>
                <w:sz w:val="24"/>
                <w:szCs w:val="24"/>
                <w:color w:val="auto"/>
              </w:rPr>
            </w:pPr>
          </w:p>
        </w:tc>
      </w:tr>
      <w:tr>
        <w:trPr>
          <w:trHeight w:val="338"/>
        </w:trPr>
        <w:tc>
          <w:tcPr>
            <w:tcW w:w="840" w:type="dxa"/>
            <w:vAlign w:val="bottom"/>
          </w:tcPr>
          <w:p>
            <w:pPr>
              <w:spacing w:after="0"/>
              <w:rPr>
                <w:sz w:val="24"/>
                <w:szCs w:val="24"/>
                <w:color w:val="auto"/>
              </w:rPr>
            </w:pPr>
          </w:p>
        </w:tc>
        <w:tc>
          <w:tcPr>
            <w:tcW w:w="9840" w:type="dxa"/>
            <w:vAlign w:val="bottom"/>
          </w:tcPr>
          <w:p>
            <w:pPr>
              <w:ind w:left="140"/>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 (Unaudited)</w:t>
              </w:r>
            </w:hyperlink>
          </w:p>
        </w:tc>
        <w:tc>
          <w:tcPr>
            <w:tcW w:w="540" w:type="dxa"/>
            <w:vAlign w:val="bottom"/>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20" w:type="dxa"/>
            <w:vAlign w:val="bottom"/>
          </w:tcPr>
          <w:p>
            <w:pPr>
              <w:spacing w:after="0"/>
              <w:rPr>
                <w:sz w:val="24"/>
                <w:szCs w:val="24"/>
                <w:color w:val="auto"/>
              </w:rPr>
            </w:pPr>
          </w:p>
        </w:tc>
      </w:tr>
      <w:tr>
        <w:trPr>
          <w:trHeight w:val="338"/>
        </w:trPr>
        <w:tc>
          <w:tcPr>
            <w:tcW w:w="840" w:type="dxa"/>
            <w:vAlign w:val="bottom"/>
          </w:tcPr>
          <w:p>
            <w:pPr>
              <w:spacing w:after="0"/>
              <w:rPr>
                <w:sz w:val="24"/>
                <w:szCs w:val="24"/>
                <w:color w:val="auto"/>
              </w:rPr>
            </w:pPr>
          </w:p>
        </w:tc>
        <w:tc>
          <w:tcPr>
            <w:tcW w:w="9840" w:type="dxa"/>
            <w:vAlign w:val="bottom"/>
          </w:tcPr>
          <w:p>
            <w:pPr>
              <w:ind w:left="140"/>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 (Unaudited)</w:t>
              </w:r>
            </w:hyperlink>
          </w:p>
        </w:tc>
        <w:tc>
          <w:tcPr>
            <w:tcW w:w="540" w:type="dxa"/>
            <w:vAlign w:val="bottom"/>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c>
          <w:tcPr>
            <w:tcW w:w="20" w:type="dxa"/>
            <w:vAlign w:val="bottom"/>
          </w:tcPr>
          <w:p>
            <w:pPr>
              <w:spacing w:after="0"/>
              <w:rPr>
                <w:sz w:val="24"/>
                <w:szCs w:val="24"/>
                <w:color w:val="auto"/>
              </w:rPr>
            </w:pPr>
          </w:p>
        </w:tc>
      </w:tr>
      <w:tr>
        <w:trPr>
          <w:trHeight w:val="378"/>
        </w:trPr>
        <w:tc>
          <w:tcPr>
            <w:tcW w:w="840" w:type="dxa"/>
            <w:vAlign w:val="bottom"/>
          </w:tcPr>
          <w:p>
            <w:pPr>
              <w:ind w:left="40"/>
              <w:spacing w:after="0"/>
              <w:rPr>
                <w:sz w:val="20"/>
                <w:szCs w:val="20"/>
                <w:color w:val="auto"/>
              </w:rPr>
            </w:pPr>
            <w:r>
              <w:rPr>
                <w:rFonts w:ascii="Arial" w:cs="Arial" w:eastAsia="Arial" w:hAnsi="Arial"/>
                <w:sz w:val="18"/>
                <w:szCs w:val="18"/>
                <w:color w:val="auto"/>
              </w:rPr>
              <w:t>Item 2.</w:t>
            </w:r>
          </w:p>
        </w:tc>
        <w:tc>
          <w:tcPr>
            <w:tcW w:w="9840" w:type="dxa"/>
            <w:vAlign w:val="bottom"/>
          </w:tcPr>
          <w:p>
            <w:pPr>
              <w:ind w:left="140"/>
              <w:spacing w:after="0"/>
              <w:rPr>
                <w:rFonts w:ascii="Arial" w:cs="Arial" w:eastAsia="Arial" w:hAnsi="Arial"/>
                <w:sz w:val="18"/>
                <w:szCs w:val="18"/>
                <w:color w:val="0000FF"/>
              </w:rPr>
            </w:pPr>
            <w:hyperlink w:anchor="page27">
              <w:r>
                <w:rPr>
                  <w:rFonts w:ascii="Arial" w:cs="Arial" w:eastAsia="Arial" w:hAnsi="Arial"/>
                  <w:sz w:val="18"/>
                  <w:szCs w:val="18"/>
                  <w:color w:val="0000FF"/>
                </w:rPr>
                <w:t>Management’s Discussion and Analysis of Financial Condition and Results of Operations</w:t>
              </w:r>
            </w:hyperlink>
          </w:p>
        </w:tc>
        <w:tc>
          <w:tcPr>
            <w:tcW w:w="540" w:type="dxa"/>
            <w:vAlign w:val="bottom"/>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20" w:type="dxa"/>
            <w:vAlign w:val="bottom"/>
          </w:tcPr>
          <w:p>
            <w:pPr>
              <w:spacing w:after="0"/>
              <w:rPr>
                <w:sz w:val="24"/>
                <w:szCs w:val="24"/>
                <w:color w:val="auto"/>
              </w:rPr>
            </w:pPr>
          </w:p>
        </w:tc>
      </w:tr>
      <w:tr>
        <w:trPr>
          <w:trHeight w:val="378"/>
        </w:trPr>
        <w:tc>
          <w:tcPr>
            <w:tcW w:w="840" w:type="dxa"/>
            <w:vAlign w:val="bottom"/>
          </w:tcPr>
          <w:p>
            <w:pPr>
              <w:ind w:left="40"/>
              <w:spacing w:after="0"/>
              <w:rPr>
                <w:sz w:val="20"/>
                <w:szCs w:val="20"/>
                <w:color w:val="auto"/>
              </w:rPr>
            </w:pPr>
            <w:r>
              <w:rPr>
                <w:rFonts w:ascii="Arial" w:cs="Arial" w:eastAsia="Arial" w:hAnsi="Arial"/>
                <w:sz w:val="18"/>
                <w:szCs w:val="18"/>
                <w:color w:val="auto"/>
              </w:rPr>
              <w:t>Item 3.</w:t>
            </w:r>
          </w:p>
        </w:tc>
        <w:tc>
          <w:tcPr>
            <w:tcW w:w="9840" w:type="dxa"/>
            <w:vAlign w:val="bottom"/>
          </w:tcPr>
          <w:p>
            <w:pPr>
              <w:ind w:left="140"/>
              <w:spacing w:after="0"/>
              <w:rPr>
                <w:rFonts w:ascii="Arial" w:cs="Arial" w:eastAsia="Arial" w:hAnsi="Arial"/>
                <w:sz w:val="18"/>
                <w:szCs w:val="18"/>
                <w:color w:val="0000FF"/>
              </w:rPr>
            </w:pPr>
            <w:hyperlink w:anchor="page39">
              <w:r>
                <w:rPr>
                  <w:rFonts w:ascii="Arial" w:cs="Arial" w:eastAsia="Arial" w:hAnsi="Arial"/>
                  <w:sz w:val="18"/>
                  <w:szCs w:val="18"/>
                  <w:color w:val="0000FF"/>
                </w:rPr>
                <w:t>Quantitative and Qualitative Disclosures About Market Risk</w:t>
              </w:r>
            </w:hyperlink>
          </w:p>
        </w:tc>
        <w:tc>
          <w:tcPr>
            <w:tcW w:w="540" w:type="dxa"/>
            <w:vAlign w:val="bottom"/>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c>
          <w:tcPr>
            <w:tcW w:w="20" w:type="dxa"/>
            <w:vAlign w:val="bottom"/>
          </w:tcPr>
          <w:p>
            <w:pPr>
              <w:spacing w:after="0"/>
              <w:rPr>
                <w:sz w:val="24"/>
                <w:szCs w:val="24"/>
                <w:color w:val="auto"/>
              </w:rPr>
            </w:pPr>
          </w:p>
        </w:tc>
      </w:tr>
      <w:tr>
        <w:trPr>
          <w:trHeight w:val="378"/>
        </w:trPr>
        <w:tc>
          <w:tcPr>
            <w:tcW w:w="840" w:type="dxa"/>
            <w:vAlign w:val="bottom"/>
          </w:tcPr>
          <w:p>
            <w:pPr>
              <w:ind w:left="40"/>
              <w:spacing w:after="0"/>
              <w:rPr>
                <w:sz w:val="20"/>
                <w:szCs w:val="20"/>
                <w:color w:val="auto"/>
              </w:rPr>
            </w:pPr>
            <w:r>
              <w:rPr>
                <w:rFonts w:ascii="Arial" w:cs="Arial" w:eastAsia="Arial" w:hAnsi="Arial"/>
                <w:sz w:val="18"/>
                <w:szCs w:val="18"/>
                <w:color w:val="auto"/>
              </w:rPr>
              <w:t>Item 4.</w:t>
            </w:r>
          </w:p>
        </w:tc>
        <w:tc>
          <w:tcPr>
            <w:tcW w:w="9840" w:type="dxa"/>
            <w:vAlign w:val="bottom"/>
          </w:tcPr>
          <w:p>
            <w:pPr>
              <w:ind w:left="140"/>
              <w:spacing w:after="0"/>
              <w:rPr>
                <w:rFonts w:ascii="Arial" w:cs="Arial" w:eastAsia="Arial" w:hAnsi="Arial"/>
                <w:sz w:val="18"/>
                <w:szCs w:val="18"/>
                <w:color w:val="0000FF"/>
              </w:rPr>
            </w:pPr>
            <w:hyperlink w:anchor="page39">
              <w:r>
                <w:rPr>
                  <w:rFonts w:ascii="Arial" w:cs="Arial" w:eastAsia="Arial" w:hAnsi="Arial"/>
                  <w:sz w:val="18"/>
                  <w:szCs w:val="18"/>
                  <w:color w:val="0000FF"/>
                </w:rPr>
                <w:t>Controls and Procedures</w:t>
              </w:r>
            </w:hyperlink>
          </w:p>
        </w:tc>
        <w:tc>
          <w:tcPr>
            <w:tcW w:w="540" w:type="dxa"/>
            <w:vAlign w:val="bottom"/>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c>
          <w:tcPr>
            <w:tcW w:w="20" w:type="dxa"/>
            <w:vAlign w:val="bottom"/>
          </w:tcPr>
          <w:p>
            <w:pPr>
              <w:spacing w:after="0"/>
              <w:rPr>
                <w:sz w:val="24"/>
                <w:szCs w:val="24"/>
                <w:color w:val="auto"/>
              </w:rPr>
            </w:pPr>
          </w:p>
        </w:tc>
      </w:tr>
      <w:tr>
        <w:trPr>
          <w:trHeight w:val="338"/>
        </w:trPr>
        <w:tc>
          <w:tcPr>
            <w:tcW w:w="10680" w:type="dxa"/>
            <w:vAlign w:val="bottom"/>
            <w:gridSpan w:val="2"/>
          </w:tcPr>
          <w:p>
            <w:pPr>
              <w:ind w:left="40"/>
              <w:spacing w:after="0"/>
              <w:rPr>
                <w:rFonts w:ascii="Arial" w:cs="Arial" w:eastAsia="Arial" w:hAnsi="Arial"/>
                <w:sz w:val="18"/>
                <w:szCs w:val="18"/>
                <w:color w:val="0000FF"/>
              </w:rPr>
            </w:pPr>
            <w:hyperlink w:anchor="page39">
              <w:r>
                <w:rPr>
                  <w:rFonts w:ascii="Arial" w:cs="Arial" w:eastAsia="Arial" w:hAnsi="Arial"/>
                  <w:sz w:val="18"/>
                  <w:szCs w:val="18"/>
                  <w:color w:val="0000FF"/>
                </w:rPr>
                <w:t>PART II—OTHER INFORMATION</w:t>
              </w:r>
            </w:hyperlink>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840" w:type="dxa"/>
            <w:vAlign w:val="bottom"/>
          </w:tcPr>
          <w:p>
            <w:pPr>
              <w:ind w:left="40"/>
              <w:spacing w:after="0"/>
              <w:rPr>
                <w:sz w:val="20"/>
                <w:szCs w:val="20"/>
                <w:color w:val="auto"/>
              </w:rPr>
            </w:pPr>
            <w:r>
              <w:rPr>
                <w:rFonts w:ascii="Arial" w:cs="Arial" w:eastAsia="Arial" w:hAnsi="Arial"/>
                <w:sz w:val="18"/>
                <w:szCs w:val="18"/>
                <w:color w:val="auto"/>
              </w:rPr>
              <w:t>Item 1.</w:t>
            </w:r>
          </w:p>
        </w:tc>
        <w:tc>
          <w:tcPr>
            <w:tcW w:w="9840" w:type="dxa"/>
            <w:vAlign w:val="bottom"/>
          </w:tcPr>
          <w:p>
            <w:pPr>
              <w:ind w:left="140"/>
              <w:spacing w:after="0"/>
              <w:rPr>
                <w:rFonts w:ascii="Arial" w:cs="Arial" w:eastAsia="Arial" w:hAnsi="Arial"/>
                <w:sz w:val="18"/>
                <w:szCs w:val="18"/>
                <w:color w:val="0000FF"/>
              </w:rPr>
            </w:pPr>
            <w:hyperlink w:anchor="page40">
              <w:r>
                <w:rPr>
                  <w:rFonts w:ascii="Arial" w:cs="Arial" w:eastAsia="Arial" w:hAnsi="Arial"/>
                  <w:sz w:val="18"/>
                  <w:szCs w:val="18"/>
                  <w:color w:val="0000FF"/>
                </w:rPr>
                <w:t>Legal Proceedings</w:t>
              </w:r>
            </w:hyperlink>
          </w:p>
        </w:tc>
        <w:tc>
          <w:tcPr>
            <w:tcW w:w="540" w:type="dxa"/>
            <w:vAlign w:val="bottom"/>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c>
          <w:tcPr>
            <w:tcW w:w="20" w:type="dxa"/>
            <w:vAlign w:val="bottom"/>
          </w:tcPr>
          <w:p>
            <w:pPr>
              <w:spacing w:after="0"/>
              <w:rPr>
                <w:sz w:val="24"/>
                <w:szCs w:val="24"/>
                <w:color w:val="auto"/>
              </w:rPr>
            </w:pPr>
          </w:p>
        </w:tc>
      </w:tr>
      <w:tr>
        <w:trPr>
          <w:trHeight w:val="378"/>
        </w:trPr>
        <w:tc>
          <w:tcPr>
            <w:tcW w:w="840" w:type="dxa"/>
            <w:vAlign w:val="bottom"/>
          </w:tcPr>
          <w:p>
            <w:pPr>
              <w:ind w:left="40"/>
              <w:spacing w:after="0"/>
              <w:rPr>
                <w:sz w:val="20"/>
                <w:szCs w:val="20"/>
                <w:color w:val="auto"/>
              </w:rPr>
            </w:pPr>
            <w:r>
              <w:rPr>
                <w:rFonts w:ascii="Arial" w:cs="Arial" w:eastAsia="Arial" w:hAnsi="Arial"/>
                <w:sz w:val="18"/>
                <w:szCs w:val="18"/>
                <w:color w:val="auto"/>
              </w:rPr>
              <w:t>Item 1A.</w:t>
            </w:r>
          </w:p>
        </w:tc>
        <w:tc>
          <w:tcPr>
            <w:tcW w:w="9840" w:type="dxa"/>
            <w:vAlign w:val="bottom"/>
          </w:tcPr>
          <w:p>
            <w:pPr>
              <w:ind w:left="140"/>
              <w:spacing w:after="0"/>
              <w:rPr>
                <w:rFonts w:ascii="Arial" w:cs="Arial" w:eastAsia="Arial" w:hAnsi="Arial"/>
                <w:sz w:val="18"/>
                <w:szCs w:val="18"/>
                <w:color w:val="0000FF"/>
              </w:rPr>
            </w:pPr>
            <w:hyperlink w:anchor="page40">
              <w:r>
                <w:rPr>
                  <w:rFonts w:ascii="Arial" w:cs="Arial" w:eastAsia="Arial" w:hAnsi="Arial"/>
                  <w:sz w:val="18"/>
                  <w:szCs w:val="18"/>
                  <w:color w:val="0000FF"/>
                </w:rPr>
                <w:t>Risk Factors</w:t>
              </w:r>
            </w:hyperlink>
          </w:p>
        </w:tc>
        <w:tc>
          <w:tcPr>
            <w:tcW w:w="540" w:type="dxa"/>
            <w:vAlign w:val="bottom"/>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c>
          <w:tcPr>
            <w:tcW w:w="20" w:type="dxa"/>
            <w:vAlign w:val="bottom"/>
          </w:tcPr>
          <w:p>
            <w:pPr>
              <w:spacing w:after="0"/>
              <w:rPr>
                <w:sz w:val="24"/>
                <w:szCs w:val="24"/>
                <w:color w:val="auto"/>
              </w:rPr>
            </w:pPr>
          </w:p>
        </w:tc>
      </w:tr>
      <w:tr>
        <w:trPr>
          <w:trHeight w:val="378"/>
        </w:trPr>
        <w:tc>
          <w:tcPr>
            <w:tcW w:w="840" w:type="dxa"/>
            <w:vAlign w:val="bottom"/>
          </w:tcPr>
          <w:p>
            <w:pPr>
              <w:ind w:left="40"/>
              <w:spacing w:after="0"/>
              <w:rPr>
                <w:sz w:val="20"/>
                <w:szCs w:val="20"/>
                <w:color w:val="auto"/>
              </w:rPr>
            </w:pPr>
            <w:r>
              <w:rPr>
                <w:rFonts w:ascii="Arial" w:cs="Arial" w:eastAsia="Arial" w:hAnsi="Arial"/>
                <w:sz w:val="18"/>
                <w:szCs w:val="18"/>
                <w:color w:val="auto"/>
              </w:rPr>
              <w:t>Item 2.</w:t>
            </w:r>
          </w:p>
        </w:tc>
        <w:tc>
          <w:tcPr>
            <w:tcW w:w="9840" w:type="dxa"/>
            <w:vAlign w:val="bottom"/>
          </w:tcPr>
          <w:p>
            <w:pPr>
              <w:ind w:left="140"/>
              <w:spacing w:after="0"/>
              <w:rPr>
                <w:rFonts w:ascii="Arial" w:cs="Arial" w:eastAsia="Arial" w:hAnsi="Arial"/>
                <w:sz w:val="18"/>
                <w:szCs w:val="18"/>
                <w:color w:val="0000FF"/>
              </w:rPr>
            </w:pPr>
            <w:hyperlink w:anchor="page41">
              <w:r>
                <w:rPr>
                  <w:rFonts w:ascii="Arial" w:cs="Arial" w:eastAsia="Arial" w:hAnsi="Arial"/>
                  <w:sz w:val="18"/>
                  <w:szCs w:val="18"/>
                  <w:color w:val="0000FF"/>
                </w:rPr>
                <w:t>Unregistered Sales of Equity Securities and Use of Proceeds</w:t>
              </w:r>
            </w:hyperlink>
          </w:p>
        </w:tc>
        <w:tc>
          <w:tcPr>
            <w:tcW w:w="540" w:type="dxa"/>
            <w:vAlign w:val="bottom"/>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c>
          <w:tcPr>
            <w:tcW w:w="20" w:type="dxa"/>
            <w:vAlign w:val="bottom"/>
          </w:tcPr>
          <w:p>
            <w:pPr>
              <w:spacing w:after="0"/>
              <w:rPr>
                <w:sz w:val="24"/>
                <w:szCs w:val="24"/>
                <w:color w:val="auto"/>
              </w:rPr>
            </w:pPr>
          </w:p>
        </w:tc>
      </w:tr>
      <w:tr>
        <w:trPr>
          <w:trHeight w:val="378"/>
        </w:trPr>
        <w:tc>
          <w:tcPr>
            <w:tcW w:w="840" w:type="dxa"/>
            <w:vAlign w:val="bottom"/>
          </w:tcPr>
          <w:p>
            <w:pPr>
              <w:ind w:left="40"/>
              <w:spacing w:after="0"/>
              <w:rPr>
                <w:sz w:val="20"/>
                <w:szCs w:val="20"/>
                <w:color w:val="auto"/>
              </w:rPr>
            </w:pPr>
            <w:r>
              <w:rPr>
                <w:rFonts w:ascii="Arial" w:cs="Arial" w:eastAsia="Arial" w:hAnsi="Arial"/>
                <w:sz w:val="18"/>
                <w:szCs w:val="18"/>
                <w:color w:val="auto"/>
              </w:rPr>
              <w:t>Item 3.</w:t>
            </w:r>
          </w:p>
        </w:tc>
        <w:tc>
          <w:tcPr>
            <w:tcW w:w="9840" w:type="dxa"/>
            <w:vAlign w:val="bottom"/>
          </w:tcPr>
          <w:p>
            <w:pPr>
              <w:ind w:left="140"/>
              <w:spacing w:after="0"/>
              <w:rPr>
                <w:rFonts w:ascii="Arial" w:cs="Arial" w:eastAsia="Arial" w:hAnsi="Arial"/>
                <w:sz w:val="18"/>
                <w:szCs w:val="18"/>
                <w:color w:val="0000FF"/>
              </w:rPr>
            </w:pPr>
            <w:hyperlink w:anchor="page41">
              <w:r>
                <w:rPr>
                  <w:rFonts w:ascii="Arial" w:cs="Arial" w:eastAsia="Arial" w:hAnsi="Arial"/>
                  <w:sz w:val="18"/>
                  <w:szCs w:val="18"/>
                  <w:color w:val="0000FF"/>
                </w:rPr>
                <w:t>Defaults Upon Senior Securities</w:t>
              </w:r>
            </w:hyperlink>
          </w:p>
        </w:tc>
        <w:tc>
          <w:tcPr>
            <w:tcW w:w="540" w:type="dxa"/>
            <w:vAlign w:val="bottom"/>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c>
          <w:tcPr>
            <w:tcW w:w="20" w:type="dxa"/>
            <w:vAlign w:val="bottom"/>
          </w:tcPr>
          <w:p>
            <w:pPr>
              <w:spacing w:after="0"/>
              <w:rPr>
                <w:sz w:val="24"/>
                <w:szCs w:val="24"/>
                <w:color w:val="auto"/>
              </w:rPr>
            </w:pPr>
          </w:p>
        </w:tc>
      </w:tr>
      <w:tr>
        <w:trPr>
          <w:trHeight w:val="378"/>
        </w:trPr>
        <w:tc>
          <w:tcPr>
            <w:tcW w:w="840" w:type="dxa"/>
            <w:vAlign w:val="bottom"/>
          </w:tcPr>
          <w:p>
            <w:pPr>
              <w:ind w:left="40"/>
              <w:spacing w:after="0"/>
              <w:rPr>
                <w:sz w:val="20"/>
                <w:szCs w:val="20"/>
                <w:color w:val="auto"/>
              </w:rPr>
            </w:pPr>
            <w:r>
              <w:rPr>
                <w:rFonts w:ascii="Arial" w:cs="Arial" w:eastAsia="Arial" w:hAnsi="Arial"/>
                <w:sz w:val="18"/>
                <w:szCs w:val="18"/>
                <w:color w:val="auto"/>
              </w:rPr>
              <w:t>Item 4.</w:t>
            </w:r>
          </w:p>
        </w:tc>
        <w:tc>
          <w:tcPr>
            <w:tcW w:w="9840" w:type="dxa"/>
            <w:vAlign w:val="bottom"/>
          </w:tcPr>
          <w:p>
            <w:pPr>
              <w:ind w:left="140"/>
              <w:spacing w:after="0"/>
              <w:rPr>
                <w:rFonts w:ascii="Arial" w:cs="Arial" w:eastAsia="Arial" w:hAnsi="Arial"/>
                <w:sz w:val="18"/>
                <w:szCs w:val="18"/>
                <w:color w:val="0000FF"/>
              </w:rPr>
            </w:pPr>
            <w:hyperlink w:anchor="page41">
              <w:r>
                <w:rPr>
                  <w:rFonts w:ascii="Arial" w:cs="Arial" w:eastAsia="Arial" w:hAnsi="Arial"/>
                  <w:sz w:val="18"/>
                  <w:szCs w:val="18"/>
                  <w:color w:val="0000FF"/>
                </w:rPr>
                <w:t>Mine Safety Disclosures</w:t>
              </w:r>
            </w:hyperlink>
          </w:p>
        </w:tc>
        <w:tc>
          <w:tcPr>
            <w:tcW w:w="540" w:type="dxa"/>
            <w:vAlign w:val="bottom"/>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c>
          <w:tcPr>
            <w:tcW w:w="20" w:type="dxa"/>
            <w:vAlign w:val="bottom"/>
          </w:tcPr>
          <w:p>
            <w:pPr>
              <w:spacing w:after="0"/>
              <w:rPr>
                <w:sz w:val="24"/>
                <w:szCs w:val="24"/>
                <w:color w:val="auto"/>
              </w:rPr>
            </w:pPr>
          </w:p>
        </w:tc>
      </w:tr>
      <w:tr>
        <w:trPr>
          <w:trHeight w:val="378"/>
        </w:trPr>
        <w:tc>
          <w:tcPr>
            <w:tcW w:w="840" w:type="dxa"/>
            <w:vAlign w:val="bottom"/>
          </w:tcPr>
          <w:p>
            <w:pPr>
              <w:ind w:left="40"/>
              <w:spacing w:after="0"/>
              <w:rPr>
                <w:sz w:val="20"/>
                <w:szCs w:val="20"/>
                <w:color w:val="auto"/>
              </w:rPr>
            </w:pPr>
            <w:r>
              <w:rPr>
                <w:rFonts w:ascii="Arial" w:cs="Arial" w:eastAsia="Arial" w:hAnsi="Arial"/>
                <w:sz w:val="18"/>
                <w:szCs w:val="18"/>
                <w:color w:val="auto"/>
              </w:rPr>
              <w:t>Item 5.</w:t>
            </w:r>
          </w:p>
        </w:tc>
        <w:tc>
          <w:tcPr>
            <w:tcW w:w="9840" w:type="dxa"/>
            <w:vAlign w:val="bottom"/>
          </w:tcPr>
          <w:p>
            <w:pPr>
              <w:ind w:left="140"/>
              <w:spacing w:after="0"/>
              <w:rPr>
                <w:rFonts w:ascii="Arial" w:cs="Arial" w:eastAsia="Arial" w:hAnsi="Arial"/>
                <w:sz w:val="18"/>
                <w:szCs w:val="18"/>
                <w:color w:val="0000FF"/>
              </w:rPr>
            </w:pPr>
            <w:hyperlink w:anchor="page41">
              <w:r>
                <w:rPr>
                  <w:rFonts w:ascii="Arial" w:cs="Arial" w:eastAsia="Arial" w:hAnsi="Arial"/>
                  <w:sz w:val="18"/>
                  <w:szCs w:val="18"/>
                  <w:color w:val="0000FF"/>
                </w:rPr>
                <w:t>Other Information</w:t>
              </w:r>
            </w:hyperlink>
          </w:p>
        </w:tc>
        <w:tc>
          <w:tcPr>
            <w:tcW w:w="540" w:type="dxa"/>
            <w:vAlign w:val="bottom"/>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c>
          <w:tcPr>
            <w:tcW w:w="20" w:type="dxa"/>
            <w:vAlign w:val="bottom"/>
          </w:tcPr>
          <w:p>
            <w:pPr>
              <w:spacing w:after="0"/>
              <w:rPr>
                <w:sz w:val="24"/>
                <w:szCs w:val="24"/>
                <w:color w:val="auto"/>
              </w:rPr>
            </w:pPr>
          </w:p>
        </w:tc>
      </w:tr>
      <w:tr>
        <w:trPr>
          <w:trHeight w:val="378"/>
        </w:trPr>
        <w:tc>
          <w:tcPr>
            <w:tcW w:w="840" w:type="dxa"/>
            <w:vAlign w:val="bottom"/>
          </w:tcPr>
          <w:p>
            <w:pPr>
              <w:ind w:left="40"/>
              <w:spacing w:after="0"/>
              <w:rPr>
                <w:sz w:val="20"/>
                <w:szCs w:val="20"/>
                <w:color w:val="auto"/>
              </w:rPr>
            </w:pPr>
            <w:r>
              <w:rPr>
                <w:rFonts w:ascii="Arial" w:cs="Arial" w:eastAsia="Arial" w:hAnsi="Arial"/>
                <w:sz w:val="18"/>
                <w:szCs w:val="18"/>
                <w:color w:val="auto"/>
              </w:rPr>
              <w:t>Item 6.</w:t>
            </w:r>
          </w:p>
        </w:tc>
        <w:tc>
          <w:tcPr>
            <w:tcW w:w="9840" w:type="dxa"/>
            <w:vAlign w:val="bottom"/>
          </w:tcPr>
          <w:p>
            <w:pPr>
              <w:ind w:left="140"/>
              <w:spacing w:after="0"/>
              <w:rPr>
                <w:rFonts w:ascii="Arial" w:cs="Arial" w:eastAsia="Arial" w:hAnsi="Arial"/>
                <w:sz w:val="18"/>
                <w:szCs w:val="18"/>
                <w:color w:val="0000FF"/>
              </w:rPr>
            </w:pPr>
            <w:hyperlink w:anchor="page41">
              <w:r>
                <w:rPr>
                  <w:rFonts w:ascii="Arial" w:cs="Arial" w:eastAsia="Arial" w:hAnsi="Arial"/>
                  <w:sz w:val="18"/>
                  <w:szCs w:val="18"/>
                  <w:color w:val="0000FF"/>
                </w:rPr>
                <w:t>Exhibits</w:t>
              </w:r>
            </w:hyperlink>
          </w:p>
        </w:tc>
        <w:tc>
          <w:tcPr>
            <w:tcW w:w="540" w:type="dxa"/>
            <w:vAlign w:val="bottom"/>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42</w:t>
              </w:r>
            </w:hyperlink>
          </w:p>
        </w:tc>
        <w:tc>
          <w:tcPr>
            <w:tcW w:w="20" w:type="dxa"/>
            <w:vAlign w:val="bottom"/>
          </w:tcPr>
          <w:p>
            <w:pPr>
              <w:spacing w:after="0"/>
              <w:rPr>
                <w:sz w:val="24"/>
                <w:szCs w:val="24"/>
                <w:color w:val="auto"/>
              </w:rPr>
            </w:pPr>
          </w:p>
        </w:tc>
      </w:tr>
      <w:tr>
        <w:trPr>
          <w:trHeight w:val="338"/>
        </w:trPr>
        <w:tc>
          <w:tcPr>
            <w:tcW w:w="10680" w:type="dxa"/>
            <w:vAlign w:val="bottom"/>
            <w:gridSpan w:val="2"/>
          </w:tcPr>
          <w:p>
            <w:pPr>
              <w:ind w:left="40"/>
              <w:spacing w:after="0"/>
              <w:rPr>
                <w:rFonts w:ascii="Arial" w:cs="Arial" w:eastAsia="Arial" w:hAnsi="Arial"/>
                <w:sz w:val="18"/>
                <w:szCs w:val="18"/>
                <w:color w:val="0000FF"/>
              </w:rPr>
            </w:pPr>
            <w:hyperlink w:anchor="page42">
              <w:r>
                <w:rPr>
                  <w:rFonts w:ascii="Arial" w:cs="Arial" w:eastAsia="Arial" w:hAnsi="Arial"/>
                  <w:sz w:val="18"/>
                  <w:szCs w:val="18"/>
                  <w:color w:val="0000FF"/>
                </w:rPr>
                <w:t>SIGNATURES</w:t>
              </w:r>
            </w:hyperlink>
          </w:p>
        </w:tc>
        <w:tc>
          <w:tcPr>
            <w:tcW w:w="540" w:type="dxa"/>
            <w:vAlign w:val="bottom"/>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43</w:t>
              </w:r>
            </w:hyperlink>
          </w:p>
        </w:tc>
        <w:tc>
          <w:tcPr>
            <w:tcW w:w="20" w:type="dxa"/>
            <w:vAlign w:val="bottom"/>
          </w:tcPr>
          <w:p>
            <w:pPr>
              <w:spacing w:after="0"/>
              <w:rPr>
                <w:sz w:val="24"/>
                <w:szCs w:val="24"/>
                <w:color w:val="auto"/>
              </w:rPr>
            </w:pPr>
          </w:p>
        </w:tc>
      </w:tr>
      <w:tr>
        <w:trPr>
          <w:trHeight w:val="1208"/>
        </w:trPr>
        <w:tc>
          <w:tcPr>
            <w:tcW w:w="840" w:type="dxa"/>
            <w:vAlign w:val="bottom"/>
            <w:tcBorders>
              <w:bottom w:val="single" w:sz="8" w:color="9A9A9A"/>
            </w:tcBorders>
          </w:tcPr>
          <w:p>
            <w:pPr>
              <w:spacing w:after="0"/>
              <w:rPr>
                <w:sz w:val="24"/>
                <w:szCs w:val="24"/>
                <w:color w:val="auto"/>
              </w:rPr>
            </w:pPr>
          </w:p>
        </w:tc>
        <w:tc>
          <w:tcPr>
            <w:tcW w:w="98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par value and share data)</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4"/>
                <w:szCs w:val="14"/>
                <w:color w:val="auto"/>
              </w:rPr>
            </w:pPr>
          </w:p>
        </w:tc>
        <w:tc>
          <w:tcPr>
            <w:tcW w:w="11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r>
      <w:tr>
        <w:trPr>
          <w:trHeight w:val="190"/>
        </w:trPr>
        <w:tc>
          <w:tcPr>
            <w:tcW w:w="8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8600" w:type="dxa"/>
            <w:vAlign w:val="bottom"/>
          </w:tcPr>
          <w:p>
            <w:pPr>
              <w:ind w:left="398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860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33"/>
        </w:trPr>
        <w:tc>
          <w:tcPr>
            <w:tcW w:w="8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42,100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12,074</w:t>
            </w:r>
          </w:p>
        </w:tc>
      </w:tr>
      <w:tr>
        <w:trPr>
          <w:trHeight w:val="223"/>
        </w:trPr>
        <w:tc>
          <w:tcPr>
            <w:tcW w:w="8600" w:type="dxa"/>
            <w:vAlign w:val="bottom"/>
          </w:tcPr>
          <w:p>
            <w:pPr>
              <w:ind w:left="520"/>
              <w:spacing w:after="0"/>
              <w:rPr>
                <w:sz w:val="20"/>
                <w:szCs w:val="20"/>
                <w:color w:val="auto"/>
              </w:rPr>
            </w:pPr>
            <w:r>
              <w:rPr>
                <w:rFonts w:ascii="Arial" w:cs="Arial" w:eastAsia="Arial" w:hAnsi="Arial"/>
                <w:sz w:val="16"/>
                <w:szCs w:val="16"/>
                <w:color w:val="auto"/>
              </w:rPr>
              <w:t>Accounts receivable, net of allowance for doubtful accounts of $1,669 and $2,133, respectively</w:t>
            </w:r>
          </w:p>
        </w:tc>
        <w:tc>
          <w:tcPr>
            <w:tcW w:w="160" w:type="dxa"/>
            <w:vAlign w:val="bottom"/>
          </w:tcPr>
          <w:p>
            <w:pPr>
              <w:spacing w:after="0"/>
              <w:rPr>
                <w:sz w:val="19"/>
                <w:szCs w:val="19"/>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40,556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19,656</w:t>
            </w:r>
          </w:p>
        </w:tc>
      </w:tr>
      <w:tr>
        <w:trPr>
          <w:trHeight w:val="33"/>
        </w:trPr>
        <w:tc>
          <w:tcPr>
            <w:tcW w:w="8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Inventories, net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20,173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25,290</w:t>
            </w:r>
          </w:p>
        </w:tc>
      </w:tr>
      <w:tr>
        <w:trPr>
          <w:trHeight w:val="224"/>
        </w:trPr>
        <w:tc>
          <w:tcPr>
            <w:tcW w:w="8600" w:type="dxa"/>
            <w:vAlign w:val="bottom"/>
          </w:tcPr>
          <w:p>
            <w:pPr>
              <w:ind w:left="200"/>
              <w:spacing w:after="0"/>
              <w:rPr>
                <w:sz w:val="20"/>
                <w:szCs w:val="20"/>
                <w:color w:val="auto"/>
              </w:rPr>
            </w:pPr>
            <w:r>
              <w:rPr>
                <w:rFonts w:ascii="Arial" w:cs="Arial" w:eastAsia="Arial" w:hAnsi="Arial"/>
                <w:sz w:val="16"/>
                <w:szCs w:val="16"/>
                <w:color w:val="auto"/>
              </w:rPr>
              <w:t>Prepaid expenses and other</w:t>
            </w:r>
          </w:p>
        </w:tc>
        <w:tc>
          <w:tcPr>
            <w:tcW w:w="160" w:type="dxa"/>
            <w:vAlign w:val="bottom"/>
          </w:tcPr>
          <w:p>
            <w:pPr>
              <w:spacing w:after="0"/>
              <w:rPr>
                <w:sz w:val="19"/>
                <w:szCs w:val="19"/>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11,876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7,117</w:t>
            </w:r>
          </w:p>
        </w:tc>
      </w:tr>
      <w:tr>
        <w:trPr>
          <w:trHeight w:val="33"/>
        </w:trPr>
        <w:tc>
          <w:tcPr>
            <w:tcW w:w="8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114,705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64,137</w:t>
            </w:r>
          </w:p>
        </w:tc>
      </w:tr>
      <w:tr>
        <w:trPr>
          <w:trHeight w:val="217"/>
        </w:trPr>
        <w:tc>
          <w:tcPr>
            <w:tcW w:w="8600" w:type="dxa"/>
            <w:vAlign w:val="bottom"/>
          </w:tcPr>
          <w:p>
            <w:pPr>
              <w:ind w:left="320"/>
              <w:spacing w:after="0"/>
              <w:rPr>
                <w:sz w:val="20"/>
                <w:szCs w:val="20"/>
                <w:color w:val="auto"/>
              </w:rPr>
            </w:pPr>
            <w:r>
              <w:rPr>
                <w:rFonts w:ascii="Arial" w:cs="Arial" w:eastAsia="Arial" w:hAnsi="Arial"/>
                <w:sz w:val="16"/>
                <w:szCs w:val="16"/>
                <w:color w:val="auto"/>
              </w:rPr>
              <w:t>Property, plant and equipment, net of accumulated depreciation of $16,909 and $16,017, respectively</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12,198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10,756</w:t>
            </w:r>
          </w:p>
        </w:tc>
      </w:tr>
      <w:tr>
        <w:trPr>
          <w:trHeight w:val="33"/>
        </w:trPr>
        <w:tc>
          <w:tcPr>
            <w:tcW w:w="8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Rental assets, net of accumulated depreciation of $12,781 and $12,791,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4,704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5,385</w:t>
            </w:r>
          </w:p>
        </w:tc>
      </w:tr>
      <w:tr>
        <w:trPr>
          <w:trHeight w:val="223"/>
        </w:trPr>
        <w:tc>
          <w:tcPr>
            <w:tcW w:w="8600" w:type="dxa"/>
            <w:vAlign w:val="bottom"/>
          </w:tcPr>
          <w:p>
            <w:pPr>
              <w:ind w:left="320"/>
              <w:spacing w:after="0"/>
              <w:rPr>
                <w:sz w:val="20"/>
                <w:szCs w:val="20"/>
                <w:color w:val="auto"/>
              </w:rPr>
            </w:pPr>
            <w:r>
              <w:rPr>
                <w:rFonts w:ascii="Arial" w:cs="Arial" w:eastAsia="Arial" w:hAnsi="Arial"/>
                <w:sz w:val="16"/>
                <w:szCs w:val="16"/>
                <w:color w:val="auto"/>
              </w:rPr>
              <w:t>Intangible assets, net of accumulated amortization of $44,886 and $33,223, respectively</w:t>
            </w:r>
          </w:p>
        </w:tc>
        <w:tc>
          <w:tcPr>
            <w:tcW w:w="160" w:type="dxa"/>
            <w:vAlign w:val="bottom"/>
          </w:tcPr>
          <w:p>
            <w:pPr>
              <w:spacing w:after="0"/>
              <w:rPr>
                <w:sz w:val="19"/>
                <w:szCs w:val="19"/>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45,642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44,392</w:t>
            </w:r>
          </w:p>
        </w:tc>
      </w:tr>
      <w:tr>
        <w:trPr>
          <w:trHeight w:val="33"/>
        </w:trPr>
        <w:tc>
          <w:tcPr>
            <w:tcW w:w="8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28,030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33,659</w:t>
            </w:r>
          </w:p>
        </w:tc>
      </w:tr>
      <w:tr>
        <w:trPr>
          <w:trHeight w:val="224"/>
        </w:trPr>
        <w:tc>
          <w:tcPr>
            <w:tcW w:w="8600" w:type="dxa"/>
            <w:vAlign w:val="bottom"/>
          </w:tcPr>
          <w:p>
            <w:pPr>
              <w:spacing w:after="0"/>
              <w:rPr>
                <w:sz w:val="20"/>
                <w:szCs w:val="20"/>
                <w:color w:val="auto"/>
              </w:rPr>
            </w:pPr>
            <w:r>
              <w:rPr>
                <w:rFonts w:ascii="Arial" w:cs="Arial" w:eastAsia="Arial" w:hAnsi="Arial"/>
                <w:sz w:val="16"/>
                <w:szCs w:val="16"/>
                <w:color w:val="auto"/>
              </w:rPr>
              <w:t>Right-of-use assets, net</w:t>
            </w:r>
          </w:p>
        </w:tc>
        <w:tc>
          <w:tcPr>
            <w:tcW w:w="160" w:type="dxa"/>
            <w:vAlign w:val="bottom"/>
          </w:tcPr>
          <w:p>
            <w:pPr>
              <w:spacing w:after="0"/>
              <w:rPr>
                <w:sz w:val="19"/>
                <w:szCs w:val="19"/>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6,248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2,657</w:t>
            </w:r>
          </w:p>
        </w:tc>
      </w:tr>
      <w:tr>
        <w:trPr>
          <w:trHeight w:val="33"/>
        </w:trPr>
        <w:tc>
          <w:tcPr>
            <w:tcW w:w="8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387</w:t>
            </w:r>
          </w:p>
        </w:tc>
      </w:tr>
      <w:tr>
        <w:trPr>
          <w:trHeight w:val="247"/>
        </w:trPr>
        <w:tc>
          <w:tcPr>
            <w:tcW w:w="8600" w:type="dxa"/>
            <w:vAlign w:val="bottom"/>
          </w:tcPr>
          <w:p>
            <w:pPr>
              <w:ind w:left="64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211,912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161,373</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7"/>
        </w:trPr>
        <w:tc>
          <w:tcPr>
            <w:tcW w:w="8600" w:type="dxa"/>
            <w:vAlign w:val="bottom"/>
            <w:tcBorders>
              <w:bottom w:val="single" w:sz="8" w:color="CCEEFF"/>
            </w:tcBorders>
            <w:shd w:val="clear" w:color="auto" w:fill="CCEEFF"/>
          </w:tcPr>
          <w:p>
            <w:pPr>
              <w:ind w:left="2500"/>
              <w:spacing w:after="0"/>
              <w:rPr>
                <w:sz w:val="20"/>
                <w:szCs w:val="20"/>
                <w:color w:val="auto"/>
              </w:rPr>
            </w:pPr>
            <w:r>
              <w:rPr>
                <w:rFonts w:ascii="Arial" w:cs="Arial" w:eastAsia="Arial" w:hAnsi="Arial"/>
                <w:sz w:val="16"/>
                <w:szCs w:val="16"/>
                <w:b w:val="1"/>
                <w:bCs w:val="1"/>
                <w:color w:val="auto"/>
              </w:rPr>
              <w:t>LIABILITIES AND STOCKHOLDERS’ DEFICIT</w:t>
            </w:r>
          </w:p>
        </w:tc>
        <w:tc>
          <w:tcPr>
            <w:tcW w:w="1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223"/>
        </w:trPr>
        <w:tc>
          <w:tcPr>
            <w:tcW w:w="8600" w:type="dxa"/>
            <w:vAlign w:val="bottom"/>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49,239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26,482</w:t>
            </w:r>
          </w:p>
        </w:tc>
      </w:tr>
      <w:tr>
        <w:trPr>
          <w:trHeight w:val="223"/>
        </w:trPr>
        <w:tc>
          <w:tcPr>
            <w:tcW w:w="860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Pr>
          <w:p>
            <w:pPr>
              <w:spacing w:after="0"/>
              <w:rPr>
                <w:sz w:val="19"/>
                <w:szCs w:val="19"/>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18,569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17,861</w:t>
            </w:r>
          </w:p>
        </w:tc>
      </w:tr>
      <w:tr>
        <w:trPr>
          <w:trHeight w:val="33"/>
        </w:trPr>
        <w:tc>
          <w:tcPr>
            <w:tcW w:w="8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Convertible 5.5% senior notes, net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23"/>
        </w:trPr>
        <w:tc>
          <w:tcPr>
            <w:tcW w:w="8600" w:type="dxa"/>
            <w:vAlign w:val="bottom"/>
          </w:tcPr>
          <w:p>
            <w:pPr>
              <w:ind w:left="200"/>
              <w:spacing w:after="0"/>
              <w:rPr>
                <w:sz w:val="20"/>
                <w:szCs w:val="20"/>
                <w:color w:val="auto"/>
              </w:rPr>
            </w:pPr>
            <w:r>
              <w:rPr>
                <w:rFonts w:ascii="Arial" w:cs="Arial" w:eastAsia="Arial" w:hAnsi="Arial"/>
                <w:sz w:val="16"/>
                <w:szCs w:val="16"/>
                <w:color w:val="auto"/>
              </w:rPr>
              <w:t>DigiCore bank facilities</w:t>
            </w:r>
          </w:p>
        </w:tc>
        <w:tc>
          <w:tcPr>
            <w:tcW w:w="160" w:type="dxa"/>
            <w:vAlign w:val="bottom"/>
          </w:tcPr>
          <w:p>
            <w:pPr>
              <w:spacing w:after="0"/>
              <w:rPr>
                <w:sz w:val="19"/>
                <w:szCs w:val="19"/>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187</w:t>
            </w:r>
          </w:p>
        </w:tc>
      </w:tr>
      <w:tr>
        <w:trPr>
          <w:trHeight w:val="33"/>
        </w:trPr>
        <w:tc>
          <w:tcPr>
            <w:tcW w:w="8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67,936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44,530</w:t>
            </w:r>
          </w:p>
        </w:tc>
      </w:tr>
      <w:tr>
        <w:trPr>
          <w:trHeight w:val="203"/>
        </w:trPr>
        <w:tc>
          <w:tcPr>
            <w:tcW w:w="8600" w:type="dxa"/>
            <w:vAlign w:val="bottom"/>
          </w:tcPr>
          <w:p>
            <w:pPr>
              <w:spacing w:after="0"/>
              <w:rPr>
                <w:sz w:val="20"/>
                <w:szCs w:val="20"/>
                <w:color w:val="auto"/>
              </w:rPr>
            </w:pPr>
            <w:r>
              <w:rPr>
                <w:rFonts w:ascii="Arial" w:cs="Arial" w:eastAsia="Arial" w:hAnsi="Arial"/>
                <w:sz w:val="16"/>
                <w:szCs w:val="16"/>
                <w:color w:val="auto"/>
              </w:rPr>
              <w:t>Long-term liabilities:</w:t>
            </w: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33"/>
        </w:trPr>
        <w:tc>
          <w:tcPr>
            <w:tcW w:w="8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Convertible 3.25% senior notes, net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176,171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23"/>
        </w:trPr>
        <w:tc>
          <w:tcPr>
            <w:tcW w:w="8600" w:type="dxa"/>
            <w:vAlign w:val="bottom"/>
          </w:tcPr>
          <w:p>
            <w:pPr>
              <w:ind w:left="200"/>
              <w:spacing w:after="0"/>
              <w:rPr>
                <w:sz w:val="20"/>
                <w:szCs w:val="20"/>
                <w:color w:val="auto"/>
              </w:rPr>
            </w:pPr>
            <w:r>
              <w:rPr>
                <w:rFonts w:ascii="Arial" w:cs="Arial" w:eastAsia="Arial" w:hAnsi="Arial"/>
                <w:sz w:val="16"/>
                <w:szCs w:val="16"/>
                <w:color w:val="auto"/>
              </w:rPr>
              <w:t>Convertible 5.5% senior notes, net</w:t>
            </w:r>
          </w:p>
        </w:tc>
        <w:tc>
          <w:tcPr>
            <w:tcW w:w="1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101,334</w:t>
            </w:r>
          </w:p>
        </w:tc>
      </w:tr>
      <w:tr>
        <w:trPr>
          <w:trHeight w:val="33"/>
        </w:trPr>
        <w:tc>
          <w:tcPr>
            <w:tcW w:w="8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Term loan, net</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46,538</w:t>
            </w:r>
          </w:p>
        </w:tc>
      </w:tr>
      <w:tr>
        <w:trPr>
          <w:trHeight w:val="223"/>
        </w:trPr>
        <w:tc>
          <w:tcPr>
            <w:tcW w:w="8600" w:type="dxa"/>
            <w:vAlign w:val="bottom"/>
          </w:tcPr>
          <w:p>
            <w:pPr>
              <w:ind w:left="200"/>
              <w:spacing w:after="0"/>
              <w:rPr>
                <w:sz w:val="20"/>
                <w:szCs w:val="20"/>
                <w:color w:val="auto"/>
              </w:rPr>
            </w:pPr>
            <w:r>
              <w:rPr>
                <w:rFonts w:ascii="Arial" w:cs="Arial" w:eastAsia="Arial" w:hAnsi="Arial"/>
                <w:sz w:val="16"/>
                <w:szCs w:val="16"/>
                <w:color w:val="auto"/>
              </w:rPr>
              <w:t>Deferred tax liabilities, net</w:t>
            </w:r>
          </w:p>
        </w:tc>
        <w:tc>
          <w:tcPr>
            <w:tcW w:w="160" w:type="dxa"/>
            <w:vAlign w:val="bottom"/>
          </w:tcPr>
          <w:p>
            <w:pPr>
              <w:spacing w:after="0"/>
              <w:rPr>
                <w:sz w:val="19"/>
                <w:szCs w:val="19"/>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3,101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3,949</w:t>
            </w:r>
          </w:p>
        </w:tc>
      </w:tr>
      <w:tr>
        <w:trPr>
          <w:trHeight w:val="33"/>
        </w:trPr>
        <w:tc>
          <w:tcPr>
            <w:tcW w:w="8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8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6,632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2,380</w:t>
            </w:r>
          </w:p>
        </w:tc>
      </w:tr>
      <w:tr>
        <w:trPr>
          <w:trHeight w:val="217"/>
        </w:trPr>
        <w:tc>
          <w:tcPr>
            <w:tcW w:w="8600" w:type="dxa"/>
            <w:vAlign w:val="bottom"/>
          </w:tcPr>
          <w:p>
            <w:pPr>
              <w:ind w:left="440"/>
              <w:spacing w:after="0"/>
              <w:rPr>
                <w:sz w:val="20"/>
                <w:szCs w:val="20"/>
                <w:color w:val="auto"/>
              </w:rPr>
            </w:pPr>
            <w:r>
              <w:rPr>
                <w:rFonts w:ascii="Arial" w:cs="Arial" w:eastAsia="Arial" w:hAnsi="Arial"/>
                <w:sz w:val="16"/>
                <w:szCs w:val="16"/>
                <w:color w:val="auto"/>
              </w:rPr>
              <w:t>Total liabilities</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253,840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198,731</w:t>
            </w:r>
          </w:p>
        </w:tc>
      </w:tr>
      <w:tr>
        <w:trPr>
          <w:trHeight w:val="33"/>
        </w:trPr>
        <w:tc>
          <w:tcPr>
            <w:tcW w:w="8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23"/>
        </w:trPr>
        <w:tc>
          <w:tcPr>
            <w:tcW w:w="8600" w:type="dxa"/>
            <w:vAlign w:val="bottom"/>
          </w:tcPr>
          <w:p>
            <w:pPr>
              <w:spacing w:after="0"/>
              <w:rPr>
                <w:sz w:val="20"/>
                <w:szCs w:val="20"/>
                <w:color w:val="auto"/>
              </w:rPr>
            </w:pPr>
            <w:r>
              <w:rPr>
                <w:rFonts w:ascii="Arial" w:cs="Arial" w:eastAsia="Arial" w:hAnsi="Arial"/>
                <w:sz w:val="16"/>
                <w:szCs w:val="16"/>
                <w:color w:val="auto"/>
              </w:rPr>
              <w:t>Stockholders’ deficit:</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Preferred stock, par value $0.001; 2,000,000 shares authorized:</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0"/>
        </w:trPr>
        <w:tc>
          <w:tcPr>
            <w:tcW w:w="8600" w:type="dxa"/>
            <w:vAlign w:val="bottom"/>
          </w:tcPr>
          <w:p>
            <w:pPr>
              <w:ind w:left="440"/>
              <w:spacing w:after="0"/>
              <w:rPr>
                <w:sz w:val="20"/>
                <w:szCs w:val="20"/>
                <w:color w:val="auto"/>
              </w:rPr>
            </w:pPr>
            <w:r>
              <w:rPr>
                <w:rFonts w:ascii="Arial" w:cs="Arial" w:eastAsia="Arial" w:hAnsi="Arial"/>
                <w:sz w:val="16"/>
                <w:szCs w:val="16"/>
                <w:color w:val="auto"/>
                <w:w w:val="93"/>
              </w:rPr>
              <w:t>Series E Preferred stock, par value $0.001; 39,500 and 10,000 shares designated, respectively, 35,000 and 10,000 shares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6"/>
        </w:trPr>
        <w:tc>
          <w:tcPr>
            <w:tcW w:w="8600" w:type="dxa"/>
            <w:vAlign w:val="bottom"/>
          </w:tcPr>
          <w:p>
            <w:pPr>
              <w:ind w:left="440"/>
              <w:spacing w:after="0"/>
              <w:rPr>
                <w:sz w:val="20"/>
                <w:szCs w:val="20"/>
                <w:color w:val="auto"/>
              </w:rPr>
            </w:pPr>
            <w:r>
              <w:rPr>
                <w:rFonts w:ascii="Arial" w:cs="Arial" w:eastAsia="Arial" w:hAnsi="Arial"/>
                <w:sz w:val="16"/>
                <w:szCs w:val="16"/>
                <w:color w:val="auto"/>
                <w:w w:val="95"/>
              </w:rPr>
              <w:t>issued and outstanding, respectively, liquidation preference of $1,000 per share (plus any accrued but unpaid dividends)</w:t>
            </w:r>
          </w:p>
        </w:tc>
        <w:tc>
          <w:tcPr>
            <w:tcW w:w="16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r>
      <w:tr>
        <w:trPr>
          <w:trHeight w:val="33"/>
        </w:trPr>
        <w:tc>
          <w:tcPr>
            <w:tcW w:w="8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0"/>
        </w:trPr>
        <w:tc>
          <w:tcPr>
            <w:tcW w:w="86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3"/>
              </w:rPr>
              <w:t>Common stock, par value $0.001; 150,000,000 shares authorized, 97,018,396 and 81,974,051 shares issued and outstanding,</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8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respectively</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82</w:t>
            </w:r>
          </w:p>
        </w:tc>
      </w:tr>
      <w:tr>
        <w:trPr>
          <w:trHeight w:val="224"/>
        </w:trPr>
        <w:tc>
          <w:tcPr>
            <w:tcW w:w="860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9"/>
                <w:szCs w:val="19"/>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686,410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584,862</w:t>
            </w:r>
          </w:p>
        </w:tc>
      </w:tr>
      <w:tr>
        <w:trPr>
          <w:trHeight w:val="33"/>
        </w:trPr>
        <w:tc>
          <w:tcPr>
            <w:tcW w:w="8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(3,879)</w:t>
            </w:r>
          </w:p>
        </w:tc>
      </w:tr>
      <w:tr>
        <w:trPr>
          <w:trHeight w:val="223"/>
        </w:trPr>
        <w:tc>
          <w:tcPr>
            <w:tcW w:w="8600" w:type="dxa"/>
            <w:vAlign w:val="bottom"/>
          </w:tcPr>
          <w:p>
            <w:pPr>
              <w:ind w:left="20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(712,558)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(618,303)</w:t>
            </w:r>
          </w:p>
        </w:tc>
      </w:tr>
      <w:tr>
        <w:trPr>
          <w:trHeight w:val="33"/>
        </w:trPr>
        <w:tc>
          <w:tcPr>
            <w:tcW w:w="8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6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Total stockholders’ deficit attributable to Inseego Corp.</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(41,834)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(37,238)</w:t>
            </w:r>
          </w:p>
        </w:tc>
      </w:tr>
      <w:tr>
        <w:trPr>
          <w:trHeight w:val="223"/>
        </w:trPr>
        <w:tc>
          <w:tcPr>
            <w:tcW w:w="8600" w:type="dxa"/>
            <w:vAlign w:val="bottom"/>
          </w:tcPr>
          <w:p>
            <w:pPr>
              <w:ind w:left="520"/>
              <w:spacing w:after="0"/>
              <w:rPr>
                <w:sz w:val="20"/>
                <w:szCs w:val="20"/>
                <w:color w:val="auto"/>
              </w:rPr>
            </w:pPr>
            <w:r>
              <w:rPr>
                <w:rFonts w:ascii="Arial" w:cs="Arial" w:eastAsia="Arial" w:hAnsi="Arial"/>
                <w:sz w:val="16"/>
                <w:szCs w:val="16"/>
                <w:color w:val="auto"/>
              </w:rPr>
              <w:t>Noncontrolling interests</w:t>
            </w:r>
          </w:p>
        </w:tc>
        <w:tc>
          <w:tcPr>
            <w:tcW w:w="1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(120)</w:t>
            </w:r>
          </w:p>
        </w:tc>
      </w:tr>
      <w:tr>
        <w:trPr>
          <w:trHeight w:val="33"/>
        </w:trPr>
        <w:tc>
          <w:tcPr>
            <w:tcW w:w="8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stockholders’ deficit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(41,928)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(37,358)</w:t>
            </w:r>
          </w:p>
        </w:tc>
      </w:tr>
      <w:tr>
        <w:trPr>
          <w:trHeight w:val="247"/>
        </w:trPr>
        <w:tc>
          <w:tcPr>
            <w:tcW w:w="8600" w:type="dxa"/>
            <w:vAlign w:val="bottom"/>
          </w:tcPr>
          <w:p>
            <w:pPr>
              <w:ind w:left="640"/>
              <w:spacing w:after="0"/>
              <w:rPr>
                <w:sz w:val="20"/>
                <w:szCs w:val="20"/>
                <w:color w:val="auto"/>
              </w:rPr>
            </w:pPr>
            <w:r>
              <w:rPr>
                <w:rFonts w:ascii="Arial" w:cs="Arial" w:eastAsia="Arial" w:hAnsi="Arial"/>
                <w:sz w:val="16"/>
                <w:szCs w:val="16"/>
                <w:color w:val="auto"/>
              </w:rPr>
              <w:t>Total liabilities and stockholders’ deficit</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211,912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161,373</w:t>
            </w:r>
          </w:p>
        </w:tc>
      </w:tr>
      <w:tr>
        <w:trPr>
          <w:trHeight w:val="24"/>
        </w:trPr>
        <w:tc>
          <w:tcPr>
            <w:tcW w:w="8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220"/>
          </w:cols>
          <w:pgMar w:left="320" w:top="985" w:right="359" w:bottom="1440"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200" w:type="dxa"/>
            <w:vAlign w:val="bottom"/>
            <w:gridSpan w:val="4"/>
          </w:tcPr>
          <w:p>
            <w:pPr>
              <w:jc w:val="right"/>
              <w:ind w:right="53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6380" w:type="dxa"/>
            <w:vAlign w:val="bottom"/>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66,243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39,983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106,624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72,764</w:t>
            </w:r>
          </w:p>
        </w:tc>
        <w:tc>
          <w:tcPr>
            <w:tcW w:w="0" w:type="dxa"/>
            <w:vAlign w:val="bottom"/>
          </w:tcPr>
          <w:p>
            <w:pPr>
              <w:spacing w:after="0"/>
              <w:rPr>
                <w:sz w:val="1"/>
                <w:szCs w:val="1"/>
                <w:color w:val="auto"/>
              </w:rPr>
            </w:pPr>
          </w:p>
        </w:tc>
      </w:tr>
      <w:tr>
        <w:trPr>
          <w:trHeight w:val="224"/>
        </w:trPr>
        <w:tc>
          <w:tcPr>
            <w:tcW w:w="6380" w:type="dxa"/>
            <w:vAlign w:val="bottom"/>
          </w:tcPr>
          <w:p>
            <w:pPr>
              <w:ind w:left="220"/>
              <w:spacing w:after="0"/>
              <w:rPr>
                <w:sz w:val="20"/>
                <w:szCs w:val="20"/>
                <w:color w:val="auto"/>
              </w:rPr>
            </w:pPr>
            <w:r>
              <w:rPr>
                <w:rFonts w:ascii="Arial" w:cs="Arial" w:eastAsia="Arial" w:hAnsi="Arial"/>
                <w:sz w:val="16"/>
                <w:szCs w:val="16"/>
                <w:color w:val="auto"/>
              </w:rPr>
              <w:t>Enterprise SaaS Solutions</w:t>
            </w:r>
          </w:p>
        </w:tc>
        <w:tc>
          <w:tcPr>
            <w:tcW w:w="180" w:type="dxa"/>
            <w:vAlign w:val="bottom"/>
          </w:tcPr>
          <w:p>
            <w:pPr>
              <w:spacing w:after="0"/>
              <w:rPr>
                <w:sz w:val="19"/>
                <w:szCs w:val="19"/>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14,446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15,908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30,905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31,683</w:t>
            </w:r>
          </w:p>
        </w:tc>
        <w:tc>
          <w:tcPr>
            <w:tcW w:w="0" w:type="dxa"/>
            <w:vAlign w:val="bottom"/>
          </w:tcPr>
          <w:p>
            <w:pPr>
              <w:spacing w:after="0"/>
              <w:rPr>
                <w:sz w:val="1"/>
                <w:szCs w:val="1"/>
                <w:color w:val="auto"/>
              </w:rPr>
            </w:pPr>
          </w:p>
        </w:tc>
      </w:tr>
      <w:tr>
        <w:trPr>
          <w:trHeight w:val="33"/>
        </w:trPr>
        <w:tc>
          <w:tcPr>
            <w:tcW w:w="6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net revenues</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80,689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55,891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137,529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104,447</w:t>
            </w:r>
          </w:p>
        </w:tc>
        <w:tc>
          <w:tcPr>
            <w:tcW w:w="0" w:type="dxa"/>
            <w:vAlign w:val="bottom"/>
          </w:tcPr>
          <w:p>
            <w:pPr>
              <w:spacing w:after="0"/>
              <w:rPr>
                <w:sz w:val="1"/>
                <w:szCs w:val="1"/>
                <w:color w:val="auto"/>
              </w:rPr>
            </w:pPr>
          </w:p>
        </w:tc>
      </w:tr>
      <w:tr>
        <w:trPr>
          <w:trHeight w:val="224"/>
        </w:trPr>
        <w:tc>
          <w:tcPr>
            <w:tcW w:w="6380" w:type="dxa"/>
            <w:vAlign w:val="bottom"/>
          </w:tcPr>
          <w:p>
            <w:pPr>
              <w:ind w:left="20"/>
              <w:spacing w:after="0"/>
              <w:rPr>
                <w:sz w:val="20"/>
                <w:szCs w:val="20"/>
                <w:color w:val="auto"/>
              </w:rPr>
            </w:pPr>
            <w:r>
              <w:rPr>
                <w:rFonts w:ascii="Arial" w:cs="Arial" w:eastAsia="Arial" w:hAnsi="Arial"/>
                <w:sz w:val="16"/>
                <w:szCs w:val="16"/>
                <w:color w:val="auto"/>
              </w:rPr>
              <w:t>Cost of net revenues: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53,223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33,986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86,087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61,586</w:t>
            </w:r>
          </w:p>
        </w:tc>
        <w:tc>
          <w:tcPr>
            <w:tcW w:w="0" w:type="dxa"/>
            <w:vAlign w:val="bottom"/>
          </w:tcPr>
          <w:p>
            <w:pPr>
              <w:spacing w:after="0"/>
              <w:rPr>
                <w:sz w:val="1"/>
                <w:szCs w:val="1"/>
                <w:color w:val="auto"/>
              </w:rPr>
            </w:pPr>
          </w:p>
        </w:tc>
      </w:tr>
      <w:tr>
        <w:trPr>
          <w:trHeight w:val="223"/>
        </w:trPr>
        <w:tc>
          <w:tcPr>
            <w:tcW w:w="6380" w:type="dxa"/>
            <w:vAlign w:val="bottom"/>
          </w:tcPr>
          <w:p>
            <w:pPr>
              <w:ind w:left="220"/>
              <w:spacing w:after="0"/>
              <w:rPr>
                <w:sz w:val="20"/>
                <w:szCs w:val="20"/>
                <w:color w:val="auto"/>
              </w:rPr>
            </w:pPr>
            <w:r>
              <w:rPr>
                <w:rFonts w:ascii="Arial" w:cs="Arial" w:eastAsia="Arial" w:hAnsi="Arial"/>
                <w:sz w:val="16"/>
                <w:szCs w:val="16"/>
                <w:color w:val="auto"/>
              </w:rPr>
              <w:t>Enterprise SaaS Solutions</w:t>
            </w:r>
          </w:p>
        </w:tc>
        <w:tc>
          <w:tcPr>
            <w:tcW w:w="180" w:type="dxa"/>
            <w:vAlign w:val="bottom"/>
          </w:tcPr>
          <w:p>
            <w:pPr>
              <w:spacing w:after="0"/>
              <w:rPr>
                <w:sz w:val="19"/>
                <w:szCs w:val="19"/>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5,466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6,350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12,215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12,546</w:t>
            </w:r>
          </w:p>
        </w:tc>
        <w:tc>
          <w:tcPr>
            <w:tcW w:w="0" w:type="dxa"/>
            <w:vAlign w:val="bottom"/>
          </w:tcPr>
          <w:p>
            <w:pPr>
              <w:spacing w:after="0"/>
              <w:rPr>
                <w:sz w:val="1"/>
                <w:szCs w:val="1"/>
                <w:color w:val="auto"/>
              </w:rPr>
            </w:pPr>
          </w:p>
        </w:tc>
      </w:tr>
      <w:tr>
        <w:trPr>
          <w:trHeight w:val="33"/>
        </w:trPr>
        <w:tc>
          <w:tcPr>
            <w:tcW w:w="6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cost of net revenues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58,689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40,336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98,302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74,132</w:t>
            </w:r>
          </w:p>
        </w:tc>
        <w:tc>
          <w:tcPr>
            <w:tcW w:w="0" w:type="dxa"/>
            <w:vAlign w:val="bottom"/>
          </w:tcPr>
          <w:p>
            <w:pPr>
              <w:spacing w:after="0"/>
              <w:rPr>
                <w:sz w:val="1"/>
                <w:szCs w:val="1"/>
                <w:color w:val="auto"/>
              </w:rPr>
            </w:pPr>
          </w:p>
        </w:tc>
      </w:tr>
      <w:tr>
        <w:trPr>
          <w:trHeight w:val="217"/>
        </w:trPr>
        <w:tc>
          <w:tcPr>
            <w:tcW w:w="6380" w:type="dxa"/>
            <w:vAlign w:val="bottom"/>
          </w:tcPr>
          <w:p>
            <w:pPr>
              <w:ind w:left="660"/>
              <w:spacing w:after="0"/>
              <w:rPr>
                <w:sz w:val="20"/>
                <w:szCs w:val="20"/>
                <w:color w:val="auto"/>
              </w:rPr>
            </w:pPr>
            <w:r>
              <w:rPr>
                <w:rFonts w:ascii="Arial" w:cs="Arial" w:eastAsia="Arial" w:hAnsi="Arial"/>
                <w:sz w:val="16"/>
                <w:szCs w:val="16"/>
                <w:color w:val="auto"/>
              </w:rPr>
              <w:t>Gross profit</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22,000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15,555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39,227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30,315</w:t>
            </w:r>
          </w:p>
        </w:tc>
        <w:tc>
          <w:tcPr>
            <w:tcW w:w="0" w:type="dxa"/>
            <w:vAlign w:val="bottom"/>
          </w:tcPr>
          <w:p>
            <w:pPr>
              <w:spacing w:after="0"/>
              <w:rPr>
                <w:sz w:val="1"/>
                <w:szCs w:val="1"/>
                <w:color w:val="auto"/>
              </w:rPr>
            </w:pPr>
          </w:p>
        </w:tc>
      </w:tr>
      <w:tr>
        <w:trPr>
          <w:trHeight w:val="33"/>
        </w:trPr>
        <w:tc>
          <w:tcPr>
            <w:tcW w:w="6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costs and expenses:</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38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180" w:type="dxa"/>
            <w:vAlign w:val="bottom"/>
          </w:tcPr>
          <w:p>
            <w:pPr>
              <w:spacing w:after="0"/>
              <w:rPr>
                <w:sz w:val="19"/>
                <w:szCs w:val="19"/>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10,540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5,188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18,764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8,673</w:t>
            </w: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Sales and marketing</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8,648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17,403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13,620</w:t>
            </w:r>
          </w:p>
        </w:tc>
        <w:tc>
          <w:tcPr>
            <w:tcW w:w="0" w:type="dxa"/>
            <w:vAlign w:val="bottom"/>
          </w:tcPr>
          <w:p>
            <w:pPr>
              <w:spacing w:after="0"/>
              <w:rPr>
                <w:sz w:val="1"/>
                <w:szCs w:val="1"/>
                <w:color w:val="auto"/>
              </w:rPr>
            </w:pPr>
          </w:p>
        </w:tc>
      </w:tr>
      <w:tr>
        <w:trPr>
          <w:trHeight w:val="223"/>
        </w:trPr>
        <w:tc>
          <w:tcPr>
            <w:tcW w:w="638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9"/>
                <w:szCs w:val="19"/>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7,396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7,464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14,558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13,938</w:t>
            </w: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Amortization of purchased intangible assets</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1,728</w:t>
            </w:r>
          </w:p>
        </w:tc>
        <w:tc>
          <w:tcPr>
            <w:tcW w:w="0" w:type="dxa"/>
            <w:vAlign w:val="bottom"/>
          </w:tcPr>
          <w:p>
            <w:pPr>
              <w:spacing w:after="0"/>
              <w:rPr>
                <w:sz w:val="1"/>
                <w:szCs w:val="1"/>
                <w:color w:val="auto"/>
              </w:rPr>
            </w:pPr>
          </w:p>
        </w:tc>
      </w:tr>
      <w:tr>
        <w:trPr>
          <w:trHeight w:val="217"/>
        </w:trPr>
        <w:tc>
          <w:tcPr>
            <w:tcW w:w="6380" w:type="dxa"/>
            <w:vAlign w:val="bottom"/>
          </w:tcPr>
          <w:p>
            <w:pPr>
              <w:ind w:left="460"/>
              <w:spacing w:after="0"/>
              <w:rPr>
                <w:sz w:val="20"/>
                <w:szCs w:val="20"/>
                <w:color w:val="auto"/>
              </w:rPr>
            </w:pPr>
            <w:r>
              <w:rPr>
                <w:rFonts w:ascii="Arial" w:cs="Arial" w:eastAsia="Arial" w:hAnsi="Arial"/>
                <w:sz w:val="16"/>
                <w:szCs w:val="16"/>
                <w:color w:val="auto"/>
              </w:rPr>
              <w:t>Total operating costs and expenses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27,337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20,738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52,304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37,959</w:t>
            </w:r>
          </w:p>
        </w:tc>
        <w:tc>
          <w:tcPr>
            <w:tcW w:w="0" w:type="dxa"/>
            <w:vAlign w:val="bottom"/>
          </w:tcPr>
          <w:p>
            <w:pPr>
              <w:spacing w:after="0"/>
              <w:rPr>
                <w:sz w:val="1"/>
                <w:szCs w:val="1"/>
                <w:color w:val="auto"/>
              </w:rPr>
            </w:pPr>
          </w:p>
        </w:tc>
      </w:tr>
      <w:tr>
        <w:trPr>
          <w:trHeight w:val="33"/>
        </w:trPr>
        <w:tc>
          <w:tcPr>
            <w:tcW w:w="6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loss</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(5,337)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(13,077)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(7,644)</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Loss on debt conversion and extinguishment, net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(67,241)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(75,174)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6380" w:type="dxa"/>
            <w:vAlign w:val="bottom"/>
          </w:tcPr>
          <w:p>
            <w:pPr>
              <w:ind w:left="22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(3,160)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(5,142)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(6,540)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(10,217)</w:t>
            </w: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17"/>
        </w:trPr>
        <w:tc>
          <w:tcPr>
            <w:tcW w:w="638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(74,951)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(10,397)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(93,026)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(17,620)</w:t>
            </w: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217"/>
        </w:trPr>
        <w:tc>
          <w:tcPr>
            <w:tcW w:w="63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(74,836)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(10,719)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(93,002)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(18,190)</w:t>
            </w: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Net loss (income) attributable to noncontrolling interests</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7"/>
        </w:trPr>
        <w:tc>
          <w:tcPr>
            <w:tcW w:w="6380" w:type="dxa"/>
            <w:vAlign w:val="bottom"/>
          </w:tcPr>
          <w:p>
            <w:pPr>
              <w:ind w:left="20"/>
              <w:spacing w:after="0"/>
              <w:rPr>
                <w:sz w:val="20"/>
                <w:szCs w:val="20"/>
                <w:color w:val="auto"/>
              </w:rPr>
            </w:pPr>
            <w:r>
              <w:rPr>
                <w:rFonts w:ascii="Arial" w:cs="Arial" w:eastAsia="Arial" w:hAnsi="Arial"/>
                <w:sz w:val="16"/>
                <w:szCs w:val="16"/>
                <w:color w:val="auto"/>
              </w:rPr>
              <w:t>Net loss attributable to Inseego Corp.</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(74,830)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(10,779)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(93,028)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(18,264)</w:t>
            </w: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Series E preferred stock dividends</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6380" w:type="dxa"/>
            <w:vAlign w:val="bottom"/>
          </w:tcPr>
          <w:p>
            <w:pPr>
              <w:ind w:left="20"/>
              <w:spacing w:after="0"/>
              <w:rPr>
                <w:sz w:val="20"/>
                <w:szCs w:val="20"/>
                <w:color w:val="auto"/>
              </w:rPr>
            </w:pPr>
            <w:r>
              <w:rPr>
                <w:rFonts w:ascii="Arial" w:cs="Arial" w:eastAsia="Arial" w:hAnsi="Arial"/>
                <w:sz w:val="16"/>
                <w:szCs w:val="16"/>
                <w:color w:val="auto"/>
              </w:rPr>
              <w:t>Net loss attributable to common shareholders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(75,665)</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(10,779)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(94,255)</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(18,264)</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Per share data:</w:t>
            </w: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Arial" w:cs="Arial" w:eastAsia="Arial" w:hAnsi="Arial"/>
                <w:sz w:val="16"/>
                <w:szCs w:val="16"/>
                <w:color w:val="auto"/>
              </w:rPr>
              <w:t>Net loss per common share: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6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 and 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Weighted-average shares used in computation of net loss per common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3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6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 and diluted</w:t>
            </w: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97"/>
              </w:rPr>
              <w:t>96,487,344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78,844,666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97"/>
              </w:rPr>
              <w:t>93,680,846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92"/>
              </w:rPr>
              <w:t>76,618,142</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140" w:type="dxa"/>
            <w:vAlign w:val="bottom"/>
            <w:gridSpan w:val="4"/>
          </w:tcPr>
          <w:p>
            <w:pPr>
              <w:jc w:val="right"/>
              <w:ind w:right="54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96"/>
        </w:trPr>
        <w:tc>
          <w:tcPr>
            <w:tcW w:w="63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r>
      <w:tr>
        <w:trPr>
          <w:trHeight w:val="23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(74,836)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(10,719)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(93,002)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(18,190)</w:t>
            </w:r>
          </w:p>
        </w:tc>
      </w:tr>
      <w:tr>
        <w:trPr>
          <w:trHeight w:val="223"/>
        </w:trPr>
        <w:tc>
          <w:tcPr>
            <w:tcW w:w="6380" w:type="dxa"/>
            <w:vAlign w:val="bottom"/>
          </w:tcPr>
          <w:p>
            <w:pPr>
              <w:ind w:left="34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Pr>
          <w:p>
            <w:pPr>
              <w:spacing w:after="0"/>
              <w:rPr>
                <w:sz w:val="19"/>
                <w:szCs w:val="19"/>
                <w:color w:val="auto"/>
              </w:rPr>
            </w:pPr>
          </w:p>
        </w:tc>
        <w:tc>
          <w:tcPr>
            <w:tcW w:w="880" w:type="dxa"/>
            <w:vAlign w:val="bottom"/>
          </w:tcPr>
          <w:p>
            <w:pPr>
              <w:jc w:val="right"/>
              <w:ind w:right="84"/>
              <w:spacing w:after="0"/>
              <w:rPr>
                <w:sz w:val="20"/>
                <w:szCs w:val="20"/>
                <w:color w:val="auto"/>
              </w:rPr>
            </w:pPr>
            <w:r>
              <w:rPr>
                <w:rFonts w:ascii="Arial" w:cs="Arial" w:eastAsia="Arial" w:hAnsi="Arial"/>
                <w:sz w:val="16"/>
                <w:szCs w:val="16"/>
                <w:color w:val="auto"/>
              </w:rPr>
              <w:t>1,576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81"/>
              <w:spacing w:after="0"/>
              <w:rPr>
                <w:sz w:val="20"/>
                <w:szCs w:val="20"/>
                <w:color w:val="auto"/>
              </w:rPr>
            </w:pPr>
            <w:r>
              <w:rPr>
                <w:rFonts w:ascii="Arial" w:cs="Arial" w:eastAsia="Arial" w:hAnsi="Arial"/>
                <w:sz w:val="16"/>
                <w:szCs w:val="16"/>
                <w:color w:val="auto"/>
              </w:rPr>
              <w:t>1,790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(11,904)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1,207</w:t>
            </w:r>
          </w:p>
        </w:tc>
      </w:tr>
      <w:tr>
        <w:trPr>
          <w:trHeight w:val="33"/>
        </w:trPr>
        <w:tc>
          <w:tcPr>
            <w:tcW w:w="6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72"/>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comprehensive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(73,260)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(8,929)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(104,906)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(16,983)</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80" w:type="dxa"/>
            <w:vAlign w:val="bottom"/>
          </w:tcPr>
          <w:p>
            <w:pPr>
              <w:spacing w:after="0"/>
              <w:rPr>
                <w:sz w:val="13"/>
                <w:szCs w:val="13"/>
                <w:color w:val="auto"/>
              </w:rPr>
            </w:pPr>
          </w:p>
        </w:tc>
        <w:tc>
          <w:tcPr>
            <w:tcW w:w="1520" w:type="dxa"/>
            <w:vAlign w:val="bottom"/>
            <w:gridSpan w:val="5"/>
            <w:vMerge w:val="restart"/>
          </w:tcPr>
          <w:p>
            <w:pPr>
              <w:ind w:left="280"/>
              <w:spacing w:after="0"/>
              <w:rPr>
                <w:sz w:val="20"/>
                <w:szCs w:val="20"/>
                <w:color w:val="auto"/>
              </w:rPr>
            </w:pPr>
            <w:r>
              <w:rPr>
                <w:rFonts w:ascii="Arial" w:cs="Arial" w:eastAsia="Arial" w:hAnsi="Arial"/>
                <w:sz w:val="13"/>
                <w:szCs w:val="13"/>
                <w:b w:val="1"/>
                <w:bCs w:val="1"/>
                <w:color w:val="auto"/>
              </w:rPr>
              <w:t>Preferred Stock</w:t>
            </w:r>
          </w:p>
        </w:tc>
        <w:tc>
          <w:tcPr>
            <w:tcW w:w="1520" w:type="dxa"/>
            <w:vAlign w:val="bottom"/>
            <w:gridSpan w:val="5"/>
            <w:vMerge w:val="restart"/>
          </w:tcPr>
          <w:p>
            <w:pPr>
              <w:ind w:left="28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680" w:type="dxa"/>
            <w:vAlign w:val="bottom"/>
          </w:tcPr>
          <w:p>
            <w:pPr>
              <w:spacing w:after="0"/>
              <w:rPr>
                <w:sz w:val="12"/>
                <w:szCs w:val="12"/>
                <w:color w:val="auto"/>
              </w:rPr>
            </w:pPr>
          </w:p>
        </w:tc>
        <w:tc>
          <w:tcPr>
            <w:tcW w:w="1520" w:type="dxa"/>
            <w:vAlign w:val="bottom"/>
            <w:gridSpan w:val="5"/>
            <w:vMerge w:val="continue"/>
          </w:tcPr>
          <w:p>
            <w:pPr>
              <w:spacing w:after="0"/>
              <w:rPr>
                <w:sz w:val="12"/>
                <w:szCs w:val="12"/>
                <w:color w:val="auto"/>
              </w:rPr>
            </w:pPr>
          </w:p>
        </w:tc>
        <w:tc>
          <w:tcPr>
            <w:tcW w:w="15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70"/>
              <w:spacing w:after="0" w:line="140"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10"/>
        </w:trPr>
        <w:tc>
          <w:tcPr>
            <w:tcW w:w="26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94"/>
              </w:rPr>
              <w:t>Paid-in</w:t>
            </w:r>
          </w:p>
        </w:tc>
        <w:tc>
          <w:tcPr>
            <w:tcW w:w="140" w:type="dxa"/>
            <w:vAlign w:val="bottom"/>
          </w:tcPr>
          <w:p>
            <w:pPr>
              <w:spacing w:after="0"/>
              <w:rPr>
                <w:sz w:val="9"/>
                <w:szCs w:val="9"/>
                <w:color w:val="auto"/>
              </w:rPr>
            </w:pPr>
          </w:p>
        </w:tc>
        <w:tc>
          <w:tcPr>
            <w:tcW w:w="112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120" w:type="dxa"/>
            <w:vAlign w:val="bottom"/>
          </w:tcPr>
          <w:p>
            <w:pPr>
              <w:spacing w:after="0"/>
              <w:rPr>
                <w:sz w:val="9"/>
                <w:szCs w:val="9"/>
                <w:color w:val="auto"/>
              </w:rPr>
            </w:pPr>
          </w:p>
        </w:tc>
        <w:tc>
          <w:tcPr>
            <w:tcW w:w="98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5"/>
              </w:rPr>
              <w:t>Accumulated</w:t>
            </w:r>
          </w:p>
        </w:tc>
        <w:tc>
          <w:tcPr>
            <w:tcW w:w="120" w:type="dxa"/>
            <w:vAlign w:val="bottom"/>
          </w:tcPr>
          <w:p>
            <w:pPr>
              <w:spacing w:after="0"/>
              <w:rPr>
                <w:sz w:val="9"/>
                <w:szCs w:val="9"/>
                <w:color w:val="auto"/>
              </w:rPr>
            </w:pPr>
          </w:p>
        </w:tc>
        <w:tc>
          <w:tcPr>
            <w:tcW w:w="1100" w:type="dxa"/>
            <w:vAlign w:val="bottom"/>
            <w:gridSpan w:val="2"/>
          </w:tcPr>
          <w:p>
            <w:pPr>
              <w:jc w:val="right"/>
              <w:ind w:right="260"/>
              <w:spacing w:after="0" w:line="110" w:lineRule="exact"/>
              <w:rPr>
                <w:sz w:val="20"/>
                <w:szCs w:val="20"/>
                <w:color w:val="auto"/>
              </w:rPr>
            </w:pPr>
            <w:r>
              <w:rPr>
                <w:rFonts w:ascii="Arial" w:cs="Arial" w:eastAsia="Arial" w:hAnsi="Arial"/>
                <w:sz w:val="12"/>
                <w:szCs w:val="12"/>
                <w:b w:val="1"/>
                <w:bCs w:val="1"/>
                <w:color w:val="auto"/>
                <w:w w:val="96"/>
              </w:rPr>
              <w:t>Noncontrolling</w:t>
            </w:r>
          </w:p>
        </w:tc>
        <w:tc>
          <w:tcPr>
            <w:tcW w:w="120" w:type="dxa"/>
            <w:vAlign w:val="bottom"/>
          </w:tcPr>
          <w:p>
            <w:pPr>
              <w:spacing w:after="0"/>
              <w:rPr>
                <w:sz w:val="9"/>
                <w:szCs w:val="9"/>
                <w:color w:val="auto"/>
              </w:rPr>
            </w:pPr>
          </w:p>
        </w:tc>
        <w:tc>
          <w:tcPr>
            <w:tcW w:w="900" w:type="dxa"/>
            <w:vAlign w:val="bottom"/>
          </w:tcPr>
          <w:p>
            <w:pPr>
              <w:jc w:val="center"/>
              <w:ind w:right="50"/>
              <w:spacing w:after="0" w:line="110" w:lineRule="exact"/>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174"/>
        </w:trPr>
        <w:tc>
          <w:tcPr>
            <w:tcW w:w="26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7"/>
              </w:rPr>
              <w:t>Capital</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Interests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March 31, 2019</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78,699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558,208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(5,460)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(585,302)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(32,596)</w:t>
            </w:r>
          </w:p>
        </w:tc>
        <w:tc>
          <w:tcPr>
            <w:tcW w:w="0" w:type="dxa"/>
            <w:vAlign w:val="bottom"/>
          </w:tcPr>
          <w:p>
            <w:pPr>
              <w:spacing w:after="0"/>
              <w:rPr>
                <w:sz w:val="1"/>
                <w:szCs w:val="1"/>
                <w:color w:val="auto"/>
              </w:rPr>
            </w:pPr>
          </w:p>
        </w:tc>
      </w:tr>
      <w:tr>
        <w:trPr>
          <w:trHeight w:val="197"/>
        </w:trPr>
        <w:tc>
          <w:tcPr>
            <w:tcW w:w="26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(10,779)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(10,719)</w:t>
            </w:r>
          </w:p>
        </w:tc>
        <w:tc>
          <w:tcPr>
            <w:tcW w:w="0" w:type="dxa"/>
            <w:vAlign w:val="bottom"/>
          </w:tcPr>
          <w:p>
            <w:pPr>
              <w:spacing w:after="0"/>
              <w:rPr>
                <w:sz w:val="1"/>
                <w:szCs w:val="1"/>
                <w:color w:val="auto"/>
              </w:rPr>
            </w:pPr>
          </w:p>
        </w:tc>
      </w:tr>
      <w:tr>
        <w:trPr>
          <w:trHeight w:val="208"/>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1,790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1,790</w:t>
            </w:r>
          </w:p>
        </w:tc>
        <w:tc>
          <w:tcPr>
            <w:tcW w:w="0" w:type="dxa"/>
            <w:vAlign w:val="bottom"/>
          </w:tcPr>
          <w:p>
            <w:pPr>
              <w:spacing w:after="0"/>
              <w:rPr>
                <w:sz w:val="1"/>
                <w:szCs w:val="1"/>
                <w:color w:val="auto"/>
              </w:rPr>
            </w:pPr>
          </w:p>
        </w:tc>
      </w:tr>
      <w:tr>
        <w:trPr>
          <w:trHeight w:val="157"/>
        </w:trPr>
        <w:tc>
          <w:tcPr>
            <w:tcW w:w="2680" w:type="dxa"/>
            <w:vAlign w:val="bottom"/>
          </w:tcPr>
          <w:p>
            <w:pPr>
              <w:ind w:left="20"/>
              <w:spacing w:after="0" w:line="157" w:lineRule="exact"/>
              <w:rPr>
                <w:sz w:val="20"/>
                <w:szCs w:val="20"/>
                <w:color w:val="auto"/>
              </w:rPr>
            </w:pPr>
            <w:r>
              <w:rPr>
                <w:rFonts w:ascii="Arial" w:cs="Arial" w:eastAsia="Arial" w:hAnsi="Arial"/>
                <w:sz w:val="14"/>
                <w:szCs w:val="14"/>
                <w:color w:val="auto"/>
              </w:rPr>
              <w:t>Exercise of stock options, vesting of</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80" w:type="dxa"/>
            <w:vAlign w:val="bottom"/>
          </w:tcPr>
          <w:p>
            <w:pPr>
              <w:ind w:left="20"/>
              <w:spacing w:after="0" w:line="149" w:lineRule="exact"/>
              <w:rPr>
                <w:sz w:val="20"/>
                <w:szCs w:val="20"/>
                <w:color w:val="auto"/>
              </w:rPr>
            </w:pPr>
            <w:r>
              <w:rPr>
                <w:rFonts w:ascii="Arial" w:cs="Arial" w:eastAsia="Arial" w:hAnsi="Arial"/>
                <w:sz w:val="14"/>
                <w:szCs w:val="14"/>
                <w:color w:val="auto"/>
                <w:w w:val="95"/>
              </w:rPr>
              <w:t>restricted stock units and stock issued under</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8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9"/>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163"/>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 withheld on net settled vesting of</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96"/>
        </w:trPr>
        <w:tc>
          <w:tcPr>
            <w:tcW w:w="2680" w:type="dxa"/>
            <w:vAlign w:val="bottom"/>
          </w:tcPr>
          <w:p>
            <w:pPr>
              <w:ind w:left="20"/>
              <w:spacing w:after="0"/>
              <w:rPr>
                <w:sz w:val="20"/>
                <w:szCs w:val="20"/>
                <w:color w:val="auto"/>
              </w:rPr>
            </w:pPr>
            <w:r>
              <w:rPr>
                <w:rFonts w:ascii="Arial" w:cs="Arial" w:eastAsia="Arial" w:hAnsi="Arial"/>
                <w:sz w:val="14"/>
                <w:szCs w:val="14"/>
                <w:color w:val="auto"/>
              </w:rPr>
              <w:t>Issuance of common shares</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9"/>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6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3,645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3,645</w:t>
            </w:r>
          </w:p>
        </w:tc>
        <w:tc>
          <w:tcPr>
            <w:tcW w:w="0" w:type="dxa"/>
            <w:vAlign w:val="bottom"/>
          </w:tcPr>
          <w:p>
            <w:pPr>
              <w:spacing w:after="0"/>
              <w:rPr>
                <w:sz w:val="1"/>
                <w:szCs w:val="1"/>
                <w:color w:val="auto"/>
              </w:rPr>
            </w:pPr>
          </w:p>
        </w:tc>
      </w:tr>
      <w:tr>
        <w:trPr>
          <w:trHeight w:val="202"/>
        </w:trPr>
        <w:tc>
          <w:tcPr>
            <w:tcW w:w="2680" w:type="dxa"/>
            <w:vAlign w:val="bottom"/>
          </w:tcPr>
          <w:p>
            <w:pPr>
              <w:ind w:left="20"/>
              <w:spacing w:after="0"/>
              <w:rPr>
                <w:sz w:val="20"/>
                <w:szCs w:val="20"/>
                <w:color w:val="auto"/>
              </w:rPr>
            </w:pPr>
            <w:r>
              <w:rPr>
                <w:rFonts w:ascii="Arial" w:cs="Arial" w:eastAsia="Arial" w:hAnsi="Arial"/>
                <w:sz w:val="14"/>
                <w:szCs w:val="14"/>
                <w:color w:val="auto"/>
              </w:rPr>
              <w:t>Balance, June 30, 2019</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9"/>
              <w:spacing w:after="0"/>
              <w:rPr>
                <w:sz w:val="20"/>
                <w:szCs w:val="20"/>
                <w:color w:val="auto"/>
              </w:rPr>
            </w:pPr>
            <w:r>
              <w:rPr>
                <w:rFonts w:ascii="Arial" w:cs="Arial" w:eastAsia="Arial" w:hAnsi="Arial"/>
                <w:sz w:val="14"/>
                <w:szCs w:val="14"/>
                <w:color w:val="auto"/>
              </w:rPr>
              <w:t>78,985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562,405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(3,670)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(596,081)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(37,328)</w:t>
            </w:r>
          </w:p>
        </w:tc>
        <w:tc>
          <w:tcPr>
            <w:tcW w:w="0" w:type="dxa"/>
            <w:vAlign w:val="bottom"/>
          </w:tcPr>
          <w:p>
            <w:pPr>
              <w:spacing w:after="0"/>
              <w:rPr>
                <w:sz w:val="1"/>
                <w:szCs w:val="1"/>
                <w:color w:val="auto"/>
              </w:rPr>
            </w:pPr>
          </w:p>
        </w:tc>
      </w:tr>
      <w:tr>
        <w:trPr>
          <w:trHeight w:val="21"/>
        </w:trPr>
        <w:tc>
          <w:tcPr>
            <w:tcW w:w="2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March 31, 2020</w:t>
            </w:r>
          </w:p>
        </w:tc>
        <w:tc>
          <w:tcPr>
            <w:tcW w:w="6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96,180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682,047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(17,359)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(636,893)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27,803</w:t>
            </w:r>
          </w:p>
        </w:tc>
        <w:tc>
          <w:tcPr>
            <w:tcW w:w="0" w:type="dxa"/>
            <w:vAlign w:val="bottom"/>
          </w:tcPr>
          <w:p>
            <w:pPr>
              <w:spacing w:after="0"/>
              <w:rPr>
                <w:sz w:val="1"/>
                <w:szCs w:val="1"/>
                <w:color w:val="auto"/>
              </w:rPr>
            </w:pPr>
          </w:p>
        </w:tc>
      </w:tr>
      <w:tr>
        <w:trPr>
          <w:trHeight w:val="196"/>
        </w:trPr>
        <w:tc>
          <w:tcPr>
            <w:tcW w:w="2680" w:type="dxa"/>
            <w:vAlign w:val="bottom"/>
          </w:tcPr>
          <w:p>
            <w:pPr>
              <w:ind w:left="20"/>
              <w:spacing w:after="0"/>
              <w:rPr>
                <w:sz w:val="20"/>
                <w:szCs w:val="20"/>
                <w:color w:val="auto"/>
              </w:rPr>
            </w:pPr>
            <w:r>
              <w:rPr>
                <w:rFonts w:ascii="Arial" w:cs="Arial" w:eastAsia="Arial" w:hAnsi="Arial"/>
                <w:sz w:val="14"/>
                <w:szCs w:val="14"/>
                <w:color w:val="auto"/>
              </w:rPr>
              <w:t>Net loss</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(74,830)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(74,836)</w:t>
            </w:r>
          </w:p>
        </w:tc>
        <w:tc>
          <w:tcPr>
            <w:tcW w:w="0" w:type="dxa"/>
            <w:vAlign w:val="bottom"/>
          </w:tcPr>
          <w:p>
            <w:pPr>
              <w:spacing w:after="0"/>
              <w:rPr>
                <w:sz w:val="1"/>
                <w:szCs w:val="1"/>
                <w:color w:val="auto"/>
              </w:rPr>
            </w:pPr>
          </w:p>
        </w:tc>
      </w:tr>
      <w:tr>
        <w:trPr>
          <w:trHeight w:val="209"/>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1,576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1,576</w:t>
            </w:r>
          </w:p>
        </w:tc>
        <w:tc>
          <w:tcPr>
            <w:tcW w:w="0" w:type="dxa"/>
            <w:vAlign w:val="bottom"/>
          </w:tcPr>
          <w:p>
            <w:pPr>
              <w:spacing w:after="0"/>
              <w:rPr>
                <w:sz w:val="1"/>
                <w:szCs w:val="1"/>
                <w:color w:val="auto"/>
              </w:rPr>
            </w:pPr>
          </w:p>
        </w:tc>
      </w:tr>
      <w:tr>
        <w:trPr>
          <w:trHeight w:val="157"/>
        </w:trPr>
        <w:tc>
          <w:tcPr>
            <w:tcW w:w="2680" w:type="dxa"/>
            <w:vAlign w:val="bottom"/>
          </w:tcPr>
          <w:p>
            <w:pPr>
              <w:ind w:left="20"/>
              <w:spacing w:after="0" w:line="157" w:lineRule="exact"/>
              <w:rPr>
                <w:sz w:val="20"/>
                <w:szCs w:val="20"/>
                <w:color w:val="auto"/>
              </w:rPr>
            </w:pPr>
            <w:r>
              <w:rPr>
                <w:rFonts w:ascii="Arial" w:cs="Arial" w:eastAsia="Arial" w:hAnsi="Arial"/>
                <w:sz w:val="14"/>
                <w:szCs w:val="14"/>
                <w:color w:val="auto"/>
              </w:rPr>
              <w:t>Exercise of stock options, vesting of</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80" w:type="dxa"/>
            <w:vAlign w:val="bottom"/>
          </w:tcPr>
          <w:p>
            <w:pPr>
              <w:ind w:left="20"/>
              <w:spacing w:after="0" w:line="149" w:lineRule="exact"/>
              <w:rPr>
                <w:sz w:val="20"/>
                <w:szCs w:val="20"/>
                <w:color w:val="auto"/>
              </w:rPr>
            </w:pPr>
            <w:r>
              <w:rPr>
                <w:rFonts w:ascii="Arial" w:cs="Arial" w:eastAsia="Arial" w:hAnsi="Arial"/>
                <w:sz w:val="14"/>
                <w:szCs w:val="14"/>
                <w:color w:val="auto"/>
                <w:w w:val="95"/>
              </w:rPr>
              <w:t>restricted stock units and stock issued under</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8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9"/>
              <w:spacing w:after="0"/>
              <w:rPr>
                <w:sz w:val="20"/>
                <w:szCs w:val="20"/>
                <w:color w:val="auto"/>
              </w:rPr>
            </w:pPr>
            <w:r>
              <w:rPr>
                <w:rFonts w:ascii="Arial" w:cs="Arial" w:eastAsia="Arial" w:hAnsi="Arial"/>
                <w:sz w:val="14"/>
                <w:szCs w:val="14"/>
                <w:color w:val="auto"/>
              </w:rPr>
              <w:t>838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1,662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1,663</w:t>
            </w:r>
          </w:p>
        </w:tc>
        <w:tc>
          <w:tcPr>
            <w:tcW w:w="0" w:type="dxa"/>
            <w:vAlign w:val="bottom"/>
          </w:tcPr>
          <w:p>
            <w:pPr>
              <w:spacing w:after="0"/>
              <w:rPr>
                <w:sz w:val="1"/>
                <w:szCs w:val="1"/>
                <w:color w:val="auto"/>
              </w:rPr>
            </w:pPr>
          </w:p>
        </w:tc>
      </w:tr>
      <w:tr>
        <w:trPr>
          <w:trHeight w:val="163"/>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 withheld on net settled vesting of</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97"/>
        </w:trPr>
        <w:tc>
          <w:tcPr>
            <w:tcW w:w="2680" w:type="dxa"/>
            <w:vAlign w:val="bottom"/>
          </w:tcPr>
          <w:p>
            <w:pPr>
              <w:ind w:left="20"/>
              <w:spacing w:after="0"/>
              <w:rPr>
                <w:sz w:val="20"/>
                <w:szCs w:val="20"/>
                <w:color w:val="auto"/>
              </w:rPr>
            </w:pPr>
            <w:r>
              <w:rPr>
                <w:rFonts w:ascii="Arial" w:cs="Arial" w:eastAsia="Arial" w:hAnsi="Arial"/>
                <w:sz w:val="14"/>
                <w:szCs w:val="14"/>
                <w:color w:val="auto"/>
              </w:rPr>
              <w:t>Repurchase of Series E preferred stock</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(2,354)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(2,354)</w:t>
            </w:r>
          </w:p>
        </w:tc>
        <w:tc>
          <w:tcPr>
            <w:tcW w:w="0" w:type="dxa"/>
            <w:vAlign w:val="bottom"/>
          </w:tcPr>
          <w:p>
            <w:pPr>
              <w:spacing w:after="0"/>
              <w:rPr>
                <w:sz w:val="1"/>
                <w:szCs w:val="1"/>
                <w:color w:val="auto"/>
              </w:rPr>
            </w:pPr>
          </w:p>
        </w:tc>
      </w:tr>
      <w:tr>
        <w:trPr>
          <w:trHeight w:val="208"/>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4,428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4,428</w:t>
            </w:r>
          </w:p>
        </w:tc>
        <w:tc>
          <w:tcPr>
            <w:tcW w:w="0" w:type="dxa"/>
            <w:vAlign w:val="bottom"/>
          </w:tcPr>
          <w:p>
            <w:pPr>
              <w:spacing w:after="0"/>
              <w:rPr>
                <w:sz w:val="1"/>
                <w:szCs w:val="1"/>
                <w:color w:val="auto"/>
              </w:rPr>
            </w:pPr>
          </w:p>
        </w:tc>
      </w:tr>
      <w:tr>
        <w:trPr>
          <w:trHeight w:val="197"/>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Series E preferred stock dividends</w:t>
            </w: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835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(835)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June 30, 2020</w:t>
            </w:r>
          </w:p>
        </w:tc>
        <w:tc>
          <w:tcPr>
            <w:tcW w:w="6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97,018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686,410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(15,783)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(712,558)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(41,928)</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0" w:type="dxa"/>
            <w:vAlign w:val="bottom"/>
          </w:tcPr>
          <w:p>
            <w:pPr>
              <w:spacing w:after="0"/>
              <w:rPr>
                <w:sz w:val="13"/>
                <w:szCs w:val="13"/>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b w:val="1"/>
                <w:bCs w:val="1"/>
                <w:color w:val="auto"/>
              </w:rPr>
              <w:t>Preferred Stock</w:t>
            </w:r>
          </w:p>
        </w:tc>
        <w:tc>
          <w:tcPr>
            <w:tcW w:w="1520" w:type="dxa"/>
            <w:vAlign w:val="bottom"/>
            <w:gridSpan w:val="5"/>
            <w:vMerge w:val="restart"/>
          </w:tcPr>
          <w:p>
            <w:pPr>
              <w:ind w:left="30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600" w:type="dxa"/>
            <w:vAlign w:val="bottom"/>
          </w:tcPr>
          <w:p>
            <w:pPr>
              <w:spacing w:after="0"/>
              <w:rPr>
                <w:sz w:val="12"/>
                <w:szCs w:val="12"/>
                <w:color w:val="auto"/>
              </w:rPr>
            </w:pPr>
          </w:p>
        </w:tc>
        <w:tc>
          <w:tcPr>
            <w:tcW w:w="1500" w:type="dxa"/>
            <w:vAlign w:val="bottom"/>
            <w:gridSpan w:val="5"/>
            <w:vMerge w:val="continue"/>
          </w:tcPr>
          <w:p>
            <w:pPr>
              <w:spacing w:after="0"/>
              <w:rPr>
                <w:sz w:val="12"/>
                <w:szCs w:val="12"/>
                <w:color w:val="auto"/>
              </w:rPr>
            </w:pPr>
          </w:p>
        </w:tc>
        <w:tc>
          <w:tcPr>
            <w:tcW w:w="15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6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9"/>
              </w:rPr>
              <w:t>Paid-in</w:t>
            </w:r>
          </w:p>
        </w:tc>
        <w:tc>
          <w:tcPr>
            <w:tcW w:w="120" w:type="dxa"/>
            <w:vAlign w:val="bottom"/>
          </w:tcPr>
          <w:p>
            <w:pPr>
              <w:spacing w:after="0"/>
              <w:rPr>
                <w:sz w:val="9"/>
                <w:szCs w:val="9"/>
                <w:color w:val="auto"/>
              </w:rPr>
            </w:pPr>
          </w:p>
        </w:tc>
        <w:tc>
          <w:tcPr>
            <w:tcW w:w="112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120" w:type="dxa"/>
            <w:vAlign w:val="bottom"/>
          </w:tcPr>
          <w:p>
            <w:pPr>
              <w:spacing w:after="0"/>
              <w:rPr>
                <w:sz w:val="9"/>
                <w:szCs w:val="9"/>
                <w:color w:val="auto"/>
              </w:rPr>
            </w:pPr>
          </w:p>
        </w:tc>
        <w:tc>
          <w:tcPr>
            <w:tcW w:w="98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9"/>
                <w:szCs w:val="9"/>
                <w:color w:val="auto"/>
              </w:rPr>
            </w:pPr>
          </w:p>
        </w:tc>
        <w:tc>
          <w:tcPr>
            <w:tcW w:w="1080" w:type="dxa"/>
            <w:vAlign w:val="bottom"/>
            <w:gridSpan w:val="2"/>
          </w:tcPr>
          <w:p>
            <w:pPr>
              <w:jc w:val="right"/>
              <w:ind w:right="260"/>
              <w:spacing w:after="0" w:line="110" w:lineRule="exact"/>
              <w:rPr>
                <w:sz w:val="20"/>
                <w:szCs w:val="20"/>
                <w:color w:val="auto"/>
              </w:rPr>
            </w:pPr>
            <w:r>
              <w:rPr>
                <w:rFonts w:ascii="Arial" w:cs="Arial" w:eastAsia="Arial" w:hAnsi="Arial"/>
                <w:sz w:val="12"/>
                <w:szCs w:val="12"/>
                <w:b w:val="1"/>
                <w:bCs w:val="1"/>
                <w:color w:val="auto"/>
                <w:w w:val="93"/>
              </w:rPr>
              <w:t>Noncontrolling</w:t>
            </w:r>
          </w:p>
        </w:tc>
        <w:tc>
          <w:tcPr>
            <w:tcW w:w="260" w:type="dxa"/>
            <w:vAlign w:val="bottom"/>
          </w:tcPr>
          <w:p>
            <w:pPr>
              <w:spacing w:after="0"/>
              <w:rPr>
                <w:sz w:val="9"/>
                <w:szCs w:val="9"/>
                <w:color w:val="auto"/>
              </w:rPr>
            </w:pPr>
          </w:p>
        </w:tc>
        <w:tc>
          <w:tcPr>
            <w:tcW w:w="880" w:type="dxa"/>
            <w:vAlign w:val="bottom"/>
          </w:tcPr>
          <w:p>
            <w:pPr>
              <w:jc w:val="right"/>
              <w:ind w:right="349"/>
              <w:spacing w:after="0" w:line="110"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4"/>
        </w:trPr>
        <w:tc>
          <w:tcPr>
            <w:tcW w:w="26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3"/>
                <w:szCs w:val="13"/>
                <w:b w:val="1"/>
                <w:bCs w:val="1"/>
                <w:color w:val="auto"/>
                <w:w w:val="85"/>
              </w:rPr>
              <w:t>Amount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Deficit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Interests</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7"/>
              </w:rPr>
              <w:t>Stockholders’Deficit</w:t>
            </w:r>
          </w:p>
        </w:tc>
        <w:tc>
          <w:tcPr>
            <w:tcW w:w="0" w:type="dxa"/>
            <w:vAlign w:val="bottom"/>
          </w:tcPr>
          <w:p>
            <w:pPr>
              <w:spacing w:after="0"/>
              <w:rPr>
                <w:sz w:val="1"/>
                <w:szCs w:val="1"/>
                <w:color w:val="auto"/>
              </w:rPr>
            </w:pPr>
          </w:p>
        </w:tc>
      </w:tr>
      <w:tr>
        <w:trPr>
          <w:trHeight w:val="203"/>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31, 2018</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73,980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546,230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(4,877)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(577,817)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(36,525)</w:t>
            </w:r>
          </w:p>
        </w:tc>
        <w:tc>
          <w:tcPr>
            <w:tcW w:w="0" w:type="dxa"/>
            <w:vAlign w:val="bottom"/>
          </w:tcPr>
          <w:p>
            <w:pPr>
              <w:spacing w:after="0"/>
              <w:rPr>
                <w:sz w:val="1"/>
                <w:szCs w:val="1"/>
                <w:color w:val="auto"/>
              </w:rPr>
            </w:pPr>
          </w:p>
        </w:tc>
      </w:tr>
      <w:tr>
        <w:trPr>
          <w:trHeight w:val="197"/>
        </w:trPr>
        <w:tc>
          <w:tcPr>
            <w:tcW w:w="26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(18,264)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(18,190)</w:t>
            </w:r>
          </w:p>
        </w:tc>
        <w:tc>
          <w:tcPr>
            <w:tcW w:w="0" w:type="dxa"/>
            <w:vAlign w:val="bottom"/>
          </w:tcPr>
          <w:p>
            <w:pPr>
              <w:spacing w:after="0"/>
              <w:rPr>
                <w:sz w:val="1"/>
                <w:szCs w:val="1"/>
                <w:color w:val="auto"/>
              </w:rPr>
            </w:pPr>
          </w:p>
        </w:tc>
      </w:tr>
      <w:tr>
        <w:trPr>
          <w:trHeight w:val="208"/>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1,207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1,207</w:t>
            </w:r>
          </w:p>
        </w:tc>
        <w:tc>
          <w:tcPr>
            <w:tcW w:w="0" w:type="dxa"/>
            <w:vAlign w:val="bottom"/>
          </w:tcPr>
          <w:p>
            <w:pPr>
              <w:spacing w:after="0"/>
              <w:rPr>
                <w:sz w:val="1"/>
                <w:szCs w:val="1"/>
                <w:color w:val="auto"/>
              </w:rPr>
            </w:pPr>
          </w:p>
        </w:tc>
      </w:tr>
      <w:tr>
        <w:trPr>
          <w:trHeight w:val="157"/>
        </w:trPr>
        <w:tc>
          <w:tcPr>
            <w:tcW w:w="2600" w:type="dxa"/>
            <w:vAlign w:val="bottom"/>
          </w:tcPr>
          <w:p>
            <w:pPr>
              <w:ind w:left="20"/>
              <w:spacing w:after="0" w:line="157" w:lineRule="exact"/>
              <w:rPr>
                <w:sz w:val="20"/>
                <w:szCs w:val="20"/>
                <w:color w:val="auto"/>
              </w:rPr>
            </w:pPr>
            <w:r>
              <w:rPr>
                <w:rFonts w:ascii="Arial" w:cs="Arial" w:eastAsia="Arial" w:hAnsi="Arial"/>
                <w:sz w:val="14"/>
                <w:szCs w:val="14"/>
                <w:color w:val="auto"/>
              </w:rPr>
              <w:t>Exercise of stock options, vesting of</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00" w:type="dxa"/>
            <w:vAlign w:val="bottom"/>
          </w:tcPr>
          <w:p>
            <w:pPr>
              <w:ind w:left="20"/>
              <w:spacing w:after="0" w:line="149" w:lineRule="exact"/>
              <w:rPr>
                <w:sz w:val="20"/>
                <w:szCs w:val="20"/>
                <w:color w:val="auto"/>
              </w:rPr>
            </w:pPr>
            <w:r>
              <w:rPr>
                <w:rFonts w:ascii="Arial" w:cs="Arial" w:eastAsia="Arial" w:hAnsi="Arial"/>
                <w:sz w:val="14"/>
                <w:szCs w:val="14"/>
                <w:color w:val="auto"/>
                <w:w w:val="92"/>
              </w:rPr>
              <w:t>restricted stock units and stock issued under</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0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9"/>
              <w:spacing w:after="0"/>
              <w:rPr>
                <w:sz w:val="20"/>
                <w:szCs w:val="20"/>
                <w:color w:val="auto"/>
              </w:rPr>
            </w:pPr>
            <w:r>
              <w:rPr>
                <w:rFonts w:ascii="Arial" w:cs="Arial" w:eastAsia="Arial" w:hAnsi="Arial"/>
                <w:sz w:val="14"/>
                <w:szCs w:val="14"/>
                <w:color w:val="auto"/>
              </w:rPr>
              <w:t>737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915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916</w:t>
            </w:r>
          </w:p>
        </w:tc>
        <w:tc>
          <w:tcPr>
            <w:tcW w:w="0" w:type="dxa"/>
            <w:vAlign w:val="bottom"/>
          </w:tcPr>
          <w:p>
            <w:pPr>
              <w:spacing w:after="0"/>
              <w:rPr>
                <w:sz w:val="1"/>
                <w:szCs w:val="1"/>
                <w:color w:val="auto"/>
              </w:rPr>
            </w:pPr>
          </w:p>
        </w:tc>
      </w:tr>
      <w:tr>
        <w:trPr>
          <w:trHeight w:val="163"/>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 withheld on net settled vesting of</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197"/>
        </w:trPr>
        <w:tc>
          <w:tcPr>
            <w:tcW w:w="2600" w:type="dxa"/>
            <w:vAlign w:val="bottom"/>
          </w:tcPr>
          <w:p>
            <w:pPr>
              <w:ind w:left="20"/>
              <w:spacing w:after="0"/>
              <w:rPr>
                <w:sz w:val="20"/>
                <w:szCs w:val="20"/>
                <w:color w:val="auto"/>
              </w:rPr>
            </w:pPr>
            <w:r>
              <w:rPr>
                <w:rFonts w:ascii="Arial" w:cs="Arial" w:eastAsia="Arial" w:hAnsi="Arial"/>
                <w:sz w:val="14"/>
                <w:szCs w:val="14"/>
                <w:color w:val="auto"/>
              </w:rPr>
              <w:t>Exercise of warrants</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69"/>
              <w:spacing w:after="0"/>
              <w:rPr>
                <w:sz w:val="20"/>
                <w:szCs w:val="20"/>
                <w:color w:val="auto"/>
              </w:rPr>
            </w:pPr>
            <w:r>
              <w:rPr>
                <w:rFonts w:ascii="Arial" w:cs="Arial" w:eastAsia="Arial" w:hAnsi="Arial"/>
                <w:sz w:val="14"/>
                <w:szCs w:val="14"/>
                <w:color w:val="auto"/>
              </w:rPr>
              <w:t>4,222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10,635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10,639</w:t>
            </w:r>
          </w:p>
        </w:tc>
        <w:tc>
          <w:tcPr>
            <w:tcW w:w="0" w:type="dxa"/>
            <w:vAlign w:val="bottom"/>
          </w:tcPr>
          <w:p>
            <w:pPr>
              <w:spacing w:after="0"/>
              <w:rPr>
                <w:sz w:val="1"/>
                <w:szCs w:val="1"/>
                <w:color w:val="auto"/>
              </w:rPr>
            </w:pPr>
          </w:p>
        </w:tc>
      </w:tr>
      <w:tr>
        <w:trPr>
          <w:trHeight w:val="208"/>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shares</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97"/>
        </w:trPr>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Share-based compensation</w:t>
            </w: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4,702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4,702</w:t>
            </w:r>
          </w:p>
        </w:tc>
        <w:tc>
          <w:tcPr>
            <w:tcW w:w="0" w:type="dxa"/>
            <w:vAlign w:val="bottom"/>
          </w:tcPr>
          <w:p>
            <w:pPr>
              <w:spacing w:after="0"/>
              <w:rPr>
                <w:sz w:val="1"/>
                <w:szCs w:val="1"/>
                <w:color w:val="auto"/>
              </w:rPr>
            </w:pPr>
          </w:p>
        </w:tc>
      </w:tr>
      <w:tr>
        <w:trPr>
          <w:trHeight w:val="222"/>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June 30, 2019</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78,985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562,405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(596,081)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(37,328)</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31, 2019</w:t>
            </w:r>
          </w:p>
        </w:tc>
        <w:tc>
          <w:tcPr>
            <w:tcW w:w="6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81,974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584,862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(3,879)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(618,303)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(37,358)</w:t>
            </w:r>
          </w:p>
        </w:tc>
        <w:tc>
          <w:tcPr>
            <w:tcW w:w="0" w:type="dxa"/>
            <w:vAlign w:val="bottom"/>
          </w:tcPr>
          <w:p>
            <w:pPr>
              <w:spacing w:after="0"/>
              <w:rPr>
                <w:sz w:val="1"/>
                <w:szCs w:val="1"/>
                <w:color w:val="auto"/>
              </w:rPr>
            </w:pPr>
          </w:p>
        </w:tc>
      </w:tr>
      <w:tr>
        <w:trPr>
          <w:trHeight w:val="196"/>
        </w:trPr>
        <w:tc>
          <w:tcPr>
            <w:tcW w:w="26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(93,028)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(93,002)</w:t>
            </w:r>
          </w:p>
        </w:tc>
        <w:tc>
          <w:tcPr>
            <w:tcW w:w="0" w:type="dxa"/>
            <w:vAlign w:val="bottom"/>
          </w:tcPr>
          <w:p>
            <w:pPr>
              <w:spacing w:after="0"/>
              <w:rPr>
                <w:sz w:val="1"/>
                <w:szCs w:val="1"/>
                <w:color w:val="auto"/>
              </w:rPr>
            </w:pPr>
          </w:p>
        </w:tc>
      </w:tr>
      <w:tr>
        <w:trPr>
          <w:trHeight w:val="209"/>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(11,904)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(11,904)</w:t>
            </w:r>
          </w:p>
        </w:tc>
        <w:tc>
          <w:tcPr>
            <w:tcW w:w="0" w:type="dxa"/>
            <w:vAlign w:val="bottom"/>
          </w:tcPr>
          <w:p>
            <w:pPr>
              <w:spacing w:after="0"/>
              <w:rPr>
                <w:sz w:val="1"/>
                <w:szCs w:val="1"/>
                <w:color w:val="auto"/>
              </w:rPr>
            </w:pPr>
          </w:p>
        </w:tc>
      </w:tr>
      <w:tr>
        <w:trPr>
          <w:trHeight w:val="157"/>
        </w:trPr>
        <w:tc>
          <w:tcPr>
            <w:tcW w:w="2600" w:type="dxa"/>
            <w:vAlign w:val="bottom"/>
          </w:tcPr>
          <w:p>
            <w:pPr>
              <w:ind w:left="20"/>
              <w:spacing w:after="0" w:line="157" w:lineRule="exact"/>
              <w:rPr>
                <w:sz w:val="20"/>
                <w:szCs w:val="20"/>
                <w:color w:val="auto"/>
              </w:rPr>
            </w:pPr>
            <w:r>
              <w:rPr>
                <w:rFonts w:ascii="Arial" w:cs="Arial" w:eastAsia="Arial" w:hAnsi="Arial"/>
                <w:sz w:val="14"/>
                <w:szCs w:val="14"/>
                <w:color w:val="auto"/>
              </w:rPr>
              <w:t>Exercise of stock options, vesting of</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00" w:type="dxa"/>
            <w:vAlign w:val="bottom"/>
          </w:tcPr>
          <w:p>
            <w:pPr>
              <w:ind w:left="20"/>
              <w:spacing w:after="0" w:line="149" w:lineRule="exact"/>
              <w:rPr>
                <w:sz w:val="20"/>
                <w:szCs w:val="20"/>
                <w:color w:val="auto"/>
              </w:rPr>
            </w:pPr>
            <w:r>
              <w:rPr>
                <w:rFonts w:ascii="Arial" w:cs="Arial" w:eastAsia="Arial" w:hAnsi="Arial"/>
                <w:sz w:val="14"/>
                <w:szCs w:val="14"/>
                <w:color w:val="auto"/>
                <w:w w:val="92"/>
              </w:rPr>
              <w:t>restricted stock units and stock issued under</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0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9"/>
              <w:spacing w:after="0"/>
              <w:rPr>
                <w:sz w:val="20"/>
                <w:szCs w:val="20"/>
                <w:color w:val="auto"/>
              </w:rPr>
            </w:pPr>
            <w:r>
              <w:rPr>
                <w:rFonts w:ascii="Arial" w:cs="Arial" w:eastAsia="Arial" w:hAnsi="Arial"/>
                <w:sz w:val="14"/>
                <w:szCs w:val="14"/>
                <w:color w:val="auto"/>
              </w:rPr>
              <w:t>967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1,711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1,712</w:t>
            </w:r>
          </w:p>
        </w:tc>
        <w:tc>
          <w:tcPr>
            <w:tcW w:w="0" w:type="dxa"/>
            <w:vAlign w:val="bottom"/>
          </w:tcPr>
          <w:p>
            <w:pPr>
              <w:spacing w:after="0"/>
              <w:rPr>
                <w:sz w:val="1"/>
                <w:szCs w:val="1"/>
                <w:color w:val="auto"/>
              </w:rPr>
            </w:pPr>
          </w:p>
        </w:tc>
      </w:tr>
      <w:tr>
        <w:trPr>
          <w:trHeight w:val="163"/>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 withheld on net settled vesting of</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97"/>
        </w:trPr>
        <w:tc>
          <w:tcPr>
            <w:tcW w:w="2600" w:type="dxa"/>
            <w:vAlign w:val="bottom"/>
          </w:tcPr>
          <w:p>
            <w:pPr>
              <w:ind w:left="20"/>
              <w:spacing w:after="0"/>
              <w:rPr>
                <w:sz w:val="20"/>
                <w:szCs w:val="20"/>
                <w:color w:val="auto"/>
              </w:rPr>
            </w:pPr>
            <w:r>
              <w:rPr>
                <w:rFonts w:ascii="Arial" w:cs="Arial" w:eastAsia="Arial" w:hAnsi="Arial"/>
                <w:sz w:val="14"/>
                <w:szCs w:val="14"/>
                <w:color w:val="auto"/>
              </w:rPr>
              <w:t>Issuance of Series E preferred stock</w:t>
            </w:r>
          </w:p>
        </w:tc>
        <w:tc>
          <w:tcPr>
            <w:tcW w:w="640" w:type="dxa"/>
            <w:vAlign w:val="bottom"/>
          </w:tcPr>
          <w:p>
            <w:pPr>
              <w:jc w:val="right"/>
              <w:ind w:right="69"/>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25,000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63"/>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Issuance of Series E preferred stock in lieu</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interest</w:t>
            </w:r>
          </w:p>
        </w:tc>
        <w:tc>
          <w:tcPr>
            <w:tcW w:w="6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2,330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2,330</w:t>
            </w:r>
          </w:p>
        </w:tc>
        <w:tc>
          <w:tcPr>
            <w:tcW w:w="0" w:type="dxa"/>
            <w:vAlign w:val="bottom"/>
          </w:tcPr>
          <w:p>
            <w:pPr>
              <w:spacing w:after="0"/>
              <w:rPr>
                <w:sz w:val="1"/>
                <w:szCs w:val="1"/>
                <w:color w:val="auto"/>
              </w:rPr>
            </w:pPr>
          </w:p>
        </w:tc>
      </w:tr>
      <w:tr>
        <w:trPr>
          <w:trHeight w:val="196"/>
        </w:trPr>
        <w:tc>
          <w:tcPr>
            <w:tcW w:w="2600" w:type="dxa"/>
            <w:vAlign w:val="bottom"/>
          </w:tcPr>
          <w:p>
            <w:pPr>
              <w:ind w:left="20"/>
              <w:spacing w:after="0"/>
              <w:rPr>
                <w:sz w:val="20"/>
                <w:szCs w:val="20"/>
                <w:color w:val="auto"/>
              </w:rPr>
            </w:pPr>
            <w:r>
              <w:rPr>
                <w:rFonts w:ascii="Arial" w:cs="Arial" w:eastAsia="Arial" w:hAnsi="Arial"/>
                <w:sz w:val="14"/>
                <w:szCs w:val="14"/>
                <w:color w:val="auto"/>
              </w:rPr>
              <w:t>Repurchase of Series E preferred stock</w:t>
            </w: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(2,354)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(2,354)</w:t>
            </w:r>
          </w:p>
        </w:tc>
        <w:tc>
          <w:tcPr>
            <w:tcW w:w="0" w:type="dxa"/>
            <w:vAlign w:val="bottom"/>
          </w:tcPr>
          <w:p>
            <w:pPr>
              <w:spacing w:after="0"/>
              <w:rPr>
                <w:sz w:val="1"/>
                <w:szCs w:val="1"/>
                <w:color w:val="auto"/>
              </w:rPr>
            </w:pPr>
          </w:p>
        </w:tc>
      </w:tr>
      <w:tr>
        <w:trPr>
          <w:trHeight w:val="163"/>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Issuance of common shares in connection</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with private exchanges of Inseego</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5.5% senior notes</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13,739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66,073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66,087</w:t>
            </w:r>
          </w:p>
        </w:tc>
        <w:tc>
          <w:tcPr>
            <w:tcW w:w="0" w:type="dxa"/>
            <w:vAlign w:val="bottom"/>
          </w:tcPr>
          <w:p>
            <w:pPr>
              <w:spacing w:after="0"/>
              <w:rPr>
                <w:sz w:val="1"/>
                <w:szCs w:val="1"/>
                <w:color w:val="auto"/>
              </w:rPr>
            </w:pPr>
          </w:p>
        </w:tc>
      </w:tr>
      <w:tr>
        <w:trPr>
          <w:trHeight w:val="197"/>
        </w:trPr>
        <w:tc>
          <w:tcPr>
            <w:tcW w:w="2600" w:type="dxa"/>
            <w:vAlign w:val="bottom"/>
          </w:tcPr>
          <w:p>
            <w:pPr>
              <w:ind w:left="20"/>
              <w:spacing w:after="0"/>
              <w:rPr>
                <w:sz w:val="20"/>
                <w:szCs w:val="20"/>
                <w:color w:val="auto"/>
              </w:rPr>
            </w:pPr>
            <w:r>
              <w:rPr>
                <w:rFonts w:ascii="Arial" w:cs="Arial" w:eastAsia="Arial" w:hAnsi="Arial"/>
                <w:sz w:val="14"/>
                <w:szCs w:val="14"/>
                <w:color w:val="auto"/>
              </w:rPr>
              <w:t>Exercise of warrants</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9"/>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1,861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1,861</w:t>
            </w:r>
          </w:p>
        </w:tc>
        <w:tc>
          <w:tcPr>
            <w:tcW w:w="0" w:type="dxa"/>
            <w:vAlign w:val="bottom"/>
          </w:tcPr>
          <w:p>
            <w:pPr>
              <w:spacing w:after="0"/>
              <w:rPr>
                <w:sz w:val="1"/>
                <w:szCs w:val="1"/>
                <w:color w:val="auto"/>
              </w:rPr>
            </w:pPr>
          </w:p>
        </w:tc>
      </w:tr>
      <w:tr>
        <w:trPr>
          <w:trHeight w:val="208"/>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5,981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5,981</w:t>
            </w:r>
          </w:p>
        </w:tc>
        <w:tc>
          <w:tcPr>
            <w:tcW w:w="0" w:type="dxa"/>
            <w:vAlign w:val="bottom"/>
          </w:tcPr>
          <w:p>
            <w:pPr>
              <w:spacing w:after="0"/>
              <w:rPr>
                <w:sz w:val="1"/>
                <w:szCs w:val="1"/>
                <w:color w:val="auto"/>
              </w:rPr>
            </w:pPr>
          </w:p>
        </w:tc>
      </w:tr>
      <w:tr>
        <w:trPr>
          <w:trHeight w:val="196"/>
        </w:trPr>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Series E preferred stock dividends</w:t>
            </w: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1,227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(1,227)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June 30, 2020</w:t>
            </w:r>
          </w:p>
        </w:tc>
        <w:tc>
          <w:tcPr>
            <w:tcW w:w="6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97,018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686,410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(15,783)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(712,558)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(41,928)</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27"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5530215</wp:posOffset>
            </wp:positionH>
            <wp:positionV relativeFrom="paragraph">
              <wp:posOffset>13335</wp:posOffset>
            </wp:positionV>
            <wp:extent cx="1586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8"/>
        </w:trPr>
        <w:tc>
          <w:tcPr>
            <w:tcW w:w="8700" w:type="dxa"/>
            <w:vAlign w:val="bottom"/>
          </w:tcPr>
          <w:p>
            <w:pPr>
              <w:ind w:left="20"/>
              <w:spacing w:after="0"/>
              <w:rPr>
                <w:sz w:val="20"/>
                <w:szCs w:val="20"/>
                <w:color w:val="auto"/>
              </w:rPr>
            </w:pPr>
            <w:r>
              <w:rPr>
                <w:rFonts w:ascii="Arial" w:cs="Arial" w:eastAsia="Arial" w:hAnsi="Arial"/>
                <w:sz w:val="15"/>
                <w:szCs w:val="15"/>
                <w:color w:val="auto"/>
              </w:rPr>
              <w:t>Cash flows from operating activities: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Net loss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(93,002)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(18,190)</w:t>
            </w:r>
          </w:p>
        </w:tc>
        <w:tc>
          <w:tcPr>
            <w:tcW w:w="0" w:type="dxa"/>
            <w:vAlign w:val="bottom"/>
          </w:tcPr>
          <w:p>
            <w:pPr>
              <w:spacing w:after="0"/>
              <w:rPr>
                <w:sz w:val="1"/>
                <w:szCs w:val="1"/>
                <w:color w:val="auto"/>
              </w:rPr>
            </w:pPr>
          </w:p>
        </w:tc>
      </w:tr>
      <w:tr>
        <w:trPr>
          <w:trHeight w:val="212"/>
        </w:trPr>
        <w:tc>
          <w:tcPr>
            <w:tcW w:w="8700" w:type="dxa"/>
            <w:vAlign w:val="bottom"/>
          </w:tcPr>
          <w:p>
            <w:pPr>
              <w:ind w:left="200"/>
              <w:spacing w:after="0"/>
              <w:rPr>
                <w:sz w:val="20"/>
                <w:szCs w:val="20"/>
                <w:color w:val="auto"/>
              </w:rPr>
            </w:pPr>
            <w:r>
              <w:rPr>
                <w:rFonts w:ascii="Arial" w:cs="Arial" w:eastAsia="Arial" w:hAnsi="Arial"/>
                <w:sz w:val="15"/>
                <w:szCs w:val="15"/>
                <w:color w:val="auto"/>
              </w:rPr>
              <w:t>Adjustments to reconcile net loss to net cash provided by (used in) operating activities: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7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9,692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7,208</w:t>
            </w:r>
          </w:p>
        </w:tc>
        <w:tc>
          <w:tcPr>
            <w:tcW w:w="0" w:type="dxa"/>
            <w:vAlign w:val="bottom"/>
          </w:tcPr>
          <w:p>
            <w:pPr>
              <w:spacing w:after="0"/>
              <w:rPr>
                <w:sz w:val="1"/>
                <w:szCs w:val="1"/>
                <w:color w:val="auto"/>
              </w:rPr>
            </w:pPr>
          </w:p>
        </w:tc>
      </w:tr>
      <w:tr>
        <w:trPr>
          <w:trHeight w:val="212"/>
        </w:trPr>
        <w:tc>
          <w:tcPr>
            <w:tcW w:w="8700" w:type="dxa"/>
            <w:vAlign w:val="bottom"/>
          </w:tcPr>
          <w:p>
            <w:pPr>
              <w:ind w:left="440"/>
              <w:spacing w:after="0"/>
              <w:rPr>
                <w:sz w:val="20"/>
                <w:szCs w:val="20"/>
                <w:color w:val="auto"/>
              </w:rPr>
            </w:pPr>
            <w:r>
              <w:rPr>
                <w:rFonts w:ascii="Arial" w:cs="Arial" w:eastAsia="Arial" w:hAnsi="Arial"/>
                <w:sz w:val="15"/>
                <w:szCs w:val="15"/>
                <w:color w:val="auto"/>
              </w:rPr>
              <w:t>Provision for bad debts, net of recoveries</w:t>
            </w:r>
          </w:p>
        </w:tc>
        <w:tc>
          <w:tcPr>
            <w:tcW w:w="280" w:type="dxa"/>
            <w:vAlign w:val="bottom"/>
          </w:tcPr>
          <w:p>
            <w:pPr>
              <w:spacing w:after="0"/>
              <w:rPr>
                <w:sz w:val="18"/>
                <w:szCs w:val="18"/>
                <w:color w:val="auto"/>
              </w:rPr>
            </w:pP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385</w:t>
            </w:r>
          </w:p>
        </w:tc>
        <w:tc>
          <w:tcPr>
            <w:tcW w:w="0" w:type="dxa"/>
            <w:vAlign w:val="bottom"/>
          </w:tcPr>
          <w:p>
            <w:pPr>
              <w:spacing w:after="0"/>
              <w:rPr>
                <w:sz w:val="1"/>
                <w:szCs w:val="1"/>
                <w:color w:val="auto"/>
              </w:rPr>
            </w:pPr>
          </w:p>
        </w:tc>
      </w:tr>
      <w:tr>
        <w:trPr>
          <w:trHeight w:val="220"/>
        </w:trPr>
        <w:tc>
          <w:tcPr>
            <w:tcW w:w="87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Provision for excess and obsolete inventory, net of recoveries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336</w:t>
            </w:r>
          </w:p>
        </w:tc>
        <w:tc>
          <w:tcPr>
            <w:tcW w:w="0" w:type="dxa"/>
            <w:vAlign w:val="bottom"/>
          </w:tcPr>
          <w:p>
            <w:pPr>
              <w:spacing w:after="0"/>
              <w:rPr>
                <w:sz w:val="1"/>
                <w:szCs w:val="1"/>
                <w:color w:val="auto"/>
              </w:rPr>
            </w:pPr>
          </w:p>
        </w:tc>
      </w:tr>
      <w:tr>
        <w:trPr>
          <w:trHeight w:val="212"/>
        </w:trPr>
        <w:tc>
          <w:tcPr>
            <w:tcW w:w="8700" w:type="dxa"/>
            <w:vAlign w:val="bottom"/>
          </w:tcPr>
          <w:p>
            <w:pPr>
              <w:ind w:left="440"/>
              <w:spacing w:after="0"/>
              <w:rPr>
                <w:sz w:val="20"/>
                <w:szCs w:val="20"/>
                <w:color w:val="auto"/>
              </w:rPr>
            </w:pPr>
            <w:r>
              <w:rPr>
                <w:rFonts w:ascii="Arial" w:cs="Arial" w:eastAsia="Arial" w:hAnsi="Arial"/>
                <w:sz w:val="15"/>
                <w:szCs w:val="15"/>
                <w:color w:val="auto"/>
              </w:rPr>
              <w:t>Share-based compensation expense</w:t>
            </w:r>
          </w:p>
        </w:tc>
        <w:tc>
          <w:tcPr>
            <w:tcW w:w="280" w:type="dxa"/>
            <w:vAlign w:val="bottom"/>
          </w:tcPr>
          <w:p>
            <w:pPr>
              <w:spacing w:after="0"/>
              <w:rPr>
                <w:sz w:val="18"/>
                <w:szCs w:val="18"/>
                <w:color w:val="auto"/>
              </w:rPr>
            </w:pP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5,981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4,702</w:t>
            </w:r>
          </w:p>
        </w:tc>
        <w:tc>
          <w:tcPr>
            <w:tcW w:w="0" w:type="dxa"/>
            <w:vAlign w:val="bottom"/>
          </w:tcPr>
          <w:p>
            <w:pPr>
              <w:spacing w:after="0"/>
              <w:rPr>
                <w:sz w:val="1"/>
                <w:szCs w:val="1"/>
                <w:color w:val="auto"/>
              </w:rPr>
            </w:pPr>
          </w:p>
        </w:tc>
      </w:tr>
      <w:tr>
        <w:trPr>
          <w:trHeight w:val="220"/>
        </w:trPr>
        <w:tc>
          <w:tcPr>
            <w:tcW w:w="87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Amortization of debt discount and debt issuance costs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3,245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4,886</w:t>
            </w:r>
          </w:p>
        </w:tc>
        <w:tc>
          <w:tcPr>
            <w:tcW w:w="0" w:type="dxa"/>
            <w:vAlign w:val="bottom"/>
          </w:tcPr>
          <w:p>
            <w:pPr>
              <w:spacing w:after="0"/>
              <w:rPr>
                <w:sz w:val="1"/>
                <w:szCs w:val="1"/>
                <w:color w:val="auto"/>
              </w:rPr>
            </w:pPr>
          </w:p>
        </w:tc>
      </w:tr>
      <w:tr>
        <w:trPr>
          <w:trHeight w:val="212"/>
        </w:trPr>
        <w:tc>
          <w:tcPr>
            <w:tcW w:w="8700" w:type="dxa"/>
            <w:vAlign w:val="bottom"/>
          </w:tcPr>
          <w:p>
            <w:pPr>
              <w:ind w:left="440"/>
              <w:spacing w:after="0"/>
              <w:rPr>
                <w:sz w:val="20"/>
                <w:szCs w:val="20"/>
                <w:color w:val="auto"/>
              </w:rPr>
            </w:pPr>
            <w:r>
              <w:rPr>
                <w:rFonts w:ascii="Arial" w:cs="Arial" w:eastAsia="Arial" w:hAnsi="Arial"/>
                <w:sz w:val="15"/>
                <w:szCs w:val="15"/>
                <w:color w:val="auto"/>
              </w:rPr>
              <w:t>Fair value adjustment on derivative instrument</w:t>
            </w:r>
          </w:p>
        </w:tc>
        <w:tc>
          <w:tcPr>
            <w:tcW w:w="28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(826)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87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Loss on debt conversion and extinguishment,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75,174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8700" w:type="dxa"/>
            <w:vAlign w:val="bottom"/>
          </w:tcPr>
          <w:p>
            <w:pPr>
              <w:ind w:left="440"/>
              <w:spacing w:after="0"/>
              <w:rPr>
                <w:sz w:val="20"/>
                <w:szCs w:val="20"/>
                <w:color w:val="auto"/>
              </w:rPr>
            </w:pPr>
            <w:r>
              <w:rPr>
                <w:rFonts w:ascii="Arial" w:cs="Arial" w:eastAsia="Arial" w:hAnsi="Arial"/>
                <w:sz w:val="15"/>
                <w:szCs w:val="15"/>
                <w:color w:val="auto"/>
              </w:rPr>
              <w:t>Deferred income taxes</w:t>
            </w:r>
          </w:p>
        </w:tc>
        <w:tc>
          <w:tcPr>
            <w:tcW w:w="280" w:type="dxa"/>
            <w:vAlign w:val="bottom"/>
          </w:tcPr>
          <w:p>
            <w:pPr>
              <w:spacing w:after="0"/>
              <w:rPr>
                <w:sz w:val="18"/>
                <w:szCs w:val="18"/>
                <w:color w:val="auto"/>
              </w:rPr>
            </w:pP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20"/>
        </w:trPr>
        <w:tc>
          <w:tcPr>
            <w:tcW w:w="87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680</w:t>
            </w:r>
          </w:p>
        </w:tc>
        <w:tc>
          <w:tcPr>
            <w:tcW w:w="0" w:type="dxa"/>
            <w:vAlign w:val="bottom"/>
          </w:tcPr>
          <w:p>
            <w:pPr>
              <w:spacing w:after="0"/>
              <w:rPr>
                <w:sz w:val="1"/>
                <w:szCs w:val="1"/>
                <w:color w:val="auto"/>
              </w:rPr>
            </w:pPr>
          </w:p>
        </w:tc>
      </w:tr>
      <w:tr>
        <w:trPr>
          <w:trHeight w:val="212"/>
        </w:trPr>
        <w:tc>
          <w:tcPr>
            <w:tcW w:w="8700" w:type="dxa"/>
            <w:vAlign w:val="bottom"/>
          </w:tcPr>
          <w:p>
            <w:pPr>
              <w:ind w:left="440"/>
              <w:spacing w:after="0"/>
              <w:rPr>
                <w:sz w:val="20"/>
                <w:szCs w:val="20"/>
                <w:color w:val="auto"/>
              </w:rPr>
            </w:pPr>
            <w:r>
              <w:rPr>
                <w:rFonts w:ascii="Arial" w:cs="Arial" w:eastAsia="Arial" w:hAnsi="Arial"/>
                <w:sz w:val="15"/>
                <w:szCs w:val="15"/>
                <w:color w:val="auto"/>
              </w:rPr>
              <w:t>Changes in assets and liabilities: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700" w:type="dxa"/>
            <w:vAlign w:val="bottom"/>
            <w:shd w:val="clear" w:color="auto" w:fill="CCEEFF"/>
          </w:tcPr>
          <w:p>
            <w:pPr>
              <w:ind w:left="640"/>
              <w:spacing w:after="0"/>
              <w:rPr>
                <w:sz w:val="20"/>
                <w:szCs w:val="20"/>
                <w:color w:val="auto"/>
              </w:rPr>
            </w:pPr>
            <w:r>
              <w:rPr>
                <w:rFonts w:ascii="Arial" w:cs="Arial" w:eastAsia="Arial" w:hAnsi="Arial"/>
                <w:sz w:val="15"/>
                <w:szCs w:val="15"/>
                <w:color w:val="auto"/>
              </w:rPr>
              <w:t>Accounts receivable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(21,498)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688</w:t>
            </w:r>
          </w:p>
        </w:tc>
        <w:tc>
          <w:tcPr>
            <w:tcW w:w="0" w:type="dxa"/>
            <w:vAlign w:val="bottom"/>
          </w:tcPr>
          <w:p>
            <w:pPr>
              <w:spacing w:after="0"/>
              <w:rPr>
                <w:sz w:val="1"/>
                <w:szCs w:val="1"/>
                <w:color w:val="auto"/>
              </w:rPr>
            </w:pPr>
          </w:p>
        </w:tc>
      </w:tr>
      <w:tr>
        <w:trPr>
          <w:trHeight w:val="212"/>
        </w:trPr>
        <w:tc>
          <w:tcPr>
            <w:tcW w:w="8700" w:type="dxa"/>
            <w:vAlign w:val="bottom"/>
          </w:tcPr>
          <w:p>
            <w:pPr>
              <w:ind w:left="640"/>
              <w:spacing w:after="0"/>
              <w:rPr>
                <w:sz w:val="20"/>
                <w:szCs w:val="20"/>
                <w:color w:val="auto"/>
              </w:rPr>
            </w:pPr>
            <w:r>
              <w:rPr>
                <w:rFonts w:ascii="Arial" w:cs="Arial" w:eastAsia="Arial" w:hAnsi="Arial"/>
                <w:sz w:val="15"/>
                <w:szCs w:val="15"/>
                <w:color w:val="auto"/>
              </w:rPr>
              <w:t>Inventories</w:t>
            </w:r>
          </w:p>
        </w:tc>
        <w:tc>
          <w:tcPr>
            <w:tcW w:w="280" w:type="dxa"/>
            <w:vAlign w:val="bottom"/>
          </w:tcPr>
          <w:p>
            <w:pPr>
              <w:spacing w:after="0"/>
              <w:rPr>
                <w:sz w:val="18"/>
                <w:szCs w:val="18"/>
                <w:color w:val="auto"/>
              </w:rPr>
            </w:pP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2,725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(4,608)</w:t>
            </w:r>
          </w:p>
        </w:tc>
        <w:tc>
          <w:tcPr>
            <w:tcW w:w="0" w:type="dxa"/>
            <w:vAlign w:val="bottom"/>
          </w:tcPr>
          <w:p>
            <w:pPr>
              <w:spacing w:after="0"/>
              <w:rPr>
                <w:sz w:val="1"/>
                <w:szCs w:val="1"/>
                <w:color w:val="auto"/>
              </w:rPr>
            </w:pPr>
          </w:p>
        </w:tc>
      </w:tr>
      <w:tr>
        <w:trPr>
          <w:trHeight w:val="220"/>
        </w:trPr>
        <w:tc>
          <w:tcPr>
            <w:tcW w:w="8700" w:type="dxa"/>
            <w:vAlign w:val="bottom"/>
            <w:shd w:val="clear" w:color="auto" w:fill="CCEEFF"/>
          </w:tcPr>
          <w:p>
            <w:pPr>
              <w:ind w:left="640"/>
              <w:spacing w:after="0"/>
              <w:rPr>
                <w:sz w:val="20"/>
                <w:szCs w:val="20"/>
                <w:color w:val="auto"/>
              </w:rPr>
            </w:pPr>
            <w:r>
              <w:rPr>
                <w:rFonts w:ascii="Arial" w:cs="Arial" w:eastAsia="Arial" w:hAnsi="Arial"/>
                <w:sz w:val="15"/>
                <w:szCs w:val="15"/>
                <w:color w:val="auto"/>
              </w:rPr>
              <w:t>Prepaid expenses and other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(5,298)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(1,208)</w:t>
            </w:r>
          </w:p>
        </w:tc>
        <w:tc>
          <w:tcPr>
            <w:tcW w:w="0" w:type="dxa"/>
            <w:vAlign w:val="bottom"/>
          </w:tcPr>
          <w:p>
            <w:pPr>
              <w:spacing w:after="0"/>
              <w:rPr>
                <w:sz w:val="1"/>
                <w:szCs w:val="1"/>
                <w:color w:val="auto"/>
              </w:rPr>
            </w:pPr>
          </w:p>
        </w:tc>
      </w:tr>
      <w:tr>
        <w:trPr>
          <w:trHeight w:val="212"/>
        </w:trPr>
        <w:tc>
          <w:tcPr>
            <w:tcW w:w="8700" w:type="dxa"/>
            <w:vAlign w:val="bottom"/>
          </w:tcPr>
          <w:p>
            <w:pPr>
              <w:ind w:left="640"/>
              <w:spacing w:after="0"/>
              <w:rPr>
                <w:sz w:val="20"/>
                <w:szCs w:val="20"/>
                <w:color w:val="auto"/>
              </w:rPr>
            </w:pPr>
            <w:r>
              <w:rPr>
                <w:rFonts w:ascii="Arial" w:cs="Arial" w:eastAsia="Arial" w:hAnsi="Arial"/>
                <w:sz w:val="15"/>
                <w:szCs w:val="15"/>
                <w:color w:val="auto"/>
              </w:rPr>
              <w:t>Accounts payable</w:t>
            </w:r>
          </w:p>
        </w:tc>
        <w:tc>
          <w:tcPr>
            <w:tcW w:w="280" w:type="dxa"/>
            <w:vAlign w:val="bottom"/>
          </w:tcPr>
          <w:p>
            <w:pPr>
              <w:spacing w:after="0"/>
              <w:rPr>
                <w:sz w:val="18"/>
                <w:szCs w:val="18"/>
                <w:color w:val="auto"/>
              </w:rPr>
            </w:pP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22,334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(3,861)</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640"/>
              <w:spacing w:after="0"/>
              <w:rPr>
                <w:sz w:val="20"/>
                <w:szCs w:val="20"/>
                <w:color w:val="auto"/>
              </w:rPr>
            </w:pPr>
            <w:r>
              <w:rPr>
                <w:rFonts w:ascii="Arial" w:cs="Arial" w:eastAsia="Arial" w:hAnsi="Arial"/>
                <w:sz w:val="15"/>
                <w:szCs w:val="15"/>
                <w:color w:val="auto"/>
              </w:rPr>
              <w:t>Accrued expenses, income taxes, and other</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5,713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(1,056)</w:t>
            </w:r>
          </w:p>
        </w:tc>
        <w:tc>
          <w:tcPr>
            <w:tcW w:w="0" w:type="dxa"/>
            <w:vAlign w:val="bottom"/>
          </w:tcPr>
          <w:p>
            <w:pPr>
              <w:spacing w:after="0"/>
              <w:rPr>
                <w:sz w:val="1"/>
                <w:szCs w:val="1"/>
                <w:color w:val="auto"/>
              </w:rPr>
            </w:pPr>
          </w:p>
        </w:tc>
      </w:tr>
      <w:tr>
        <w:trPr>
          <w:trHeight w:val="209"/>
        </w:trPr>
        <w:tc>
          <w:tcPr>
            <w:tcW w:w="8700" w:type="dxa"/>
            <w:vAlign w:val="bottom"/>
            <w:tcBorders>
              <w:bottom w:val="single" w:sz="8" w:color="CCEEFF"/>
            </w:tcBorders>
          </w:tcPr>
          <w:p>
            <w:pPr>
              <w:ind w:left="860"/>
              <w:spacing w:after="0"/>
              <w:rPr>
                <w:sz w:val="20"/>
                <w:szCs w:val="20"/>
                <w:color w:val="auto"/>
              </w:rPr>
            </w:pPr>
            <w:r>
              <w:rPr>
                <w:rFonts w:ascii="Arial" w:cs="Arial" w:eastAsia="Arial" w:hAnsi="Arial"/>
                <w:sz w:val="15"/>
                <w:szCs w:val="15"/>
                <w:color w:val="auto"/>
              </w:rPr>
              <w:t>Net cash provided by (used in) operating activities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4,662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(10,055)</w:t>
            </w:r>
          </w:p>
        </w:tc>
        <w:tc>
          <w:tcPr>
            <w:tcW w:w="0" w:type="dxa"/>
            <w:vAlign w:val="bottom"/>
          </w:tcPr>
          <w:p>
            <w:pPr>
              <w:spacing w:after="0"/>
              <w:rPr>
                <w:sz w:val="1"/>
                <w:szCs w:val="1"/>
                <w:color w:val="auto"/>
              </w:rPr>
            </w:pPr>
          </w:p>
        </w:tc>
      </w:tr>
      <w:tr>
        <w:trPr>
          <w:trHeight w:val="200"/>
        </w:trPr>
        <w:tc>
          <w:tcPr>
            <w:tcW w:w="8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investing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700" w:type="dxa"/>
            <w:vAlign w:val="bottom"/>
          </w:tcPr>
          <w:p>
            <w:pPr>
              <w:ind w:left="200"/>
              <w:spacing w:after="0"/>
              <w:rPr>
                <w:sz w:val="20"/>
                <w:szCs w:val="20"/>
                <w:color w:val="auto"/>
              </w:rPr>
            </w:pPr>
            <w:r>
              <w:rPr>
                <w:rFonts w:ascii="Arial" w:cs="Arial" w:eastAsia="Arial" w:hAnsi="Arial"/>
                <w:sz w:val="15"/>
                <w:szCs w:val="15"/>
                <w:color w:val="auto"/>
              </w:rPr>
              <w:t>Purchases of property, plant and equipment</w:t>
            </w:r>
          </w:p>
        </w:tc>
        <w:tc>
          <w:tcPr>
            <w:tcW w:w="28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(2,831)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(2,973)</w:t>
            </w:r>
          </w:p>
        </w:tc>
        <w:tc>
          <w:tcPr>
            <w:tcW w:w="0" w:type="dxa"/>
            <w:vAlign w:val="bottom"/>
          </w:tcPr>
          <w:p>
            <w:pPr>
              <w:spacing w:after="0"/>
              <w:rPr>
                <w:sz w:val="1"/>
                <w:szCs w:val="1"/>
                <w:color w:val="auto"/>
              </w:rPr>
            </w:pPr>
          </w:p>
        </w:tc>
      </w:tr>
      <w:tr>
        <w:trPr>
          <w:trHeight w:val="220"/>
        </w:trPr>
        <w:tc>
          <w:tcPr>
            <w:tcW w:w="8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Proceeds from the sale of property, plant and equipment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454</w:t>
            </w:r>
          </w:p>
        </w:tc>
        <w:tc>
          <w:tcPr>
            <w:tcW w:w="0" w:type="dxa"/>
            <w:vAlign w:val="bottom"/>
          </w:tcPr>
          <w:p>
            <w:pPr>
              <w:spacing w:after="0"/>
              <w:rPr>
                <w:sz w:val="1"/>
                <w:szCs w:val="1"/>
                <w:color w:val="auto"/>
              </w:rPr>
            </w:pPr>
          </w:p>
        </w:tc>
      </w:tr>
      <w:tr>
        <w:trPr>
          <w:trHeight w:val="212"/>
        </w:trPr>
        <w:tc>
          <w:tcPr>
            <w:tcW w:w="87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Additions to capitalized software development costs and purchases of intangible assets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(10,637)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(8,801)</w:t>
            </w:r>
          </w:p>
        </w:tc>
        <w:tc>
          <w:tcPr>
            <w:tcW w:w="0" w:type="dxa"/>
            <w:vAlign w:val="bottom"/>
          </w:tcPr>
          <w:p>
            <w:pPr>
              <w:spacing w:after="0"/>
              <w:rPr>
                <w:sz w:val="1"/>
                <w:szCs w:val="1"/>
                <w:color w:val="auto"/>
              </w:rPr>
            </w:pPr>
          </w:p>
        </w:tc>
      </w:tr>
      <w:tr>
        <w:trPr>
          <w:trHeight w:val="214"/>
        </w:trPr>
        <w:tc>
          <w:tcPr>
            <w:tcW w:w="8700" w:type="dxa"/>
            <w:vAlign w:val="bottom"/>
            <w:shd w:val="clear" w:color="auto" w:fill="CCEEFF"/>
          </w:tcPr>
          <w:p>
            <w:pPr>
              <w:ind w:left="860"/>
              <w:spacing w:after="0"/>
              <w:rPr>
                <w:sz w:val="20"/>
                <w:szCs w:val="20"/>
                <w:color w:val="auto"/>
              </w:rPr>
            </w:pPr>
            <w:r>
              <w:rPr>
                <w:rFonts w:ascii="Arial" w:cs="Arial" w:eastAsia="Arial" w:hAnsi="Arial"/>
                <w:sz w:val="15"/>
                <w:szCs w:val="15"/>
                <w:color w:val="auto"/>
              </w:rPr>
              <w:t>Net cash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(13,233)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(11,320)</w:t>
            </w:r>
          </w:p>
        </w:tc>
        <w:tc>
          <w:tcPr>
            <w:tcW w:w="0" w:type="dxa"/>
            <w:vAlign w:val="bottom"/>
          </w:tcPr>
          <w:p>
            <w:pPr>
              <w:spacing w:after="0"/>
              <w:rPr>
                <w:sz w:val="1"/>
                <w:szCs w:val="1"/>
                <w:color w:val="auto"/>
              </w:rPr>
            </w:pPr>
          </w:p>
        </w:tc>
      </w:tr>
      <w:tr>
        <w:trPr>
          <w:trHeight w:val="192"/>
        </w:trPr>
        <w:tc>
          <w:tcPr>
            <w:tcW w:w="8700" w:type="dxa"/>
            <w:vAlign w:val="bottom"/>
          </w:tcPr>
          <w:p>
            <w:pPr>
              <w:ind w:left="20"/>
              <w:spacing w:after="0"/>
              <w:rPr>
                <w:sz w:val="20"/>
                <w:szCs w:val="20"/>
                <w:color w:val="auto"/>
              </w:rPr>
            </w:pPr>
            <w:r>
              <w:rPr>
                <w:rFonts w:ascii="Arial" w:cs="Arial" w:eastAsia="Arial" w:hAnsi="Arial"/>
                <w:sz w:val="15"/>
                <w:szCs w:val="15"/>
                <w:color w:val="auto"/>
              </w:rPr>
              <w:t>Cash flows from financing activities: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Gross proceeds from the issuance of convertible 3.25% senior notes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8700" w:type="dxa"/>
            <w:vAlign w:val="bottom"/>
          </w:tcPr>
          <w:p>
            <w:pPr>
              <w:ind w:left="200"/>
              <w:spacing w:after="0"/>
              <w:rPr>
                <w:sz w:val="20"/>
                <w:szCs w:val="20"/>
                <w:color w:val="auto"/>
              </w:rPr>
            </w:pPr>
            <w:r>
              <w:rPr>
                <w:rFonts w:ascii="Arial" w:cs="Arial" w:eastAsia="Arial" w:hAnsi="Arial"/>
                <w:sz w:val="15"/>
                <w:szCs w:val="15"/>
                <w:color w:val="auto"/>
              </w:rPr>
              <w:t>Payment of issuance costs related to convertible 3.25% senior notes</w:t>
            </w:r>
          </w:p>
        </w:tc>
        <w:tc>
          <w:tcPr>
            <w:tcW w:w="28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(2,544)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8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Cash paid to investors in private exchange transactions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(32,062)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8700" w:type="dxa"/>
            <w:vAlign w:val="bottom"/>
          </w:tcPr>
          <w:p>
            <w:pPr>
              <w:ind w:left="200"/>
              <w:spacing w:after="0"/>
              <w:rPr>
                <w:sz w:val="20"/>
                <w:szCs w:val="20"/>
                <w:color w:val="auto"/>
              </w:rPr>
            </w:pPr>
            <w:r>
              <w:rPr>
                <w:rFonts w:ascii="Arial" w:cs="Arial" w:eastAsia="Arial" w:hAnsi="Arial"/>
                <w:sz w:val="15"/>
                <w:szCs w:val="15"/>
                <w:color w:val="auto"/>
              </w:rPr>
              <w:t>Payoff of term loan and related extinguishment costs</w:t>
            </w:r>
          </w:p>
        </w:tc>
        <w:tc>
          <w:tcPr>
            <w:tcW w:w="28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(48,830)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8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Gross proceeds received from issuance of Series E preferred stock</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25,000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8700" w:type="dxa"/>
            <w:vAlign w:val="bottom"/>
          </w:tcPr>
          <w:p>
            <w:pPr>
              <w:ind w:left="200"/>
              <w:spacing w:after="0"/>
              <w:rPr>
                <w:sz w:val="20"/>
                <w:szCs w:val="20"/>
                <w:color w:val="auto"/>
              </w:rPr>
            </w:pPr>
            <w:r>
              <w:rPr>
                <w:rFonts w:ascii="Arial" w:cs="Arial" w:eastAsia="Arial" w:hAnsi="Arial"/>
                <w:sz w:val="15"/>
                <w:szCs w:val="15"/>
                <w:color w:val="auto"/>
              </w:rPr>
              <w:t>Repurchase of Series E preferred stock</w:t>
            </w:r>
          </w:p>
        </w:tc>
        <w:tc>
          <w:tcPr>
            <w:tcW w:w="28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(2,354)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8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Proceeds from the exercise of warrants to purchase common stock</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1,861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10,639</w:t>
            </w:r>
          </w:p>
        </w:tc>
        <w:tc>
          <w:tcPr>
            <w:tcW w:w="0" w:type="dxa"/>
            <w:vAlign w:val="bottom"/>
          </w:tcPr>
          <w:p>
            <w:pPr>
              <w:spacing w:after="0"/>
              <w:rPr>
                <w:sz w:val="1"/>
                <w:szCs w:val="1"/>
                <w:color w:val="auto"/>
              </w:rPr>
            </w:pPr>
          </w:p>
        </w:tc>
      </w:tr>
      <w:tr>
        <w:trPr>
          <w:trHeight w:val="212"/>
        </w:trPr>
        <w:tc>
          <w:tcPr>
            <w:tcW w:w="8700" w:type="dxa"/>
            <w:vAlign w:val="bottom"/>
          </w:tcPr>
          <w:p>
            <w:pPr>
              <w:ind w:left="200"/>
              <w:spacing w:after="0"/>
              <w:rPr>
                <w:sz w:val="20"/>
                <w:szCs w:val="20"/>
                <w:color w:val="auto"/>
              </w:rPr>
            </w:pPr>
            <w:r>
              <w:rPr>
                <w:rFonts w:ascii="Arial" w:cs="Arial" w:eastAsia="Arial" w:hAnsi="Arial"/>
                <w:sz w:val="15"/>
                <w:szCs w:val="15"/>
                <w:color w:val="auto"/>
              </w:rPr>
              <w:t>Net repayment of DigiCore bank and overdraft facilities</w:t>
            </w:r>
          </w:p>
        </w:tc>
        <w:tc>
          <w:tcPr>
            <w:tcW w:w="280" w:type="dxa"/>
            <w:vAlign w:val="bottom"/>
          </w:tcPr>
          <w:p>
            <w:pPr>
              <w:spacing w:after="0"/>
              <w:rPr>
                <w:sz w:val="18"/>
                <w:szCs w:val="18"/>
                <w:color w:val="auto"/>
              </w:rPr>
            </w:pP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104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(394)</w:t>
            </w:r>
          </w:p>
        </w:tc>
        <w:tc>
          <w:tcPr>
            <w:tcW w:w="0" w:type="dxa"/>
            <w:vAlign w:val="bottom"/>
          </w:tcPr>
          <w:p>
            <w:pPr>
              <w:spacing w:after="0"/>
              <w:rPr>
                <w:sz w:val="1"/>
                <w:szCs w:val="1"/>
                <w:color w:val="auto"/>
              </w:rPr>
            </w:pPr>
          </w:p>
        </w:tc>
      </w:tr>
      <w:tr>
        <w:trPr>
          <w:trHeight w:val="220"/>
        </w:trPr>
        <w:tc>
          <w:tcPr>
            <w:tcW w:w="8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Principal payments under finance lease obligations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(1,462)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(532)</w:t>
            </w:r>
          </w:p>
        </w:tc>
        <w:tc>
          <w:tcPr>
            <w:tcW w:w="0" w:type="dxa"/>
            <w:vAlign w:val="bottom"/>
          </w:tcPr>
          <w:p>
            <w:pPr>
              <w:spacing w:after="0"/>
              <w:rPr>
                <w:sz w:val="1"/>
                <w:szCs w:val="1"/>
                <w:color w:val="auto"/>
              </w:rPr>
            </w:pPr>
          </w:p>
        </w:tc>
      </w:tr>
      <w:tr>
        <w:trPr>
          <w:trHeight w:val="212"/>
        </w:trPr>
        <w:tc>
          <w:tcPr>
            <w:tcW w:w="87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Proceeds from stock option exercises and employee stock purchase plan, net of taxes paid on vested restricted stock units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1,431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598</w:t>
            </w:r>
          </w:p>
        </w:tc>
        <w:tc>
          <w:tcPr>
            <w:tcW w:w="0" w:type="dxa"/>
            <w:vAlign w:val="bottom"/>
          </w:tcPr>
          <w:p>
            <w:pPr>
              <w:spacing w:after="0"/>
              <w:rPr>
                <w:sz w:val="1"/>
                <w:szCs w:val="1"/>
                <w:color w:val="auto"/>
              </w:rPr>
            </w:pPr>
          </w:p>
        </w:tc>
      </w:tr>
      <w:tr>
        <w:trPr>
          <w:trHeight w:val="214"/>
        </w:trPr>
        <w:tc>
          <w:tcPr>
            <w:tcW w:w="8700" w:type="dxa"/>
            <w:vAlign w:val="bottom"/>
            <w:shd w:val="clear" w:color="auto" w:fill="CCEEFF"/>
          </w:tcPr>
          <w:p>
            <w:pPr>
              <w:ind w:left="860"/>
              <w:spacing w:after="0"/>
              <w:rPr>
                <w:sz w:val="20"/>
                <w:szCs w:val="20"/>
                <w:color w:val="auto"/>
              </w:rPr>
            </w:pPr>
            <w:r>
              <w:rPr>
                <w:rFonts w:ascii="Arial" w:cs="Arial" w:eastAsia="Arial" w:hAnsi="Arial"/>
                <w:sz w:val="15"/>
                <w:szCs w:val="15"/>
                <w:color w:val="auto"/>
              </w:rPr>
              <w:t>Net cash provided by financing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41,144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10,311</w:t>
            </w:r>
          </w:p>
        </w:tc>
        <w:tc>
          <w:tcPr>
            <w:tcW w:w="0" w:type="dxa"/>
            <w:vAlign w:val="bottom"/>
          </w:tcPr>
          <w:p>
            <w:pPr>
              <w:spacing w:after="0"/>
              <w:rPr>
                <w:sz w:val="1"/>
                <w:szCs w:val="1"/>
                <w:color w:val="auto"/>
              </w:rPr>
            </w:pPr>
          </w:p>
        </w:tc>
      </w:tr>
      <w:tr>
        <w:trPr>
          <w:trHeight w:val="212"/>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Effect of exchange rates on cash</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(2,547)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317</w:t>
            </w:r>
          </w:p>
        </w:tc>
        <w:tc>
          <w:tcPr>
            <w:tcW w:w="0" w:type="dxa"/>
            <w:vAlign w:val="bottom"/>
          </w:tcPr>
          <w:p>
            <w:pPr>
              <w:spacing w:after="0"/>
              <w:rPr>
                <w:sz w:val="1"/>
                <w:szCs w:val="1"/>
                <w:color w:val="auto"/>
              </w:rPr>
            </w:pPr>
          </w:p>
        </w:tc>
      </w:tr>
      <w:tr>
        <w:trPr>
          <w:trHeight w:val="214"/>
        </w:trPr>
        <w:tc>
          <w:tcPr>
            <w:tcW w:w="8700" w:type="dxa"/>
            <w:vAlign w:val="bottom"/>
            <w:shd w:val="clear" w:color="auto" w:fill="CCEEFF"/>
          </w:tcPr>
          <w:p>
            <w:pPr>
              <w:ind w:left="1100"/>
              <w:spacing w:after="0"/>
              <w:rPr>
                <w:sz w:val="20"/>
                <w:szCs w:val="20"/>
                <w:color w:val="auto"/>
              </w:rPr>
            </w:pPr>
            <w:r>
              <w:rPr>
                <w:rFonts w:ascii="Arial" w:cs="Arial" w:eastAsia="Arial" w:hAnsi="Arial"/>
                <w:sz w:val="15"/>
                <w:szCs w:val="15"/>
                <w:color w:val="auto"/>
              </w:rPr>
              <w:t>Net increase (decrease) in cash, cash equivalents and restricted cash</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30,026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(10,747)</w:t>
            </w:r>
          </w:p>
        </w:tc>
        <w:tc>
          <w:tcPr>
            <w:tcW w:w="0" w:type="dxa"/>
            <w:vAlign w:val="bottom"/>
          </w:tcPr>
          <w:p>
            <w:pPr>
              <w:spacing w:after="0"/>
              <w:rPr>
                <w:sz w:val="1"/>
                <w:szCs w:val="1"/>
                <w:color w:val="auto"/>
              </w:rPr>
            </w:pPr>
          </w:p>
        </w:tc>
      </w:tr>
      <w:tr>
        <w:trPr>
          <w:trHeight w:val="212"/>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Cash, cash equivalents and restricted cash, beginning of period</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12,074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31,076</w:t>
            </w:r>
          </w:p>
        </w:tc>
        <w:tc>
          <w:tcPr>
            <w:tcW w:w="0" w:type="dxa"/>
            <w:vAlign w:val="bottom"/>
          </w:tcPr>
          <w:p>
            <w:pPr>
              <w:spacing w:after="0"/>
              <w:rPr>
                <w:sz w:val="1"/>
                <w:szCs w:val="1"/>
                <w:color w:val="auto"/>
              </w:rPr>
            </w:pPr>
          </w:p>
        </w:tc>
      </w:tr>
      <w:tr>
        <w:trPr>
          <w:trHeight w:val="238"/>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end of period</w:t>
            </w: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42,100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20,329</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Supplemental disclosures of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7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8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Cash paid during the year for: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700" w:type="dxa"/>
            <w:vAlign w:val="bottom"/>
          </w:tcPr>
          <w:p>
            <w:pPr>
              <w:ind w:left="440"/>
              <w:spacing w:after="0"/>
              <w:rPr>
                <w:sz w:val="20"/>
                <w:szCs w:val="20"/>
                <w:color w:val="auto"/>
              </w:rPr>
            </w:pPr>
            <w:r>
              <w:rPr>
                <w:rFonts w:ascii="Arial" w:cs="Arial" w:eastAsia="Arial" w:hAnsi="Arial"/>
                <w:sz w:val="15"/>
                <w:szCs w:val="15"/>
                <w:color w:val="auto"/>
              </w:rPr>
              <w:t>Interest</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532</w:t>
            </w:r>
          </w:p>
        </w:tc>
        <w:tc>
          <w:tcPr>
            <w:tcW w:w="100" w:type="dxa"/>
            <w:vAlign w:val="bottom"/>
          </w:tcPr>
          <w:p>
            <w:pPr>
              <w:spacing w:after="0"/>
              <w:rPr>
                <w:sz w:val="18"/>
                <w:szCs w:val="18"/>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5,327</w:t>
            </w:r>
          </w:p>
        </w:tc>
        <w:tc>
          <w:tcPr>
            <w:tcW w:w="0" w:type="dxa"/>
            <w:vAlign w:val="bottom"/>
          </w:tcPr>
          <w:p>
            <w:pPr>
              <w:spacing w:after="0"/>
              <w:rPr>
                <w:sz w:val="1"/>
                <w:szCs w:val="1"/>
                <w:color w:val="auto"/>
              </w:rPr>
            </w:pPr>
          </w:p>
        </w:tc>
      </w:tr>
      <w:tr>
        <w:trPr>
          <w:trHeight w:val="220"/>
        </w:trPr>
        <w:tc>
          <w:tcPr>
            <w:tcW w:w="87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Income taxes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642</w:t>
            </w:r>
          </w:p>
        </w:tc>
        <w:tc>
          <w:tcPr>
            <w:tcW w:w="0" w:type="dxa"/>
            <w:vAlign w:val="bottom"/>
          </w:tcPr>
          <w:p>
            <w:pPr>
              <w:spacing w:after="0"/>
              <w:rPr>
                <w:sz w:val="1"/>
                <w:szCs w:val="1"/>
                <w:color w:val="auto"/>
              </w:rPr>
            </w:pPr>
          </w:p>
        </w:tc>
      </w:tr>
      <w:tr>
        <w:trPr>
          <w:trHeight w:val="212"/>
        </w:trPr>
        <w:tc>
          <w:tcPr>
            <w:tcW w:w="8700" w:type="dxa"/>
            <w:vAlign w:val="bottom"/>
          </w:tcPr>
          <w:p>
            <w:pPr>
              <w:ind w:left="20"/>
              <w:spacing w:after="0"/>
              <w:rPr>
                <w:sz w:val="20"/>
                <w:szCs w:val="20"/>
                <w:color w:val="auto"/>
              </w:rPr>
            </w:pPr>
            <w:r>
              <w:rPr>
                <w:rFonts w:ascii="Arial" w:cs="Arial" w:eastAsia="Arial" w:hAnsi="Arial"/>
                <w:sz w:val="15"/>
                <w:szCs w:val="15"/>
                <w:color w:val="auto"/>
              </w:rPr>
              <w:t>Supplemental disclosures of non-cash activities: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7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Transfer of inventories to rental assets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1,511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1,636</w:t>
            </w:r>
          </w:p>
        </w:tc>
        <w:tc>
          <w:tcPr>
            <w:tcW w:w="0" w:type="dxa"/>
            <w:vAlign w:val="bottom"/>
          </w:tcPr>
          <w:p>
            <w:pPr>
              <w:spacing w:after="0"/>
              <w:rPr>
                <w:sz w:val="1"/>
                <w:szCs w:val="1"/>
                <w:color w:val="auto"/>
              </w:rPr>
            </w:pPr>
          </w:p>
        </w:tc>
      </w:tr>
      <w:tr>
        <w:trPr>
          <w:trHeight w:val="212"/>
        </w:trPr>
        <w:tc>
          <w:tcPr>
            <w:tcW w:w="8700" w:type="dxa"/>
            <w:vAlign w:val="bottom"/>
          </w:tcPr>
          <w:p>
            <w:pPr>
              <w:ind w:left="440"/>
              <w:spacing w:after="0"/>
              <w:rPr>
                <w:sz w:val="20"/>
                <w:szCs w:val="20"/>
                <w:color w:val="auto"/>
              </w:rPr>
            </w:pPr>
            <w:r>
              <w:rPr>
                <w:rFonts w:ascii="Arial" w:cs="Arial" w:eastAsia="Arial" w:hAnsi="Arial"/>
                <w:sz w:val="15"/>
                <w:szCs w:val="15"/>
                <w:color w:val="auto"/>
              </w:rPr>
              <w:t>Capital expenditures financed through accounts payable</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3,393</w:t>
            </w:r>
          </w:p>
        </w:tc>
        <w:tc>
          <w:tcPr>
            <w:tcW w:w="100" w:type="dxa"/>
            <w:vAlign w:val="bottom"/>
          </w:tcPr>
          <w:p>
            <w:pPr>
              <w:spacing w:after="0"/>
              <w:rPr>
                <w:sz w:val="18"/>
                <w:szCs w:val="18"/>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2,026</w:t>
            </w:r>
          </w:p>
        </w:tc>
        <w:tc>
          <w:tcPr>
            <w:tcW w:w="0" w:type="dxa"/>
            <w:vAlign w:val="bottom"/>
          </w:tcPr>
          <w:p>
            <w:pPr>
              <w:spacing w:after="0"/>
              <w:rPr>
                <w:sz w:val="1"/>
                <w:szCs w:val="1"/>
                <w:color w:val="auto"/>
              </w:rPr>
            </w:pPr>
          </w:p>
        </w:tc>
      </w:tr>
      <w:tr>
        <w:trPr>
          <w:trHeight w:val="220"/>
        </w:trPr>
        <w:tc>
          <w:tcPr>
            <w:tcW w:w="87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Right-of-use assets obtained in exchange for operating leases liabilities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4,229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3,554</w:t>
            </w:r>
          </w:p>
        </w:tc>
        <w:tc>
          <w:tcPr>
            <w:tcW w:w="0" w:type="dxa"/>
            <w:vAlign w:val="bottom"/>
          </w:tcPr>
          <w:p>
            <w:pPr>
              <w:spacing w:after="0"/>
              <w:rPr>
                <w:sz w:val="1"/>
                <w:szCs w:val="1"/>
                <w:color w:val="auto"/>
              </w:rPr>
            </w:pPr>
          </w:p>
        </w:tc>
      </w:tr>
      <w:tr>
        <w:trPr>
          <w:trHeight w:val="212"/>
        </w:trPr>
        <w:tc>
          <w:tcPr>
            <w:tcW w:w="8700" w:type="dxa"/>
            <w:vAlign w:val="bottom"/>
          </w:tcPr>
          <w:p>
            <w:pPr>
              <w:ind w:left="440"/>
              <w:spacing w:after="0"/>
              <w:rPr>
                <w:sz w:val="20"/>
                <w:szCs w:val="20"/>
                <w:color w:val="auto"/>
              </w:rPr>
            </w:pPr>
            <w:r>
              <w:rPr>
                <w:rFonts w:ascii="Arial" w:cs="Arial" w:eastAsia="Arial" w:hAnsi="Arial"/>
                <w:sz w:val="15"/>
                <w:szCs w:val="15"/>
                <w:color w:val="auto"/>
              </w:rPr>
              <w:t>Preferred stock issued in extinguishment of term loan accrued interest</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2,330</w:t>
            </w:r>
          </w:p>
        </w:tc>
        <w:tc>
          <w:tcPr>
            <w:tcW w:w="100" w:type="dxa"/>
            <w:vAlign w:val="bottom"/>
          </w:tcPr>
          <w:p>
            <w:pPr>
              <w:spacing w:after="0"/>
              <w:rPr>
                <w:sz w:val="18"/>
                <w:szCs w:val="18"/>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87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Debt discount and issuance costs extinguished in notes conversion</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8700" w:type="dxa"/>
            <w:vAlign w:val="bottom"/>
          </w:tcPr>
          <w:p>
            <w:pPr>
              <w:ind w:left="440"/>
              <w:spacing w:after="0"/>
              <w:rPr>
                <w:sz w:val="20"/>
                <w:szCs w:val="20"/>
                <w:color w:val="auto"/>
              </w:rPr>
            </w:pPr>
            <w:r>
              <w:rPr>
                <w:rFonts w:ascii="Arial" w:cs="Arial" w:eastAsia="Arial" w:hAnsi="Arial"/>
                <w:sz w:val="15"/>
                <w:szCs w:val="15"/>
                <w:color w:val="auto"/>
              </w:rPr>
              <w:t>Inseego convertible 5.5% senior notes conversion to equity</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59,907</w:t>
            </w:r>
          </w:p>
        </w:tc>
        <w:tc>
          <w:tcPr>
            <w:tcW w:w="100" w:type="dxa"/>
            <w:vAlign w:val="bottom"/>
          </w:tcPr>
          <w:p>
            <w:pPr>
              <w:spacing w:after="0"/>
              <w:rPr>
                <w:sz w:val="18"/>
                <w:szCs w:val="18"/>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87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Novatel Wireless Notes conversion to equity</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8700" w:type="dxa"/>
            <w:vAlign w:val="bottom"/>
          </w:tcPr>
          <w:p>
            <w:pPr>
              <w:ind w:left="440"/>
              <w:spacing w:after="0"/>
              <w:rPr>
                <w:sz w:val="20"/>
                <w:szCs w:val="20"/>
                <w:color w:val="auto"/>
              </w:rPr>
            </w:pPr>
            <w:r>
              <w:rPr>
                <w:rFonts w:ascii="Arial" w:cs="Arial" w:eastAsia="Arial" w:hAnsi="Arial"/>
                <w:sz w:val="15"/>
                <w:szCs w:val="15"/>
                <w:color w:val="auto"/>
              </w:rPr>
              <w:t>2025 Notes issued to extinguish the 2022 Notes</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64"/>
              <w:spacing w:after="0"/>
              <w:rPr>
                <w:sz w:val="20"/>
                <w:szCs w:val="20"/>
                <w:color w:val="auto"/>
              </w:rPr>
            </w:pPr>
            <w:r>
              <w:rPr>
                <w:rFonts w:ascii="Arial" w:cs="Arial" w:eastAsia="Arial" w:hAnsi="Arial"/>
                <w:sz w:val="15"/>
                <w:szCs w:val="15"/>
                <w:color w:val="auto"/>
              </w:rPr>
              <w:t>80,375</w:t>
            </w:r>
          </w:p>
        </w:tc>
        <w:tc>
          <w:tcPr>
            <w:tcW w:w="100" w:type="dxa"/>
            <w:vAlign w:val="bottom"/>
          </w:tcPr>
          <w:p>
            <w:pPr>
              <w:spacing w:after="0"/>
              <w:rPr>
                <w:sz w:val="18"/>
                <w:szCs w:val="18"/>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200"/>
          </w:cols>
          <w:pgMar w:left="340" w:top="688" w:right="359" w:bottom="1440" w:gutter="0" w:footer="0" w:header="0"/>
        </w:sectPr>
      </w:pP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688" w:right="35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75" w:lineRule="exact"/>
        <w:rPr>
          <w:sz w:val="20"/>
          <w:szCs w:val="20"/>
          <w:color w:val="auto"/>
        </w:rPr>
      </w:pPr>
    </w:p>
    <w:p>
      <w:pPr>
        <w:ind w:firstLine="445"/>
        <w:spacing w:after="0" w:line="269" w:lineRule="auto"/>
        <w:rPr>
          <w:sz w:val="20"/>
          <w:szCs w:val="20"/>
          <w:color w:val="auto"/>
        </w:rPr>
      </w:pPr>
      <w:r>
        <w:rPr>
          <w:rFonts w:ascii="Arial" w:cs="Arial" w:eastAsia="Arial" w:hAnsi="Arial"/>
          <w:sz w:val="16"/>
          <w:szCs w:val="16"/>
          <w:color w:val="auto"/>
        </w:rPr>
        <w:t>The information contained herein has been prepared by Inseego Corp. (the “Company”) in accordance with the rules of the Securities and Exchange Commission (the “SEC”). The information at June 30, 2020 and the results of the Company’s operations for the three and six months ended June 30, 2020 and 2019 are unaudited. The condensed consolidated financial statements reflect all adjustments, consisting of only normal recurring accruals, except otherwise disclosed herein, which are, in the opinion of management, necessary for a fair statement of the results of the interim periods presented. These unaudited condensed consolidated financial statements and notes hereto should be read in conjunction with the audited financial statements and notes thereto included in the Company’s Annual Report on Form 10-K for the year ended December 31, 2019. The year-end condensed consolidated balance sheet data as of December 31, 2019 was derived from the Company’s audited consolidated financial statements and may not include all disclosures required by accounting principles generally accepted in the United States. Certain prior period amounts were reclassified to conform to the current period presentation. These reclassifications did not affect total revenues, costs and expenses, net income (loss), assets, liabilities or stockholders’ deficit. Except as set forth below, the accounting policies used in preparing these unaudited condensed consolidated financial statements are the same as those described in the Company’s Annual Report on Form 10-K for the year ended December 31, 2019. The results of operations for the interim periods presented are not necessarily indicative of results to be expected for any other interim period or for the year as a whole.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158" w:lineRule="exact"/>
        <w:rPr>
          <w:sz w:val="20"/>
          <w:szCs w:val="20"/>
          <w:color w:val="auto"/>
        </w:rPr>
      </w:pPr>
    </w:p>
    <w:p>
      <w:pPr>
        <w:ind w:right="60" w:firstLine="405"/>
        <w:spacing w:after="0"/>
        <w:rPr>
          <w:sz w:val="20"/>
          <w:szCs w:val="20"/>
          <w:color w:val="auto"/>
        </w:rPr>
      </w:pPr>
      <w:r>
        <w:rPr>
          <w:rFonts w:ascii="Arial" w:cs="Arial" w:eastAsia="Arial" w:hAnsi="Arial"/>
          <w:sz w:val="18"/>
          <w:szCs w:val="18"/>
          <w:color w:val="auto"/>
        </w:rPr>
        <w:t>The global outbreak of COVID-19 was declared a pandemic by the World Health Organization and a national emergency by the U.S. Government in March 2020 and has negatively impacted the U.S. and global economy, disrupted global supply chains, resulted in significant travel and transport restrictions, including mandated closures and orders to “shelter-in-place,” and created significant disruption of the financial markets. The extent of the impact of the COVID-19 pandemic on our operational and financial performance will depend on future developments, including the duration and spread of the pandemic and related actions taken by the U.S. government, state and local government officials, and international governments to prevent disease spread, all of which are uncertain and cannot be predicted.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2020, the Company had available cash and cash equivalents totaling $42.1 million and working capital of $46.8 million.</w:t>
      </w:r>
    </w:p>
    <w:p>
      <w:pPr>
        <w:spacing w:after="0" w:line="104" w:lineRule="exact"/>
        <w:rPr>
          <w:sz w:val="20"/>
          <w:szCs w:val="20"/>
          <w:color w:val="auto"/>
        </w:rPr>
      </w:pPr>
    </w:p>
    <w:p>
      <w:pPr>
        <w:ind w:right="160" w:firstLine="405"/>
        <w:spacing w:after="0" w:line="291" w:lineRule="auto"/>
        <w:rPr>
          <w:sz w:val="20"/>
          <w:szCs w:val="20"/>
          <w:color w:val="auto"/>
        </w:rPr>
      </w:pPr>
      <w:r>
        <w:rPr>
          <w:rFonts w:ascii="Arial" w:cs="Arial" w:eastAsia="Arial" w:hAnsi="Arial"/>
          <w:sz w:val="17"/>
          <w:szCs w:val="17"/>
          <w:color w:val="auto"/>
        </w:rPr>
        <w:t>In order to make continued growth investments, on March 6, 2020, the Company issued and sold 25,000 shares of Fixed-Rate Cumulative Perpetual Preferred Stock, Series E, par value $0.001 per share (the “Series E Preferred Stock”), for an aggregate purchase price of $25.0 million.</w:t>
      </w:r>
    </w:p>
    <w:p>
      <w:pPr>
        <w:spacing w:after="0" w:line="3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the first quarter of 2020, $59.9 million of the 2022 Notes (as defined below) were exchanged for common stock in private exchange transactions.</w:t>
      </w:r>
    </w:p>
    <w:p>
      <w:pPr>
        <w:spacing w:after="0" w:line="127" w:lineRule="exact"/>
        <w:rPr>
          <w:sz w:val="20"/>
          <w:szCs w:val="20"/>
          <w:color w:val="auto"/>
        </w:rPr>
      </w:pPr>
    </w:p>
    <w:p>
      <w:pPr>
        <w:ind w:right="20" w:firstLine="405"/>
        <w:spacing w:after="0" w:line="284" w:lineRule="auto"/>
        <w:rPr>
          <w:sz w:val="20"/>
          <w:szCs w:val="20"/>
          <w:color w:val="auto"/>
        </w:rPr>
      </w:pPr>
      <w:r>
        <w:rPr>
          <w:rFonts w:ascii="Arial" w:cs="Arial" w:eastAsia="Arial" w:hAnsi="Arial"/>
          <w:sz w:val="16"/>
          <w:szCs w:val="16"/>
          <w:color w:val="auto"/>
        </w:rPr>
        <w:t>Under the terms of the Credit Agreement (as defined below), interest was paid based on the three-month LIBOR plus 7.65 percent, payable in cash. In the first quarter of 2020, the Credit Agreement was amended such that any interest payment due would be made in shares of Series E Preferred Stock. In accordance with the amended Credit Agreement, the Company issued 2,330 shares of Series E Preferred Stock in satisfaction of accrued interest due as of March 31, 2020. The Credit Agreement had a maturity date of August 23, 2020, prior to the date of its termination (as described below).</w:t>
      </w:r>
    </w:p>
    <w:p>
      <w:pPr>
        <w:spacing w:after="0" w:line="47" w:lineRule="exact"/>
        <w:rPr>
          <w:sz w:val="20"/>
          <w:szCs w:val="20"/>
          <w:color w:val="auto"/>
        </w:rPr>
      </w:pPr>
    </w:p>
    <w:p>
      <w:pPr>
        <w:ind w:right="100" w:firstLine="405"/>
        <w:spacing w:after="0" w:line="261" w:lineRule="auto"/>
        <w:rPr>
          <w:sz w:val="20"/>
          <w:szCs w:val="20"/>
          <w:color w:val="auto"/>
        </w:rPr>
      </w:pPr>
      <w:r>
        <w:rPr>
          <w:rFonts w:ascii="Arial" w:cs="Arial" w:eastAsia="Arial" w:hAnsi="Arial"/>
          <w:sz w:val="18"/>
          <w:szCs w:val="18"/>
          <w:color w:val="auto"/>
        </w:rPr>
        <w:t>On May 12, 2020, the Company restructured its outstanding debt through the following transactions, each of which is described in more detail below (also see Note 4, Debt):</w:t>
      </w:r>
    </w:p>
    <w:p>
      <w:pPr>
        <w:spacing w:after="0" w:line="225" w:lineRule="exact"/>
        <w:rPr>
          <w:sz w:val="20"/>
          <w:szCs w:val="20"/>
          <w:color w:val="auto"/>
        </w:rPr>
      </w:pPr>
    </w:p>
    <w:p>
      <w:pPr>
        <w:ind w:left="660" w:right="48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Company completed a $100.0 million registered public offering (the “Offering”) of convertible 3.25% senior notes due 2025 (the “2025 Notes”).</w:t>
      </w:r>
    </w:p>
    <w:p>
      <w:pPr>
        <w:spacing w:after="0" w:line="1" w:lineRule="exact"/>
        <w:rPr>
          <w:rFonts w:ascii="Arial" w:cs="Arial" w:eastAsia="Arial" w:hAnsi="Arial"/>
          <w:sz w:val="22"/>
          <w:szCs w:val="22"/>
          <w:color w:val="auto"/>
        </w:rPr>
      </w:pPr>
    </w:p>
    <w:p>
      <w:pPr>
        <w:ind w:left="660" w:right="20" w:hanging="328"/>
        <w:spacing w:after="0" w:line="233"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Company entered into separate privately-negotiated exchange agreements (the “Exchange Agreements”) with certain holders of the Company’s outstanding convertible 5.5% senior notes due 2022 (the “2022 Notes” formerly referred to as the “Inseego Notes”), including Golden Harbor Ltd. and North Sound Trading, L.P. (the “Participating Stockholders”). Pursuant to the Exchange Agreements, each of the Participating Stockholders agreed to exchange the 2022 Notes that they held (representing an aggregate of $45.0 million principal amount of 2022 Notes) for an aggregate of $32.0 million in cash and $80.4 million principal amount of 2025 Notes in private placement transactions (the “Private Exchange Transactions”) that closed concurrently with the registered Offering.</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60" w:right="180" w:hanging="328"/>
        <w:spacing w:after="0" w:line="233"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Company used a portion of the proceeds from the Offering to repay $47.5 million in outstanding principal under the Credit Agreement, approximately $0.5 million in interest accrued thereon, a prepayment fee of $0.8 million and an exit fee of $0.6 million, extinguishing the Credit Agreement.</w:t>
      </w:r>
    </w:p>
    <w:p>
      <w:pPr>
        <w:spacing w:after="0" w:line="1" w:lineRule="exact"/>
        <w:rPr>
          <w:rFonts w:ascii="Arial" w:cs="Arial" w:eastAsia="Arial" w:hAnsi="Arial"/>
          <w:sz w:val="22"/>
          <w:szCs w:val="22"/>
          <w:color w:val="auto"/>
        </w:rPr>
      </w:pPr>
    </w:p>
    <w:p>
      <w:pPr>
        <w:ind w:left="660" w:right="180" w:hanging="328"/>
        <w:spacing w:after="0" w:line="232"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Company used a portion of the proceeds from the Offering to repurchase 2,330 shares of Series E Preferred Stock, which had been issued to satisfy accrued interest under the Credit Agreement, for $2.4 million.</w:t>
      </w:r>
    </w:p>
    <w:p>
      <w:pPr>
        <w:spacing w:after="0" w:line="216" w:lineRule="exact"/>
        <w:rPr>
          <w:sz w:val="20"/>
          <w:szCs w:val="20"/>
          <w:color w:val="auto"/>
        </w:rPr>
      </w:pPr>
    </w:p>
    <w:p>
      <w:pPr>
        <w:ind w:right="100" w:firstLine="486"/>
        <w:spacing w:after="0" w:line="248" w:lineRule="auto"/>
        <w:rPr>
          <w:sz w:val="20"/>
          <w:szCs w:val="20"/>
          <w:color w:val="auto"/>
        </w:rPr>
      </w:pPr>
      <w:r>
        <w:rPr>
          <w:rFonts w:ascii="Arial" w:cs="Arial" w:eastAsia="Arial" w:hAnsi="Arial"/>
          <w:sz w:val="18"/>
          <w:szCs w:val="18"/>
          <w:color w:val="auto"/>
        </w:rPr>
        <w:t>As of June 30, 2020 the Company’s outstanding debt primarily consisted of $180.4 million in principal amount of 2025 Notes and $2,000 in principal amount of 2022 Notes. On July 22, 2020, pursuant to a redemption notice issued on May 15, 2020, the Company redeemed the remaining $2,000 principal amount of the 2022 Notes.</w:t>
      </w:r>
    </w:p>
    <w:p>
      <w:pPr>
        <w:spacing w:after="0" w:line="209" w:lineRule="exact"/>
        <w:rPr>
          <w:sz w:val="20"/>
          <w:szCs w:val="20"/>
          <w:color w:val="auto"/>
        </w:rPr>
      </w:pPr>
    </w:p>
    <w:p>
      <w:pPr>
        <w:ind w:firstLine="405"/>
        <w:spacing w:after="0" w:line="274" w:lineRule="auto"/>
        <w:rPr>
          <w:sz w:val="20"/>
          <w:szCs w:val="20"/>
          <w:color w:val="auto"/>
        </w:rPr>
      </w:pPr>
      <w:r>
        <w:rPr>
          <w:rFonts w:ascii="Arial" w:cs="Arial" w:eastAsia="Arial" w:hAnsi="Arial"/>
          <w:sz w:val="16"/>
          <w:szCs w:val="16"/>
          <w:color w:val="auto"/>
        </w:rPr>
        <w:t>The Company has a history of operating and net losses and overall usage of cash from operating and investing activities. The Company’s management believes that its cash and cash equivalents, together with anticipated cash flows from operations, will be sufficient to meet its cash flow needs for the next twelve months following the filing date of this report. The Company’s ability to attain more profitable operations and continue to generate positive cash flow is dependent upon achieving a level and mix of revenues adequate to support its evolving cost structure. If events or circumstances occur such that the Company does not meet its operating plan as expected, or if the Company becomes obligated to pay unforeseen expenditures as a result of ongoing litigation, the Company may be required to raise capital, reduce planned research and development activities, incur additional restructuring charges or reduce other operating expenses which could have an adverse impact on its ability to achieve its intended business objectives.</w:t>
      </w:r>
    </w:p>
    <w:p>
      <w:pPr>
        <w:spacing w:after="0" w:line="109" w:lineRule="exact"/>
        <w:rPr>
          <w:sz w:val="20"/>
          <w:szCs w:val="20"/>
          <w:color w:val="auto"/>
        </w:rPr>
      </w:pPr>
    </w:p>
    <w:p>
      <w:pPr>
        <w:ind w:right="580" w:firstLine="405"/>
        <w:spacing w:after="0" w:line="248" w:lineRule="auto"/>
        <w:rPr>
          <w:sz w:val="20"/>
          <w:szCs w:val="20"/>
          <w:color w:val="auto"/>
        </w:rPr>
      </w:pPr>
      <w:r>
        <w:rPr>
          <w:rFonts w:ascii="Arial" w:cs="Arial" w:eastAsia="Arial" w:hAnsi="Arial"/>
          <w:sz w:val="18"/>
          <w:szCs w:val="18"/>
          <w:color w:val="auto"/>
        </w:rPr>
        <w:t>The Company’s liquidity could be impaired if there is any interruption in its business operations, a material failure to satisfy its contractual commitments or a failure to generate revenue from new or existing products. There can be no assurance that any required or desired restructuring or financing will be available on terms favorable to the Company, or at all.</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unaudited condensed consolidated financial statements include the accounts of the Company and its wholly- and majority-owned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transactions and balances have been eliminated in consolidation.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04" w:lineRule="exact"/>
        <w:rPr>
          <w:sz w:val="20"/>
          <w:szCs w:val="20"/>
          <w:color w:val="auto"/>
        </w:rPr>
      </w:pPr>
    </w:p>
    <w:p>
      <w:pPr>
        <w:ind w:right="220" w:firstLine="405"/>
        <w:spacing w:after="0" w:line="248" w:lineRule="auto"/>
        <w:rPr>
          <w:sz w:val="20"/>
          <w:szCs w:val="20"/>
          <w:color w:val="auto"/>
        </w:rPr>
      </w:pPr>
      <w:r>
        <w:rPr>
          <w:rFonts w:ascii="Arial" w:cs="Arial" w:eastAsia="Arial" w:hAnsi="Arial"/>
          <w:sz w:val="18"/>
          <w:szCs w:val="18"/>
          <w:color w:val="auto"/>
        </w:rPr>
        <w:t>Management has determined that the Company has one reportable segment. The Chief Executive Officer, who is also the Chief Operating Decision Maker, does not manage any part of the Company separately, and the allocation of resources and assessment of performance is based solely on the Company’s consolidated operations and operating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9" w:lineRule="exact"/>
        <w:rPr>
          <w:sz w:val="20"/>
          <w:szCs w:val="20"/>
          <w:color w:val="auto"/>
        </w:rPr>
      </w:pPr>
    </w:p>
    <w:p>
      <w:pPr>
        <w:ind w:firstLine="405"/>
        <w:spacing w:after="0" w:line="257"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management to make estimates and assumptions. These estimates and assumptions affect the reported amounts of assets, liabilities, revenues and expenses, and the disclosure of contingent liabilities. Actual results could differ materially from these estimates. Significant estimates include revenue recognition, capitalized software costs, allowance for doubtful accounts receivable, provision for excess and obsolete inventory, valuation of intangible and long-lived assets, valuation of goodwill, valuation of debt obligations, valuation of derivatives, royalty costs, accruals relating to litigation, income taxes, share-based compensation expense and the Company’s ability to continue as a going concern.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39" w:lineRule="exact"/>
        <w:rPr>
          <w:sz w:val="20"/>
          <w:szCs w:val="20"/>
          <w:color w:val="auto"/>
        </w:rPr>
      </w:pPr>
    </w:p>
    <w:p>
      <w:pPr>
        <w:ind w:right="100" w:firstLine="405"/>
        <w:spacing w:after="0" w:line="276" w:lineRule="auto"/>
        <w:rPr>
          <w:sz w:val="20"/>
          <w:szCs w:val="20"/>
          <w:color w:val="auto"/>
        </w:rPr>
      </w:pPr>
      <w:r>
        <w:rPr>
          <w:rFonts w:ascii="Arial" w:cs="Arial" w:eastAsia="Arial" w:hAnsi="Arial"/>
          <w:sz w:val="16"/>
          <w:szCs w:val="16"/>
          <w:color w:val="auto"/>
        </w:rPr>
        <w:t>The Company evaluates stock options, stock warrants, debt instruments and other contracts to determine if those contracts or embedded components of those contracts qualify as derivative financial instruments to be separately accounted for under the relevant sections of the Financial Accounting Standards Board (the “FASB”) Accounting Standards Codification. The result of this accounting treatment could be that the fair value of a financial instrument is classified as a derivative financial instrument and is marked-to-market at each balance sheet date and recorded as an asset or liability. In the event that the fair value is recorded as an asset or liability, the change in fair value is recorded in the consolidated statements of operations as other income or other expense. Upon conversion, exercise or expiration of a derivative financial instrument, the instrument is marked to fair value.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 Instruments</w:t>
      </w:r>
    </w:p>
    <w:p>
      <w:pPr>
        <w:spacing w:after="0" w:line="239" w:lineRule="exact"/>
        <w:rPr>
          <w:sz w:val="20"/>
          <w:szCs w:val="20"/>
          <w:color w:val="auto"/>
        </w:rPr>
      </w:pPr>
    </w:p>
    <w:p>
      <w:pPr>
        <w:ind w:firstLine="405"/>
        <w:spacing w:after="0" w:line="255" w:lineRule="auto"/>
        <w:rPr>
          <w:sz w:val="20"/>
          <w:szCs w:val="20"/>
          <w:color w:val="auto"/>
        </w:rPr>
      </w:pPr>
      <w:r>
        <w:rPr>
          <w:rFonts w:ascii="Arial" w:cs="Arial" w:eastAsia="Arial" w:hAnsi="Arial"/>
          <w:sz w:val="17"/>
          <w:szCs w:val="17"/>
          <w:color w:val="auto"/>
        </w:rPr>
        <w:t>The Company accounts for its convertible debt instruments that may be settled in cash upon conversion (including partial cash settlement) by separating the liability and equity components of the instruments in a manner that reflects the Company's nonconvertible debt borrowing rate. The Company determines the carrying amount of the liability component by measuring the fair value of similar debt instruments that do not have the conversion feature. If a similar debt instrument does not exist, the Company estimates the fair value by using assumptions that market participants would use in pricing a debt instrument, including market interest rates, credit standing, yield curves and volatilities. Determining the fair value of the debt component requires the use of accounting estimates and assumptions. These estimates and assumptions require significant judgment and could have a significant impact on the determination of the debt component and the associated non-cash interest expense.</w:t>
      </w:r>
    </w:p>
    <w:p>
      <w:pPr>
        <w:spacing w:after="0" w:line="207" w:lineRule="exact"/>
        <w:rPr>
          <w:sz w:val="20"/>
          <w:szCs w:val="20"/>
          <w:color w:val="auto"/>
        </w:rPr>
      </w:pPr>
    </w:p>
    <w:p>
      <w:pPr>
        <w:ind w:firstLine="405"/>
        <w:spacing w:after="0" w:line="243" w:lineRule="auto"/>
        <w:rPr>
          <w:sz w:val="20"/>
          <w:szCs w:val="20"/>
          <w:color w:val="auto"/>
        </w:rPr>
      </w:pPr>
      <w:r>
        <w:rPr>
          <w:rFonts w:ascii="Arial" w:cs="Arial" w:eastAsia="Arial" w:hAnsi="Arial"/>
          <w:sz w:val="18"/>
          <w:szCs w:val="18"/>
          <w:color w:val="auto"/>
        </w:rPr>
        <w:t>For convertible debt that may be settled in cash upon conversion, the Company assigns a value to the debt component equal to the estimated fair value of similar debt instruments without the conversion feature, which could result in the Company recording the debt instrument at a discount. If the debt instrument is recorded at a discount, the Company amortizes the debt discount over the life of the debt instrument as additional non-cash interest expense utilizing the effective interest method.</w:t>
      </w:r>
    </w:p>
    <w:p>
      <w:pPr>
        <w:spacing w:after="0" w:line="215" w:lineRule="exact"/>
        <w:rPr>
          <w:sz w:val="20"/>
          <w:szCs w:val="20"/>
          <w:color w:val="auto"/>
        </w:rPr>
      </w:pPr>
    </w:p>
    <w:p>
      <w:pPr>
        <w:jc w:val="both"/>
        <w:ind w:right="540" w:firstLine="405"/>
        <w:spacing w:after="0" w:line="270" w:lineRule="auto"/>
        <w:rPr>
          <w:sz w:val="20"/>
          <w:szCs w:val="20"/>
          <w:color w:val="auto"/>
        </w:rPr>
      </w:pPr>
      <w:r>
        <w:rPr>
          <w:rFonts w:ascii="Arial" w:cs="Arial" w:eastAsia="Arial" w:hAnsi="Arial"/>
          <w:sz w:val="17"/>
          <w:szCs w:val="17"/>
          <w:color w:val="auto"/>
        </w:rPr>
        <w:t xml:space="preserve">The Company evaluates embedded features within convertible debt that will be settled in shares upon conversion under Accounting Standards Codification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to determine whether the embedded feature(s) should be bifurcated from the host instrument and accounted for as a derivative at fair value with changes in fair value recorded in earnings.</w:t>
      </w:r>
    </w:p>
    <w:p>
      <w:pPr>
        <w:spacing w:after="0" w:line="191" w:lineRule="exact"/>
        <w:rPr>
          <w:sz w:val="20"/>
          <w:szCs w:val="20"/>
          <w:color w:val="auto"/>
        </w:rPr>
      </w:pPr>
    </w:p>
    <w:p>
      <w:pPr>
        <w:ind w:right="100" w:firstLine="405"/>
        <w:spacing w:after="0" w:line="241" w:lineRule="auto"/>
        <w:rPr>
          <w:sz w:val="20"/>
          <w:szCs w:val="20"/>
          <w:color w:val="auto"/>
        </w:rPr>
      </w:pPr>
      <w:r>
        <w:rPr>
          <w:rFonts w:ascii="Arial" w:cs="Arial" w:eastAsia="Arial" w:hAnsi="Arial"/>
          <w:sz w:val="18"/>
          <w:szCs w:val="18"/>
          <w:color w:val="auto"/>
        </w:rPr>
        <w:t>If an embedded derivative is bifurcated from share-settled convertible debt, the Company records the debt component at cost less a debt discount equal to the bifurcated derivative’s fair value. The Company amortizes the debt discount over the life of the debt instrument as additional non-cash interest expense utilizing the effective interest method. The convertible debt and the derivative liability are presented in total on the unaudited condensed consolidated balance sheet. The derivative liability will be remeasured at each reporting period with changes in fair value recorded in the consolidated statements of operations in other income (expense), net.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w:t>
      </w:r>
    </w:p>
    <w:p>
      <w:pPr>
        <w:spacing w:after="0" w:line="243" w:lineRule="exact"/>
        <w:rPr>
          <w:sz w:val="20"/>
          <w:szCs w:val="20"/>
          <w:color w:val="auto"/>
        </w:rPr>
      </w:pPr>
    </w:p>
    <w:p>
      <w:pPr>
        <w:ind w:right="40" w:firstLine="405"/>
        <w:spacing w:after="0" w:line="241" w:lineRule="auto"/>
        <w:rPr>
          <w:sz w:val="20"/>
          <w:szCs w:val="20"/>
          <w:color w:val="auto"/>
        </w:rPr>
      </w:pPr>
      <w:r>
        <w:rPr>
          <w:rFonts w:ascii="Arial" w:cs="Arial" w:eastAsia="Arial" w:hAnsi="Arial"/>
          <w:sz w:val="18"/>
          <w:szCs w:val="18"/>
          <w:color w:val="auto"/>
        </w:rPr>
        <w:t>The Company generates revenue from a broad range of product sales including intelligent wireless hardware products for the worldwide mobile communications, industrial Internet of Things (“IoT”) markets, and various Software as a Service (SaaS) products. The Company’s products principally include intelligent mobile hotspots, wireless routers for IoT applications, USB modems, integrated telematics and mobile tracking hardware devices, which are supported by applications software and cloud software services designed to enable customers to easily analyze data insights and configure and manage their hardware.</w:t>
      </w:r>
    </w:p>
    <w:p>
      <w:pPr>
        <w:spacing w:after="0" w:line="135" w:lineRule="exact"/>
        <w:rPr>
          <w:sz w:val="20"/>
          <w:szCs w:val="20"/>
          <w:color w:val="auto"/>
        </w:rPr>
      </w:pPr>
    </w:p>
    <w:p>
      <w:pPr>
        <w:jc w:val="both"/>
        <w:ind w:right="480" w:firstLine="405"/>
        <w:spacing w:after="0" w:line="248" w:lineRule="auto"/>
        <w:rPr>
          <w:sz w:val="20"/>
          <w:szCs w:val="20"/>
          <w:color w:val="auto"/>
        </w:rPr>
      </w:pPr>
      <w:r>
        <w:rPr>
          <w:rFonts w:ascii="Arial" w:cs="Arial" w:eastAsia="Arial" w:hAnsi="Arial"/>
          <w:sz w:val="18"/>
          <w:szCs w:val="18"/>
          <w:color w:val="auto"/>
        </w:rPr>
        <w:t>The Company classifies its revenues from the sale of its products and services into two distinct groupings, specifically IoT &amp; Mobile Solutions and Enterprise SaaS Solutions. Both IoT &amp; Mobile Solutions and Enterprise SaaS Solutions revenues include any hardware and software required for the respective solution.</w:t>
      </w:r>
    </w:p>
    <w:p>
      <w:pPr>
        <w:spacing w:after="0" w:line="128" w:lineRule="exact"/>
        <w:rPr>
          <w:sz w:val="20"/>
          <w:szCs w:val="20"/>
          <w:color w:val="auto"/>
        </w:rPr>
      </w:pPr>
    </w:p>
    <w:p>
      <w:pPr>
        <w:ind w:firstLine="405"/>
        <w:spacing w:after="0" w:line="294" w:lineRule="auto"/>
        <w:rPr>
          <w:sz w:val="20"/>
          <w:szCs w:val="20"/>
          <w:color w:val="auto"/>
        </w:rPr>
      </w:pPr>
      <w:r>
        <w:rPr>
          <w:rFonts w:ascii="Arial" w:cs="Arial" w:eastAsia="Arial" w:hAnsi="Arial"/>
          <w:sz w:val="16"/>
          <w:szCs w:val="16"/>
          <w:i w:val="1"/>
          <w:iCs w:val="1"/>
          <w:color w:val="auto"/>
        </w:rPr>
        <w:t>IoT &amp; Mobile Solutions</w:t>
      </w:r>
      <w:r>
        <w:rPr>
          <w:rFonts w:ascii="Arial" w:cs="Arial" w:eastAsia="Arial" w:hAnsi="Arial"/>
          <w:sz w:val="16"/>
          <w:szCs w:val="16"/>
          <w:color w:val="auto"/>
        </w:rPr>
        <w:t>. The IoT &amp; Mobile Solutions portfolio is comprised of end-to-end edge to cloud solutions including 4G LTE mobile</w:t>
      </w:r>
      <w:r>
        <w:rPr>
          <w:rFonts w:ascii="Arial" w:cs="Arial" w:eastAsia="Arial" w:hAnsi="Arial"/>
          <w:sz w:val="16"/>
          <w:szCs w:val="16"/>
          <w:i w:val="1"/>
          <w:iCs w:val="1"/>
          <w:color w:val="auto"/>
        </w:rPr>
        <w:t xml:space="preserve"> </w:t>
      </w:r>
      <w:r>
        <w:rPr>
          <w:rFonts w:ascii="Arial" w:cs="Arial" w:eastAsia="Arial" w:hAnsi="Arial"/>
          <w:sz w:val="16"/>
          <w:szCs w:val="16"/>
          <w:color w:val="auto"/>
        </w:rPr>
        <w:t>broadband gateways, routers, modems, hotspots, HD quality VoLTE based wireless home phones, cloud management software and an advanced portfolio of 5G products. The solutions are offered under the MiFi™ brand for consumer and enterprise markets, and under the Skyus brand for industrial IoT markets.</w:t>
      </w:r>
    </w:p>
    <w:p>
      <w:pPr>
        <w:spacing w:after="0" w:line="93" w:lineRule="exact"/>
        <w:rPr>
          <w:sz w:val="20"/>
          <w:szCs w:val="20"/>
          <w:color w:val="auto"/>
        </w:rPr>
      </w:pPr>
    </w:p>
    <w:p>
      <w:pPr>
        <w:ind w:right="80" w:firstLine="405"/>
        <w:spacing w:after="0" w:line="262" w:lineRule="auto"/>
        <w:rPr>
          <w:sz w:val="20"/>
          <w:szCs w:val="20"/>
          <w:color w:val="auto"/>
        </w:rPr>
      </w:pPr>
      <w:r>
        <w:rPr>
          <w:rFonts w:ascii="Arial" w:cs="Arial" w:eastAsia="Arial" w:hAnsi="Arial"/>
          <w:sz w:val="17"/>
          <w:szCs w:val="17"/>
          <w:i w:val="1"/>
          <w:iCs w:val="1"/>
          <w:color w:val="auto"/>
        </w:rPr>
        <w:t>Enterprise SaaS Solutions</w:t>
      </w:r>
      <w:r>
        <w:rPr>
          <w:rFonts w:ascii="Arial" w:cs="Arial" w:eastAsia="Arial" w:hAnsi="Arial"/>
          <w:sz w:val="17"/>
          <w:szCs w:val="17"/>
          <w:color w:val="auto"/>
        </w:rPr>
        <w:t>. The Enterprise SaaS Solutions consist of various subscription offerings to gain access to the Company’s Ctrack telematics</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platforms, which provide fleet vehicle, aviation ground vehicle and asset tracking and performance information, and other telematics applications, and the Company’s Device Management System (“DMS”), a hosted software-as-a-service (“SaaS”) platform that helps organizations manage the selection, deployment and spend of their customer’s wireless assets, helping them save money on personnel and telecom expenses.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Customers</w:t>
      </w:r>
    </w:p>
    <w:p>
      <w:pPr>
        <w:spacing w:after="0" w:line="158" w:lineRule="exact"/>
        <w:rPr>
          <w:sz w:val="20"/>
          <w:szCs w:val="20"/>
          <w:color w:val="auto"/>
        </w:rPr>
      </w:pPr>
    </w:p>
    <w:p>
      <w:pPr>
        <w:ind w:right="180" w:firstLine="405"/>
        <w:spacing w:after="0" w:line="241" w:lineRule="auto"/>
        <w:rPr>
          <w:sz w:val="20"/>
          <w:szCs w:val="20"/>
          <w:color w:val="auto"/>
        </w:rPr>
      </w:pPr>
      <w:r>
        <w:rPr>
          <w:rFonts w:ascii="Arial" w:cs="Arial" w:eastAsia="Arial" w:hAnsi="Arial"/>
          <w:sz w:val="18"/>
          <w:szCs w:val="18"/>
          <w:color w:val="auto"/>
        </w:rPr>
        <w:t>The Company routinely enters into a variety of agreements with customers, including quality agreements, pricing agreements and master supply agreements which outline the general commercial terms and conditions under which the Company does business with a specific customer, including shipping terms and pricing for the products and services that the Company offers. The Company also sells to some customers solely based on purchase orders. The Company has concluded, for the vast majority of its revenues, that its contracts with customers are either a purchase order or the combination of a purchase order with a master supply agreement.</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determines revenue recognition through the following five steps:</w:t>
      </w:r>
    </w:p>
    <w:p>
      <w:pPr>
        <w:spacing w:after="0" w:line="50" w:lineRule="exact"/>
        <w:rPr>
          <w:sz w:val="20"/>
          <w:szCs w:val="20"/>
          <w:color w:val="auto"/>
        </w:rPr>
      </w:pPr>
    </w:p>
    <w:p>
      <w:pPr>
        <w:ind w:left="960" w:hanging="30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 w:lineRule="exact"/>
        <w:rPr>
          <w:rFonts w:ascii="Arial" w:cs="Arial" w:eastAsia="Arial" w:hAnsi="Arial"/>
          <w:sz w:val="18"/>
          <w:szCs w:val="18"/>
          <w:color w:val="auto"/>
        </w:rPr>
      </w:pPr>
    </w:p>
    <w:p>
      <w:pPr>
        <w:ind w:left="960" w:hanging="304"/>
        <w:spacing w:after="0" w:line="234"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ind w:left="960" w:hanging="304"/>
        <w:spacing w:after="0" w:line="234"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ind w:left="960" w:hanging="304"/>
        <w:spacing w:after="0" w:line="234"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ind w:left="960" w:hanging="30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recognition of revenue when, or as, performance obligations are satisfied.</w:t>
      </w:r>
    </w:p>
    <w:p>
      <w:pPr>
        <w:spacing w:after="0" w:line="142" w:lineRule="exact"/>
        <w:rPr>
          <w:sz w:val="20"/>
          <w:szCs w:val="20"/>
          <w:color w:val="auto"/>
        </w:rPr>
      </w:pPr>
    </w:p>
    <w:p>
      <w:pPr>
        <w:ind w:right="120" w:firstLine="405"/>
        <w:spacing w:after="0" w:line="261" w:lineRule="auto"/>
        <w:rPr>
          <w:sz w:val="20"/>
          <w:szCs w:val="20"/>
          <w:color w:val="auto"/>
        </w:rPr>
      </w:pPr>
      <w:r>
        <w:rPr>
          <w:rFonts w:ascii="Arial" w:cs="Arial" w:eastAsia="Arial" w:hAnsi="Arial"/>
          <w:sz w:val="18"/>
          <w:szCs w:val="18"/>
          <w:color w:val="auto"/>
        </w:rPr>
        <w:t>The Company accounts for a contract when it has approval and commitment from both parties, the rights of the parties are identified, payment terms are identified, the contract has commercial substance and collectability of consideration is probable.</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6"/>
          <w:szCs w:val="16"/>
          <w:color w:val="auto"/>
        </w:rPr>
        <w:t>The Company’s performance obligations are established when a customer submits a purchase order notification (in writing, electronically or verbally) for goods and services, and the Company accepts the order. The Company identifies performance obligations as the delivery of the requested product or service in appropriate quantities and to the location specified in the customer’s contract and/or purchase order. The Company generally recognizes revenue upon the satisfaction of these criteria when control of the product or service has been transferred to the customer at which time it has an unconditional right to receive payment. The Company’s prices are fixed and have no history of being affected by contingent events that could impact the transaction price. The Company does not offer price concessions and does not accept payment that is less than the price stated when it accepts the purchase order.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58" w:lineRule="exact"/>
        <w:rPr>
          <w:sz w:val="20"/>
          <w:szCs w:val="20"/>
          <w:color w:val="auto"/>
        </w:rPr>
      </w:pPr>
    </w:p>
    <w:p>
      <w:pPr>
        <w:ind w:right="40" w:firstLine="405"/>
        <w:spacing w:after="0" w:line="248" w:lineRule="auto"/>
        <w:rPr>
          <w:sz w:val="20"/>
          <w:szCs w:val="20"/>
          <w:color w:val="auto"/>
        </w:rPr>
      </w:pPr>
      <w:r>
        <w:rPr>
          <w:rFonts w:ascii="Arial" w:cs="Arial" w:eastAsia="Arial" w:hAnsi="Arial"/>
          <w:sz w:val="18"/>
          <w:szCs w:val="18"/>
          <w:color w:val="auto"/>
        </w:rPr>
        <w:t>Revenue is recognized upon transfer of control of products or services to customers in an amount that reflects the consideration the Company expects to receive in exchange for those products or services. The Company enters into contracts that may include various combinations of products and services which are generally capable of being distinct and accounted for as separate performance obligations.</w:t>
      </w:r>
    </w:p>
    <w:p>
      <w:pPr>
        <w:spacing w:after="0" w:line="128" w:lineRule="exact"/>
        <w:rPr>
          <w:sz w:val="20"/>
          <w:szCs w:val="20"/>
          <w:color w:val="auto"/>
        </w:rPr>
      </w:pPr>
    </w:p>
    <w:p>
      <w:pPr>
        <w:jc w:val="both"/>
        <w:ind w:right="60" w:firstLine="405"/>
        <w:spacing w:after="0" w:line="248" w:lineRule="auto"/>
        <w:rPr>
          <w:sz w:val="20"/>
          <w:szCs w:val="20"/>
          <w:color w:val="auto"/>
        </w:rPr>
      </w:pPr>
      <w:r>
        <w:rPr>
          <w:rFonts w:ascii="Arial" w:cs="Arial" w:eastAsia="Arial" w:hAnsi="Arial"/>
          <w:sz w:val="18"/>
          <w:szCs w:val="18"/>
          <w:i w:val="1"/>
          <w:iCs w:val="1"/>
          <w:color w:val="auto"/>
        </w:rPr>
        <w:t xml:space="preserve">Hardware. </w:t>
      </w:r>
      <w:r>
        <w:rPr>
          <w:rFonts w:ascii="Arial" w:cs="Arial" w:eastAsia="Arial" w:hAnsi="Arial"/>
          <w:sz w:val="18"/>
          <w:szCs w:val="18"/>
          <w:color w:val="auto"/>
        </w:rPr>
        <w:t>Hardware revenue from the sale of the Company’s IoT &amp; Mobile Solutions devices is recognized when the Company transfers control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customer, typically at the time when the product is delivered, shipped or installed at which time the title passes to the customer, and there are no further performance obligations with regards to the hardware device.</w:t>
      </w:r>
    </w:p>
    <w:p>
      <w:pPr>
        <w:spacing w:after="0" w:line="128" w:lineRule="exact"/>
        <w:rPr>
          <w:sz w:val="20"/>
          <w:szCs w:val="20"/>
          <w:color w:val="auto"/>
        </w:rPr>
      </w:pPr>
    </w:p>
    <w:p>
      <w:pPr>
        <w:ind w:right="20" w:firstLine="405"/>
        <w:spacing w:after="0" w:line="253" w:lineRule="auto"/>
        <w:rPr>
          <w:sz w:val="20"/>
          <w:szCs w:val="20"/>
          <w:color w:val="auto"/>
        </w:rPr>
      </w:pPr>
      <w:r>
        <w:rPr>
          <w:rFonts w:ascii="Arial" w:cs="Arial" w:eastAsia="Arial" w:hAnsi="Arial"/>
          <w:sz w:val="17"/>
          <w:szCs w:val="17"/>
          <w:i w:val="1"/>
          <w:iCs w:val="1"/>
          <w:color w:val="auto"/>
        </w:rPr>
        <w:t xml:space="preserve">SaaS and Other Services. </w:t>
      </w:r>
      <w:r>
        <w:rPr>
          <w:rFonts w:ascii="Arial" w:cs="Arial" w:eastAsia="Arial" w:hAnsi="Arial"/>
          <w:sz w:val="17"/>
          <w:szCs w:val="17"/>
          <w:color w:val="auto"/>
        </w:rPr>
        <w:t>SaaS subscription revenue is recognized over time on a ratable basis over the contract term beginning on the date that its</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is made available to the customer. Subscription periods range from monthly to multi-year, with the majority of contracts being one to three years. Telematics includes a device which collects and transmits the information from the vehicle or other asset. The Company’s customers have an option to purchase the monitoring device or lease it over the term of the contract. If the customer purchases the hardware device, the Company recognizes the revenue at a point in time as discussed above in the hardware revenue recognition disclosure. Under the standard, because the Company’s rental asset lease contracts qualify as operating leases under ASC 842 and the contracts also include services to operate the underlying asset, and to maintain the asset, the Company has elected the practical expedient to combine the lease and the non-lease components because the service is the predominant element in the eyes of the customer and the pattern of service delivery is the same for both elements. The Company recognizes revenue over time on a ratable basis over the term of the contract.</w:t>
      </w:r>
    </w:p>
    <w:p>
      <w:pPr>
        <w:spacing w:after="0" w:line="130" w:lineRule="exact"/>
        <w:rPr>
          <w:sz w:val="20"/>
          <w:szCs w:val="20"/>
          <w:color w:val="auto"/>
        </w:rPr>
      </w:pPr>
    </w:p>
    <w:p>
      <w:pPr>
        <w:ind w:left="660" w:right="260"/>
        <w:spacing w:after="0" w:line="270" w:lineRule="auto"/>
        <w:rPr>
          <w:sz w:val="20"/>
          <w:szCs w:val="20"/>
          <w:color w:val="auto"/>
        </w:rPr>
      </w:pPr>
      <w:r>
        <w:rPr>
          <w:rFonts w:ascii="Arial" w:cs="Arial" w:eastAsia="Arial" w:hAnsi="Arial"/>
          <w:sz w:val="17"/>
          <w:szCs w:val="17"/>
          <w:i w:val="1"/>
          <w:iCs w:val="1"/>
          <w:color w:val="auto"/>
        </w:rPr>
        <w:t xml:space="preserve">Maintenance and support services revenue. </w:t>
      </w:r>
      <w:r>
        <w:rPr>
          <w:rFonts w:ascii="Arial" w:cs="Arial" w:eastAsia="Arial" w:hAnsi="Arial"/>
          <w:sz w:val="17"/>
          <w:szCs w:val="17"/>
          <w:color w:val="auto"/>
        </w:rPr>
        <w:t>Periodically, the Company sells separately-priced warranty contracts that extend beyond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base warranty period. The separately priced service contracts range from 12 months to 36 months. The Company typically receives payment at the inception of the contract and recognizes revenue as earned on a straight-line basis over the term of the contract.</w:t>
      </w:r>
    </w:p>
    <w:p>
      <w:pPr>
        <w:spacing w:after="0" w:line="110" w:lineRule="exact"/>
        <w:rPr>
          <w:sz w:val="20"/>
          <w:szCs w:val="20"/>
          <w:color w:val="auto"/>
        </w:rPr>
      </w:pPr>
    </w:p>
    <w:p>
      <w:pPr>
        <w:ind w:left="660" w:right="280"/>
        <w:spacing w:after="0" w:line="243" w:lineRule="auto"/>
        <w:rPr>
          <w:sz w:val="20"/>
          <w:szCs w:val="20"/>
          <w:color w:val="auto"/>
        </w:rPr>
      </w:pPr>
      <w:r>
        <w:rPr>
          <w:rFonts w:ascii="Arial" w:cs="Arial" w:eastAsia="Arial" w:hAnsi="Arial"/>
          <w:sz w:val="18"/>
          <w:szCs w:val="18"/>
          <w:i w:val="1"/>
          <w:iCs w:val="1"/>
          <w:color w:val="auto"/>
        </w:rPr>
        <w:t xml:space="preserve">Professional services revenue. </w:t>
      </w:r>
      <w:r>
        <w:rPr>
          <w:rFonts w:ascii="Arial" w:cs="Arial" w:eastAsia="Arial" w:hAnsi="Arial"/>
          <w:sz w:val="18"/>
          <w:szCs w:val="18"/>
          <w:color w:val="auto"/>
        </w:rPr>
        <w:t>From time to time, the Company enters into special engineering design service agreements.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design services are specifically designed to meet specifications of a particular product, and therefore do not create an asset with an alternative use. The Company recognizes revenue based on the achievement of certain applicable milestones and the amount of payment the Company believes it is entitled to at the time.</w:t>
      </w:r>
    </w:p>
    <w:p>
      <w:pPr>
        <w:spacing w:after="0" w:line="134" w:lineRule="exact"/>
        <w:rPr>
          <w:sz w:val="20"/>
          <w:szCs w:val="20"/>
          <w:color w:val="auto"/>
        </w:rPr>
      </w:pPr>
    </w:p>
    <w:p>
      <w:pPr>
        <w:ind w:right="40" w:firstLine="405"/>
        <w:spacing w:after="0" w:line="248" w:lineRule="auto"/>
        <w:rPr>
          <w:sz w:val="20"/>
          <w:szCs w:val="20"/>
          <w:color w:val="auto"/>
        </w:rPr>
      </w:pPr>
      <w:r>
        <w:rPr>
          <w:rFonts w:ascii="Arial" w:cs="Arial" w:eastAsia="Arial" w:hAnsi="Arial"/>
          <w:sz w:val="18"/>
          <w:szCs w:val="18"/>
          <w:color w:val="auto"/>
        </w:rPr>
        <w:t>With respect to revenue related to third party product sales or other arrangements that involve the services of another party, for which the Company does not control the sale or service and acts as an agent to the transaction, the Company recognizes revenue on a net basis. The portion of the gross amount billed to customers that is remitted by the Company to another party is not reflected as revenue.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Performance Obligations</w:t>
      </w:r>
    </w:p>
    <w:p>
      <w:pPr>
        <w:spacing w:after="0" w:line="158" w:lineRule="exact"/>
        <w:rPr>
          <w:sz w:val="20"/>
          <w:szCs w:val="20"/>
          <w:color w:val="auto"/>
        </w:rPr>
      </w:pPr>
    </w:p>
    <w:p>
      <w:pPr>
        <w:ind w:right="580" w:firstLine="405"/>
        <w:spacing w:after="0" w:line="261" w:lineRule="auto"/>
        <w:rPr>
          <w:sz w:val="20"/>
          <w:szCs w:val="20"/>
          <w:color w:val="auto"/>
        </w:rPr>
      </w:pPr>
      <w:r>
        <w:rPr>
          <w:rFonts w:ascii="Arial" w:cs="Arial" w:eastAsia="Arial" w:hAnsi="Arial"/>
          <w:sz w:val="18"/>
          <w:szCs w:val="18"/>
          <w:color w:val="auto"/>
        </w:rPr>
        <w:t>The Company’s contracts with customers may include commitments to transfer multiple products and services to a customer. When hardware, software and services are sold in various combinations, judgment is required to determine whether</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each performance obligation is considered distinct and accounted for separately, or not distinct and accounted for together with other performance obligations.</w:t>
      </w:r>
    </w:p>
    <w:p>
      <w:pPr>
        <w:spacing w:after="0" w:line="117" w:lineRule="exact"/>
        <w:rPr>
          <w:sz w:val="20"/>
          <w:szCs w:val="20"/>
          <w:color w:val="auto"/>
        </w:rPr>
      </w:pPr>
    </w:p>
    <w:p>
      <w:pPr>
        <w:ind w:right="140" w:firstLine="405"/>
        <w:spacing w:after="0" w:line="324" w:lineRule="auto"/>
        <w:rPr>
          <w:sz w:val="20"/>
          <w:szCs w:val="20"/>
          <w:color w:val="auto"/>
        </w:rPr>
      </w:pPr>
      <w:r>
        <w:rPr>
          <w:rFonts w:ascii="Arial" w:cs="Arial" w:eastAsia="Arial" w:hAnsi="Arial"/>
          <w:sz w:val="16"/>
          <w:szCs w:val="16"/>
          <w:color w:val="auto"/>
        </w:rPr>
        <w:t>In instances where the software elements included within hardware for various products are considered to be functioning together with non-software elements to provide the tangible product’s essential functionality, these arrangements are accounted for as a single distinct performance obligation.</w:t>
      </w:r>
    </w:p>
    <w:p>
      <w:pPr>
        <w:spacing w:after="0" w:line="70" w:lineRule="exact"/>
        <w:rPr>
          <w:sz w:val="20"/>
          <w:szCs w:val="20"/>
          <w:color w:val="auto"/>
        </w:rPr>
      </w:pPr>
    </w:p>
    <w:p>
      <w:pPr>
        <w:ind w:right="120" w:firstLine="405"/>
        <w:spacing w:after="0" w:line="243"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When available, the Company uses observable inputs to determine SSP. In instances where SSP is not directly observable, such as when the Company does not sell the product or service separately, it determines the SSP based on a cost-plus model as market and other observable inputs are seldom present based on the proprietary nature of the Company’s products.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158" w:lineRule="exact"/>
        <w:rPr>
          <w:sz w:val="20"/>
          <w:szCs w:val="20"/>
          <w:color w:val="auto"/>
        </w:rPr>
      </w:pPr>
    </w:p>
    <w:p>
      <w:pPr>
        <w:ind w:right="40" w:firstLine="405"/>
        <w:spacing w:after="0" w:line="248" w:lineRule="auto"/>
        <w:rPr>
          <w:sz w:val="20"/>
          <w:szCs w:val="20"/>
          <w:color w:val="auto"/>
        </w:rPr>
      </w:pPr>
      <w:r>
        <w:rPr>
          <w:rFonts w:ascii="Arial" w:cs="Arial" w:eastAsia="Arial" w:hAnsi="Arial"/>
          <w:sz w:val="18"/>
          <w:szCs w:val="18"/>
          <w:color w:val="auto"/>
        </w:rPr>
        <w:t>Timing of revenue recognition may differ from the timing of invoicing to customers. If customers are invoiced for subscription services in advance of the service period, deferred revenue liabilities, or contract liabilities, are recorded. Deferred revenue liabilities, or contract liabilities, are also recorded when the Company collects payments in advance of performing the services.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158"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The Company capitalizes sales commissions earned by its sales force when they are considered to be incremental and recoverable costs of obtaining a contract with a customer. These costs are deferred and then amortized over a period of benefit. There were no significant amounts of assets recorded related to contract costs as of June 30, 2020.</w:t>
      </w:r>
    </w:p>
    <w:p>
      <w:pPr>
        <w:spacing w:after="0" w:line="128"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Applying the practical expedient in paragraph ASC 340-40-25-4, the Company recognizes the incremental costs of obtaining contracts as an expense when incurred if the amortization period of the assets that the Company otherwise would have recognized is one year or less. These costs are included in selling, general, and administrative expenses.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 in the Application of the Guidance in ASC 606</w:t>
      </w:r>
    </w:p>
    <w:p>
      <w:pPr>
        <w:spacing w:after="0" w:line="158" w:lineRule="exact"/>
        <w:rPr>
          <w:sz w:val="20"/>
          <w:szCs w:val="20"/>
          <w:color w:val="auto"/>
        </w:rPr>
      </w:pPr>
    </w:p>
    <w:p>
      <w:pPr>
        <w:ind w:right="40" w:firstLine="405"/>
        <w:spacing w:after="0" w:line="294" w:lineRule="auto"/>
        <w:rPr>
          <w:sz w:val="20"/>
          <w:szCs w:val="20"/>
          <w:color w:val="auto"/>
        </w:rPr>
      </w:pPr>
      <w:r>
        <w:rPr>
          <w:rFonts w:ascii="Arial" w:cs="Arial" w:eastAsia="Arial" w:hAnsi="Arial"/>
          <w:sz w:val="16"/>
          <w:szCs w:val="16"/>
          <w:color w:val="auto"/>
        </w:rPr>
        <w:t>Determining whether products and services are considered distinct performance obligations that should be accounted for separately versus together may require significant judgment. The Company considered the performance obligations in its customer master supply agreements and determined that, for the majority of its revenue, the Company generally satisfies performance obligations at a point in time upon delivery of the product to the customer.</w:t>
      </w:r>
    </w:p>
    <w:p>
      <w:pPr>
        <w:spacing w:after="0" w:line="93" w:lineRule="exact"/>
        <w:rPr>
          <w:sz w:val="20"/>
          <w:szCs w:val="20"/>
          <w:color w:val="auto"/>
        </w:rPr>
      </w:pPr>
    </w:p>
    <w:p>
      <w:pPr>
        <w:ind w:right="40" w:firstLine="405"/>
        <w:spacing w:after="0" w:line="238" w:lineRule="auto"/>
        <w:rPr>
          <w:sz w:val="20"/>
          <w:szCs w:val="20"/>
          <w:color w:val="auto"/>
        </w:rPr>
      </w:pPr>
      <w:r>
        <w:rPr>
          <w:rFonts w:ascii="Arial" w:cs="Arial" w:eastAsia="Arial" w:hAnsi="Arial"/>
          <w:sz w:val="18"/>
          <w:szCs w:val="18"/>
          <w:color w:val="auto"/>
        </w:rPr>
        <w:t>Revenues from the Company’s SaaS subscription services represent a single promise to provide continuous access to its software solutions and their processing capabilities in the form of a service through one of the Company’s data centers or a hosted data center. As each day of providing access to the software is substantially the same, and the customer simultaneously receives and consumes the benefits as access is provided, the Company has determined that its subscription services arrangements include a single performance obligation comprised of a series of distinct services. The Company’s SaaS subscriptions also include an unspecified volume of call center support and any remote system diagnostic and software upgrades as needed. These services are combined with the recurring monthly subscription service since they are highly interrelated and interdependent. Revenue from the Company’s subscription services is recognized over time on a ratable basis over the contract term beginning on the date that the service is made available to the customer.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Charges</w:t>
      </w:r>
    </w:p>
    <w:p>
      <w:pPr>
        <w:spacing w:after="0" w:line="239" w:lineRule="exact"/>
        <w:rPr>
          <w:sz w:val="20"/>
          <w:szCs w:val="20"/>
          <w:color w:val="auto"/>
        </w:rPr>
      </w:pPr>
    </w:p>
    <w:p>
      <w:pPr>
        <w:ind w:right="260" w:firstLine="405"/>
        <w:spacing w:after="0" w:line="261" w:lineRule="auto"/>
        <w:rPr>
          <w:sz w:val="20"/>
          <w:szCs w:val="20"/>
          <w:color w:val="auto"/>
        </w:rPr>
      </w:pPr>
      <w:r>
        <w:rPr>
          <w:rFonts w:ascii="Arial" w:cs="Arial" w:eastAsia="Arial" w:hAnsi="Arial"/>
          <w:sz w:val="18"/>
          <w:szCs w:val="18"/>
          <w:color w:val="auto"/>
        </w:rPr>
        <w:t>Fees charged to customers for shipping and handling of products are included in product revenues, and costs for shipping and handling of products are included as a component of cost of sales.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04" w:lineRule="exact"/>
        <w:rPr>
          <w:sz w:val="20"/>
          <w:szCs w:val="20"/>
          <w:color w:val="auto"/>
        </w:rPr>
      </w:pPr>
    </w:p>
    <w:p>
      <w:pPr>
        <w:ind w:right="140" w:firstLine="405"/>
        <w:spacing w:after="0" w:line="248" w:lineRule="auto"/>
        <w:rPr>
          <w:sz w:val="20"/>
          <w:szCs w:val="20"/>
          <w:color w:val="auto"/>
        </w:rPr>
      </w:pPr>
      <w:r>
        <w:rPr>
          <w:rFonts w:ascii="Arial" w:cs="Arial" w:eastAsia="Arial" w:hAnsi="Arial"/>
          <w:sz w:val="18"/>
          <w:szCs w:val="18"/>
          <w:color w:val="auto"/>
        </w:rPr>
        <w:t>From time to time, new accounting pronouncements are issued by the FASB, which are adopted by the Company as of the specified date. Unless otherwise discussed, management believes the impact of recently issued standards, some of which are not yet effective, will not have a material impact on the Company’s consolidated financial statements upon adoption.</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 w:firstLine="405"/>
        <w:spacing w:after="0" w:line="272" w:lineRule="auto"/>
        <w:rPr>
          <w:sz w:val="20"/>
          <w:szCs w:val="20"/>
          <w:color w:val="auto"/>
        </w:rPr>
      </w:pPr>
      <w:r>
        <w:rPr>
          <w:rFonts w:ascii="Arial" w:cs="Arial" w:eastAsia="Arial" w:hAnsi="Arial"/>
          <w:sz w:val="16"/>
          <w:szCs w:val="16"/>
          <w:color w:val="auto"/>
        </w:rPr>
        <w:t xml:space="preserve">In August 2020, the FASB issued Accounting Standards Update (“ASU”) 2020-06, </w:t>
      </w:r>
      <w:r>
        <w:rPr>
          <w:rFonts w:ascii="Arial" w:cs="Arial" w:eastAsia="Arial" w:hAnsi="Arial"/>
          <w:sz w:val="16"/>
          <w:szCs w:val="16"/>
          <w:i w:val="1"/>
          <w:iCs w:val="1"/>
          <w:color w:val="auto"/>
        </w:rPr>
        <w:t>Debt with Conversion and Other Options (Subtopic 470-20)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Derivatives and Hedging-Contracts in Entity's Own Equity (Subtopic 815-40)-Accounting For Convertible Instruments and Contracts in an Entity's Own Equity. </w:t>
      </w:r>
      <w:r>
        <w:rPr>
          <w:rFonts w:ascii="Arial" w:cs="Arial" w:eastAsia="Arial" w:hAnsi="Arial"/>
          <w:sz w:val="16"/>
          <w:szCs w:val="16"/>
          <w:color w:val="auto"/>
        </w:rPr>
        <w:t>The ASU simplifies accounting for convertible instruments by removing major separation models required under current GAAP. Consequently,</w:t>
      </w:r>
      <w:r>
        <w:rPr>
          <w:rFonts w:ascii="Arial" w:cs="Arial" w:eastAsia="Arial" w:hAnsi="Arial"/>
          <w:sz w:val="16"/>
          <w:szCs w:val="16"/>
          <w:i w:val="1"/>
          <w:iCs w:val="1"/>
          <w:color w:val="auto"/>
        </w:rPr>
        <w:t xml:space="preserve"> </w:t>
      </w:r>
      <w:r>
        <w:rPr>
          <w:rFonts w:ascii="Arial" w:cs="Arial" w:eastAsia="Arial" w:hAnsi="Arial"/>
          <w:sz w:val="16"/>
          <w:szCs w:val="16"/>
          <w:color w:val="auto"/>
        </w:rPr>
        <w:t>more convertible debt instruments will be reported as a single liability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net income per share calculation in certain areas. The new guidance is effective for annual and interim periods beginning after December 15, 2021, and early adoption is permitted for fiscal years beginning after December 15, 2020, and interim periods within those fiscal years. The Company is currently evaluating the impact that this new guidance will have on its consolidated financial statements.</w:t>
      </w:r>
    </w:p>
    <w:p>
      <w:pPr>
        <w:spacing w:after="0" w:line="195" w:lineRule="exact"/>
        <w:rPr>
          <w:sz w:val="20"/>
          <w:szCs w:val="20"/>
          <w:color w:val="auto"/>
        </w:rPr>
      </w:pPr>
    </w:p>
    <w:p>
      <w:pPr>
        <w:ind w:right="80" w:firstLine="405"/>
        <w:spacing w:after="0" w:line="255"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is intended to simplify the accounting for income taxes. The amendment eliminates certain exceptions related to the approach for intra-period tax allocation, the methodology for calculating income taxes in an interim period, and the recognition of deferred tax liabilities for outside basis differences. The amendment also clarifies existing guidance related to the recognition of franchise tax, the evaluation of a step up in the tax basis of goodwill, and the effects of enacted changes in tax laws or rates in the effective tax rate computation, among other clarifications. The guidance is effective for fiscal years, and interim periods within those fiscal years, beginning after December 15, 2020. The Company early adopted the pronouncement effective for the fourth quarter 2019, the impact of which was not material to the 2019 consolidated financial statements.</w:t>
      </w:r>
    </w:p>
    <w:p>
      <w:pPr>
        <w:spacing w:after="0" w:line="72" w:lineRule="exact"/>
        <w:rPr>
          <w:sz w:val="20"/>
          <w:szCs w:val="20"/>
          <w:color w:val="auto"/>
        </w:rPr>
      </w:pPr>
    </w:p>
    <w:p>
      <w:pPr>
        <w:ind w:right="440" w:firstLine="405"/>
        <w:spacing w:after="0" w:line="243"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w:t>
      </w:r>
      <w:r>
        <w:rPr>
          <w:rFonts w:ascii="Arial" w:cs="Arial" w:eastAsia="Arial" w:hAnsi="Arial"/>
          <w:sz w:val="18"/>
          <w:szCs w:val="18"/>
          <w:i w:val="1"/>
          <w:iCs w:val="1"/>
          <w:color w:val="252525"/>
        </w:rPr>
        <w:t>—</w:t>
      </w:r>
      <w:r>
        <w:rPr>
          <w:rFonts w:ascii="Arial" w:cs="Arial" w:eastAsia="Arial" w:hAnsi="Arial"/>
          <w:sz w:val="18"/>
          <w:szCs w:val="18"/>
          <w:i w:val="1"/>
          <w:iCs w:val="1"/>
          <w:color w:val="auto"/>
        </w:rPr>
        <w:t>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requires measurement and recognition of expected credit losses for financial assets held. This guidance is effective for interim and</w:t>
      </w:r>
      <w:r>
        <w:rPr>
          <w:rFonts w:ascii="Arial" w:cs="Arial" w:eastAsia="Arial" w:hAnsi="Arial"/>
          <w:sz w:val="18"/>
          <w:szCs w:val="18"/>
          <w:i w:val="1"/>
          <w:iCs w:val="1"/>
          <w:color w:val="auto"/>
        </w:rPr>
        <w:t xml:space="preserve"> </w:t>
      </w:r>
      <w:r>
        <w:rPr>
          <w:rFonts w:ascii="Arial" w:cs="Arial" w:eastAsia="Arial" w:hAnsi="Arial"/>
          <w:sz w:val="18"/>
          <w:szCs w:val="18"/>
          <w:color w:val="auto"/>
        </w:rPr>
        <w:t>annual periods beginning after December 15, 2019. Early adoption is permitted. There was no impact from the adoption of this pronouncement to the Company’s condensed consolidated financial statements.</w:t>
      </w:r>
    </w:p>
    <w:p>
      <w:pPr>
        <w:spacing w:after="0" w:line="80" w:lineRule="exact"/>
        <w:rPr>
          <w:sz w:val="20"/>
          <w:szCs w:val="20"/>
          <w:color w:val="auto"/>
        </w:rPr>
      </w:pPr>
    </w:p>
    <w:p>
      <w:pPr>
        <w:ind w:right="40" w:firstLine="405"/>
        <w:spacing w:after="0" w:line="251"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sets out the principles for the recognition, measurement, presentation and disclosure of leases for both parties to a contract (i.e., lessees and lessors). The new standard requires lessees to apply a dual approach, classifying leases as either financing or operating leases based on the principle of whether or not the lease is effectively a financed purchase by the lessee. This classification determines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are accounted for similar to previous guidance for operating leases. The new standard requires lessors to account for leases using an approach that is substantially equivalent to previous guidance for sales-type leases, direct financing leases and operating leases. The Company adopted the standard on January 1, 2019, the date it became effective for public companies, using the modified retrospective approach whereby the cumulative effect of adoption was recognized on the adoption date and prior periods were not restated. There was no net cumulative effect adjustment to retained earnings as of January 1, 2019 as a result of this adoption. Upon adoption, the Company elected the package of practical expedients permitted within the standard, which among other things, allows for the carryforward of historical lease classification. The Company also elected the practical expedient provided in a subsequent amendment to the standard that removed the requirement to separate lease and non-lease components, provided certain conditions were met. Refer to Note 10,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for the impact of the adoption of this guidance on the Company’s condensed consolidated financial statements.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Details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 net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net, consist of the following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80" w:type="dxa"/>
            <w:vAlign w:val="bottom"/>
          </w:tcPr>
          <w:p>
            <w:pPr>
              <w:jc w:val="right"/>
              <w:ind w:right="123"/>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6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2019</w:t>
            </w:r>
          </w:p>
        </w:tc>
      </w:tr>
      <w:tr>
        <w:trPr>
          <w:trHeight w:val="236"/>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12,756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21,229</w:t>
            </w:r>
          </w:p>
        </w:tc>
      </w:tr>
      <w:tr>
        <w:trPr>
          <w:trHeight w:val="223"/>
        </w:trPr>
        <w:tc>
          <w:tcPr>
            <w:tcW w:w="8680" w:type="dxa"/>
            <w:vAlign w:val="bottom"/>
          </w:tcPr>
          <w:p>
            <w:pPr>
              <w:ind w:left="20"/>
              <w:spacing w:after="0"/>
              <w:rPr>
                <w:sz w:val="20"/>
                <w:szCs w:val="20"/>
                <w:color w:val="auto"/>
              </w:rPr>
            </w:pPr>
            <w:r>
              <w:rPr>
                <w:rFonts w:ascii="Arial" w:cs="Arial" w:eastAsia="Arial" w:hAnsi="Arial"/>
                <w:sz w:val="16"/>
                <w:szCs w:val="16"/>
                <w:color w:val="auto"/>
              </w:rPr>
              <w:t>Raw materials and components</w:t>
            </w:r>
          </w:p>
        </w:tc>
        <w:tc>
          <w:tcPr>
            <w:tcW w:w="220" w:type="dxa"/>
            <w:vAlign w:val="bottom"/>
          </w:tcPr>
          <w:p>
            <w:pPr>
              <w:spacing w:after="0"/>
              <w:rPr>
                <w:sz w:val="19"/>
                <w:szCs w:val="19"/>
                <w:color w:val="auto"/>
              </w:rPr>
            </w:pPr>
          </w:p>
        </w:tc>
        <w:tc>
          <w:tcPr>
            <w:tcW w:w="1000" w:type="dxa"/>
            <w:vAlign w:val="bottom"/>
          </w:tcPr>
          <w:p>
            <w:pPr>
              <w:jc w:val="right"/>
              <w:ind w:right="63"/>
              <w:spacing w:after="0"/>
              <w:rPr>
                <w:sz w:val="20"/>
                <w:szCs w:val="20"/>
                <w:color w:val="auto"/>
              </w:rPr>
            </w:pPr>
            <w:r>
              <w:rPr>
                <w:rFonts w:ascii="Arial" w:cs="Arial" w:eastAsia="Arial" w:hAnsi="Arial"/>
                <w:sz w:val="16"/>
                <w:szCs w:val="16"/>
                <w:color w:val="auto"/>
              </w:rPr>
              <w:t>7,417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63"/>
              <w:spacing w:after="0"/>
              <w:rPr>
                <w:sz w:val="20"/>
                <w:szCs w:val="20"/>
                <w:color w:val="auto"/>
              </w:rPr>
            </w:pPr>
            <w:r>
              <w:rPr>
                <w:rFonts w:ascii="Arial" w:cs="Arial" w:eastAsia="Arial" w:hAnsi="Arial"/>
                <w:sz w:val="16"/>
                <w:szCs w:val="16"/>
                <w:color w:val="auto"/>
              </w:rPr>
              <w:t>4,061</w:t>
            </w:r>
          </w:p>
        </w:tc>
      </w:tr>
      <w:tr>
        <w:trPr>
          <w:trHeight w:val="33"/>
        </w:trPr>
        <w:tc>
          <w:tcPr>
            <w:tcW w:w="8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5"/>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inventories, net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20,173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25,290</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 and Other Current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80" w:type="dxa"/>
            <w:vAlign w:val="bottom"/>
          </w:tcPr>
          <w:p>
            <w:pPr>
              <w:jc w:val="right"/>
              <w:ind w:right="121"/>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6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2019</w:t>
            </w:r>
          </w:p>
        </w:tc>
      </w:tr>
      <w:tr>
        <w:trPr>
          <w:trHeight w:val="236"/>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Royalties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2,437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1,415</w:t>
            </w:r>
          </w:p>
        </w:tc>
      </w:tr>
      <w:tr>
        <w:trPr>
          <w:trHeight w:val="224"/>
        </w:trPr>
        <w:tc>
          <w:tcPr>
            <w:tcW w:w="8640" w:type="dxa"/>
            <w:vAlign w:val="bottom"/>
          </w:tcPr>
          <w:p>
            <w:pPr>
              <w:ind w:left="20"/>
              <w:spacing w:after="0"/>
              <w:rPr>
                <w:sz w:val="20"/>
                <w:szCs w:val="20"/>
                <w:color w:val="auto"/>
              </w:rPr>
            </w:pPr>
            <w:r>
              <w:rPr>
                <w:rFonts w:ascii="Arial" w:cs="Arial" w:eastAsia="Arial" w:hAnsi="Arial"/>
                <w:sz w:val="16"/>
                <w:szCs w:val="16"/>
                <w:color w:val="auto"/>
              </w:rPr>
              <w:t>Payroll and related expenses</w:t>
            </w:r>
          </w:p>
        </w:tc>
        <w:tc>
          <w:tcPr>
            <w:tcW w:w="240" w:type="dxa"/>
            <w:vAlign w:val="bottom"/>
          </w:tcPr>
          <w:p>
            <w:pPr>
              <w:spacing w:after="0"/>
              <w:rPr>
                <w:sz w:val="19"/>
                <w:szCs w:val="19"/>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4,720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2,716</w:t>
            </w:r>
          </w:p>
        </w:tc>
      </w:tr>
      <w:tr>
        <w:trPr>
          <w:trHeight w:val="33"/>
        </w:trPr>
        <w:tc>
          <w:tcPr>
            <w:tcW w:w="8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Professional fees</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483</w:t>
            </w:r>
          </w:p>
        </w:tc>
      </w:tr>
      <w:tr>
        <w:trPr>
          <w:trHeight w:val="223"/>
        </w:trPr>
        <w:tc>
          <w:tcPr>
            <w:tcW w:w="864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240" w:type="dxa"/>
            <w:vAlign w:val="bottom"/>
          </w:tcPr>
          <w:p>
            <w:pPr>
              <w:spacing w:after="0"/>
              <w:rPr>
                <w:sz w:val="19"/>
                <w:szCs w:val="19"/>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1,543</w:t>
            </w:r>
          </w:p>
        </w:tc>
      </w:tr>
      <w:tr>
        <w:trPr>
          <w:trHeight w:val="33"/>
        </w:trPr>
        <w:tc>
          <w:tcPr>
            <w:tcW w:w="8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2,536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2,235</w:t>
            </w:r>
          </w:p>
        </w:tc>
      </w:tr>
      <w:tr>
        <w:trPr>
          <w:trHeight w:val="224"/>
        </w:trPr>
        <w:tc>
          <w:tcPr>
            <w:tcW w:w="864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240" w:type="dxa"/>
            <w:vAlign w:val="bottom"/>
          </w:tcPr>
          <w:p>
            <w:pPr>
              <w:spacing w:after="0"/>
              <w:rPr>
                <w:sz w:val="19"/>
                <w:szCs w:val="19"/>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1,121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1,101</w:t>
            </w:r>
          </w:p>
        </w:tc>
      </w:tr>
      <w:tr>
        <w:trPr>
          <w:trHeight w:val="33"/>
        </w:trPr>
        <w:tc>
          <w:tcPr>
            <w:tcW w:w="8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Acquisition-related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1,000</w:t>
            </w:r>
          </w:p>
        </w:tc>
      </w:tr>
      <w:tr>
        <w:trPr>
          <w:trHeight w:val="223"/>
        </w:trPr>
        <w:tc>
          <w:tcPr>
            <w:tcW w:w="864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9"/>
                <w:szCs w:val="19"/>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5,574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7,368</w:t>
            </w:r>
          </w:p>
        </w:tc>
      </w:tr>
      <w:tr>
        <w:trPr>
          <w:trHeight w:val="33"/>
        </w:trPr>
        <w:tc>
          <w:tcPr>
            <w:tcW w:w="8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5"/>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accrued expenses and other current liabilities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18,569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17,861</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171" w:lineRule="exact"/>
        <w:rPr>
          <w:sz w:val="20"/>
          <w:szCs w:val="20"/>
          <w:color w:val="auto"/>
        </w:rPr>
      </w:pPr>
    </w:p>
    <w:p>
      <w:pPr>
        <w:ind w:right="60" w:firstLine="405"/>
        <w:spacing w:after="0" w:line="291"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80" w:type="dxa"/>
            <w:vAlign w:val="bottom"/>
          </w:tcPr>
          <w:p>
            <w:pPr>
              <w:jc w:val="right"/>
              <w:ind w:right="123"/>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60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2018</w:t>
            </w:r>
          </w:p>
        </w:tc>
      </w:tr>
      <w:tr>
        <w:trPr>
          <w:trHeight w:val="236"/>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42,100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12,074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20,268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31,015</w:t>
            </w:r>
          </w:p>
        </w:tc>
      </w:tr>
      <w:tr>
        <w:trPr>
          <w:trHeight w:val="250"/>
        </w:trPr>
        <w:tc>
          <w:tcPr>
            <w:tcW w:w="600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000" w:type="dxa"/>
            <w:vAlign w:val="bottom"/>
          </w:tcPr>
          <w:p>
            <w:pPr>
              <w:jc w:val="right"/>
              <w:ind w:right="63"/>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63"/>
              <w:spacing w:after="0"/>
              <w:rPr>
                <w:sz w:val="20"/>
                <w:szCs w:val="20"/>
                <w:color w:val="auto"/>
              </w:rPr>
            </w:pPr>
            <w:r>
              <w:rPr>
                <w:rFonts w:ascii="Arial" w:cs="Arial" w:eastAsia="Arial" w:hAnsi="Arial"/>
                <w:sz w:val="16"/>
                <w:szCs w:val="16"/>
                <w:color w:val="auto"/>
              </w:rPr>
              <w:t>61</w:t>
            </w:r>
          </w:p>
        </w:tc>
      </w:tr>
      <w:tr>
        <w:trPr>
          <w:trHeight w:val="278"/>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42,100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12,074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20,329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31,076</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 of Assets and Liabilities</w:t>
      </w:r>
    </w:p>
    <w:p>
      <w:pPr>
        <w:spacing w:after="0" w:line="121" w:lineRule="exact"/>
        <w:rPr>
          <w:sz w:val="20"/>
          <w:szCs w:val="20"/>
          <w:color w:val="auto"/>
        </w:rPr>
      </w:pPr>
    </w:p>
    <w:p>
      <w:pPr>
        <w:ind w:right="200" w:firstLine="445"/>
        <w:spacing w:after="0" w:line="24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134" w:lineRule="exact"/>
        <w:rPr>
          <w:sz w:val="20"/>
          <w:szCs w:val="20"/>
          <w:color w:val="auto"/>
        </w:rPr>
      </w:pPr>
    </w:p>
    <w:p>
      <w:pPr>
        <w:ind w:right="80" w:firstLine="445"/>
        <w:spacing w:after="0" w:line="243" w:lineRule="auto"/>
        <w:rPr>
          <w:sz w:val="20"/>
          <w:szCs w:val="20"/>
          <w:color w:val="auto"/>
        </w:rPr>
      </w:pPr>
      <w:r>
        <w:rPr>
          <w:rFonts w:ascii="Arial" w:cs="Arial" w:eastAsia="Arial" w:hAnsi="Arial"/>
          <w:sz w:val="18"/>
          <w:szCs w:val="18"/>
          <w:color w:val="auto"/>
        </w:rPr>
        <w:t>The Company classifies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(with Level 3 being the lowest) and is defined as follows:</w:t>
      </w:r>
    </w:p>
    <w:p>
      <w:pPr>
        <w:spacing w:after="0" w:line="80" w:lineRule="exact"/>
        <w:rPr>
          <w:sz w:val="20"/>
          <w:szCs w:val="20"/>
          <w:color w:val="auto"/>
        </w:rPr>
      </w:pPr>
    </w:p>
    <w:p>
      <w:pPr>
        <w:ind w:left="1060" w:right="180" w:hanging="647"/>
        <w:spacing w:after="0" w:line="248"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Pricing inputs are based on quoted market prices for identical assets or liabilities in active markets (e.g., NYSE or NASDAQ).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are those in which transactions for the asset or liability occur in sufficient frequency and volume to provide pricing information on an ongoing basis.</w:t>
      </w:r>
    </w:p>
    <w:p>
      <w:pPr>
        <w:spacing w:after="0" w:line="74" w:lineRule="exact"/>
        <w:rPr>
          <w:sz w:val="20"/>
          <w:szCs w:val="20"/>
          <w:color w:val="auto"/>
        </w:rPr>
      </w:pPr>
    </w:p>
    <w:p>
      <w:pPr>
        <w:ind w:left="1060" w:right="120" w:hanging="647"/>
        <w:spacing w:after="0" w:line="243"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Pricing inputs include benchmark yields, trade data, reported trades and broker dealer quotes, two-sided markets and industry and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80" w:lineRule="exact"/>
        <w:rPr>
          <w:sz w:val="20"/>
          <w:szCs w:val="20"/>
          <w:color w:val="auto"/>
        </w:rPr>
      </w:pPr>
    </w:p>
    <w:p>
      <w:pPr>
        <w:ind w:left="1060" w:right="420" w:hanging="647"/>
        <w:spacing w:after="0" w:line="294"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Pricing inputs include significant inputs that are generally less observable from objective sources, including the Company’s own</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assumptions. The fair market value for level 3 securities may be highly sensitive to the use of unobservable inputs and subjective assumptions. Generally, changes in significant unobservable inputs may result in significantly lower or higher fair value measurements.</w:t>
      </w:r>
    </w:p>
    <w:p>
      <w:pPr>
        <w:spacing w:after="0" w:line="93" w:lineRule="exact"/>
        <w:rPr>
          <w:sz w:val="20"/>
          <w:szCs w:val="20"/>
          <w:color w:val="auto"/>
        </w:rPr>
      </w:pPr>
    </w:p>
    <w:p>
      <w:pPr>
        <w:ind w:right="340" w:firstLine="445"/>
        <w:spacing w:after="0" w:line="248" w:lineRule="auto"/>
        <w:rPr>
          <w:sz w:val="20"/>
          <w:szCs w:val="20"/>
          <w:color w:val="auto"/>
        </w:rPr>
      </w:pPr>
      <w:r>
        <w:rPr>
          <w:rFonts w:ascii="Arial" w:cs="Arial" w:eastAsia="Arial" w:hAnsi="Arial"/>
          <w:sz w:val="18"/>
          <w:szCs w:val="18"/>
          <w:color w:val="auto"/>
        </w:rPr>
        <w:t>The Company reviews the fair value hierarchy classification on a quarterly basis. Changes in the observability of valuation inputs may result in a reclassification of levels for certain securities within the fair value hierarchy. There have been no transfers of assets or liabilities between fair value measurement classifications during the six months ended June 30, 2020.</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00" w:firstLine="405"/>
        <w:spacing w:after="0" w:line="261" w:lineRule="auto"/>
        <w:rPr>
          <w:sz w:val="20"/>
          <w:szCs w:val="20"/>
          <w:color w:val="auto"/>
        </w:rPr>
      </w:pPr>
      <w:r>
        <w:rPr>
          <w:rFonts w:ascii="Arial" w:cs="Arial" w:eastAsia="Arial" w:hAnsi="Arial"/>
          <w:sz w:val="18"/>
          <w:szCs w:val="18"/>
          <w:color w:val="auto"/>
        </w:rPr>
        <w:t>The following tables summarize the Company’s financial instruments measured at fair value on a recurring basis in accordance with the authoritative guidance for fair value measurements as of June 30, 2020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Balance as of</w:t>
            </w:r>
          </w:p>
        </w:tc>
        <w:tc>
          <w:tcPr>
            <w:tcW w:w="340" w:type="dxa"/>
            <w:vAlign w:val="bottom"/>
          </w:tcPr>
          <w:p>
            <w:pPr>
              <w:spacing w:after="0"/>
              <w:rPr>
                <w:sz w:val="14"/>
                <w:szCs w:val="14"/>
                <w:color w:val="auto"/>
              </w:rPr>
            </w:pPr>
          </w:p>
        </w:tc>
        <w:tc>
          <w:tcPr>
            <w:tcW w:w="1240" w:type="dxa"/>
            <w:vAlign w:val="bottom"/>
            <w:vMerge w:val="restart"/>
          </w:tcPr>
          <w:p>
            <w:pPr>
              <w:jc w:val="right"/>
              <w:ind w:right="482"/>
              <w:spacing w:after="0"/>
              <w:rPr>
                <w:sz w:val="20"/>
                <w:szCs w:val="20"/>
                <w:color w:val="auto"/>
              </w:rPr>
            </w:pPr>
            <w:r>
              <w:rPr>
                <w:rFonts w:ascii="Arial" w:cs="Arial" w:eastAsia="Arial" w:hAnsi="Arial"/>
                <w:sz w:val="14"/>
                <w:szCs w:val="14"/>
                <w:b w:val="1"/>
                <w:bCs w:val="1"/>
                <w:color w:val="auto"/>
              </w:rPr>
              <w:t>Level 1</w:t>
            </w:r>
          </w:p>
        </w:tc>
        <w:tc>
          <w:tcPr>
            <w:tcW w:w="0" w:type="dxa"/>
            <w:vAlign w:val="bottom"/>
          </w:tcPr>
          <w:p>
            <w:pPr>
              <w:spacing w:after="0"/>
              <w:rPr>
                <w:sz w:val="1"/>
                <w:szCs w:val="1"/>
                <w:color w:val="auto"/>
              </w:rPr>
            </w:pPr>
          </w:p>
        </w:tc>
      </w:tr>
      <w:tr>
        <w:trPr>
          <w:trHeight w:val="186"/>
        </w:trPr>
        <w:tc>
          <w:tcPr>
            <w:tcW w:w="7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2020</w:t>
            </w: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920" w:type="dxa"/>
            <w:vAlign w:val="bottom"/>
          </w:tcPr>
          <w:p>
            <w:pPr>
              <w:ind w:left="20"/>
              <w:spacing w:after="0"/>
              <w:rPr>
                <w:sz w:val="20"/>
                <w:szCs w:val="20"/>
                <w:color w:val="auto"/>
              </w:rPr>
            </w:pPr>
            <w:r>
              <w:rPr>
                <w:rFonts w:ascii="Arial" w:cs="Arial" w:eastAsia="Arial" w:hAnsi="Arial"/>
                <w:sz w:val="16"/>
                <w:szCs w:val="16"/>
                <w:color w:val="auto"/>
              </w:rPr>
              <w:t>Assets:</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92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7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Money market funds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7"/>
        </w:trPr>
        <w:tc>
          <w:tcPr>
            <w:tcW w:w="7920" w:type="dxa"/>
            <w:vAlign w:val="bottom"/>
          </w:tcPr>
          <w:p>
            <w:pPr>
              <w:ind w:left="340"/>
              <w:spacing w:after="0"/>
              <w:rPr>
                <w:sz w:val="20"/>
                <w:szCs w:val="20"/>
                <w:color w:val="auto"/>
              </w:rPr>
            </w:pPr>
            <w:r>
              <w:rPr>
                <w:rFonts w:ascii="Arial" w:cs="Arial" w:eastAsia="Arial" w:hAnsi="Arial"/>
                <w:sz w:val="16"/>
                <w:szCs w:val="16"/>
                <w:color w:val="auto"/>
              </w:rPr>
              <w:t>Total cash equivalents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84"/>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33"/>
        </w:trPr>
        <w:tc>
          <w:tcPr>
            <w:tcW w:w="7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07" w:right="339" w:bottom="1440" w:gutter="0" w:footer="0" w:header="0"/>
        </w:sectPr>
      </w:pPr>
    </w:p>
    <w:p>
      <w:pPr>
        <w:spacing w:after="0" w:line="223" w:lineRule="exact"/>
        <w:rPr>
          <w:sz w:val="20"/>
          <w:szCs w:val="20"/>
          <w:color w:val="auto"/>
        </w:rPr>
      </w:pPr>
    </w:p>
    <w:p>
      <w:pPr>
        <w:ind w:left="8320"/>
        <w:spacing w:after="0"/>
        <w:rPr>
          <w:sz w:val="20"/>
          <w:szCs w:val="20"/>
          <w:color w:val="auto"/>
        </w:rPr>
      </w:pPr>
      <w:r>
        <w:rPr>
          <w:rFonts w:ascii="Arial" w:cs="Arial" w:eastAsia="Arial" w:hAnsi="Arial"/>
          <w:sz w:val="13"/>
          <w:szCs w:val="13"/>
          <w:b w:val="1"/>
          <w:bCs w:val="1"/>
          <w:color w:val="auto"/>
        </w:rPr>
        <w:t>Balance as of</w:t>
      </w:r>
    </w:p>
    <w:p>
      <w:pPr>
        <w:spacing w:after="0" w:line="15" w:lineRule="exact"/>
        <w:rPr>
          <w:sz w:val="20"/>
          <w:szCs w:val="20"/>
          <w:color w:val="auto"/>
        </w:rPr>
      </w:pPr>
    </w:p>
    <w:p>
      <w:pPr>
        <w:ind w:left="8320"/>
        <w:spacing w:after="0"/>
        <w:rPr>
          <w:sz w:val="20"/>
          <w:szCs w:val="20"/>
          <w:color w:val="auto"/>
        </w:rPr>
      </w:pPr>
      <w:r>
        <w:rPr>
          <w:rFonts w:ascii="Arial" w:cs="Arial" w:eastAsia="Arial" w:hAnsi="Arial"/>
          <w:sz w:val="12"/>
          <w:szCs w:val="12"/>
          <w:b w:val="1"/>
          <w:bCs w:val="1"/>
          <w:color w:val="auto"/>
        </w:rPr>
        <w:t>June 30, 2020</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Level 3</w:t>
      </w:r>
    </w:p>
    <w:p>
      <w:pPr>
        <w:spacing w:after="0" w:line="36" w:lineRule="exact"/>
        <w:rPr>
          <w:sz w:val="20"/>
          <w:szCs w:val="20"/>
          <w:color w:val="auto"/>
        </w:rPr>
      </w:pPr>
    </w:p>
    <w:p>
      <w:pPr>
        <w:sectPr>
          <w:pgSz w:w="11900" w:h="16838" w:orient="portrait"/>
          <w:cols w:equalWidth="0" w:num="2">
            <w:col w:w="9500" w:space="720"/>
            <w:col w:w="1020"/>
          </w:cols>
          <w:pgMar w:left="320" w:top="607" w:right="339" w:bottom="1440" w:gutter="0" w:footer="0" w:header="0"/>
          <w:type w:val="continuous"/>
        </w:sectPr>
      </w:pPr>
    </w:p>
    <w:tbl>
      <w:tblPr>
        <w:tblLayout w:type="fixed"/>
        <w:tblInd w:w="0" w:type="dxa"/>
        <w:tblCellMar>
          <w:top w:w="0" w:type="dxa"/>
          <w:left w:w="0" w:type="dxa"/>
          <w:bottom w:w="0" w:type="dxa"/>
          <w:right w:w="0" w:type="dxa"/>
        </w:tblCellMar>
      </w:tblPr>
      <w:tr>
        <w:trPr>
          <w:trHeight w:val="226"/>
        </w:trPr>
        <w:tc>
          <w:tcPr>
            <w:tcW w:w="792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6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246"/>
        </w:trPr>
        <w:tc>
          <w:tcPr>
            <w:tcW w:w="7920" w:type="dxa"/>
            <w:vAlign w:val="bottom"/>
          </w:tcPr>
          <w:p>
            <w:pPr>
              <w:ind w:left="20"/>
              <w:spacing w:after="0"/>
              <w:rPr>
                <w:sz w:val="20"/>
                <w:szCs w:val="20"/>
                <w:color w:val="auto"/>
              </w:rPr>
            </w:pPr>
            <w:r>
              <w:rPr>
                <w:rFonts w:ascii="Arial" w:cs="Arial" w:eastAsia="Arial" w:hAnsi="Arial"/>
                <w:sz w:val="16"/>
                <w:szCs w:val="16"/>
                <w:color w:val="auto"/>
              </w:rPr>
              <w:t>2025 Notes</w:t>
            </w:r>
          </w:p>
        </w:tc>
        <w:tc>
          <w:tcPr>
            <w:tcW w:w="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33"/>
        </w:trPr>
        <w:tc>
          <w:tcPr>
            <w:tcW w:w="7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7"/>
        </w:trPr>
        <w:tc>
          <w:tcPr>
            <w:tcW w:w="7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Interest make-whole payment</w:t>
            </w: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3,756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3,756</w:t>
            </w:r>
          </w:p>
        </w:tc>
      </w:tr>
      <w:tr>
        <w:trPr>
          <w:trHeight w:val="217"/>
        </w:trPr>
        <w:tc>
          <w:tcPr>
            <w:tcW w:w="7920" w:type="dxa"/>
            <w:vAlign w:val="bottom"/>
          </w:tcPr>
          <w:p>
            <w:pPr>
              <w:ind w:left="340"/>
              <w:spacing w:after="0"/>
              <w:rPr>
                <w:sz w:val="20"/>
                <w:szCs w:val="20"/>
                <w:color w:val="auto"/>
              </w:rPr>
            </w:pPr>
            <w:r>
              <w:rPr>
                <w:rFonts w:ascii="Arial" w:cs="Arial" w:eastAsia="Arial" w:hAnsi="Arial"/>
                <w:sz w:val="16"/>
                <w:szCs w:val="16"/>
                <w:color w:val="auto"/>
              </w:rPr>
              <w:t>Total embedded derivatives</w:t>
            </w: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3,756</w:t>
            </w:r>
          </w:p>
        </w:tc>
        <w:tc>
          <w:tcPr>
            <w:tcW w:w="100" w:type="dxa"/>
            <w:vAlign w:val="bottom"/>
          </w:tcPr>
          <w:p>
            <w:pPr>
              <w:spacing w:after="0"/>
              <w:rPr>
                <w:sz w:val="18"/>
                <w:szCs w:val="18"/>
                <w:color w:val="auto"/>
              </w:rPr>
            </w:pPr>
          </w:p>
        </w:tc>
        <w:tc>
          <w:tcPr>
            <w:tcW w:w="58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3,756</w:t>
            </w:r>
          </w:p>
        </w:tc>
      </w:tr>
      <w:tr>
        <w:trPr>
          <w:trHeight w:val="33"/>
        </w:trPr>
        <w:tc>
          <w:tcPr>
            <w:tcW w:w="79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79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740" w:firstLine="405"/>
        <w:spacing w:after="0" w:line="261" w:lineRule="auto"/>
        <w:rPr>
          <w:sz w:val="20"/>
          <w:szCs w:val="20"/>
          <w:color w:val="auto"/>
        </w:rPr>
      </w:pPr>
      <w:r>
        <w:rPr>
          <w:rFonts w:ascii="Arial" w:cs="Arial" w:eastAsia="Arial" w:hAnsi="Arial"/>
          <w:sz w:val="18"/>
          <w:szCs w:val="18"/>
          <w:color w:val="auto"/>
        </w:rPr>
        <w:t>The fair value of the interest make-whole payment derivative liability was determined using a binomial lattice model with the following key assumptions: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ind w:left="420"/>
              <w:spacing w:after="0"/>
              <w:rPr>
                <w:sz w:val="20"/>
                <w:szCs w:val="20"/>
                <w:color w:val="auto"/>
              </w:rPr>
            </w:pPr>
            <w:r>
              <w:rPr>
                <w:rFonts w:ascii="Arial" w:cs="Arial" w:eastAsia="Arial" w:hAnsi="Arial"/>
                <w:sz w:val="14"/>
                <w:szCs w:val="14"/>
                <w:b w:val="1"/>
                <w:bCs w:val="1"/>
                <w:color w:val="auto"/>
              </w:rPr>
              <w:t>May 12, 2020</w:t>
            </w:r>
          </w:p>
        </w:tc>
        <w:tc>
          <w:tcPr>
            <w:tcW w:w="1680" w:type="dxa"/>
            <w:vAlign w:val="bottom"/>
            <w:shd w:val="clear" w:color="auto" w:fill="CCEEFF"/>
          </w:tcPr>
          <w:p>
            <w:pPr>
              <w:jc w:val="right"/>
              <w:ind w:right="333"/>
              <w:spacing w:after="0"/>
              <w:rPr>
                <w:sz w:val="20"/>
                <w:szCs w:val="20"/>
                <w:color w:val="auto"/>
              </w:rPr>
            </w:pPr>
            <w:r>
              <w:rPr>
                <w:rFonts w:ascii="Arial" w:cs="Arial" w:eastAsia="Arial" w:hAnsi="Arial"/>
                <w:sz w:val="14"/>
                <w:szCs w:val="14"/>
                <w:b w:val="1"/>
                <w:bCs w:val="1"/>
                <w:color w:val="auto"/>
              </w:rPr>
              <w:t>June 30, 2020</w:t>
            </w:r>
          </w:p>
        </w:tc>
      </w:tr>
      <w:tr>
        <w:trPr>
          <w:trHeight w:val="237"/>
        </w:trPr>
        <w:tc>
          <w:tcPr>
            <w:tcW w:w="7780" w:type="dxa"/>
            <w:vAlign w:val="bottom"/>
          </w:tcPr>
          <w:p>
            <w:pPr>
              <w:ind w:left="20"/>
              <w:spacing w:after="0"/>
              <w:rPr>
                <w:sz w:val="20"/>
                <w:szCs w:val="20"/>
                <w:color w:val="auto"/>
              </w:rPr>
            </w:pPr>
            <w:r>
              <w:rPr>
                <w:rFonts w:ascii="Arial" w:cs="Arial" w:eastAsia="Arial" w:hAnsi="Arial"/>
                <w:sz w:val="16"/>
                <w:szCs w:val="16"/>
                <w:color w:val="auto"/>
              </w:rPr>
              <w:t>Volatility</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60 %</w:t>
            </w:r>
          </w:p>
        </w:tc>
      </w:tr>
      <w:tr>
        <w:trPr>
          <w:trHeight w:val="27"/>
        </w:trPr>
        <w:tc>
          <w:tcPr>
            <w:tcW w:w="7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price as of June 30, 2020</w:t>
            </w:r>
          </w:p>
        </w:tc>
        <w:tc>
          <w:tcPr>
            <w:tcW w:w="1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$10.62 per share</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 per share</w:t>
            </w:r>
          </w:p>
        </w:tc>
      </w:tr>
      <w:tr>
        <w:trPr>
          <w:trHeight w:val="243"/>
        </w:trPr>
        <w:tc>
          <w:tcPr>
            <w:tcW w:w="7780" w:type="dxa"/>
            <w:vAlign w:val="bottom"/>
          </w:tcPr>
          <w:p>
            <w:pPr>
              <w:ind w:left="20"/>
              <w:spacing w:after="0"/>
              <w:rPr>
                <w:sz w:val="20"/>
                <w:szCs w:val="20"/>
                <w:color w:val="auto"/>
              </w:rPr>
            </w:pPr>
            <w:r>
              <w:rPr>
                <w:rFonts w:ascii="Arial" w:cs="Arial" w:eastAsia="Arial" w:hAnsi="Arial"/>
                <w:sz w:val="16"/>
                <w:szCs w:val="16"/>
                <w:color w:val="auto"/>
              </w:rPr>
              <w:t>Credit spread</w:t>
            </w:r>
          </w:p>
        </w:tc>
        <w:tc>
          <w:tcPr>
            <w:tcW w:w="1680" w:type="dxa"/>
            <w:vAlign w:val="bottom"/>
          </w:tcPr>
          <w:p>
            <w:pPr>
              <w:jc w:val="right"/>
              <w:spacing w:after="0"/>
              <w:rPr>
                <w:sz w:val="20"/>
                <w:szCs w:val="20"/>
                <w:color w:val="auto"/>
              </w:rPr>
            </w:pPr>
            <w:r>
              <w:rPr>
                <w:rFonts w:ascii="Arial" w:cs="Arial" w:eastAsia="Arial" w:hAnsi="Arial"/>
                <w:sz w:val="18"/>
                <w:szCs w:val="18"/>
                <w:color w:val="auto"/>
              </w:rPr>
              <w:t>14.97 %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12.47 %</w:t>
            </w:r>
          </w:p>
        </w:tc>
      </w:tr>
      <w:tr>
        <w:trPr>
          <w:trHeight w:val="27"/>
        </w:trPr>
        <w:tc>
          <w:tcPr>
            <w:tcW w:w="7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Term</w:t>
            </w:r>
          </w:p>
        </w:tc>
        <w:tc>
          <w:tcPr>
            <w:tcW w:w="1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 years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 years</w:t>
            </w:r>
          </w:p>
        </w:tc>
      </w:tr>
      <w:tr>
        <w:trPr>
          <w:trHeight w:val="243"/>
        </w:trPr>
        <w:tc>
          <w:tcPr>
            <w:tcW w:w="778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6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7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rate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0.34 %</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0.28 %</w:t>
            </w:r>
          </w:p>
        </w:tc>
      </w:tr>
      <w:tr>
        <w:trPr>
          <w:trHeight w:val="27"/>
        </w:trPr>
        <w:tc>
          <w:tcPr>
            <w:tcW w:w="77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 sets forth a summary of changes in the fair value of Level 3 liabilities for the six months ended June 30, 2020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Balance as of</w:t>
            </w:r>
          </w:p>
        </w:tc>
        <w:tc>
          <w:tcPr>
            <w:tcW w:w="340" w:type="dxa"/>
            <w:vAlign w:val="bottom"/>
          </w:tcPr>
          <w:p>
            <w:pPr>
              <w:spacing w:after="0"/>
              <w:rPr>
                <w:sz w:val="14"/>
                <w:szCs w:val="14"/>
                <w:color w:val="auto"/>
              </w:rPr>
            </w:pPr>
          </w:p>
        </w:tc>
        <w:tc>
          <w:tcPr>
            <w:tcW w:w="15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Additions</w:t>
            </w:r>
          </w:p>
        </w:tc>
        <w:tc>
          <w:tcPr>
            <w:tcW w:w="160" w:type="dxa"/>
            <w:vAlign w:val="bottom"/>
          </w:tcPr>
          <w:p>
            <w:pPr>
              <w:spacing w:after="0"/>
              <w:rPr>
                <w:sz w:val="14"/>
                <w:szCs w:val="14"/>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 in fair value</w:t>
            </w:r>
          </w:p>
        </w:tc>
        <w:tc>
          <w:tcPr>
            <w:tcW w:w="280" w:type="dxa"/>
            <w:vAlign w:val="bottom"/>
          </w:tcPr>
          <w:p>
            <w:pPr>
              <w:spacing w:after="0"/>
              <w:rPr>
                <w:sz w:val="14"/>
                <w:szCs w:val="14"/>
                <w:color w:val="auto"/>
              </w:rPr>
            </w:pPr>
          </w:p>
        </w:tc>
        <w:tc>
          <w:tcPr>
            <w:tcW w:w="1460" w:type="dxa"/>
            <w:vAlign w:val="bottom"/>
          </w:tcPr>
          <w:p>
            <w:pPr>
              <w:ind w:left="16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92"/>
        </w:trPr>
        <w:tc>
          <w:tcPr>
            <w:tcW w:w="4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2019</w:t>
            </w:r>
          </w:p>
        </w:tc>
        <w:tc>
          <w:tcPr>
            <w:tcW w:w="34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ind w:left="18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210"/>
        </w:trPr>
        <w:tc>
          <w:tcPr>
            <w:tcW w:w="402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make-whole payment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4,582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(826)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3,756</w:t>
            </w:r>
          </w:p>
        </w:tc>
        <w:tc>
          <w:tcPr>
            <w:tcW w:w="0" w:type="dxa"/>
            <w:vAlign w:val="bottom"/>
          </w:tcPr>
          <w:p>
            <w:pPr>
              <w:spacing w:after="0"/>
              <w:rPr>
                <w:sz w:val="1"/>
                <w:szCs w:val="1"/>
                <w:color w:val="auto"/>
              </w:rPr>
            </w:pPr>
          </w:p>
        </w:tc>
      </w:tr>
      <w:tr>
        <w:trPr>
          <w:trHeight w:val="33"/>
        </w:trPr>
        <w:tc>
          <w:tcPr>
            <w:tcW w:w="40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100" w:firstLine="405"/>
        <w:spacing w:after="0" w:line="261"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2019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Balance as of</w:t>
            </w:r>
          </w:p>
        </w:tc>
        <w:tc>
          <w:tcPr>
            <w:tcW w:w="340" w:type="dxa"/>
            <w:vAlign w:val="bottom"/>
          </w:tcPr>
          <w:p>
            <w:pPr>
              <w:spacing w:after="0"/>
              <w:rPr>
                <w:sz w:val="14"/>
                <w:szCs w:val="14"/>
                <w:color w:val="auto"/>
              </w:rPr>
            </w:pPr>
          </w:p>
        </w:tc>
        <w:tc>
          <w:tcPr>
            <w:tcW w:w="1240" w:type="dxa"/>
            <w:vAlign w:val="bottom"/>
            <w:vMerge w:val="restart"/>
          </w:tcPr>
          <w:p>
            <w:pPr>
              <w:jc w:val="right"/>
              <w:ind w:right="482"/>
              <w:spacing w:after="0"/>
              <w:rPr>
                <w:sz w:val="20"/>
                <w:szCs w:val="20"/>
                <w:color w:val="auto"/>
              </w:rPr>
            </w:pPr>
            <w:r>
              <w:rPr>
                <w:rFonts w:ascii="Arial" w:cs="Arial" w:eastAsia="Arial" w:hAnsi="Arial"/>
                <w:sz w:val="14"/>
                <w:szCs w:val="14"/>
                <w:b w:val="1"/>
                <w:bCs w:val="1"/>
                <w:color w:val="auto"/>
              </w:rPr>
              <w:t>Level 1</w:t>
            </w:r>
          </w:p>
        </w:tc>
        <w:tc>
          <w:tcPr>
            <w:tcW w:w="0" w:type="dxa"/>
            <w:vAlign w:val="bottom"/>
          </w:tcPr>
          <w:p>
            <w:pPr>
              <w:spacing w:after="0"/>
              <w:rPr>
                <w:sz w:val="1"/>
                <w:szCs w:val="1"/>
                <w:color w:val="auto"/>
              </w:rPr>
            </w:pPr>
          </w:p>
        </w:tc>
      </w:tr>
      <w:tr>
        <w:trPr>
          <w:trHeight w:val="192"/>
        </w:trPr>
        <w:tc>
          <w:tcPr>
            <w:tcW w:w="7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2019</w:t>
            </w: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920" w:type="dxa"/>
            <w:vAlign w:val="bottom"/>
          </w:tcPr>
          <w:p>
            <w:pPr>
              <w:ind w:left="20"/>
              <w:spacing w:after="0"/>
              <w:rPr>
                <w:sz w:val="20"/>
                <w:szCs w:val="20"/>
                <w:color w:val="auto"/>
              </w:rPr>
            </w:pPr>
            <w:r>
              <w:rPr>
                <w:rFonts w:ascii="Arial" w:cs="Arial" w:eastAsia="Arial" w:hAnsi="Arial"/>
                <w:sz w:val="16"/>
                <w:szCs w:val="16"/>
                <w:color w:val="auto"/>
              </w:rPr>
              <w:t>Assets:</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92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7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Money market funds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7"/>
        </w:trPr>
        <w:tc>
          <w:tcPr>
            <w:tcW w:w="7920" w:type="dxa"/>
            <w:vAlign w:val="bottom"/>
          </w:tcPr>
          <w:p>
            <w:pPr>
              <w:ind w:left="340"/>
              <w:spacing w:after="0"/>
              <w:rPr>
                <w:sz w:val="20"/>
                <w:szCs w:val="20"/>
                <w:color w:val="auto"/>
              </w:rPr>
            </w:pPr>
            <w:r>
              <w:rPr>
                <w:rFonts w:ascii="Arial" w:cs="Arial" w:eastAsia="Arial" w:hAnsi="Arial"/>
                <w:sz w:val="16"/>
                <w:szCs w:val="16"/>
                <w:color w:val="auto"/>
              </w:rPr>
              <w:t>Total cash equivalents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ind w:right="84"/>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33"/>
        </w:trPr>
        <w:tc>
          <w:tcPr>
            <w:tcW w:w="7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the Company had no Level 3 financial instruments.</w:t>
      </w:r>
    </w:p>
    <w:p>
      <w:pPr>
        <w:sectPr>
          <w:pgSz w:w="11900" w:h="16838" w:orient="portrait"/>
          <w:cols w:equalWidth="0" w:num="1">
            <w:col w:w="11240"/>
          </w:cols>
          <w:pgMar w:left="320" w:top="607" w:right="33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6" w:name="page17"/>
    <w:bookmarkEnd w:id="16"/>
    <w:p>
      <w:pPr>
        <w:jc w:val="center"/>
        <w:ind w:right="-5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ind w:right="80" w:firstLine="405"/>
        <w:spacing w:after="0" w:line="261" w:lineRule="auto"/>
        <w:rPr>
          <w:sz w:val="20"/>
          <w:szCs w:val="20"/>
          <w:color w:val="auto"/>
        </w:rPr>
      </w:pPr>
      <w:r>
        <w:rPr>
          <w:rFonts w:ascii="Arial" w:cs="Arial" w:eastAsia="Arial" w:hAnsi="Arial"/>
          <w:sz w:val="18"/>
          <w:szCs w:val="18"/>
          <w:color w:val="auto"/>
        </w:rPr>
        <w:t>The Company’s financial assets and liabilities are carried at fair value or at amounts that, because of their short-term nature, approximate current fair value, with the exception of the 2022 Notes and 2025 Notes.</w:t>
      </w:r>
    </w:p>
    <w:p>
      <w:pPr>
        <w:spacing w:after="0" w:line="198" w:lineRule="exact"/>
        <w:rPr>
          <w:sz w:val="20"/>
          <w:szCs w:val="20"/>
          <w:color w:val="auto"/>
        </w:rPr>
      </w:pPr>
    </w:p>
    <w:p>
      <w:pPr>
        <w:ind w:firstLine="405"/>
        <w:spacing w:after="0" w:line="243" w:lineRule="auto"/>
        <w:rPr>
          <w:sz w:val="20"/>
          <w:szCs w:val="20"/>
          <w:color w:val="auto"/>
        </w:rPr>
      </w:pPr>
      <w:r>
        <w:rPr>
          <w:rFonts w:ascii="Arial" w:cs="Arial" w:eastAsia="Arial" w:hAnsi="Arial"/>
          <w:sz w:val="18"/>
          <w:szCs w:val="18"/>
          <w:color w:val="auto"/>
        </w:rPr>
        <w:t>The Company carries its 2022 Notes at amortized cost. The debt and equity components of the 2022 Notes were measured using Level 3 inputs and are not measured on a recurring basis. It is not practicable to determine the fair value of the 2022 Notes due to the lack of information available to calculate the fair value of such notes. The carrying value of the liability component of the 2022 Notes was $2,000 and $101.3 million as of June 30, 2020 and December 31, 2019, respectively.</w:t>
      </w:r>
    </w:p>
    <w:p>
      <w:pPr>
        <w:spacing w:after="0" w:line="215" w:lineRule="exact"/>
        <w:rPr>
          <w:sz w:val="20"/>
          <w:szCs w:val="20"/>
          <w:color w:val="auto"/>
        </w:rPr>
      </w:pPr>
    </w:p>
    <w:p>
      <w:pPr>
        <w:ind w:right="20" w:firstLine="405"/>
        <w:spacing w:after="0" w:line="243" w:lineRule="auto"/>
        <w:rPr>
          <w:sz w:val="20"/>
          <w:szCs w:val="20"/>
          <w:color w:val="auto"/>
        </w:rPr>
      </w:pPr>
      <w:r>
        <w:rPr>
          <w:rFonts w:ascii="Arial" w:cs="Arial" w:eastAsia="Arial" w:hAnsi="Arial"/>
          <w:sz w:val="18"/>
          <w:szCs w:val="18"/>
          <w:color w:val="auto"/>
        </w:rPr>
        <w:t xml:space="preserve">On May 12, 2020, the Company completed a $180.4 million aggregate offering and private placement of 2025 Notes, and restructured its outstanding debt as described further in Note 4, </w:t>
      </w:r>
      <w:r>
        <w:rPr>
          <w:rFonts w:ascii="Arial" w:cs="Arial" w:eastAsia="Arial" w:hAnsi="Arial"/>
          <w:sz w:val="18"/>
          <w:szCs w:val="18"/>
          <w:i w:val="1"/>
          <w:iCs w:val="1"/>
          <w:color w:val="auto"/>
        </w:rPr>
        <w:t>Debt.</w:t>
      </w:r>
      <w:r>
        <w:rPr>
          <w:rFonts w:ascii="Arial" w:cs="Arial" w:eastAsia="Arial" w:hAnsi="Arial"/>
          <w:sz w:val="18"/>
          <w:szCs w:val="18"/>
          <w:color w:val="auto"/>
        </w:rPr>
        <w:t xml:space="preserve"> The Company carries its 2025 Notes at amortized cost adjusted for changes in fair value of the embedded derivative. It is not practicable to determine the fair value of the 2025 Notes due to the lack of information available to calculate the fair value of such notes.</w:t>
      </w:r>
    </w:p>
    <w:p>
      <w:pPr>
        <w:spacing w:after="0" w:line="215" w:lineRule="exact"/>
        <w:rPr>
          <w:sz w:val="20"/>
          <w:szCs w:val="20"/>
          <w:color w:val="auto"/>
        </w:rPr>
      </w:pPr>
    </w:p>
    <w:p>
      <w:pPr>
        <w:ind w:right="40" w:firstLine="405"/>
        <w:spacing w:after="0" w:line="261" w:lineRule="auto"/>
        <w:rPr>
          <w:sz w:val="20"/>
          <w:szCs w:val="20"/>
          <w:color w:val="auto"/>
        </w:rPr>
      </w:pPr>
      <w:r>
        <w:rPr>
          <w:rFonts w:ascii="Arial" w:cs="Arial" w:eastAsia="Arial" w:hAnsi="Arial"/>
          <w:sz w:val="18"/>
          <w:szCs w:val="18"/>
          <w:color w:val="auto"/>
        </w:rPr>
        <w:t>The Company evaluated the 2025 Notes under ASC 815 and identified an embedded derivative that required bifurcation. The embedded derivative is an interest make-whole payment that was valued at $4.6 million on May 12, 2020.</w:t>
      </w:r>
    </w:p>
    <w:p>
      <w:pPr>
        <w:spacing w:after="0" w:line="198" w:lineRule="exact"/>
        <w:rPr>
          <w:sz w:val="20"/>
          <w:szCs w:val="20"/>
          <w:color w:val="auto"/>
        </w:rPr>
      </w:pPr>
    </w:p>
    <w:p>
      <w:pPr>
        <w:jc w:val="both"/>
        <w:ind w:right="20" w:firstLine="405"/>
        <w:spacing w:after="0" w:line="270" w:lineRule="auto"/>
        <w:rPr>
          <w:sz w:val="20"/>
          <w:szCs w:val="20"/>
          <w:color w:val="auto"/>
        </w:rPr>
      </w:pPr>
      <w:r>
        <w:rPr>
          <w:rFonts w:ascii="Arial" w:cs="Arial" w:eastAsia="Arial" w:hAnsi="Arial"/>
          <w:sz w:val="17"/>
          <w:szCs w:val="17"/>
          <w:color w:val="auto"/>
        </w:rPr>
        <w:t>Changes in the fair value of the interest make-whole payment are included in the Company’s condensed consolidated statement of operations for the current quarter within other income (expense), net. As of June 30, 2020 the embedded derivative had a fair value of $3.8 million and a $0.8 million gain on the change in fair value was recorded to other income (expense), net, on the consolidated statement of operations.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right="540" w:firstLine="405"/>
        <w:spacing w:after="0" w:line="314" w:lineRule="auto"/>
        <w:rPr>
          <w:sz w:val="20"/>
          <w:szCs w:val="20"/>
          <w:color w:val="auto"/>
        </w:rPr>
      </w:pPr>
      <w:r>
        <w:rPr>
          <w:rFonts w:ascii="Arial" w:cs="Arial" w:eastAsia="Arial" w:hAnsi="Arial"/>
          <w:sz w:val="16"/>
          <w:szCs w:val="16"/>
          <w:color w:val="auto"/>
        </w:rPr>
        <w:t>As of December 31, 2019 the Company’s outstanding indebtedness consisted of a Term Loan (as defined below) with an outstanding principal amount of $47.5 million, that was set to mature on August 23, 2020, as well as $105.1 million of outstanding principal amount of 2022 Notes</w:t>
      </w:r>
      <w:r>
        <w:rPr>
          <w:rFonts w:ascii="Arial" w:cs="Arial" w:eastAsia="Arial" w:hAnsi="Arial"/>
          <w:sz w:val="19"/>
          <w:szCs w:val="19"/>
          <w:color w:val="auto"/>
        </w:rPr>
        <w:t>.</w:t>
      </w:r>
    </w:p>
    <w:p>
      <w:pPr>
        <w:spacing w:after="0" w:line="162" w:lineRule="exact"/>
        <w:rPr>
          <w:sz w:val="20"/>
          <w:szCs w:val="20"/>
          <w:color w:val="auto"/>
        </w:rPr>
      </w:pPr>
    </w:p>
    <w:p>
      <w:pPr>
        <w:ind w:right="180" w:firstLine="405"/>
        <w:spacing w:after="0" w:line="261" w:lineRule="auto"/>
        <w:rPr>
          <w:sz w:val="20"/>
          <w:szCs w:val="20"/>
          <w:color w:val="auto"/>
        </w:rPr>
      </w:pPr>
      <w:r>
        <w:rPr>
          <w:rFonts w:ascii="Arial" w:cs="Arial" w:eastAsia="Arial" w:hAnsi="Arial"/>
          <w:sz w:val="18"/>
          <w:szCs w:val="18"/>
          <w:color w:val="auto"/>
        </w:rPr>
        <w:t>On May 12, 2020, the Company restructured its then outstanding debt through the following transactions, each of which is described in more detail below:</w:t>
      </w:r>
    </w:p>
    <w:p>
      <w:pPr>
        <w:spacing w:after="0" w:line="25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completed a $100.0 million registered public Offering of 2025 Notes.</w:t>
      </w:r>
    </w:p>
    <w:p>
      <w:pPr>
        <w:spacing w:after="0" w:line="49" w:lineRule="exact"/>
        <w:rPr>
          <w:rFonts w:ascii="Arial" w:cs="Arial" w:eastAsia="Arial" w:hAnsi="Arial"/>
          <w:sz w:val="18"/>
          <w:szCs w:val="18"/>
          <w:color w:val="auto"/>
        </w:rPr>
      </w:pPr>
    </w:p>
    <w:p>
      <w:pPr>
        <w:ind w:left="660" w:right="80" w:hanging="328"/>
        <w:spacing w:after="0" w:line="262"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entered into separate privately-negotiated Exchange Agreements with certain holders of the Company’s outstanding 2022 Notes. Pursuant to the Exchange Agreements, each of the Participating Stockholders agreed to exchange the 2022 Notes that they held (representing an aggregate of $45.0 million principal amount of 2022 Notes) for an aggregate of $32.0 million in cash and $80.4 million principal amount of 2025 Notes in Private Exchange Transactions that closed concurrently with the registered Offering.</w:t>
      </w:r>
    </w:p>
    <w:p>
      <w:pPr>
        <w:spacing w:after="0" w:line="10" w:lineRule="exact"/>
        <w:rPr>
          <w:rFonts w:ascii="Arial" w:cs="Arial" w:eastAsia="Arial" w:hAnsi="Arial"/>
          <w:sz w:val="17"/>
          <w:szCs w:val="17"/>
          <w:color w:val="auto"/>
        </w:rPr>
      </w:pPr>
    </w:p>
    <w:p>
      <w:pPr>
        <w:ind w:left="660" w:right="80" w:hanging="328"/>
        <w:spacing w:after="0" w:line="24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used a portion of the proceeds from the Offering to repay in full and terminate the Credit Agreement. The amounts paid included $47.5 million in outstanding principal, approximately $0.5 million in interest accrued thereon, a prepayment fee of $0.8 million and an exit fee of $0.6 million.</w:t>
      </w:r>
    </w:p>
    <w:p>
      <w:pPr>
        <w:spacing w:after="0" w:line="19"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used a portion of the proceeds from the Offering to repurchase 2,330 shares of Series E Preferred Stock, which had been issued to satisfy accrued interest under the Credit Agreement, for $2.4 million.</w:t>
      </w:r>
    </w:p>
    <w:p>
      <w:pPr>
        <w:spacing w:after="0" w:line="198" w:lineRule="exact"/>
        <w:rPr>
          <w:sz w:val="20"/>
          <w:szCs w:val="20"/>
          <w:color w:val="auto"/>
        </w:rPr>
      </w:pPr>
    </w:p>
    <w:p>
      <w:pPr>
        <w:ind w:right="2440" w:firstLine="405"/>
        <w:spacing w:after="0" w:line="261" w:lineRule="auto"/>
        <w:rPr>
          <w:sz w:val="20"/>
          <w:szCs w:val="20"/>
          <w:color w:val="auto"/>
        </w:rPr>
      </w:pPr>
      <w:r>
        <w:rPr>
          <w:rFonts w:ascii="Arial" w:cs="Arial" w:eastAsia="Arial" w:hAnsi="Arial"/>
          <w:sz w:val="18"/>
          <w:szCs w:val="18"/>
          <w:color w:val="auto"/>
        </w:rPr>
        <w:t>Accordingly, as of June 30, 2020 the Company’s outstanding debt primarily consisted of $180.4 million in principal amount of 2025 Notes and $2,000 in principal amount of 2022 Notes.</w:t>
      </w:r>
    </w:p>
    <w:p>
      <w:pPr>
        <w:spacing w:after="0" w:line="198" w:lineRule="exact"/>
        <w:rPr>
          <w:sz w:val="20"/>
          <w:szCs w:val="20"/>
          <w:color w:val="auto"/>
        </w:rPr>
      </w:pPr>
    </w:p>
    <w:p>
      <w:pPr>
        <w:ind w:right="300" w:firstLine="405"/>
        <w:spacing w:after="0" w:line="261" w:lineRule="auto"/>
        <w:rPr>
          <w:sz w:val="20"/>
          <w:szCs w:val="20"/>
          <w:color w:val="auto"/>
        </w:rPr>
      </w:pPr>
      <w:r>
        <w:rPr>
          <w:rFonts w:ascii="Arial" w:cs="Arial" w:eastAsia="Arial" w:hAnsi="Arial"/>
          <w:sz w:val="18"/>
          <w:szCs w:val="18"/>
          <w:color w:val="auto"/>
        </w:rPr>
        <w:t>On July 22, 2020, pursuant to a redemption notice issued on May 15, 2020, the Company redeemed the remaining $2,000 principal amount of the 2022 Notes.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39" w:lineRule="exact"/>
        <w:rPr>
          <w:sz w:val="20"/>
          <w:szCs w:val="20"/>
          <w:color w:val="auto"/>
        </w:rPr>
      </w:pPr>
    </w:p>
    <w:p>
      <w:pPr>
        <w:ind w:right="520" w:firstLine="405"/>
        <w:spacing w:after="0" w:line="248" w:lineRule="auto"/>
        <w:rPr>
          <w:sz w:val="20"/>
          <w:szCs w:val="20"/>
          <w:color w:val="auto"/>
        </w:rPr>
      </w:pPr>
      <w:r>
        <w:rPr>
          <w:rFonts w:ascii="Arial" w:cs="Arial" w:eastAsia="Arial" w:hAnsi="Arial"/>
          <w:sz w:val="18"/>
          <w:szCs w:val="18"/>
          <w:color w:val="auto"/>
        </w:rPr>
        <w:t>On August 23, 2017, the Company and certain of its direct and indirect subsidiaries, as guarantors, entered into a credit agreement (the “Credit Agreement”) with Cantor Fitzgerald Securities, as administrative agent and collateral agent, and certain funds managed by Highbridge Capital Management, LLC, as lenders (the “Lenders”). Pursuant to the Credit Agreement, the</w:t>
      </w:r>
    </w:p>
    <w:p>
      <w:pPr>
        <w:sectPr>
          <w:pgSz w:w="11900" w:h="16838" w:orient="portrait"/>
          <w:cols w:equalWidth="0" w:num="1">
            <w:col w:w="11200"/>
          </w:cols>
          <w:pgMar w:left="320" w:top="607" w:right="379" w:bottom="1440" w:gutter="0" w:footer="0" w:header="0"/>
        </w:sect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Lenders provided the Company with a term loan in the principal amount of $48.0 million (the “Term Loan”) with a maturity date of August 23, 2020.</w:t>
      </w:r>
    </w:p>
    <w:p>
      <w:pPr>
        <w:spacing w:after="0" w:line="250" w:lineRule="exact"/>
        <w:rPr>
          <w:sz w:val="20"/>
          <w:szCs w:val="20"/>
          <w:color w:val="auto"/>
        </w:rPr>
      </w:pPr>
    </w:p>
    <w:p>
      <w:pPr>
        <w:jc w:val="both"/>
        <w:ind w:right="460" w:firstLine="405"/>
        <w:spacing w:after="0" w:line="248" w:lineRule="auto"/>
        <w:rPr>
          <w:sz w:val="20"/>
          <w:szCs w:val="20"/>
          <w:color w:val="auto"/>
        </w:rPr>
      </w:pPr>
      <w:r>
        <w:rPr>
          <w:rFonts w:ascii="Arial" w:cs="Arial" w:eastAsia="Arial" w:hAnsi="Arial"/>
          <w:sz w:val="18"/>
          <w:szCs w:val="18"/>
          <w:color w:val="auto"/>
        </w:rPr>
        <w:t>On March 31, 2020, Inseego Corp. issued 2,330 shares of Series E Preferred Stock to South Ocean Funding L.L.C (“South Ocean”), the Lender holding all of the aggregate principal amount then outstanding under the Credit Agreement in satisfaction of all then accrued interest under the Credit Agreement.</w:t>
      </w:r>
    </w:p>
    <w:p>
      <w:pPr>
        <w:spacing w:after="0" w:line="209" w:lineRule="exact"/>
        <w:rPr>
          <w:sz w:val="20"/>
          <w:szCs w:val="20"/>
          <w:color w:val="auto"/>
        </w:rPr>
      </w:pPr>
    </w:p>
    <w:p>
      <w:pPr>
        <w:jc w:val="both"/>
        <w:ind w:right="60" w:firstLine="405"/>
        <w:spacing w:after="0" w:line="248" w:lineRule="auto"/>
        <w:rPr>
          <w:sz w:val="20"/>
          <w:szCs w:val="20"/>
          <w:color w:val="auto"/>
        </w:rPr>
      </w:pPr>
      <w:r>
        <w:rPr>
          <w:rFonts w:ascii="Arial" w:cs="Arial" w:eastAsia="Arial" w:hAnsi="Arial"/>
          <w:sz w:val="18"/>
          <w:szCs w:val="18"/>
          <w:color w:val="auto"/>
        </w:rPr>
        <w:t>On May 12, 2020, the Company used a portion of the proceeds from the Offering to repay in full the Term Loan and terminate the Credit Agreement. The amounts paid included $47.5 million in outstanding principal, approximately $0.5 million in interest accrued thereon, a prepayment fee of $0.8 million and an exit fee of $0.6 million.</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Term Loan bore interest at a rate per annum equal to the three-month LIBOR, but in no event less than 1.00%, plus 7.625%.</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Term Loan consists of the following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223"/>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9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2019</w:t>
            </w:r>
          </w:p>
        </w:tc>
      </w:tr>
      <w:tr>
        <w:trPr>
          <w:trHeight w:val="236"/>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47,500</w:t>
            </w:r>
          </w:p>
        </w:tc>
      </w:tr>
      <w:tr>
        <w:trPr>
          <w:trHeight w:val="223"/>
        </w:trPr>
        <w:tc>
          <w:tcPr>
            <w:tcW w:w="9780" w:type="dxa"/>
            <w:vAlign w:val="bottom"/>
          </w:tcPr>
          <w:p>
            <w:pPr>
              <w:ind w:left="20"/>
              <w:spacing w:after="0"/>
              <w:rPr>
                <w:sz w:val="20"/>
                <w:szCs w:val="20"/>
                <w:color w:val="auto"/>
              </w:rPr>
            </w:pPr>
            <w:r>
              <w:rPr>
                <w:rFonts w:ascii="Arial" w:cs="Arial" w:eastAsia="Arial" w:hAnsi="Arial"/>
                <w:sz w:val="16"/>
                <w:szCs w:val="16"/>
                <w:color w:val="auto"/>
              </w:rPr>
              <w:t>Less: unamortized debt discount and issuance costs</w:t>
            </w:r>
          </w:p>
        </w:tc>
        <w:tc>
          <w:tcPr>
            <w:tcW w:w="200" w:type="dxa"/>
            <w:vAlign w:val="bottom"/>
          </w:tcPr>
          <w:p>
            <w:pPr>
              <w:spacing w:after="0"/>
              <w:rPr>
                <w:sz w:val="19"/>
                <w:szCs w:val="19"/>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(962)</w:t>
            </w:r>
          </w:p>
        </w:tc>
      </w:tr>
      <w:tr>
        <w:trPr>
          <w:trHeight w:val="33"/>
        </w:trPr>
        <w:tc>
          <w:tcPr>
            <w:tcW w:w="9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2"/>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46,538</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780" w:firstLine="405"/>
        <w:spacing w:after="0" w:line="261" w:lineRule="auto"/>
        <w:rPr>
          <w:sz w:val="20"/>
          <w:szCs w:val="20"/>
          <w:color w:val="auto"/>
        </w:rPr>
      </w:pPr>
      <w:r>
        <w:rPr>
          <w:rFonts w:ascii="Arial" w:cs="Arial" w:eastAsia="Arial" w:hAnsi="Arial"/>
          <w:sz w:val="18"/>
          <w:szCs w:val="18"/>
          <w:color w:val="auto"/>
        </w:rPr>
        <w:t>On May 12, 2020, the Company used a portion of the proceeds from the Offering to repay in full the Term Loan. Accordingly, there was no outstanding balance as of June 30, 2020.</w:t>
      </w:r>
    </w:p>
    <w:p>
      <w:pPr>
        <w:spacing w:after="0" w:line="198" w:lineRule="exact"/>
        <w:rPr>
          <w:sz w:val="20"/>
          <w:szCs w:val="20"/>
          <w:color w:val="auto"/>
        </w:rPr>
      </w:pPr>
    </w:p>
    <w:p>
      <w:pPr>
        <w:ind w:firstLine="396"/>
        <w:spacing w:after="0" w:line="261" w:lineRule="auto"/>
        <w:rPr>
          <w:sz w:val="20"/>
          <w:szCs w:val="20"/>
          <w:color w:val="auto"/>
        </w:rPr>
      </w:pPr>
      <w:r>
        <w:rPr>
          <w:rFonts w:ascii="Arial" w:cs="Arial" w:eastAsia="Arial" w:hAnsi="Arial"/>
          <w:sz w:val="18"/>
          <w:szCs w:val="18"/>
          <w:color w:val="auto"/>
        </w:rPr>
        <w:t>The effective interest rate on the Term Loan was 15.19% for the six months ended June 30, 2020. The following table sets forth total interest expense recognized related to the Term Loan (in thousands):</w:t>
      </w:r>
    </w:p>
    <w:tbl>
      <w:tblPr>
        <w:tblLayout w:type="fixed"/>
        <w:tblInd w:w="0" w:type="dxa"/>
        <w:tblCellMar>
          <w:top w:w="0" w:type="dxa"/>
          <w:left w:w="0" w:type="dxa"/>
          <w:bottom w:w="0" w:type="dxa"/>
          <w:right w:w="0" w:type="dxa"/>
        </w:tblCellMar>
      </w:tblPr>
      <w:tr>
        <w:trPr>
          <w:trHeight w:val="149"/>
        </w:trPr>
        <w:tc>
          <w:tcPr>
            <w:tcW w:w="6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20" w:type="dxa"/>
            <w:vAlign w:val="bottom"/>
            <w:gridSpan w:val="5"/>
          </w:tcPr>
          <w:p>
            <w:pPr>
              <w:ind w:left="320"/>
              <w:spacing w:after="0" w:line="149" w:lineRule="exact"/>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2"/>
                <w:szCs w:val="12"/>
                <w:color w:val="auto"/>
              </w:rPr>
            </w:pPr>
          </w:p>
        </w:tc>
        <w:tc>
          <w:tcPr>
            <w:tcW w:w="2220" w:type="dxa"/>
            <w:vAlign w:val="bottom"/>
            <w:gridSpan w:val="4"/>
          </w:tcPr>
          <w:p>
            <w:pPr>
              <w:jc w:val="right"/>
              <w:ind w:right="601"/>
              <w:spacing w:after="0" w:line="149" w:lineRule="exact"/>
              <w:rPr>
                <w:sz w:val="20"/>
                <w:szCs w:val="20"/>
                <w:color w:val="auto"/>
              </w:rPr>
            </w:pPr>
            <w:r>
              <w:rPr>
                <w:rFonts w:ascii="Arial" w:cs="Arial" w:eastAsia="Arial" w:hAnsi="Arial"/>
                <w:sz w:val="14"/>
                <w:szCs w:val="14"/>
                <w:b w:val="1"/>
                <w:bCs w:val="1"/>
                <w:color w:val="auto"/>
              </w:rPr>
              <w:t>Six Months Ended</w:t>
            </w:r>
          </w:p>
        </w:tc>
      </w:tr>
      <w:tr>
        <w:trPr>
          <w:trHeight w:val="192"/>
        </w:trPr>
        <w:tc>
          <w:tcPr>
            <w:tcW w:w="6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96"/>
        </w:trPr>
        <w:tc>
          <w:tcPr>
            <w:tcW w:w="6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r>
      <w:tr>
        <w:trPr>
          <w:trHeight w:val="236"/>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26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516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1,667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2,390</w:t>
            </w:r>
          </w:p>
        </w:tc>
      </w:tr>
      <w:tr>
        <w:trPr>
          <w:trHeight w:val="223"/>
        </w:trPr>
        <w:tc>
          <w:tcPr>
            <w:tcW w:w="6160" w:type="dxa"/>
            <w:vAlign w:val="bottom"/>
          </w:tcPr>
          <w:p>
            <w:pPr>
              <w:ind w:left="20"/>
              <w:spacing w:after="0"/>
              <w:rPr>
                <w:sz w:val="20"/>
                <w:szCs w:val="20"/>
                <w:color w:val="auto"/>
              </w:rPr>
            </w:pPr>
            <w:r>
              <w:rPr>
                <w:rFonts w:ascii="Arial" w:cs="Arial" w:eastAsia="Arial" w:hAnsi="Arial"/>
                <w:sz w:val="16"/>
                <w:szCs w:val="16"/>
                <w:color w:val="auto"/>
              </w:rPr>
              <w:t>Amortization of debt discount</w:t>
            </w:r>
          </w:p>
        </w:tc>
        <w:tc>
          <w:tcPr>
            <w:tcW w:w="260" w:type="dxa"/>
            <w:vAlign w:val="bottom"/>
          </w:tcPr>
          <w:p>
            <w:pPr>
              <w:spacing w:after="0"/>
              <w:rPr>
                <w:sz w:val="19"/>
                <w:szCs w:val="19"/>
                <w:color w:val="auto"/>
              </w:rPr>
            </w:pPr>
          </w:p>
        </w:tc>
        <w:tc>
          <w:tcPr>
            <w:tcW w:w="940" w:type="dxa"/>
            <w:vAlign w:val="bottom"/>
          </w:tcPr>
          <w:p>
            <w:pPr>
              <w:jc w:val="right"/>
              <w:ind w:right="83"/>
              <w:spacing w:after="0"/>
              <w:rPr>
                <w:sz w:val="20"/>
                <w:szCs w:val="20"/>
                <w:color w:val="auto"/>
              </w:rPr>
            </w:pPr>
            <w:r>
              <w:rPr>
                <w:rFonts w:ascii="Arial" w:cs="Arial" w:eastAsia="Arial" w:hAnsi="Arial"/>
                <w:sz w:val="16"/>
                <w:szCs w:val="16"/>
                <w:color w:val="auto"/>
              </w:rPr>
              <w:t>526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63"/>
              <w:spacing w:after="0"/>
              <w:rPr>
                <w:sz w:val="20"/>
                <w:szCs w:val="20"/>
                <w:color w:val="auto"/>
              </w:rPr>
            </w:pPr>
            <w:r>
              <w:rPr>
                <w:rFonts w:ascii="Arial" w:cs="Arial" w:eastAsia="Arial" w:hAnsi="Arial"/>
                <w:sz w:val="16"/>
                <w:szCs w:val="16"/>
                <w:color w:val="auto"/>
              </w:rPr>
              <w:t>859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666</w:t>
            </w:r>
          </w:p>
        </w:tc>
      </w:tr>
      <w:tr>
        <w:trPr>
          <w:trHeight w:val="33"/>
        </w:trPr>
        <w:tc>
          <w:tcPr>
            <w:tcW w:w="6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7"/>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63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80</w:t>
            </w:r>
          </w:p>
        </w:tc>
      </w:tr>
      <w:tr>
        <w:trPr>
          <w:trHeight w:val="247"/>
        </w:trPr>
        <w:tc>
          <w:tcPr>
            <w:tcW w:w="6160" w:type="dxa"/>
            <w:vAlign w:val="bottom"/>
          </w:tcPr>
          <w:p>
            <w:pPr>
              <w:ind w:left="20"/>
              <w:spacing w:after="0"/>
              <w:rPr>
                <w:sz w:val="20"/>
                <w:szCs w:val="20"/>
                <w:color w:val="auto"/>
              </w:rPr>
            </w:pPr>
            <w:r>
              <w:rPr>
                <w:rFonts w:ascii="Arial" w:cs="Arial" w:eastAsia="Arial" w:hAnsi="Arial"/>
                <w:sz w:val="16"/>
                <w:szCs w:val="16"/>
                <w:color w:val="auto"/>
              </w:rPr>
              <w:t>Total interest expense</w:t>
            </w: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1,105</w:t>
            </w: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1,583</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6"/>
                <w:szCs w:val="16"/>
                <w:color w:val="auto"/>
              </w:rPr>
              <w:t>2,629</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3,136</w:t>
            </w:r>
          </w:p>
        </w:tc>
      </w:tr>
      <w:tr>
        <w:trPr>
          <w:trHeight w:val="24"/>
        </w:trPr>
        <w:tc>
          <w:tcPr>
            <w:tcW w:w="6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Notes</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May 12, 2020, the Company completed its registered public Offering of $100.0 million aggregate principal amount of 2025 Notes.</w:t>
      </w:r>
    </w:p>
    <w:p>
      <w:pPr>
        <w:spacing w:after="0" w:line="239" w:lineRule="exact"/>
        <w:rPr>
          <w:sz w:val="20"/>
          <w:szCs w:val="20"/>
          <w:color w:val="auto"/>
        </w:rPr>
      </w:pPr>
    </w:p>
    <w:p>
      <w:pPr>
        <w:ind w:right="40" w:firstLine="405"/>
        <w:spacing w:after="0" w:line="239" w:lineRule="auto"/>
        <w:rPr>
          <w:sz w:val="20"/>
          <w:szCs w:val="20"/>
          <w:color w:val="auto"/>
        </w:rPr>
      </w:pPr>
      <w:r>
        <w:rPr>
          <w:rFonts w:ascii="Arial" w:cs="Arial" w:eastAsia="Arial" w:hAnsi="Arial"/>
          <w:sz w:val="18"/>
          <w:szCs w:val="18"/>
          <w:color w:val="auto"/>
        </w:rPr>
        <w:t>On May 12, 2020, the Company also entered into separate privately-negotiated Exchange Agreements with the Participating Stockholders. Pursuant to the Exchange Agreements, each of the Participating Stockholders agreed to exchange the 2022 Notes that they held (representing an aggregate of $45.0 million principal amount of 2022 Notes with an estimated fair value of approximately $112.4 million as of the date of exchange) for an aggregate of $32.0 million in cash and $80.4 million principal amount of 2025 Notes in private placement transactions that closed concurrently with the registered Offering. In connection therewith, the Company recorded a loss of $67.2 million on debt conversion and extinguishment, net in the condensed consolidated statement of operations. The 2025 Notes issued in the Private Exchange Transactions are part of the same series as the 2025 Notes issued in the registered Offering.</w:t>
      </w:r>
    </w:p>
    <w:p>
      <w:pPr>
        <w:spacing w:after="0" w:line="218" w:lineRule="exact"/>
        <w:rPr>
          <w:sz w:val="20"/>
          <w:szCs w:val="20"/>
          <w:color w:val="auto"/>
        </w:rPr>
      </w:pPr>
    </w:p>
    <w:p>
      <w:pPr>
        <w:ind w:right="280" w:firstLine="405"/>
        <w:spacing w:after="0" w:line="248" w:lineRule="auto"/>
        <w:rPr>
          <w:sz w:val="20"/>
          <w:szCs w:val="20"/>
          <w:color w:val="auto"/>
        </w:rPr>
      </w:pPr>
      <w:r>
        <w:rPr>
          <w:rFonts w:ascii="Arial" w:cs="Arial" w:eastAsia="Arial" w:hAnsi="Arial"/>
          <w:sz w:val="18"/>
          <w:szCs w:val="18"/>
          <w:color w:val="auto"/>
        </w:rPr>
        <w:t>The 2025 Notes are issued under an indenture, dated May 12, 2020 (the “Base Indenture”), between the Company and Wilmington Trust, National Association, as trustee (the “Trustee”), as supplemented by the first supplemental indenture, dated May 12, 2020 (the “Supplemental Indenture” and, together with the Base Indenture, the “Indenture”), between the Company and the Trustee.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20" w:firstLine="405"/>
        <w:spacing w:after="0" w:line="248" w:lineRule="auto"/>
        <w:rPr>
          <w:sz w:val="20"/>
          <w:szCs w:val="20"/>
          <w:color w:val="auto"/>
        </w:rPr>
      </w:pPr>
      <w:r>
        <w:rPr>
          <w:rFonts w:ascii="Arial" w:cs="Arial" w:eastAsia="Arial" w:hAnsi="Arial"/>
          <w:sz w:val="18"/>
          <w:szCs w:val="18"/>
          <w:color w:val="auto"/>
        </w:rPr>
        <w:t>The 2025 Notes will mature on May 1, 2025, unless earlier repurchased, redeemed or converted. The 2025 Notes are senior unsecured obligations of the Company and bear interest at an annual rate of 3.25%, payable semi-annually in arrears on May 1 and November 1 of each year, beginning on November 1, 2020.</w:t>
      </w:r>
    </w:p>
    <w:p>
      <w:pPr>
        <w:spacing w:after="0" w:line="209" w:lineRule="exact"/>
        <w:rPr>
          <w:sz w:val="20"/>
          <w:szCs w:val="20"/>
          <w:color w:val="auto"/>
        </w:rPr>
      </w:pPr>
    </w:p>
    <w:p>
      <w:pPr>
        <w:ind w:right="100" w:firstLine="405"/>
        <w:spacing w:after="0" w:line="243" w:lineRule="auto"/>
        <w:rPr>
          <w:sz w:val="20"/>
          <w:szCs w:val="20"/>
          <w:color w:val="auto"/>
        </w:rPr>
      </w:pPr>
      <w:r>
        <w:rPr>
          <w:rFonts w:ascii="Arial" w:cs="Arial" w:eastAsia="Arial" w:hAnsi="Arial"/>
          <w:sz w:val="18"/>
          <w:szCs w:val="18"/>
          <w:color w:val="auto"/>
        </w:rPr>
        <w:t>Holders of the 2025 Notes may convert the 2025 Notes into shares of the Company’s common stock (together with cash in lieu of any fractional share), at their option, at any time until the close of business on the scheduled trading day immediately before the maturity date. Upon conversion of the 2025 Notes, the Company will deliver for each $1,000 principal amount of 2025 Notes converted a number of shares of common stock (together with cash in lieu of any fractional share), equal to the conversion rate.</w:t>
      </w:r>
    </w:p>
    <w:p>
      <w:pPr>
        <w:spacing w:after="0" w:line="215" w:lineRule="exact"/>
        <w:rPr>
          <w:sz w:val="20"/>
          <w:szCs w:val="20"/>
          <w:color w:val="auto"/>
        </w:rPr>
      </w:pPr>
    </w:p>
    <w:p>
      <w:pPr>
        <w:ind w:right="80" w:firstLine="405"/>
        <w:spacing w:after="0" w:line="241" w:lineRule="auto"/>
        <w:rPr>
          <w:sz w:val="20"/>
          <w:szCs w:val="20"/>
          <w:color w:val="auto"/>
        </w:rPr>
      </w:pPr>
      <w:r>
        <w:rPr>
          <w:rFonts w:ascii="Arial" w:cs="Arial" w:eastAsia="Arial" w:hAnsi="Arial"/>
          <w:sz w:val="18"/>
          <w:szCs w:val="18"/>
          <w:color w:val="auto"/>
        </w:rPr>
        <w:t>The initial conversion rate for the 2025 Notes is 79.2896 shares of common stock per $1,000 principal amount of 2025 Notes, which represents an initial conversion price of approximately $12.61 per share, and is subject to adjustment upon the occurrence of certain events, including, but not limited to, certain stock dividends, splits and combinations, the issuance of certain rights, options or warrants to holders of the common stock, certain distributions of assets, debt securities, capital stock or other property to holders of the common stock, cash dividends on the common stock and certain Company tender or exchange offers.</w:t>
      </w:r>
    </w:p>
    <w:p>
      <w:pPr>
        <w:spacing w:after="0" w:line="216" w:lineRule="exact"/>
        <w:rPr>
          <w:sz w:val="20"/>
          <w:szCs w:val="20"/>
          <w:color w:val="auto"/>
        </w:rPr>
      </w:pPr>
    </w:p>
    <w:p>
      <w:pPr>
        <w:ind w:right="60" w:firstLine="405"/>
        <w:spacing w:after="0" w:line="282" w:lineRule="auto"/>
        <w:rPr>
          <w:sz w:val="20"/>
          <w:szCs w:val="20"/>
          <w:color w:val="auto"/>
        </w:rPr>
      </w:pPr>
      <w:r>
        <w:rPr>
          <w:rFonts w:ascii="Arial" w:cs="Arial" w:eastAsia="Arial" w:hAnsi="Arial"/>
          <w:sz w:val="16"/>
          <w:szCs w:val="16"/>
          <w:color w:val="auto"/>
        </w:rPr>
        <w:t>If a fundamental change (as defined in the Indenture) occurs at any time prior to the maturity date, then the noteholders may require the Company to repurchase their 2025 Notes at a cash repurchase price equal to the principal amount of the 2025 Notes to be repurchased, plus accrued and unpaid interest,</w:t>
      </w:r>
    </w:p>
    <w:p>
      <w:pPr>
        <w:ind w:right="500"/>
        <w:spacing w:after="0" w:line="276" w:lineRule="auto"/>
        <w:rPr>
          <w:sz w:val="20"/>
          <w:szCs w:val="20"/>
          <w:color w:val="auto"/>
        </w:rPr>
      </w:pPr>
      <w:r>
        <w:rPr>
          <w:rFonts w:ascii="Arial" w:cs="Arial" w:eastAsia="Arial" w:hAnsi="Arial"/>
          <w:sz w:val="18"/>
          <w:szCs w:val="18"/>
          <w:color w:val="auto"/>
        </w:rPr>
        <w:t>if any, to, but excluding, the fundamental change repurchase date. If a make-whole fundamental change (as defined in the Indenture) occurs, then the Company will in certain circumstances increase the conversion rate for a specified period of time.</w:t>
      </w:r>
    </w:p>
    <w:p>
      <w:pPr>
        <w:spacing w:after="0" w:line="185" w:lineRule="exact"/>
        <w:rPr>
          <w:sz w:val="20"/>
          <w:szCs w:val="20"/>
          <w:color w:val="auto"/>
        </w:rPr>
      </w:pPr>
    </w:p>
    <w:p>
      <w:pPr>
        <w:ind w:right="80" w:firstLine="405"/>
        <w:spacing w:after="0"/>
        <w:rPr>
          <w:sz w:val="20"/>
          <w:szCs w:val="20"/>
          <w:color w:val="auto"/>
        </w:rPr>
      </w:pPr>
      <w:r>
        <w:rPr>
          <w:rFonts w:ascii="Arial" w:cs="Arial" w:eastAsia="Arial" w:hAnsi="Arial"/>
          <w:sz w:val="18"/>
          <w:szCs w:val="18"/>
          <w:color w:val="auto"/>
        </w:rPr>
        <w:t>The 2025 Notes will be redeemable, in whole or in part, at the Company’s option at any time, and from time to time, on or after May 6, 2023 and on or before the scheduled trading day before the maturity date, at a cash redemption price equal to the principal amount of the 2025 Notes to be redeemed, plus accrued and unpaid interest, if any, to, but excluding, the redemption date, as long as the last reported sale price per share of the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w:t>
      </w:r>
    </w:p>
    <w:p>
      <w:pPr>
        <w:spacing w:after="0" w:line="216" w:lineRule="exact"/>
        <w:rPr>
          <w:sz w:val="20"/>
          <w:szCs w:val="20"/>
          <w:color w:val="auto"/>
        </w:rPr>
      </w:pPr>
    </w:p>
    <w:p>
      <w:pPr>
        <w:ind w:firstLine="405"/>
        <w:spacing w:after="0" w:line="272" w:lineRule="auto"/>
        <w:rPr>
          <w:sz w:val="20"/>
          <w:szCs w:val="20"/>
          <w:color w:val="auto"/>
        </w:rPr>
      </w:pPr>
      <w:r>
        <w:rPr>
          <w:rFonts w:ascii="Arial" w:cs="Arial" w:eastAsia="Arial" w:hAnsi="Arial"/>
          <w:sz w:val="16"/>
          <w:szCs w:val="16"/>
          <w:color w:val="auto"/>
        </w:rPr>
        <w:t>The Indenture contains customary events of default. If an event of default (other than certain events of bankruptcy, insolvency or reorganization involving the Company) occurs and is continuing, the Trustee, by notice to the Company, or the holders of the 2025 Notes representing at least 25% in aggregate principal amount of the outstanding 2025 Notes, by notice to the Company and the Trustee, may declare 100% of the principal of, and all accrued and unpaid interest on, all of the then outstanding 2025 Notes to be due and payable immediately. Upon the occurrence of certain events of bankruptcy, insolvency or reorganization involving the Company, 100% of the principal of, and all accrued and unpaid interest on, all of the then outstanding 2025 Notes will automatically become immediately due and payable. Notwithstanding the foregoing, the Indenture provides that, to the extent the Company elects, the sole remedy for an event of default relating to certain failures by the Company to comply with certain reporting covenants in the Indenture will, for the first 360 days after such event of default, consist exclusively of the right to receive additional interest on the 2025 Notes.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make-whole payment</w:t>
      </w:r>
    </w:p>
    <w:p>
      <w:pPr>
        <w:spacing w:after="0" w:line="239" w:lineRule="exact"/>
        <w:rPr>
          <w:sz w:val="20"/>
          <w:szCs w:val="20"/>
          <w:color w:val="auto"/>
        </w:rPr>
      </w:pPr>
    </w:p>
    <w:p>
      <w:pPr>
        <w:ind w:right="20" w:firstLine="405"/>
        <w:spacing w:after="0" w:line="270" w:lineRule="auto"/>
        <w:rPr>
          <w:sz w:val="20"/>
          <w:szCs w:val="20"/>
          <w:color w:val="auto"/>
        </w:rPr>
      </w:pPr>
      <w:r>
        <w:rPr>
          <w:rFonts w:ascii="Arial" w:cs="Arial" w:eastAsia="Arial" w:hAnsi="Arial"/>
          <w:sz w:val="16"/>
          <w:szCs w:val="16"/>
          <w:color w:val="auto"/>
        </w:rPr>
        <w:t>The 2025 Notes also include an interest make-whole payment feature whereby if the last reported sale price of the Company’s common stock for each of the five trading days immediately preceding a conversion date is greater than or equal to $10.51, the Company will, in addition to the other consideration payable or deliverable in connection with such conversion, make an interest make-whole payment to the converting holder equal to the sum of the present values of the scheduled payments of interest that would have been made on the 2025 Notes to be converted had such notes remained outstanding from the conversion date through the earlier of (i) the date that is three years after the conversion date and (ii) the maturity date. The present values will be computed using a discount rate equal to 1%. The Company will satisfy its obligation to pay the interest make-whole payment, at its election, in cash or shares of</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common stock (together with cash in lieu of fractional shares). The Company has determined that this feature is an embedded derivative and has recognized the fair value of this derivative as a liability in the condensed consolidated balance sheets, with subsequent changes to fair value to be recorded at each reporting period on the consolidated statement of operations in other income (expense), net.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320" w:firstLine="405"/>
        <w:spacing w:after="0" w:line="324" w:lineRule="auto"/>
        <w:rPr>
          <w:sz w:val="20"/>
          <w:szCs w:val="20"/>
          <w:color w:val="auto"/>
        </w:rPr>
      </w:pPr>
      <w:r>
        <w:rPr>
          <w:rFonts w:ascii="Arial" w:cs="Arial" w:eastAsia="Arial" w:hAnsi="Arial"/>
          <w:sz w:val="16"/>
          <w:szCs w:val="16"/>
          <w:color w:val="auto"/>
        </w:rPr>
        <w:t>The estimated fair value of the liability component at the date of issuance was determined using significant assumptions which include an implied credit spread rate for notes with a similar term, the expected volatility and dividend yield of our common stock and the risk-free interest rate.</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2020, $180.4 million of the 2025 Notes were outstanding, $80.4 million of which were held by related parties.</w:t>
      </w:r>
    </w:p>
    <w:p>
      <w:pPr>
        <w:spacing w:after="0" w:line="239" w:lineRule="exact"/>
        <w:rPr>
          <w:sz w:val="20"/>
          <w:szCs w:val="20"/>
          <w:color w:val="auto"/>
        </w:rPr>
      </w:pPr>
    </w:p>
    <w:p>
      <w:pPr>
        <w:ind w:right="680" w:firstLine="405"/>
        <w:spacing w:after="0" w:line="261" w:lineRule="auto"/>
        <w:rPr>
          <w:sz w:val="20"/>
          <w:szCs w:val="20"/>
          <w:color w:val="auto"/>
        </w:rPr>
      </w:pPr>
      <w:r>
        <w:rPr>
          <w:rFonts w:ascii="Arial" w:cs="Arial" w:eastAsia="Arial" w:hAnsi="Arial"/>
          <w:sz w:val="18"/>
          <w:szCs w:val="18"/>
          <w:color w:val="auto"/>
        </w:rPr>
        <w:t>Subsequent to June 30, 2020, approximately $13.5 million of the 2025 Notes were converted into 1.2 million shares including approximately 0.1 million shares of common stock in satisfaction of the interest make-whole payment.</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2025 Notes consist of the following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6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10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r>
      <w:tr>
        <w:trPr>
          <w:trHeight w:val="210"/>
        </w:trPr>
        <w:tc>
          <w:tcPr>
            <w:tcW w:w="10040" w:type="dxa"/>
            <w:vAlign w:val="bottom"/>
          </w:tcPr>
          <w:p>
            <w:pPr>
              <w:ind w:left="20"/>
              <w:spacing w:after="0"/>
              <w:rPr>
                <w:sz w:val="20"/>
                <w:szCs w:val="20"/>
                <w:color w:val="auto"/>
              </w:rPr>
            </w:pPr>
            <w:r>
              <w:rPr>
                <w:rFonts w:ascii="Arial" w:cs="Arial" w:eastAsia="Arial" w:hAnsi="Arial"/>
                <w:sz w:val="16"/>
                <w:szCs w:val="16"/>
                <w:color w:val="auto"/>
              </w:rPr>
              <w:t>Liability component</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10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180,375</w:t>
            </w:r>
          </w:p>
        </w:tc>
      </w:tr>
      <w:tr>
        <w:trPr>
          <w:trHeight w:val="224"/>
        </w:trPr>
        <w:tc>
          <w:tcPr>
            <w:tcW w:w="10040" w:type="dxa"/>
            <w:vAlign w:val="bottom"/>
          </w:tcPr>
          <w:p>
            <w:pPr>
              <w:ind w:left="20"/>
              <w:spacing w:after="0"/>
              <w:rPr>
                <w:sz w:val="20"/>
                <w:szCs w:val="20"/>
                <w:color w:val="auto"/>
              </w:rPr>
            </w:pPr>
            <w:r>
              <w:rPr>
                <w:rFonts w:ascii="Arial" w:cs="Arial" w:eastAsia="Arial" w:hAnsi="Arial"/>
                <w:sz w:val="16"/>
                <w:szCs w:val="16"/>
                <w:color w:val="auto"/>
              </w:rPr>
              <w:t>Add: fair value of embedded derivative</w:t>
            </w:r>
          </w:p>
        </w:tc>
        <w:tc>
          <w:tcPr>
            <w:tcW w:w="220" w:type="dxa"/>
            <w:vAlign w:val="bottom"/>
          </w:tcPr>
          <w:p>
            <w:pPr>
              <w:spacing w:after="0"/>
              <w:rPr>
                <w:sz w:val="19"/>
                <w:szCs w:val="19"/>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3,756</w:t>
            </w:r>
          </w:p>
        </w:tc>
      </w:tr>
      <w:tr>
        <w:trPr>
          <w:trHeight w:val="33"/>
        </w:trPr>
        <w:tc>
          <w:tcPr>
            <w:tcW w:w="10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unamortized debt discount</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(4,458)</w:t>
            </w:r>
          </w:p>
        </w:tc>
      </w:tr>
      <w:tr>
        <w:trPr>
          <w:trHeight w:val="223"/>
        </w:trPr>
        <w:tc>
          <w:tcPr>
            <w:tcW w:w="10040" w:type="dxa"/>
            <w:vAlign w:val="bottom"/>
          </w:tcPr>
          <w:p>
            <w:pPr>
              <w:ind w:left="20"/>
              <w:spacing w:after="0"/>
              <w:rPr>
                <w:sz w:val="20"/>
                <w:szCs w:val="20"/>
                <w:color w:val="auto"/>
              </w:rPr>
            </w:pPr>
            <w:r>
              <w:rPr>
                <w:rFonts w:ascii="Arial" w:cs="Arial" w:eastAsia="Arial" w:hAnsi="Arial"/>
                <w:sz w:val="16"/>
                <w:szCs w:val="16"/>
                <w:color w:val="auto"/>
              </w:rPr>
              <w:t>Less: unamortized issuance costs</w:t>
            </w:r>
          </w:p>
        </w:tc>
        <w:tc>
          <w:tcPr>
            <w:tcW w:w="220" w:type="dxa"/>
            <w:vAlign w:val="bottom"/>
          </w:tcPr>
          <w:p>
            <w:pPr>
              <w:spacing w:after="0"/>
              <w:rPr>
                <w:sz w:val="19"/>
                <w:szCs w:val="19"/>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(3,502)</w:t>
            </w:r>
          </w:p>
        </w:tc>
      </w:tr>
      <w:tr>
        <w:trPr>
          <w:trHeight w:val="33"/>
        </w:trPr>
        <w:tc>
          <w:tcPr>
            <w:tcW w:w="10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2"/>
        </w:trPr>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176,171</w:t>
            </w:r>
          </w:p>
        </w:tc>
      </w:tr>
      <w:tr>
        <w:trPr>
          <w:trHeight w:val="20"/>
        </w:trPr>
        <w:tc>
          <w:tcPr>
            <w:tcW w:w="10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0" w:firstLine="405"/>
        <w:spacing w:after="0" w:line="261" w:lineRule="auto"/>
        <w:rPr>
          <w:sz w:val="20"/>
          <w:szCs w:val="20"/>
          <w:color w:val="auto"/>
        </w:rPr>
      </w:pPr>
      <w:r>
        <w:rPr>
          <w:rFonts w:ascii="Arial" w:cs="Arial" w:eastAsia="Arial" w:hAnsi="Arial"/>
          <w:sz w:val="18"/>
          <w:szCs w:val="18"/>
          <w:color w:val="auto"/>
        </w:rPr>
        <w:t>On May 12, 2020, the Company completed its registered public Offering of the 2025 Notes. Accordingly, there was no outstanding balance as of December 31, 2019.</w:t>
      </w:r>
    </w:p>
    <w:p>
      <w:pPr>
        <w:spacing w:after="0" w:line="198" w:lineRule="exact"/>
        <w:rPr>
          <w:sz w:val="20"/>
          <w:szCs w:val="20"/>
          <w:color w:val="auto"/>
        </w:rPr>
      </w:pPr>
    </w:p>
    <w:p>
      <w:pPr>
        <w:ind w:right="180" w:firstLine="405"/>
        <w:spacing w:after="0" w:line="261" w:lineRule="auto"/>
        <w:rPr>
          <w:sz w:val="20"/>
          <w:szCs w:val="20"/>
          <w:color w:val="auto"/>
        </w:rPr>
      </w:pPr>
      <w:r>
        <w:rPr>
          <w:rFonts w:ascii="Arial" w:cs="Arial" w:eastAsia="Arial" w:hAnsi="Arial"/>
          <w:sz w:val="18"/>
          <w:szCs w:val="18"/>
          <w:color w:val="auto"/>
        </w:rPr>
        <w:t>The effective interest rate on the liability component of the 2025 Notes was 4.13% for the six months ended June 30, 2020. The following table sets forth total interest expense recognized related to the 2025 Notes (in thousands):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Contractual interest expense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debt discount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Amortization of debt issuance costs</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interest expense</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184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92"/>
        </w:trPr>
        <w:tc>
          <w:tcPr>
            <w:tcW w:w="200" w:type="dxa"/>
            <w:vAlign w:val="bottom"/>
          </w:tcPr>
          <w:p>
            <w:pPr>
              <w:spacing w:after="0"/>
              <w:rPr>
                <w:sz w:val="16"/>
                <w:szCs w:val="16"/>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June 30, 2020</w:t>
            </w:r>
          </w:p>
        </w:tc>
        <w:tc>
          <w:tcPr>
            <w:tcW w:w="440" w:type="dxa"/>
            <w:vAlign w:val="bottom"/>
          </w:tcPr>
          <w:p>
            <w:pPr>
              <w:spacing w:after="0"/>
              <w:rPr>
                <w:sz w:val="16"/>
                <w:szCs w:val="16"/>
                <w:color w:val="auto"/>
              </w:rPr>
            </w:pPr>
          </w:p>
        </w:tc>
        <w:tc>
          <w:tcPr>
            <w:tcW w:w="1400" w:type="dxa"/>
            <w:vAlign w:val="bottom"/>
          </w:tcPr>
          <w:p>
            <w:pPr>
              <w:jc w:val="right"/>
              <w:ind w:right="701"/>
              <w:spacing w:after="0"/>
              <w:rPr>
                <w:sz w:val="20"/>
                <w:szCs w:val="20"/>
                <w:color w:val="auto"/>
              </w:rPr>
            </w:pPr>
            <w:r>
              <w:rPr>
                <w:rFonts w:ascii="Arial" w:cs="Arial" w:eastAsia="Arial" w:hAnsi="Arial"/>
                <w:sz w:val="14"/>
                <w:szCs w:val="14"/>
                <w:b w:val="1"/>
                <w:bCs w:val="1"/>
                <w:color w:val="auto"/>
              </w:rPr>
              <w:t>2020</w:t>
            </w:r>
          </w:p>
        </w:tc>
      </w:tr>
      <w:tr>
        <w:trPr>
          <w:trHeight w:val="223"/>
        </w:trPr>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62"/>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800</w:t>
            </w:r>
          </w:p>
        </w:tc>
      </w:tr>
      <w:tr>
        <w:trPr>
          <w:trHeight w:val="256"/>
        </w:trPr>
        <w:tc>
          <w:tcPr>
            <w:tcW w:w="200" w:type="dxa"/>
            <w:vAlign w:val="bottom"/>
          </w:tcPr>
          <w:p>
            <w:pPr>
              <w:spacing w:after="0"/>
              <w:rPr>
                <w:sz w:val="22"/>
                <w:szCs w:val="22"/>
                <w:color w:val="auto"/>
              </w:rPr>
            </w:pPr>
          </w:p>
        </w:tc>
        <w:tc>
          <w:tcPr>
            <w:tcW w:w="1740" w:type="dxa"/>
            <w:vAlign w:val="bottom"/>
          </w:tcPr>
          <w:p>
            <w:pPr>
              <w:jc w:val="right"/>
              <w:ind w:right="62"/>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124</w:t>
            </w:r>
          </w:p>
        </w:tc>
      </w:tr>
      <w:tr>
        <w:trPr>
          <w:trHeight w:val="257"/>
        </w:trPr>
        <w:tc>
          <w:tcPr>
            <w:tcW w:w="200" w:type="dxa"/>
            <w:vAlign w:val="bottom"/>
          </w:tcPr>
          <w:p>
            <w:pPr>
              <w:spacing w:after="0"/>
              <w:rPr>
                <w:sz w:val="22"/>
                <w:szCs w:val="22"/>
                <w:color w:val="auto"/>
              </w:rPr>
            </w:pPr>
          </w:p>
        </w:tc>
        <w:tc>
          <w:tcPr>
            <w:tcW w:w="1740" w:type="dxa"/>
            <w:vAlign w:val="bottom"/>
          </w:tcPr>
          <w:p>
            <w:pPr>
              <w:jc w:val="right"/>
              <w:ind w:right="62"/>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96</w:t>
            </w:r>
          </w:p>
        </w:tc>
      </w:tr>
      <w:tr>
        <w:trPr>
          <w:trHeight w:val="33"/>
        </w:trPr>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62"/>
              <w:spacing w:after="0"/>
              <w:rPr>
                <w:sz w:val="20"/>
                <w:szCs w:val="20"/>
                <w:color w:val="auto"/>
              </w:rPr>
            </w:pPr>
            <w:r>
              <w:rPr>
                <w:rFonts w:ascii="Arial" w:cs="Arial" w:eastAsia="Arial" w:hAnsi="Arial"/>
                <w:sz w:val="16"/>
                <w:szCs w:val="16"/>
                <w:color w:val="auto"/>
              </w:rPr>
              <w:t>1,020</w:t>
            </w:r>
          </w:p>
        </w:tc>
        <w:tc>
          <w:tcPr>
            <w:tcW w:w="100" w:type="dxa"/>
            <w:vAlign w:val="bottom"/>
          </w:tcPr>
          <w:p>
            <w:pPr>
              <w:spacing w:after="0"/>
              <w:rPr>
                <w:sz w:val="18"/>
                <w:szCs w:val="18"/>
                <w:color w:val="auto"/>
              </w:rPr>
            </w:pP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1,020</w:t>
            </w:r>
          </w:p>
        </w:tc>
      </w:tr>
      <w:tr>
        <w:trPr>
          <w:trHeight w:val="33"/>
        </w:trPr>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-4667885</wp:posOffset>
            </wp:positionH>
            <wp:positionV relativeFrom="paragraph">
              <wp:posOffset>-702310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-367665</wp:posOffset>
            </wp:positionV>
            <wp:extent cx="713232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40" w:space="720"/>
            <w:col w:w="3880"/>
          </w:cols>
          <w:pgMar w:left="320" w:top="607" w:right="339" w:bottom="1440" w:gutter="0" w:footer="0" w:header="0"/>
          <w:type w:val="continuous"/>
        </w:sectPr>
      </w:pPr>
    </w:p>
    <w:p>
      <w:pPr>
        <w:spacing w:after="0" w:line="137" w:lineRule="exact"/>
        <w:rPr>
          <w:sz w:val="20"/>
          <w:szCs w:val="20"/>
          <w:color w:val="auto"/>
        </w:rPr>
      </w:pPr>
    </w:p>
    <w:p>
      <w:pPr>
        <w:ind w:right="240" w:firstLine="405"/>
        <w:spacing w:after="0" w:line="261" w:lineRule="auto"/>
        <w:rPr>
          <w:sz w:val="20"/>
          <w:szCs w:val="20"/>
          <w:color w:val="auto"/>
        </w:rPr>
      </w:pPr>
      <w:r>
        <w:rPr>
          <w:rFonts w:ascii="Arial" w:cs="Arial" w:eastAsia="Arial" w:hAnsi="Arial"/>
          <w:sz w:val="18"/>
          <w:szCs w:val="18"/>
          <w:color w:val="auto"/>
        </w:rPr>
        <w:t>As the offering of the 2025 Notes took place during the six months ended June 30, 2020, there was no interest expense in the comparable three and six month periods of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Notes</w:t>
      </w:r>
    </w:p>
    <w:p>
      <w:pPr>
        <w:spacing w:after="0" w:line="239" w:lineRule="exact"/>
        <w:rPr>
          <w:sz w:val="20"/>
          <w:szCs w:val="20"/>
          <w:color w:val="auto"/>
        </w:rPr>
      </w:pPr>
    </w:p>
    <w:p>
      <w:pPr>
        <w:ind w:right="40" w:firstLine="405"/>
        <w:spacing w:after="0" w:line="261" w:lineRule="auto"/>
        <w:rPr>
          <w:sz w:val="20"/>
          <w:szCs w:val="20"/>
          <w:color w:val="auto"/>
        </w:rPr>
      </w:pPr>
      <w:r>
        <w:rPr>
          <w:rFonts w:ascii="Arial" w:cs="Arial" w:eastAsia="Arial" w:hAnsi="Arial"/>
          <w:sz w:val="18"/>
          <w:szCs w:val="18"/>
          <w:color w:val="auto"/>
        </w:rPr>
        <w:t>On January 9, 2017, in connection with the Note Exchange (as defined below), the Company issued approximately $119.8 million aggregate principal amount of 2022 Notes.</w:t>
      </w:r>
    </w:p>
    <w:p>
      <w:pPr>
        <w:spacing w:after="0" w:line="198" w:lineRule="exact"/>
        <w:rPr>
          <w:sz w:val="20"/>
          <w:szCs w:val="20"/>
          <w:color w:val="auto"/>
        </w:rPr>
      </w:pPr>
    </w:p>
    <w:p>
      <w:pPr>
        <w:ind w:right="40" w:firstLine="405"/>
        <w:spacing w:after="0" w:line="271" w:lineRule="auto"/>
        <w:rPr>
          <w:sz w:val="20"/>
          <w:szCs w:val="20"/>
          <w:color w:val="auto"/>
        </w:rPr>
      </w:pPr>
      <w:r>
        <w:rPr>
          <w:rFonts w:ascii="Arial" w:cs="Arial" w:eastAsia="Arial" w:hAnsi="Arial"/>
          <w:sz w:val="16"/>
          <w:szCs w:val="16"/>
          <w:color w:val="auto"/>
        </w:rPr>
        <w:t xml:space="preserve">During the three months ended March 31, 2020, the Company entered into privately-negotiated exchange agreements with certain investors holding the 2022 Notes. Pursuant to those exchange agreements, the investors exchanged $59.9 million in aggregate principal amount of outstanding 2022 Notes for 13,688,876 shares of common stock. The investors that participated in such exchange agreements agreed to waive any accrued but unpaid interest on the exchanged 2022 Notes. Included in the 13,688,876 shares of common stock issued in the exchange transactions that took place during the three months ended March 31, 2020 were 942,706 shares valued at $7.9 million on the date of issuance at fair value, which were issued pursuant to the terms of the privately-negotiated exchange agreements and were in excess of the consideration issuable under the original conversion terms of the exchanged 2022 Notes. ASC 470, </w:t>
      </w:r>
      <w:r>
        <w:rPr>
          <w:rFonts w:ascii="Arial" w:cs="Arial" w:eastAsia="Arial" w:hAnsi="Arial"/>
          <w:sz w:val="16"/>
          <w:szCs w:val="16"/>
          <w:i w:val="1"/>
          <w:iCs w:val="1"/>
          <w:color w:val="auto"/>
        </w:rPr>
        <w:t>Debt</w:t>
      </w:r>
      <w:r>
        <w:rPr>
          <w:rFonts w:ascii="Arial" w:cs="Arial" w:eastAsia="Arial" w:hAnsi="Arial"/>
          <w:sz w:val="16"/>
          <w:szCs w:val="16"/>
          <w:color w:val="auto"/>
        </w:rPr>
        <w:t>, requires the recognition through earnings of an inducement charge equal to the fair value of the consideration delivered in excess of the consideration issuable under the original conversion terms. This resulted in a non-cash charge of $7.9 million for the three months ended March 31, 2020, which was recorded as inducement expense in the condensed consolidated statement of operations.</w:t>
      </w:r>
    </w:p>
    <w:p>
      <w:pPr>
        <w:sectPr>
          <w:pgSz w:w="11900" w:h="16838" w:orient="portrait"/>
          <w:cols w:equalWidth="0" w:num="1">
            <w:col w:w="11240"/>
          </w:cols>
          <w:pgMar w:left="320" w:top="607" w:right="339" w:bottom="1440" w:gutter="0" w:footer="0" w:header="0"/>
          <w:type w:val="continuous"/>
        </w:sect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120" w:firstLine="405"/>
        <w:spacing w:after="0" w:line="243" w:lineRule="auto"/>
        <w:rPr>
          <w:sz w:val="20"/>
          <w:szCs w:val="20"/>
          <w:color w:val="auto"/>
        </w:rPr>
      </w:pPr>
      <w:r>
        <w:rPr>
          <w:rFonts w:ascii="Arial" w:cs="Arial" w:eastAsia="Arial" w:hAnsi="Arial"/>
          <w:sz w:val="18"/>
          <w:szCs w:val="18"/>
          <w:color w:val="auto"/>
        </w:rPr>
        <w:t>Pursuant to the Private Exchange Transactions described above, on May 12, 2020, the holders of an aggregate of $45.0 million principal amount of 2022 Notes exchanged their 2022 Notes for a combination of 2025 Notes and cash. As a result of the Private Exchange Transactions, $2,000 in principal amount of the 2022 Notes were outstanding as of June 30, 2020. On July 22, 2020, pursuant to a redemption notice issued on May 15, 2020, the Company redeemed the remaining $2,000 principal amount of the 2022 Notes.</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2022 Notes consist of the following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03"/>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740" w:type="dxa"/>
            <w:vAlign w:val="bottom"/>
          </w:tcPr>
          <w:p>
            <w:pPr>
              <w:spacing w:after="0"/>
              <w:rPr>
                <w:sz w:val="16"/>
                <w:szCs w:val="16"/>
                <w:color w:val="auto"/>
              </w:rPr>
            </w:pPr>
          </w:p>
        </w:tc>
        <w:tc>
          <w:tcPr>
            <w:tcW w:w="88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2019</w:t>
            </w:r>
          </w:p>
        </w:tc>
      </w:tr>
      <w:tr>
        <w:trPr>
          <w:trHeight w:val="210"/>
        </w:trPr>
        <w:tc>
          <w:tcPr>
            <w:tcW w:w="8740" w:type="dxa"/>
            <w:vAlign w:val="bottom"/>
          </w:tcPr>
          <w:p>
            <w:pPr>
              <w:ind w:left="20"/>
              <w:spacing w:after="0"/>
              <w:rPr>
                <w:sz w:val="20"/>
                <w:szCs w:val="20"/>
                <w:color w:val="auto"/>
              </w:rPr>
            </w:pPr>
            <w:r>
              <w:rPr>
                <w:rFonts w:ascii="Arial" w:cs="Arial" w:eastAsia="Arial" w:hAnsi="Arial"/>
                <w:sz w:val="16"/>
                <w:szCs w:val="16"/>
                <w:color w:val="auto"/>
              </w:rPr>
              <w:t>Liability component</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8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880" w:type="dxa"/>
            <w:vAlign w:val="bottom"/>
            <w:tcBorders>
              <w:bottom w:val="single" w:sz="8" w:color="CCEEFF"/>
            </w:tcBorders>
            <w:shd w:val="clear" w:color="auto" w:fill="CCEEFF"/>
          </w:tcPr>
          <w:p>
            <w:pPr>
              <w:jc w:val="right"/>
              <w:ind w:right="704"/>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105,125</w:t>
            </w:r>
          </w:p>
        </w:tc>
      </w:tr>
      <w:tr>
        <w:trPr>
          <w:trHeight w:val="223"/>
        </w:trPr>
        <w:tc>
          <w:tcPr>
            <w:tcW w:w="8740" w:type="dxa"/>
            <w:vAlign w:val="bottom"/>
          </w:tcPr>
          <w:p>
            <w:pPr>
              <w:ind w:left="20"/>
              <w:spacing w:after="0"/>
              <w:rPr>
                <w:sz w:val="20"/>
                <w:szCs w:val="20"/>
                <w:color w:val="auto"/>
              </w:rPr>
            </w:pPr>
            <w:r>
              <w:rPr>
                <w:rFonts w:ascii="Arial" w:cs="Arial" w:eastAsia="Arial" w:hAnsi="Arial"/>
                <w:sz w:val="16"/>
                <w:szCs w:val="16"/>
                <w:color w:val="auto"/>
              </w:rPr>
              <w:t>Less: unamortized debt discount and issuance costs</w:t>
            </w:r>
          </w:p>
        </w:tc>
        <w:tc>
          <w:tcPr>
            <w:tcW w:w="8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1060" w:type="dxa"/>
            <w:vAlign w:val="bottom"/>
          </w:tcPr>
          <w:p>
            <w:pPr>
              <w:jc w:val="right"/>
              <w:ind w:right="23"/>
              <w:spacing w:after="0"/>
              <w:rPr>
                <w:sz w:val="20"/>
                <w:szCs w:val="20"/>
                <w:color w:val="auto"/>
              </w:rPr>
            </w:pPr>
            <w:r>
              <w:rPr>
                <w:rFonts w:ascii="Arial" w:cs="Arial" w:eastAsia="Arial" w:hAnsi="Arial"/>
                <w:sz w:val="16"/>
                <w:szCs w:val="16"/>
                <w:color w:val="auto"/>
              </w:rPr>
              <w:t>(3,791)</w:t>
            </w:r>
          </w:p>
        </w:tc>
      </w:tr>
      <w:tr>
        <w:trPr>
          <w:trHeight w:val="33"/>
        </w:trPr>
        <w:tc>
          <w:tcPr>
            <w:tcW w:w="87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2"/>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101,334</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405"/>
        <w:spacing w:after="0" w:line="235" w:lineRule="auto"/>
        <w:rPr>
          <w:sz w:val="20"/>
          <w:szCs w:val="20"/>
          <w:color w:val="auto"/>
        </w:rPr>
      </w:pPr>
      <w:r>
        <w:rPr>
          <w:rFonts w:ascii="Arial" w:cs="Arial" w:eastAsia="Arial" w:hAnsi="Arial"/>
          <w:sz w:val="18"/>
          <w:szCs w:val="18"/>
          <w:color w:val="auto"/>
        </w:rPr>
        <w:t>The effective interest rate on the liability component of the 2022 Notes was 12.89% for the six months ended June 30, 2020. The following table sets forth total interest expense recognized related to the 2022 Notes (in thousands):</w:t>
      </w:r>
    </w:p>
    <w:tbl>
      <w:tblPr>
        <w:tblLayout w:type="fixed"/>
        <w:tblInd w:w="0" w:type="dxa"/>
        <w:tblCellMar>
          <w:top w:w="0" w:type="dxa"/>
          <w:left w:w="0" w:type="dxa"/>
          <w:bottom w:w="0" w:type="dxa"/>
          <w:right w:w="0" w:type="dxa"/>
        </w:tblCellMar>
      </w:tblPr>
      <w:tr>
        <w:trPr>
          <w:trHeight w:val="153"/>
        </w:trPr>
        <w:tc>
          <w:tcPr>
            <w:tcW w:w="6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0" w:type="dxa"/>
            <w:vAlign w:val="bottom"/>
            <w:gridSpan w:val="5"/>
          </w:tcPr>
          <w:p>
            <w:pPr>
              <w:ind w:left="360"/>
              <w:spacing w:after="0" w:line="153" w:lineRule="exact"/>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3"/>
                <w:szCs w:val="13"/>
                <w:color w:val="auto"/>
              </w:rPr>
            </w:pPr>
          </w:p>
        </w:tc>
        <w:tc>
          <w:tcPr>
            <w:tcW w:w="2220" w:type="dxa"/>
            <w:vAlign w:val="bottom"/>
            <w:gridSpan w:val="4"/>
          </w:tcPr>
          <w:p>
            <w:pPr>
              <w:jc w:val="right"/>
              <w:ind w:right="601"/>
              <w:spacing w:after="0" w:line="153" w:lineRule="exact"/>
              <w:rPr>
                <w:sz w:val="20"/>
                <w:szCs w:val="20"/>
                <w:color w:val="auto"/>
              </w:rPr>
            </w:pPr>
            <w:r>
              <w:rPr>
                <w:rFonts w:ascii="Arial" w:cs="Arial" w:eastAsia="Arial" w:hAnsi="Arial"/>
                <w:sz w:val="14"/>
                <w:szCs w:val="14"/>
                <w:b w:val="1"/>
                <w:bCs w:val="1"/>
                <w:color w:val="auto"/>
              </w:rPr>
              <w:t>Six Months Ended</w:t>
            </w:r>
          </w:p>
        </w:tc>
      </w:tr>
      <w:tr>
        <w:trPr>
          <w:trHeight w:val="192"/>
        </w:trPr>
        <w:tc>
          <w:tcPr>
            <w:tcW w:w="6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96"/>
        </w:trPr>
        <w:tc>
          <w:tcPr>
            <w:tcW w:w="60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r>
      <w:tr>
        <w:trPr>
          <w:trHeight w:val="236"/>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286</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1,445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768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2,891</w:t>
            </w:r>
          </w:p>
        </w:tc>
      </w:tr>
      <w:tr>
        <w:trPr>
          <w:trHeight w:val="224"/>
        </w:trPr>
        <w:tc>
          <w:tcPr>
            <w:tcW w:w="6060" w:type="dxa"/>
            <w:vAlign w:val="bottom"/>
          </w:tcPr>
          <w:p>
            <w:pPr>
              <w:ind w:left="20"/>
              <w:spacing w:after="0"/>
              <w:rPr>
                <w:sz w:val="20"/>
                <w:szCs w:val="20"/>
                <w:color w:val="auto"/>
              </w:rPr>
            </w:pPr>
            <w:r>
              <w:rPr>
                <w:rFonts w:ascii="Arial" w:cs="Arial" w:eastAsia="Arial" w:hAnsi="Arial"/>
                <w:sz w:val="16"/>
                <w:szCs w:val="16"/>
                <w:color w:val="auto"/>
              </w:rPr>
              <w:t>Amortization of debt discount</w:t>
            </w:r>
          </w:p>
        </w:tc>
        <w:tc>
          <w:tcPr>
            <w:tcW w:w="280" w:type="dxa"/>
            <w:vAlign w:val="bottom"/>
          </w:tcPr>
          <w:p>
            <w:pPr>
              <w:spacing w:after="0"/>
              <w:rPr>
                <w:sz w:val="19"/>
                <w:szCs w:val="19"/>
                <w:color w:val="auto"/>
              </w:rPr>
            </w:pPr>
          </w:p>
        </w:tc>
        <w:tc>
          <w:tcPr>
            <w:tcW w:w="940" w:type="dxa"/>
            <w:vAlign w:val="bottom"/>
          </w:tcPr>
          <w:p>
            <w:pPr>
              <w:jc w:val="right"/>
              <w:ind w:right="83"/>
              <w:spacing w:after="0"/>
              <w:rPr>
                <w:sz w:val="20"/>
                <w:szCs w:val="20"/>
                <w:color w:val="auto"/>
              </w:rPr>
            </w:pPr>
            <w:r>
              <w:rPr>
                <w:rFonts w:ascii="Arial" w:cs="Arial" w:eastAsia="Arial" w:hAnsi="Arial"/>
                <w:sz w:val="16"/>
                <w:szCs w:val="16"/>
                <w:color w:val="auto"/>
              </w:rPr>
              <w:t>700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1,955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63"/>
              <w:spacing w:after="0"/>
              <w:rPr>
                <w:sz w:val="20"/>
                <w:szCs w:val="20"/>
                <w:color w:val="auto"/>
              </w:rPr>
            </w:pPr>
            <w:r>
              <w:rPr>
                <w:rFonts w:ascii="Arial" w:cs="Arial" w:eastAsia="Arial" w:hAnsi="Arial"/>
                <w:sz w:val="16"/>
                <w:szCs w:val="16"/>
                <w:color w:val="auto"/>
              </w:rPr>
              <w:t>1,952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3,911</w:t>
            </w:r>
          </w:p>
        </w:tc>
      </w:tr>
      <w:tr>
        <w:trPr>
          <w:trHeight w:val="33"/>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39</w:t>
            </w:r>
          </w:p>
        </w:tc>
        <w:tc>
          <w:tcPr>
            <w:tcW w:w="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229</w:t>
            </w:r>
          </w:p>
        </w:tc>
      </w:tr>
      <w:tr>
        <w:trPr>
          <w:trHeight w:val="247"/>
        </w:trPr>
        <w:tc>
          <w:tcPr>
            <w:tcW w:w="6060" w:type="dxa"/>
            <w:vAlign w:val="bottom"/>
          </w:tcPr>
          <w:p>
            <w:pPr>
              <w:ind w:left="20"/>
              <w:spacing w:after="0"/>
              <w:rPr>
                <w:sz w:val="20"/>
                <w:szCs w:val="20"/>
                <w:color w:val="auto"/>
              </w:rPr>
            </w:pPr>
            <w:r>
              <w:rPr>
                <w:rFonts w:ascii="Arial" w:cs="Arial" w:eastAsia="Arial" w:hAnsi="Arial"/>
                <w:sz w:val="16"/>
                <w:szCs w:val="16"/>
                <w:color w:val="auto"/>
              </w:rPr>
              <w:t>Total interest expense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1,025</w:t>
            </w:r>
          </w:p>
        </w:tc>
        <w:tc>
          <w:tcPr>
            <w:tcW w:w="16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3,515</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6"/>
                <w:szCs w:val="16"/>
                <w:color w:val="auto"/>
              </w:rPr>
              <w:t>2,831</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7,031</w:t>
            </w:r>
          </w:p>
        </w:tc>
      </w:tr>
      <w:tr>
        <w:trPr>
          <w:trHeight w:val="24"/>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Novatel Wireless Notes</w:t>
      </w:r>
    </w:p>
    <w:p>
      <w:pPr>
        <w:spacing w:after="0" w:line="117" w:lineRule="exact"/>
        <w:rPr>
          <w:sz w:val="20"/>
          <w:szCs w:val="20"/>
          <w:color w:val="auto"/>
        </w:rPr>
      </w:pPr>
    </w:p>
    <w:p>
      <w:pPr>
        <w:ind w:right="40" w:firstLine="405"/>
        <w:spacing w:after="0" w:line="238" w:lineRule="auto"/>
        <w:rPr>
          <w:sz w:val="20"/>
          <w:szCs w:val="20"/>
          <w:color w:val="auto"/>
        </w:rPr>
      </w:pPr>
      <w:r>
        <w:rPr>
          <w:rFonts w:ascii="Arial" w:cs="Arial" w:eastAsia="Arial" w:hAnsi="Arial"/>
          <w:sz w:val="18"/>
          <w:szCs w:val="18"/>
          <w:color w:val="auto"/>
        </w:rPr>
        <w:t>On June 10, 2015, Novatel Wireless, Inc., a wholly owned subsidiary of Inseego Corp. (“Novatel Wireless”), issued $120.0 million of 5.50% convertible senior notes due 2020 (the “Novatel Wireless Notes”), which were governed by the terms of an indenture, dated June 10, 2015, between Novatel Wireless, as issuer, Inseego and Wilmington Trust, National Association, as trustee, as amended by certain supplemental indentures (the “Novatel Indenture”). On January 9, 2017, in connection with the settlement of an exchange offer and consent solicitation with respect to the Novatel Wireless Notes (the “Note Exchange”), approximately $119.8 million aggregate principal amount of outstanding Novatel Wireless Notes were validly tendered and accepted for exchange and subsequently canceled. In February 2020, the holders of the remaining $250,000 of the aggregate principal amount of Novatel Wireless Notes that remained outstanding following the Note Exchange, converted their Novatel Wireless Notes into 50,000 shares of Inseego Corp. common stock, at the conversion price of $5.00 per share, in accordance with the terms of the Novatel Indenture. Accordingly, no Novatel Wireless Notes were outstanding as of June 30,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Share-based Compensation</w:t>
      </w:r>
    </w:p>
    <w:p>
      <w:pPr>
        <w:spacing w:after="0" w:line="121" w:lineRule="exact"/>
        <w:rPr>
          <w:sz w:val="20"/>
          <w:szCs w:val="20"/>
          <w:color w:val="auto"/>
        </w:rPr>
      </w:pPr>
    </w:p>
    <w:p>
      <w:pPr>
        <w:ind w:right="760" w:firstLine="405"/>
        <w:spacing w:after="0" w:line="261" w:lineRule="auto"/>
        <w:rPr>
          <w:sz w:val="20"/>
          <w:szCs w:val="20"/>
          <w:color w:val="auto"/>
        </w:rPr>
      </w:pPr>
      <w:r>
        <w:rPr>
          <w:rFonts w:ascii="Arial" w:cs="Arial" w:eastAsia="Arial" w:hAnsi="Arial"/>
          <w:sz w:val="18"/>
          <w:szCs w:val="18"/>
          <w:color w:val="auto"/>
        </w:rPr>
        <w:t>The Company included the following amounts for share-based compensation awards in the unaudited condensed consolidated statements of operations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20" w:type="dxa"/>
            <w:vAlign w:val="bottom"/>
            <w:gridSpan w:val="4"/>
          </w:tcPr>
          <w:p>
            <w:pPr>
              <w:jc w:val="right"/>
              <w:ind w:right="54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250"/>
        </w:trPr>
        <w:tc>
          <w:tcPr>
            <w:tcW w:w="63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r>
      <w:tr>
        <w:trPr>
          <w:trHeight w:val="23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759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574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987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697</w:t>
            </w:r>
          </w:p>
        </w:tc>
      </w:tr>
      <w:tr>
        <w:trPr>
          <w:trHeight w:val="223"/>
        </w:trPr>
        <w:tc>
          <w:tcPr>
            <w:tcW w:w="638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spacing w:after="0"/>
              <w:rPr>
                <w:sz w:val="19"/>
                <w:szCs w:val="19"/>
                <w:color w:val="auto"/>
              </w:rPr>
            </w:pPr>
          </w:p>
        </w:tc>
        <w:tc>
          <w:tcPr>
            <w:tcW w:w="880" w:type="dxa"/>
            <w:vAlign w:val="bottom"/>
          </w:tcPr>
          <w:p>
            <w:pPr>
              <w:jc w:val="right"/>
              <w:ind w:right="82"/>
              <w:spacing w:after="0"/>
              <w:rPr>
                <w:sz w:val="20"/>
                <w:szCs w:val="20"/>
                <w:color w:val="auto"/>
              </w:rPr>
            </w:pPr>
            <w:r>
              <w:rPr>
                <w:rFonts w:ascii="Arial" w:cs="Arial" w:eastAsia="Arial" w:hAnsi="Arial"/>
                <w:sz w:val="16"/>
                <w:szCs w:val="16"/>
                <w:color w:val="auto"/>
              </w:rPr>
              <w:t>1,510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81"/>
              <w:spacing w:after="0"/>
              <w:rPr>
                <w:sz w:val="20"/>
                <w:szCs w:val="20"/>
                <w:color w:val="auto"/>
              </w:rPr>
            </w:pPr>
            <w:r>
              <w:rPr>
                <w:rFonts w:ascii="Arial" w:cs="Arial" w:eastAsia="Arial" w:hAnsi="Arial"/>
                <w:sz w:val="16"/>
                <w:szCs w:val="16"/>
                <w:color w:val="auto"/>
              </w:rPr>
              <w:t>957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82"/>
              <w:spacing w:after="0"/>
              <w:rPr>
                <w:sz w:val="20"/>
                <w:szCs w:val="20"/>
                <w:color w:val="auto"/>
              </w:rPr>
            </w:pPr>
            <w:r>
              <w:rPr>
                <w:rFonts w:ascii="Arial" w:cs="Arial" w:eastAsia="Arial" w:hAnsi="Arial"/>
                <w:sz w:val="16"/>
                <w:szCs w:val="16"/>
                <w:color w:val="auto"/>
              </w:rPr>
              <w:t>1,802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1,132</w:t>
            </w:r>
          </w:p>
        </w:tc>
      </w:tr>
      <w:tr>
        <w:trPr>
          <w:trHeight w:val="33"/>
        </w:trPr>
        <w:tc>
          <w:tcPr>
            <w:tcW w:w="6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816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1,279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1,032</w:t>
            </w:r>
          </w:p>
        </w:tc>
      </w:tr>
      <w:tr>
        <w:trPr>
          <w:trHeight w:val="223"/>
        </w:trPr>
        <w:tc>
          <w:tcPr>
            <w:tcW w:w="638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spacing w:after="0"/>
              <w:rPr>
                <w:sz w:val="19"/>
                <w:szCs w:val="19"/>
                <w:color w:val="auto"/>
              </w:rPr>
            </w:pPr>
          </w:p>
        </w:tc>
        <w:tc>
          <w:tcPr>
            <w:tcW w:w="880" w:type="dxa"/>
            <w:vAlign w:val="bottom"/>
          </w:tcPr>
          <w:p>
            <w:pPr>
              <w:jc w:val="right"/>
              <w:ind w:right="82"/>
              <w:spacing w:after="0"/>
              <w:rPr>
                <w:sz w:val="20"/>
                <w:szCs w:val="20"/>
                <w:color w:val="auto"/>
              </w:rPr>
            </w:pPr>
            <w:r>
              <w:rPr>
                <w:rFonts w:ascii="Arial" w:cs="Arial" w:eastAsia="Arial" w:hAnsi="Arial"/>
                <w:sz w:val="16"/>
                <w:szCs w:val="16"/>
                <w:color w:val="auto"/>
              </w:rPr>
              <w:t>1,343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81"/>
              <w:spacing w:after="0"/>
              <w:rPr>
                <w:sz w:val="20"/>
                <w:szCs w:val="20"/>
                <w:color w:val="auto"/>
              </w:rPr>
            </w:pPr>
            <w:r>
              <w:rPr>
                <w:rFonts w:ascii="Arial" w:cs="Arial" w:eastAsia="Arial" w:hAnsi="Arial"/>
                <w:sz w:val="16"/>
                <w:szCs w:val="16"/>
                <w:color w:val="auto"/>
              </w:rPr>
              <w:t>1,296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82"/>
              <w:spacing w:after="0"/>
              <w:rPr>
                <w:sz w:val="20"/>
                <w:szCs w:val="20"/>
                <w:color w:val="auto"/>
              </w:rPr>
            </w:pPr>
            <w:r>
              <w:rPr>
                <w:rFonts w:ascii="Arial" w:cs="Arial" w:eastAsia="Arial" w:hAnsi="Arial"/>
                <w:sz w:val="16"/>
                <w:szCs w:val="16"/>
                <w:color w:val="auto"/>
              </w:rPr>
              <w:t>1,913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1,841</w:t>
            </w:r>
          </w:p>
        </w:tc>
      </w:tr>
      <w:tr>
        <w:trPr>
          <w:trHeight w:val="33"/>
        </w:trPr>
        <w:tc>
          <w:tcPr>
            <w:tcW w:w="6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75"/>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4,428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3,645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5,981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4,702</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 December 31, 2019</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9,044,304</w:t>
            </w:r>
          </w:p>
        </w:tc>
      </w:tr>
      <w:tr>
        <w:trPr>
          <w:trHeight w:val="224"/>
        </w:trPr>
        <w:tc>
          <w:tcPr>
            <w:tcW w:w="10080" w:type="dxa"/>
            <w:vAlign w:val="bottom"/>
          </w:tcPr>
          <w:p>
            <w:pPr>
              <w:ind w:left="220"/>
              <w:spacing w:after="0"/>
              <w:rPr>
                <w:sz w:val="20"/>
                <w:szCs w:val="20"/>
                <w:color w:val="auto"/>
              </w:rPr>
            </w:pPr>
            <w:r>
              <w:rPr>
                <w:rFonts w:ascii="Arial" w:cs="Arial" w:eastAsia="Arial" w:hAnsi="Arial"/>
                <w:sz w:val="16"/>
                <w:szCs w:val="16"/>
                <w:color w:val="auto"/>
              </w:rPr>
              <w:t>Granted</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1,209,500</w:t>
            </w:r>
          </w:p>
        </w:tc>
      </w:tr>
      <w:tr>
        <w:trPr>
          <w:trHeight w:val="33"/>
        </w:trPr>
        <w:tc>
          <w:tcPr>
            <w:tcW w:w="100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0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Exercised</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(442,193)</w:t>
            </w:r>
          </w:p>
        </w:tc>
      </w:tr>
      <w:tr>
        <w:trPr>
          <w:trHeight w:val="223"/>
        </w:trPr>
        <w:tc>
          <w:tcPr>
            <w:tcW w:w="10080" w:type="dxa"/>
            <w:vAlign w:val="bottom"/>
          </w:tcPr>
          <w:p>
            <w:pPr>
              <w:ind w:left="220"/>
              <w:spacing w:after="0"/>
              <w:rPr>
                <w:sz w:val="20"/>
                <w:szCs w:val="20"/>
                <w:color w:val="auto"/>
              </w:rPr>
            </w:pPr>
            <w:r>
              <w:rPr>
                <w:rFonts w:ascii="Arial" w:cs="Arial" w:eastAsia="Arial" w:hAnsi="Arial"/>
                <w:sz w:val="16"/>
                <w:szCs w:val="16"/>
                <w:color w:val="auto"/>
              </w:rPr>
              <w:t>Canceled</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(314,967)</w:t>
            </w:r>
          </w:p>
        </w:tc>
      </w:tr>
      <w:tr>
        <w:trPr>
          <w:trHeight w:val="33"/>
        </w:trPr>
        <w:tc>
          <w:tcPr>
            <w:tcW w:w="100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5"/>
        </w:trPr>
        <w:tc>
          <w:tcPr>
            <w:tcW w:w="10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 June 30, 2020</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9,496,644</w:t>
            </w:r>
          </w:p>
        </w:tc>
      </w:tr>
      <w:tr>
        <w:trPr>
          <w:trHeight w:val="20"/>
        </w:trPr>
        <w:tc>
          <w:tcPr>
            <w:tcW w:w="100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10080" w:type="dxa"/>
            <w:vAlign w:val="bottom"/>
          </w:tcPr>
          <w:p>
            <w:pPr>
              <w:ind w:left="20"/>
              <w:spacing w:after="0"/>
              <w:rPr>
                <w:sz w:val="20"/>
                <w:szCs w:val="20"/>
                <w:color w:val="auto"/>
              </w:rPr>
            </w:pPr>
            <w:r>
              <w:rPr>
                <w:rFonts w:ascii="Arial" w:cs="Arial" w:eastAsia="Arial" w:hAnsi="Arial"/>
                <w:sz w:val="16"/>
                <w:szCs w:val="16"/>
                <w:color w:val="auto"/>
              </w:rPr>
              <w:t>Exercisable — June 30, 2020</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3,990,056</w:t>
            </w:r>
          </w:p>
        </w:tc>
      </w:tr>
      <w:tr>
        <w:trPr>
          <w:trHeight w:val="23"/>
        </w:trPr>
        <w:tc>
          <w:tcPr>
            <w:tcW w:w="100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right="320" w:firstLine="405"/>
        <w:spacing w:after="0" w:line="261" w:lineRule="auto"/>
        <w:rPr>
          <w:sz w:val="20"/>
          <w:szCs w:val="20"/>
          <w:color w:val="auto"/>
        </w:rPr>
      </w:pPr>
      <w:r>
        <w:rPr>
          <w:rFonts w:ascii="Arial" w:cs="Arial" w:eastAsia="Arial" w:hAnsi="Arial"/>
          <w:sz w:val="18"/>
          <w:szCs w:val="18"/>
          <w:color w:val="auto"/>
        </w:rPr>
        <w:t>At June 30, 2020, total unrecognized compensation expense related to stock options was $12.3 million, which is expected to be recognized over a weighted-average period of 2.75 years.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Company’s restricted stock unit (“RSU”) activity: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 December 31, 2019</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400,315</w:t>
            </w:r>
          </w:p>
        </w:tc>
      </w:tr>
      <w:tr>
        <w:trPr>
          <w:trHeight w:val="224"/>
        </w:trPr>
        <w:tc>
          <w:tcPr>
            <w:tcW w:w="10080" w:type="dxa"/>
            <w:vAlign w:val="bottom"/>
          </w:tcPr>
          <w:p>
            <w:pPr>
              <w:ind w:left="220"/>
              <w:spacing w:after="0"/>
              <w:rPr>
                <w:sz w:val="20"/>
                <w:szCs w:val="20"/>
                <w:color w:val="auto"/>
              </w:rPr>
            </w:pPr>
            <w:r>
              <w:rPr>
                <w:rFonts w:ascii="Arial" w:cs="Arial" w:eastAsia="Arial" w:hAnsi="Arial"/>
                <w:sz w:val="16"/>
                <w:szCs w:val="16"/>
                <w:color w:val="auto"/>
              </w:rPr>
              <w:t>Granted</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315,137</w:t>
            </w:r>
          </w:p>
        </w:tc>
      </w:tr>
      <w:tr>
        <w:trPr>
          <w:trHeight w:val="33"/>
        </w:trPr>
        <w:tc>
          <w:tcPr>
            <w:tcW w:w="100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0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(465,269)</w:t>
            </w:r>
          </w:p>
        </w:tc>
      </w:tr>
      <w:tr>
        <w:trPr>
          <w:trHeight w:val="223"/>
        </w:trPr>
        <w:tc>
          <w:tcPr>
            <w:tcW w:w="10080" w:type="dxa"/>
            <w:vAlign w:val="bottom"/>
          </w:tcPr>
          <w:p>
            <w:pPr>
              <w:ind w:left="220"/>
              <w:spacing w:after="0"/>
              <w:rPr>
                <w:sz w:val="20"/>
                <w:szCs w:val="20"/>
                <w:color w:val="auto"/>
              </w:rPr>
            </w:pPr>
            <w:r>
              <w:rPr>
                <w:rFonts w:ascii="Arial" w:cs="Arial" w:eastAsia="Arial" w:hAnsi="Arial"/>
                <w:sz w:val="16"/>
                <w:szCs w:val="16"/>
                <w:color w:val="auto"/>
              </w:rPr>
              <w:t>Forfeited</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(1,250)</w:t>
            </w:r>
          </w:p>
        </w:tc>
      </w:tr>
      <w:tr>
        <w:trPr>
          <w:trHeight w:val="33"/>
        </w:trPr>
        <w:tc>
          <w:tcPr>
            <w:tcW w:w="100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2"/>
        </w:trPr>
        <w:tc>
          <w:tcPr>
            <w:tcW w:w="10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 June 30, 2020</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248,933</w:t>
            </w:r>
          </w:p>
        </w:tc>
      </w:tr>
      <w:tr>
        <w:trPr>
          <w:trHeight w:val="20"/>
        </w:trPr>
        <w:tc>
          <w:tcPr>
            <w:tcW w:w="100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firstLine="405"/>
        <w:spacing w:after="0" w:line="261" w:lineRule="auto"/>
        <w:rPr>
          <w:sz w:val="20"/>
          <w:szCs w:val="20"/>
          <w:color w:val="auto"/>
        </w:rPr>
      </w:pPr>
      <w:r>
        <w:rPr>
          <w:rFonts w:ascii="Arial" w:cs="Arial" w:eastAsia="Arial" w:hAnsi="Arial"/>
          <w:sz w:val="18"/>
          <w:szCs w:val="18"/>
          <w:color w:val="auto"/>
        </w:rPr>
        <w:t>At June 30, 2020, total unrecognized compensation expense related to RSUs was $0.6 million, which is expected to be recognized over a weighted-average period of 1.18 years.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2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Basic earnings per share (“EPS”) excludes dilution and is computed by dividing net income (loss) attributable to Inseego Corp.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primarily of the convertible notes calculated using the if-converted method and warrants, stock options and RSUs calculated using the treasury stock method) are excluded from the diluted EPS computation in loss periods and when the applicable exercise price is greater than the market price on the period end date as their effect would be anti-dilutive.</w:t>
      </w:r>
    </w:p>
    <w:p>
      <w:pPr>
        <w:spacing w:after="0" w:line="138"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For the three months ended June 30, 2020, the computation of diluted EPS excluded 26,644,726 shares related to the convertible notes, stock options and RSUs as their effect would have been anti-dilutive. For the six months ended June 30, 2020, the computation of diluted EPS excluded 26,662,410 shares primarily related to the convertible notes, warrants, stock options and RSUs as their effect would have been anti-dilutive.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Private Placements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58" w:lineRule="exact"/>
        <w:rPr>
          <w:sz w:val="20"/>
          <w:szCs w:val="20"/>
          <w:color w:val="auto"/>
        </w:rPr>
      </w:pPr>
    </w:p>
    <w:p>
      <w:pPr>
        <w:ind w:firstLine="405"/>
        <w:spacing w:after="0" w:line="271" w:lineRule="auto"/>
        <w:rPr>
          <w:sz w:val="20"/>
          <w:szCs w:val="20"/>
          <w:color w:val="auto"/>
        </w:rPr>
      </w:pPr>
      <w:r>
        <w:rPr>
          <w:rFonts w:ascii="Arial" w:cs="Arial" w:eastAsia="Arial" w:hAnsi="Arial"/>
          <w:sz w:val="16"/>
          <w:szCs w:val="16"/>
          <w:color w:val="auto"/>
        </w:rPr>
        <w:t>On August 6, 2018, the Company completed a private placement of 12,062,000 shares of common stock, par value $0.001 per share, and warrants to purchase an additional 4,221,700 shares of common stock (the “2018 Warrants”), subject to adjustment for stock splits, reverse stock splits, stock dividends and similar transactions, to certain accredited investors. On March 28, 2019, the 2018 Warrants were exercised at an exercise price of $2.52 per share, for aggregate cash proceeds to the Company of approximately $10.6 million. In connection with the exercise of the 2018 Warrants, on March 28, 2019, the Company issued additional warrants to purchase 2,500,000 shares of common stock (the “2019 Warrants”) to the accredited investors. Each 2019 Warrant has an initial exercise price of $7.00 per share, subject to adjustment for stock splits, reverse stock splits, stock dividends and similar transactions, will be exercisable at any time on or after September 28, 2019, and will expire on June 30, 2022. The 2019 Warrants may be exercisable on a cashless exercise basis if, and only if, the shares of common stock underlying such warrants cannot be immediately resold pursuant to an effective registration statement or Rule 144 of the Securities Act of 1933, as amended, without volume or manner of sale restrictions.</w:t>
      </w:r>
    </w:p>
    <w:p>
      <w:pPr>
        <w:spacing w:after="0" w:line="115" w:lineRule="exact"/>
        <w:rPr>
          <w:sz w:val="20"/>
          <w:szCs w:val="20"/>
          <w:color w:val="auto"/>
        </w:rPr>
      </w:pPr>
    </w:p>
    <w:p>
      <w:pPr>
        <w:ind w:right="300" w:firstLine="405"/>
        <w:spacing w:after="0" w:line="261" w:lineRule="auto"/>
        <w:rPr>
          <w:sz w:val="20"/>
          <w:szCs w:val="20"/>
          <w:color w:val="auto"/>
        </w:rPr>
      </w:pPr>
      <w:r>
        <w:rPr>
          <w:rFonts w:ascii="Arial" w:cs="Arial" w:eastAsia="Arial" w:hAnsi="Arial"/>
          <w:sz w:val="18"/>
          <w:szCs w:val="18"/>
          <w:color w:val="auto"/>
        </w:rPr>
        <w:t>During the first quarter of 2020, the Company received $1.9 million in net cash proceeds from the exercise of 338,454 of the Company’s common stock purchase warrants issued in 2015.</w:t>
      </w:r>
    </w:p>
    <w:p>
      <w:pPr>
        <w:sectPr>
          <w:pgSz w:w="11900" w:h="16838" w:orient="portrait"/>
          <w:cols w:equalWidth="0" w:num="1">
            <w:col w:w="11220"/>
          </w:cols>
          <w:pgMar w:left="320" w:top="607" w:right="359" w:bottom="1440" w:gutter="0" w:footer="0" w:header="0"/>
        </w:sect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00" w:firstLine="405"/>
        <w:spacing w:after="0" w:line="261" w:lineRule="auto"/>
        <w:rPr>
          <w:sz w:val="20"/>
          <w:szCs w:val="20"/>
          <w:color w:val="auto"/>
        </w:rPr>
      </w:pPr>
      <w:r>
        <w:rPr>
          <w:rFonts w:ascii="Arial" w:cs="Arial" w:eastAsia="Arial" w:hAnsi="Arial"/>
          <w:sz w:val="18"/>
          <w:szCs w:val="18"/>
          <w:color w:val="auto"/>
        </w:rPr>
        <w:t>The Company assessed the terms of the warrants under ASC 815. Pursuant to this guidance, the Company has determined that the warrants do not require liability accounting and has classified the warrants as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58" w:lineRule="exact"/>
        <w:rPr>
          <w:sz w:val="20"/>
          <w:szCs w:val="20"/>
          <w:color w:val="auto"/>
        </w:rPr>
      </w:pPr>
    </w:p>
    <w:p>
      <w:pPr>
        <w:ind w:firstLine="405"/>
        <w:spacing w:after="0" w:line="268" w:lineRule="auto"/>
        <w:rPr>
          <w:sz w:val="20"/>
          <w:szCs w:val="20"/>
          <w:color w:val="auto"/>
        </w:rPr>
      </w:pPr>
      <w:r>
        <w:rPr>
          <w:rFonts w:ascii="Arial" w:cs="Arial" w:eastAsia="Arial" w:hAnsi="Arial"/>
          <w:sz w:val="16"/>
          <w:szCs w:val="16"/>
          <w:color w:val="auto"/>
        </w:rPr>
        <w:t>On August 9, 2019, the Company completed a private placement of 10,000 shares of Series E Preferred Stock for an aggregate purchase price of $10.0 million in accordance with the terms and provisions of a Securities Purchase Agreement, dated August 9, 2019, by and among the Company and certain accredited investors. Each share of Series E Preferred Stock entitles the holder thereof to receive, when, as and if declared by the Company out of assets legally available therefor, cumulative cash dividends at an annual rate of 9.00% payable quarterly in arrears on January 1, April 1, July 1 and October 1 of each year, beginning on October 1, 2019. If dividends are not declared and paid in any quarter, or if such dividends are declared but holders of the Series E Preferred Stock elect not to receive them in cash, the quarterly dividend will be deemed to accrue and will be added to the Series E Base Amount. The Series E Preferred Stock has no voting rights unless otherwise required by law. The Series E Preferred Stock is perpetual and has no maturity date. However, the Company may, at its option, redeem shares of the Series E Preferred Stock, in whole or in part, on or after July 1, 2022, at a price equal to 110% of the Series E Base Amount plus (without duplication) any accrued and unpaid dividends. The “Series E Base Amount” means $1,000 per share, plus any accrued but unpaid dividends, whether or not declared by the Company’s board of directors, subject to appropriate adjustment in the event of any stock dividend, stock split, combination or other similar recapitalization with respect to the Series E Preferred Stock. In the event of a liquidation, dissolution or winding up of the Company, the holders of the Series E Preferred Stock will be entitled to receive, after satisfaction of liabilities to creditors and subject to the rights of holders of any senior securities, but before any distribution of assets is made to holders of common stock or any other junior securities, the Series E Base Amount plus (without duplication) any accrued and unpaid dividends.</w:t>
      </w:r>
    </w:p>
    <w:p>
      <w:pPr>
        <w:spacing w:after="0" w:line="121" w:lineRule="exact"/>
        <w:rPr>
          <w:sz w:val="20"/>
          <w:szCs w:val="20"/>
          <w:color w:val="auto"/>
        </w:rPr>
      </w:pPr>
    </w:p>
    <w:p>
      <w:pPr>
        <w:ind w:right="340" w:firstLine="405"/>
        <w:spacing w:after="0" w:line="261" w:lineRule="auto"/>
        <w:rPr>
          <w:sz w:val="20"/>
          <w:szCs w:val="20"/>
          <w:color w:val="auto"/>
        </w:rPr>
      </w:pPr>
      <w:r>
        <w:rPr>
          <w:rFonts w:ascii="Arial" w:cs="Arial" w:eastAsia="Arial" w:hAnsi="Arial"/>
          <w:sz w:val="18"/>
          <w:szCs w:val="18"/>
          <w:color w:val="auto"/>
        </w:rPr>
        <w:t>On March 6, 2020, the Company issued and sold an additional 25,000 shares of Series E Preferred Stock for an aggregate purchase price of $25.0 million. The terms of the Series E Preferred Stock are consistent with the terms described above.</w:t>
      </w:r>
    </w:p>
    <w:p>
      <w:pPr>
        <w:spacing w:after="0" w:line="117" w:lineRule="exact"/>
        <w:rPr>
          <w:sz w:val="20"/>
          <w:szCs w:val="20"/>
          <w:color w:val="auto"/>
        </w:rPr>
      </w:pPr>
    </w:p>
    <w:p>
      <w:pPr>
        <w:ind w:right="680" w:firstLine="405"/>
        <w:spacing w:after="0" w:line="261" w:lineRule="auto"/>
        <w:rPr>
          <w:sz w:val="20"/>
          <w:szCs w:val="20"/>
          <w:color w:val="auto"/>
        </w:rPr>
      </w:pPr>
      <w:r>
        <w:rPr>
          <w:rFonts w:ascii="Arial" w:cs="Arial" w:eastAsia="Arial" w:hAnsi="Arial"/>
          <w:sz w:val="18"/>
          <w:szCs w:val="18"/>
          <w:color w:val="auto"/>
        </w:rPr>
        <w:t>On March 31, 2020, Inseego Corp. issued 2,330 shares of Series E Preferred Stock to South Ocean, in satisfaction of certain deferred interest obligations pursuant to the terms and conditions of the Credit Agreement.</w:t>
      </w:r>
    </w:p>
    <w:p>
      <w:pPr>
        <w:spacing w:after="0" w:line="198" w:lineRule="exact"/>
        <w:rPr>
          <w:sz w:val="20"/>
          <w:szCs w:val="20"/>
          <w:color w:val="auto"/>
        </w:rPr>
      </w:pPr>
    </w:p>
    <w:p>
      <w:pPr>
        <w:ind w:right="220" w:firstLine="405"/>
        <w:spacing w:after="0" w:line="261" w:lineRule="auto"/>
        <w:rPr>
          <w:sz w:val="20"/>
          <w:szCs w:val="20"/>
          <w:color w:val="auto"/>
        </w:rPr>
      </w:pPr>
      <w:r>
        <w:rPr>
          <w:rFonts w:ascii="Arial" w:cs="Arial" w:eastAsia="Arial" w:hAnsi="Arial"/>
          <w:sz w:val="18"/>
          <w:szCs w:val="18"/>
          <w:color w:val="auto"/>
        </w:rPr>
        <w:t>On May 12, 2020, the Company used a portion of the proceeds from the Offering to repurchase the 2,330 shares of Series E Preferred Stock, which had been issued to satisfy accrued interest under the Credit Agreement, for $2.4 million.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Geographic Information and Concentrations of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the Company’s net revenues by geographic region based on shipping destination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10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96"/>
        </w:trPr>
        <w:tc>
          <w:tcPr>
            <w:tcW w:w="64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r>
      <w:tr>
        <w:trPr>
          <w:trHeight w:val="236"/>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 and Canada</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69,080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41,459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111,430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74,953</w:t>
            </w:r>
          </w:p>
        </w:tc>
      </w:tr>
      <w:tr>
        <w:trPr>
          <w:trHeight w:val="223"/>
        </w:trPr>
        <w:tc>
          <w:tcPr>
            <w:tcW w:w="6440" w:type="dxa"/>
            <w:vAlign w:val="bottom"/>
          </w:tcPr>
          <w:p>
            <w:pPr>
              <w:ind w:left="20"/>
              <w:spacing w:after="0"/>
              <w:rPr>
                <w:sz w:val="20"/>
                <w:szCs w:val="20"/>
                <w:color w:val="auto"/>
              </w:rPr>
            </w:pPr>
            <w:r>
              <w:rPr>
                <w:rFonts w:ascii="Arial" w:cs="Arial" w:eastAsia="Arial" w:hAnsi="Arial"/>
                <w:sz w:val="16"/>
                <w:szCs w:val="16"/>
                <w:color w:val="auto"/>
              </w:rPr>
              <w:t>South Africa</w:t>
            </w:r>
          </w:p>
        </w:tc>
        <w:tc>
          <w:tcPr>
            <w:tcW w:w="260" w:type="dxa"/>
            <w:vAlign w:val="bottom"/>
          </w:tcPr>
          <w:p>
            <w:pPr>
              <w:spacing w:after="0"/>
              <w:rPr>
                <w:sz w:val="19"/>
                <w:szCs w:val="19"/>
                <w:color w:val="auto"/>
              </w:rPr>
            </w:pPr>
          </w:p>
        </w:tc>
        <w:tc>
          <w:tcPr>
            <w:tcW w:w="860" w:type="dxa"/>
            <w:vAlign w:val="bottom"/>
          </w:tcPr>
          <w:p>
            <w:pPr>
              <w:jc w:val="right"/>
              <w:ind w:right="83"/>
              <w:spacing w:after="0"/>
              <w:rPr>
                <w:sz w:val="20"/>
                <w:szCs w:val="20"/>
                <w:color w:val="auto"/>
              </w:rPr>
            </w:pPr>
            <w:r>
              <w:rPr>
                <w:rFonts w:ascii="Arial" w:cs="Arial" w:eastAsia="Arial" w:hAnsi="Arial"/>
                <w:sz w:val="16"/>
                <w:szCs w:val="16"/>
                <w:color w:val="auto"/>
              </w:rPr>
              <w:t>5,856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8,558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83"/>
              <w:spacing w:after="0"/>
              <w:rPr>
                <w:sz w:val="20"/>
                <w:szCs w:val="20"/>
                <w:color w:val="auto"/>
              </w:rPr>
            </w:pPr>
            <w:r>
              <w:rPr>
                <w:rFonts w:ascii="Arial" w:cs="Arial" w:eastAsia="Arial" w:hAnsi="Arial"/>
                <w:sz w:val="16"/>
                <w:szCs w:val="16"/>
                <w:color w:val="auto"/>
              </w:rPr>
              <w:t>14,094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16,927</w:t>
            </w:r>
          </w:p>
        </w:tc>
      </w:tr>
      <w:tr>
        <w:trPr>
          <w:trHeight w:val="33"/>
        </w:trPr>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6"/>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5,753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5,874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12,005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12,567</w:t>
            </w:r>
          </w:p>
        </w:tc>
      </w:tr>
      <w:tr>
        <w:trPr>
          <w:trHeight w:val="247"/>
        </w:trPr>
        <w:tc>
          <w:tcPr>
            <w:tcW w:w="6440" w:type="dxa"/>
            <w:vAlign w:val="bottom"/>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80,689</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55,891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137,529</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104,447</w:t>
            </w:r>
          </w:p>
        </w:tc>
      </w:tr>
      <w:tr>
        <w:trPr>
          <w:trHeight w:val="24"/>
        </w:trPr>
        <w:tc>
          <w:tcPr>
            <w:tcW w:w="6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Risk</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June 30, 2020 and 2019, one customer accounted for 55.6% and 56.0% of net revenues, respectively.</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six months ended June 30, 2020 and 2019, one customer accounted for 54.7% and 54.7% of net revenues, respectively.</w:t>
      </w:r>
    </w:p>
    <w:p>
      <w:pPr>
        <w:spacing w:after="0" w:line="104" w:lineRule="exact"/>
        <w:rPr>
          <w:sz w:val="20"/>
          <w:szCs w:val="20"/>
          <w:color w:val="auto"/>
        </w:rPr>
      </w:pPr>
    </w:p>
    <w:p>
      <w:pPr>
        <w:ind w:right="340" w:firstLine="445"/>
        <w:spacing w:after="0" w:line="261" w:lineRule="auto"/>
        <w:rPr>
          <w:sz w:val="20"/>
          <w:szCs w:val="20"/>
          <w:color w:val="auto"/>
        </w:rPr>
      </w:pPr>
      <w:r>
        <w:rPr>
          <w:rFonts w:ascii="Arial" w:cs="Arial" w:eastAsia="Arial" w:hAnsi="Arial"/>
          <w:sz w:val="18"/>
          <w:szCs w:val="18"/>
          <w:color w:val="auto"/>
        </w:rPr>
        <w:t>As of June 30, 2020, three customers accounted for 44.3%, 6.0% and 5.3% of accounts receivable, net. As of December 31, 2019, two customers accounted for 25.0% and 11.2% of accounts receivable, net, respectively.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w:t>
      </w:r>
    </w:p>
    <w:p>
      <w:pPr>
        <w:spacing w:after="0" w:line="158" w:lineRule="exact"/>
        <w:rPr>
          <w:sz w:val="20"/>
          <w:szCs w:val="20"/>
          <w:color w:val="auto"/>
        </w:rPr>
      </w:pPr>
    </w:p>
    <w:p>
      <w:pPr>
        <w:ind w:right="60" w:firstLine="405"/>
        <w:spacing w:after="0" w:line="279" w:lineRule="auto"/>
        <w:rPr>
          <w:sz w:val="20"/>
          <w:szCs w:val="20"/>
          <w:color w:val="auto"/>
        </w:rPr>
      </w:pPr>
      <w:r>
        <w:rPr>
          <w:rFonts w:ascii="Arial" w:cs="Arial" w:eastAsia="Arial" w:hAnsi="Arial"/>
          <w:sz w:val="16"/>
          <w:szCs w:val="16"/>
          <w:color w:val="auto"/>
        </w:rPr>
        <w:t>The Company is, from time to time, party to various legal proceedings arising in the ordinary course of business. For example, the Company is currently named as a defendant or co-defendant in some patent infringement lawsuits in the U.S. and may be required to indirectly participate in other U.S. patent infringement actions pursuant to its contractual indemnification obligations to certain customers. Based on an evaluation of these matters and discussions with the Company’s intellectual property litigation counsel, the Company currently believes that liabilities arising from or sums paid in settlement of these existing matters, if any, would not have a material adverse effect on its consolidated results of operations or financial condition.</w:t>
      </w:r>
    </w:p>
    <w:p>
      <w:pPr>
        <w:spacing w:after="0" w:line="105" w:lineRule="exact"/>
        <w:rPr>
          <w:sz w:val="20"/>
          <w:szCs w:val="20"/>
          <w:color w:val="auto"/>
        </w:rPr>
      </w:pPr>
    </w:p>
    <w:p>
      <w:pPr>
        <w:ind w:right="40" w:firstLine="405"/>
        <w:spacing w:after="0" w:line="268" w:lineRule="auto"/>
        <w:rPr>
          <w:sz w:val="20"/>
          <w:szCs w:val="20"/>
          <w:color w:val="auto"/>
        </w:rPr>
      </w:pPr>
      <w:r>
        <w:rPr>
          <w:rFonts w:ascii="Arial" w:cs="Arial" w:eastAsia="Arial" w:hAnsi="Arial"/>
          <w:sz w:val="16"/>
          <w:szCs w:val="16"/>
          <w:color w:val="auto"/>
        </w:rPr>
        <w:t>On May 11, 2017, the Company initiated a lawsuit against the former stockholders of RER in the Court of Chancery of the State of Delaware seeking recovery of damages for civil conspiracy, fraud in the inducement, unjust enrichment and breach of fiduciary duty. On January 16, 2018, the former stockholders of RER filed an answer and counterclaim in the matter seeking recovery of certain deferred and earn-out payments allegedly owed to them by the Company in connection with the Company’s acquisition of RER. On July 26, 2018, the Company and the former stockholders of RER entered into a mutual general release and settlement agreement (the “Settlement Agreement”) pursuant to which the parties agreed to release all claims against each other and the Company agreed to (i) pay the former stockholders of RER $1.0 million in cash by August 17, 2018, (ii) immediately instruct its transfer agent to permit the transfer or sale of 973,333 shares of the Company’s common stock that the Company had issued to the former stockholders of RER in March 2017, (iii) immediately issue 500,000 shares of the Company’s common stock to the former stockholders of RER, (iv) within 12 months following the execution of the Settlement Agreement, deliver to the former stockholders of RER an additional $1.0 million in cash, common stock, or a combination thereof, at the Company’s option, (v) within 24 months following the execution of the Settlement Agreement deliver to the former stockholders of RER an additional $1.0 million in cash, common stock, or a combination thereof, at the Company’s option, and (vi) file one or more registration statements with respect to the resale of the shares of the Company’s common stock issued to the former stockholders of RER pursuant to the Settlement Agreement. The Company’s remaining liability under the Settlement Agreement at June 30, 2020 consists of approximately $1.0 million in current liabilities. On July 24, 2020, the Company issued 89,928 shares in satisfaction of the $1.0 million liability.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158" w:lineRule="exact"/>
        <w:rPr>
          <w:sz w:val="20"/>
          <w:szCs w:val="20"/>
          <w:color w:val="auto"/>
        </w:rPr>
      </w:pPr>
    </w:p>
    <w:p>
      <w:pPr>
        <w:ind w:firstLine="405"/>
        <w:spacing w:after="0" w:line="262" w:lineRule="auto"/>
        <w:rPr>
          <w:sz w:val="20"/>
          <w:szCs w:val="20"/>
          <w:color w:val="auto"/>
        </w:rPr>
      </w:pPr>
      <w:r>
        <w:rPr>
          <w:rFonts w:ascii="Arial" w:cs="Arial" w:eastAsia="Arial" w:hAnsi="Arial"/>
          <w:sz w:val="17"/>
          <w:szCs w:val="17"/>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consolidated results of operations or financial condition.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w:t>
      </w:r>
    </w:p>
    <w:p>
      <w:pPr>
        <w:spacing w:after="0" w:line="158" w:lineRule="exact"/>
        <w:rPr>
          <w:sz w:val="20"/>
          <w:szCs w:val="20"/>
          <w:color w:val="auto"/>
        </w:rPr>
      </w:pPr>
    </w:p>
    <w:p>
      <w:pPr>
        <w:ind w:firstLine="405"/>
        <w:spacing w:after="0" w:line="274" w:lineRule="auto"/>
        <w:rPr>
          <w:sz w:val="20"/>
          <w:szCs w:val="20"/>
          <w:color w:val="auto"/>
        </w:rPr>
      </w:pPr>
      <w:r>
        <w:rPr>
          <w:rFonts w:ascii="Arial" w:cs="Arial" w:eastAsia="Arial" w:hAnsi="Arial"/>
          <w:sz w:val="16"/>
          <w:szCs w:val="16"/>
          <w:color w:val="auto"/>
        </w:rPr>
        <w:t>The Company is a lessee in lease agreements for office space, automobiles and certain equipment. Certain of the Company’s leases contain provisions that provide for one or more options to renew at the Company’s sole discretion. The majority of the Company’s leases are comprised of fixed lease payments, with a small percentage of its real estate leases including lease payments subject to a rate or index which may be variable. Certain real estate leases also include executory costs such as common area maintenance (non-lease component). As a practical expedient permitted under the new guidance, ASC 842, the Company has elected to account for the lease and non-lease components as a single lease component. Lease payments, which may include lease components and non-lease components, are included in the measurement of the Company’s lease liabilities to the extent that such payments are either fixed amounts or variable amounts based on a rate or index (fixed in substance) as stipulated in the lease contract.</w:t>
      </w:r>
    </w:p>
    <w:p>
      <w:pPr>
        <w:spacing w:after="0" w:line="109" w:lineRule="exact"/>
        <w:rPr>
          <w:sz w:val="20"/>
          <w:szCs w:val="20"/>
          <w:color w:val="auto"/>
        </w:rPr>
      </w:pPr>
    </w:p>
    <w:p>
      <w:pPr>
        <w:ind w:right="80" w:firstLine="405"/>
        <w:spacing w:after="0"/>
        <w:rPr>
          <w:sz w:val="20"/>
          <w:szCs w:val="20"/>
          <w:color w:val="auto"/>
        </w:rPr>
      </w:pPr>
      <w:r>
        <w:rPr>
          <w:rFonts w:ascii="Arial" w:cs="Arial" w:eastAsia="Arial" w:hAnsi="Arial"/>
          <w:sz w:val="18"/>
          <w:szCs w:val="18"/>
          <w:color w:val="auto"/>
        </w:rPr>
        <w:t>None of the Company’s lease agreements contain any material residual value guarantees or material restrictive covenants. As a result of the Company’s election of the package of practical expedients permitted within ASC 842, which among other things, allows for the carryforward of historical lease classification, all of the Company’s lease agreements in existence at the date of adoption that were classified as operating leases under the legacy guidance, ASC 840, have been classified as operating leases under ASC 842. Lease expense for payments related to the Company’s operating leases is recognized on a straight-line basis over the related lease term, which includes options to extend or terminate the lease when it is reasonably certain that the Company will exercise that option.</w:t>
      </w:r>
    </w:p>
    <w:p>
      <w:pPr>
        <w:spacing w:after="0" w:line="135" w:lineRule="exact"/>
        <w:rPr>
          <w:sz w:val="20"/>
          <w:szCs w:val="20"/>
          <w:color w:val="auto"/>
        </w:rPr>
      </w:pPr>
    </w:p>
    <w:p>
      <w:pPr>
        <w:ind w:right="500" w:firstLine="405"/>
        <w:spacing w:after="0" w:line="261" w:lineRule="auto"/>
        <w:rPr>
          <w:sz w:val="20"/>
          <w:szCs w:val="20"/>
          <w:color w:val="auto"/>
        </w:rPr>
      </w:pPr>
      <w:r>
        <w:rPr>
          <w:rFonts w:ascii="Arial" w:cs="Arial" w:eastAsia="Arial" w:hAnsi="Arial"/>
          <w:sz w:val="18"/>
          <w:szCs w:val="18"/>
          <w:color w:val="auto"/>
        </w:rPr>
        <w:t>Right-of-use assets represent the Company’s right to use an underlying asset during the lease term and lease liabilities represent the Company’s obligation to make lease payments as specified in the lease. Right-of-use assets and lease liabilities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related to the Company’s operating leases are recognized at the lease commencement date based on the present value of the remaining lease payments over the lease term. When the Company’s leases do not provide an implicit rate, the Company uses its incremental borrowing rate based on the information available surrounding the Company’s borrowing rates at the lease commencement date in determining the present value of lease payments. The right-of-use asset also includes any lease payments made at or before lease commencement less any lease incentives. As of June 30, 2020, the Company had right-of-use assets of $6.2 million and lease liabilities related to its operating leases of $6.8 million. Right-of-use assets are included in right-of-use assets, net, on the condensed consolidated balance sheet and lease liabilities related to the Company’s operating leases are included in accrued expenses and other liabilities and other long-term liabilities on the condensed consolidated balance sheet. As of June 30, 2020, the Company’s weighted-average remaining lease term and weighted-average discount rate related to its operating leases were 5.7 years and 9.2%, respectively.</w:t>
      </w:r>
    </w:p>
    <w:p>
      <w:pPr>
        <w:spacing w:after="0" w:line="114" w:lineRule="exact"/>
        <w:rPr>
          <w:sz w:val="20"/>
          <w:szCs w:val="20"/>
          <w:color w:val="auto"/>
        </w:rPr>
      </w:pPr>
    </w:p>
    <w:p>
      <w:pPr>
        <w:ind w:firstLine="405"/>
        <w:spacing w:after="0" w:line="257" w:lineRule="auto"/>
        <w:rPr>
          <w:sz w:val="20"/>
          <w:szCs w:val="20"/>
          <w:color w:val="auto"/>
        </w:rPr>
      </w:pPr>
      <w:r>
        <w:rPr>
          <w:rFonts w:ascii="Arial" w:cs="Arial" w:eastAsia="Arial" w:hAnsi="Arial"/>
          <w:sz w:val="17"/>
          <w:szCs w:val="17"/>
          <w:color w:val="auto"/>
        </w:rPr>
        <w:t>During the six months ended June 30, 2020 and 2019, the cash paid for amounts included in the measurement of lease liabilities related to the Company’s operating leases was approximately $0.3 million and $0.5 million, respectively, which is included as an operating cash outflow within the consolidated statements of cash flows. During the six months ended June 30, 2020 and 2019, the operating lease costs related to the Company’s operating leases were approximately $0.4 million and $0.4 million, respectively, which is included in operating costs and expenses in the condensed consolidated statements of operations. During the three months ended June 30, 2020, the Company entered into a lease agreement for its new corporate offices for which a right-of-use asset was recorded in exchange for a new lease liability.</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future minimum payments under operating leases were as follows at June 30, 2020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 (remainder)</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854</w:t>
            </w:r>
          </w:p>
        </w:tc>
      </w:tr>
      <w:tr>
        <w:trPr>
          <w:trHeight w:val="223"/>
        </w:trPr>
        <w:tc>
          <w:tcPr>
            <w:tcW w:w="9780" w:type="dxa"/>
            <w:vAlign w:val="bottom"/>
          </w:tcPr>
          <w:p>
            <w:pPr>
              <w:ind w:left="20"/>
              <w:spacing w:after="0"/>
              <w:rPr>
                <w:sz w:val="20"/>
                <w:szCs w:val="20"/>
                <w:color w:val="auto"/>
              </w:rPr>
            </w:pPr>
            <w:r>
              <w:rPr>
                <w:rFonts w:ascii="Arial" w:cs="Arial" w:eastAsia="Arial" w:hAnsi="Arial"/>
                <w:sz w:val="16"/>
                <w:szCs w:val="16"/>
                <w:color w:val="auto"/>
              </w:rPr>
              <w:t>2021</w:t>
            </w:r>
          </w:p>
        </w:tc>
        <w:tc>
          <w:tcPr>
            <w:tcW w:w="48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1,772</w:t>
            </w:r>
          </w:p>
        </w:tc>
      </w:tr>
      <w:tr>
        <w:trPr>
          <w:trHeight w:val="33"/>
        </w:trPr>
        <w:tc>
          <w:tcPr>
            <w:tcW w:w="9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4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1,511</w:t>
            </w:r>
          </w:p>
        </w:tc>
      </w:tr>
      <w:tr>
        <w:trPr>
          <w:trHeight w:val="224"/>
        </w:trPr>
        <w:tc>
          <w:tcPr>
            <w:tcW w:w="9780" w:type="dxa"/>
            <w:vAlign w:val="bottom"/>
          </w:tcPr>
          <w:p>
            <w:pPr>
              <w:ind w:left="20"/>
              <w:spacing w:after="0"/>
              <w:rPr>
                <w:sz w:val="20"/>
                <w:szCs w:val="20"/>
                <w:color w:val="auto"/>
              </w:rPr>
            </w:pPr>
            <w:r>
              <w:rPr>
                <w:rFonts w:ascii="Arial" w:cs="Arial" w:eastAsia="Arial" w:hAnsi="Arial"/>
                <w:sz w:val="16"/>
                <w:szCs w:val="16"/>
                <w:color w:val="auto"/>
              </w:rPr>
              <w:t>2023</w:t>
            </w:r>
          </w:p>
        </w:tc>
        <w:tc>
          <w:tcPr>
            <w:tcW w:w="48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1,193</w:t>
            </w:r>
          </w:p>
        </w:tc>
      </w:tr>
      <w:tr>
        <w:trPr>
          <w:trHeight w:val="33"/>
        </w:trPr>
        <w:tc>
          <w:tcPr>
            <w:tcW w:w="9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4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1,052</w:t>
            </w:r>
          </w:p>
        </w:tc>
      </w:tr>
      <w:tr>
        <w:trPr>
          <w:trHeight w:val="223"/>
        </w:trPr>
        <w:tc>
          <w:tcPr>
            <w:tcW w:w="978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48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2,432</w:t>
            </w:r>
          </w:p>
        </w:tc>
      </w:tr>
      <w:tr>
        <w:trPr>
          <w:trHeight w:val="33"/>
        </w:trPr>
        <w:tc>
          <w:tcPr>
            <w:tcW w:w="97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9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minimum operating lease payments</w:t>
            </w:r>
          </w:p>
        </w:tc>
        <w:tc>
          <w:tcPr>
            <w:tcW w:w="4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8,814</w:t>
            </w:r>
          </w:p>
        </w:tc>
      </w:tr>
      <w:tr>
        <w:trPr>
          <w:trHeight w:val="223"/>
        </w:trPr>
        <w:tc>
          <w:tcPr>
            <w:tcW w:w="9780" w:type="dxa"/>
            <w:vAlign w:val="bottom"/>
          </w:tcPr>
          <w:p>
            <w:pPr>
              <w:ind w:left="20"/>
              <w:spacing w:after="0"/>
              <w:rPr>
                <w:sz w:val="20"/>
                <w:szCs w:val="20"/>
                <w:color w:val="auto"/>
              </w:rPr>
            </w:pPr>
            <w:r>
              <w:rPr>
                <w:rFonts w:ascii="Arial" w:cs="Arial" w:eastAsia="Arial" w:hAnsi="Arial"/>
                <w:sz w:val="16"/>
                <w:szCs w:val="16"/>
                <w:color w:val="auto"/>
              </w:rPr>
              <w:t>Less: amounts representing interest</w:t>
            </w:r>
          </w:p>
        </w:tc>
        <w:tc>
          <w:tcPr>
            <w:tcW w:w="4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(1,998)</w:t>
            </w:r>
          </w:p>
        </w:tc>
      </w:tr>
      <w:tr>
        <w:trPr>
          <w:trHeight w:val="33"/>
        </w:trPr>
        <w:tc>
          <w:tcPr>
            <w:tcW w:w="97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9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Present value of net minimum operating lease payments</w:t>
            </w:r>
          </w:p>
        </w:tc>
        <w:tc>
          <w:tcPr>
            <w:tcW w:w="4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6,816</w:t>
            </w:r>
          </w:p>
        </w:tc>
      </w:tr>
      <w:tr>
        <w:trPr>
          <w:trHeight w:val="223"/>
        </w:trPr>
        <w:tc>
          <w:tcPr>
            <w:tcW w:w="9780" w:type="dxa"/>
            <w:vAlign w:val="bottom"/>
          </w:tcPr>
          <w:p>
            <w:pPr>
              <w:ind w:left="20"/>
              <w:spacing w:after="0"/>
              <w:rPr>
                <w:sz w:val="20"/>
                <w:szCs w:val="20"/>
                <w:color w:val="auto"/>
              </w:rPr>
            </w:pPr>
            <w:r>
              <w:rPr>
                <w:rFonts w:ascii="Arial" w:cs="Arial" w:eastAsia="Arial" w:hAnsi="Arial"/>
                <w:sz w:val="16"/>
                <w:szCs w:val="16"/>
                <w:color w:val="auto"/>
              </w:rPr>
              <w:t>Less: current portion</w:t>
            </w:r>
          </w:p>
        </w:tc>
        <w:tc>
          <w:tcPr>
            <w:tcW w:w="4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(1,121)</w:t>
            </w:r>
          </w:p>
        </w:tc>
      </w:tr>
      <w:tr>
        <w:trPr>
          <w:trHeight w:val="33"/>
        </w:trPr>
        <w:tc>
          <w:tcPr>
            <w:tcW w:w="97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5"/>
        </w:trPr>
        <w:tc>
          <w:tcPr>
            <w:tcW w:w="9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Long-term portion of operating lease obligations</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5,695</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60" w:firstLine="405"/>
        <w:spacing w:after="0" w:line="261" w:lineRule="auto"/>
        <w:rPr>
          <w:sz w:val="20"/>
          <w:szCs w:val="20"/>
          <w:color w:val="auto"/>
        </w:rPr>
      </w:pPr>
      <w:r>
        <w:rPr>
          <w:rFonts w:ascii="Arial" w:cs="Arial" w:eastAsia="Arial" w:hAnsi="Arial"/>
          <w:sz w:val="18"/>
          <w:szCs w:val="18"/>
          <w:color w:val="auto"/>
        </w:rPr>
        <w:t>The current and long term portion of operating lease obligations are classified within accrued expenses and other current liabilities and other long-term liabilities, respectively, on the condensed consolidated balance sheets.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w:t>
      </w:r>
    </w:p>
    <w:p>
      <w:pPr>
        <w:spacing w:after="0" w:line="104" w:lineRule="exact"/>
        <w:rPr>
          <w:sz w:val="20"/>
          <w:szCs w:val="20"/>
          <w:color w:val="auto"/>
        </w:rPr>
      </w:pPr>
    </w:p>
    <w:p>
      <w:pPr>
        <w:ind w:right="400" w:firstLine="405"/>
        <w:spacing w:after="0" w:line="248" w:lineRule="auto"/>
        <w:rPr>
          <w:sz w:val="20"/>
          <w:szCs w:val="20"/>
          <w:color w:val="auto"/>
        </w:rPr>
      </w:pPr>
      <w:r>
        <w:rPr>
          <w:rFonts w:ascii="Arial" w:cs="Arial" w:eastAsia="Arial" w:hAnsi="Arial"/>
          <w:sz w:val="18"/>
          <w:szCs w:val="18"/>
          <w:color w:val="auto"/>
        </w:rPr>
        <w:t xml:space="preserve">Prior to January 1, 2019, and as previously disclosed in the Company’s Form 10-K for the year ended December 31, 2018, the Company derived revenue from customers who lease the Company’s monitoring devices. The Company recorded such revenue in accordance with the previous lease accounting guidance ASC 840, </w:t>
      </w:r>
      <w:r>
        <w:rPr>
          <w:rFonts w:ascii="Arial" w:cs="Arial" w:eastAsia="Arial" w:hAnsi="Arial"/>
          <w:sz w:val="18"/>
          <w:szCs w:val="18"/>
          <w:i w:val="1"/>
          <w:iCs w:val="1"/>
          <w:color w:val="auto"/>
        </w:rPr>
        <w:t>Leases</w:t>
      </w:r>
      <w:r>
        <w:rPr>
          <w:rFonts w:ascii="Arial" w:cs="Arial" w:eastAsia="Arial" w:hAnsi="Arial"/>
          <w:sz w:val="18"/>
          <w:szCs w:val="18"/>
          <w:color w:val="auto"/>
        </w:rPr>
        <w:t>, and determined that the leases qualify as operating leases.</w:t>
      </w:r>
    </w:p>
    <w:p>
      <w:pPr>
        <w:spacing w:after="0" w:line="74" w:lineRule="exact"/>
        <w:rPr>
          <w:sz w:val="20"/>
          <w:szCs w:val="20"/>
          <w:color w:val="auto"/>
        </w:rPr>
      </w:pPr>
    </w:p>
    <w:p>
      <w:pPr>
        <w:ind w:right="20" w:firstLine="405"/>
        <w:spacing w:after="0" w:line="324" w:lineRule="auto"/>
        <w:rPr>
          <w:sz w:val="20"/>
          <w:szCs w:val="20"/>
          <w:color w:val="auto"/>
        </w:rPr>
      </w:pPr>
      <w:r>
        <w:rPr>
          <w:rFonts w:ascii="Arial" w:cs="Arial" w:eastAsia="Arial" w:hAnsi="Arial"/>
          <w:sz w:val="16"/>
          <w:szCs w:val="16"/>
          <w:color w:val="auto"/>
        </w:rPr>
        <w:t>Monitoring device leases in which the Company serves as lessor are classified as operating leases. Accordingly, rental devices are carried at historical cost less accumulated depreciation and impairment, if any, and are included in rental assets, net, on the condensed consolidated balance sheets.</w:t>
      </w:r>
    </w:p>
    <w:p>
      <w:pPr>
        <w:spacing w:after="0" w:line="16" w:lineRule="exact"/>
        <w:rPr>
          <w:sz w:val="20"/>
          <w:szCs w:val="20"/>
          <w:color w:val="auto"/>
        </w:rPr>
      </w:pPr>
    </w:p>
    <w:p>
      <w:pPr>
        <w:ind w:right="120" w:firstLine="405"/>
        <w:spacing w:after="0" w:line="243" w:lineRule="auto"/>
        <w:rPr>
          <w:sz w:val="20"/>
          <w:szCs w:val="20"/>
          <w:color w:val="auto"/>
        </w:rPr>
      </w:pPr>
      <w:r>
        <w:rPr>
          <w:rFonts w:ascii="Arial" w:cs="Arial" w:eastAsia="Arial" w:hAnsi="Arial"/>
          <w:sz w:val="18"/>
          <w:szCs w:val="18"/>
          <w:color w:val="auto"/>
        </w:rPr>
        <w:t xml:space="preserve">Since the lease components meet the criteria for an operating lease under ASC 842, the Company has elected the practical expedient to combine the lease and the non-lease components because the service is the predominant element in the eyes of the customer and the pattern of service delivery is the same for both elements. The Company accounts for the combined component as a single performance obligation under ASC 606,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Customers</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160" w:firstLine="405"/>
        <w:spacing w:after="0" w:line="241" w:lineRule="auto"/>
        <w:rPr>
          <w:sz w:val="20"/>
          <w:szCs w:val="20"/>
          <w:color w:val="auto"/>
        </w:rPr>
      </w:pPr>
      <w:r>
        <w:rPr>
          <w:rFonts w:ascii="Arial" w:cs="Arial" w:eastAsia="Arial" w:hAnsi="Arial"/>
          <w:sz w:val="18"/>
          <w:szCs w:val="18"/>
          <w:color w:val="auto"/>
        </w:rPr>
        <w:t>The Company’s income tax provision (benefit) of ($0.1) million and $0.3 million for the three months ended June 30, 2020 and 2019, respectively, and $(24,000) and $0.6 million for the six months ended June 30, 2020 and 2019, respectively, consists primarily of foreign income taxes at certain of the Company’s international entities and minimum state taxes for its U.S.-based entities. The Company’s income tax expense (or benefit) is different than the expected expense (or benefit) based on statutory rates primarily due to full valuation allowances at all of its U.S.-based entities and many of its foreign subsidiaries.</w:t>
      </w:r>
    </w:p>
    <w:p>
      <w:pPr>
        <w:spacing w:after="0" w:line="216"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color w:val="auto"/>
        </w:rPr>
        <w:t>In June 2020, the Company issued $180.4 million of 2025 Notes in a financing which allowed it to redeem the remaining outstanding 2022 Notes and pay off the Term Loan. The loss on the extinguishment of the 2022 Notes did not impact the</w:t>
      </w:r>
    </w:p>
    <w:p>
      <w:pPr>
        <w:sectPr>
          <w:pgSz w:w="11900" w:h="16838" w:orient="portrait"/>
          <w:cols w:equalWidth="0" w:num="1">
            <w:col w:w="11220"/>
          </w:cols>
          <w:pgMar w:left="320" w:top="607" w:right="359" w:bottom="1440" w:gutter="0" w:footer="0" w:header="0"/>
        </w:sect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type w:val="continuous"/>
        </w:sectPr>
      </w:pPr>
    </w:p>
    <w:bookmarkStart w:id="25" w:name="page26"/>
    <w:bookmarkEnd w:id="25"/>
    <w:p>
      <w:pPr>
        <w:jc w:val="center"/>
        <w:ind w:right="-95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Company’s tax expense or net deferred tax liabilities given the full valuation allowance against the Company’s significant net operating losses.</w:t>
      </w:r>
    </w:p>
    <w:p>
      <w:pPr>
        <w:spacing w:after="0" w:line="3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00"/>
          </w:cols>
          <w:pgMar w:left="320" w:top="607" w:right="1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62" w:lineRule="exact"/>
        <w:rPr>
          <w:sz w:val="20"/>
          <w:szCs w:val="20"/>
          <w:color w:val="auto"/>
        </w:rPr>
      </w:pPr>
    </w:p>
    <w:p>
      <w:pPr>
        <w:ind w:firstLine="445"/>
        <w:spacing w:after="0" w:line="271" w:lineRule="auto"/>
        <w:rPr>
          <w:sz w:val="20"/>
          <w:szCs w:val="20"/>
          <w:color w:val="auto"/>
        </w:rPr>
      </w:pPr>
      <w:r>
        <w:rPr>
          <w:rFonts w:ascii="Arial" w:cs="Arial" w:eastAsia="Arial" w:hAnsi="Arial"/>
          <w:sz w:val="16"/>
          <w:szCs w:val="16"/>
          <w:color w:val="auto"/>
        </w:rPr>
        <w:t>This report contains forward-looking statements within the meaning of Section 27A of the Securities Act of 1933, as amended (the “Securities Act”) and Section 21E of the Securities Exchange Act of 1934, as amended (the “Exchange Act”). You should not place undue reliance on these statements. These forward-looking statements include statements that reflect the views of our senior management with respect to our current expectations, assumptions, estimates and projections about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those related to:</w:t>
      </w:r>
    </w:p>
    <w:p>
      <w:pPr>
        <w:spacing w:after="0" w:line="115" w:lineRule="exact"/>
        <w:rPr>
          <w:sz w:val="20"/>
          <w:szCs w:val="20"/>
          <w:color w:val="auto"/>
        </w:rPr>
      </w:pPr>
    </w:p>
    <w:p>
      <w:pPr>
        <w:ind w:left="660" w:right="24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 wireless modem products, and asset management, monitoring, telematics, vehicle tracking and fleet management products;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 services successfully;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meet the price and performance standards of the evolving 5G New Radio (“5G NR”) products and technologies;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expand our customer reach/reduce customer concentration;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grow the Internet of Things (“IoT”) and mobile portfolio outside of North America;</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grow our Ctrack/asset tracking solutions within North America;</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103" w:lineRule="exact"/>
        <w:rPr>
          <w:rFonts w:ascii="Arial" w:cs="Arial" w:eastAsia="Arial" w:hAnsi="Arial"/>
          <w:sz w:val="18"/>
          <w:szCs w:val="18"/>
          <w:color w:val="auto"/>
        </w:rPr>
      </w:pPr>
    </w:p>
    <w:p>
      <w:pPr>
        <w:ind w:left="660" w:right="5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make scheduled payments of the principal of, to pay interest on, or to refinance our indebtedness, including our term loan and convertible notes obligations;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and government regulations;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103" w:lineRule="exact"/>
        <w:rPr>
          <w:rFonts w:ascii="Arial" w:cs="Arial" w:eastAsia="Arial" w:hAnsi="Arial"/>
          <w:sz w:val="18"/>
          <w:szCs w:val="18"/>
          <w:color w:val="auto"/>
        </w:rPr>
      </w:pPr>
    </w:p>
    <w:p>
      <w:pPr>
        <w:ind w:left="660" w:right="30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third parties to manufacture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contract manufacturer’s ability to secure necessary supply to build our devices;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mitigate the impact of tariffs or other government-imposed sanctions;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sole source suppliers for some products and devices used in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geopolitical instability on our business;</w:t>
      </w:r>
    </w:p>
    <w:p>
      <w:pPr>
        <w:spacing w:after="0" w:line="103" w:lineRule="exact"/>
        <w:rPr>
          <w:rFonts w:ascii="Arial" w:cs="Arial" w:eastAsia="Arial" w:hAnsi="Arial"/>
          <w:sz w:val="18"/>
          <w:szCs w:val="18"/>
          <w:color w:val="auto"/>
        </w:rPr>
      </w:pPr>
    </w:p>
    <w:p>
      <w:pPr>
        <w:ind w:left="660" w:right="5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emergence of global public health emergencies, such as the recent outbreak of the 2019 novel coronavirus (2019-nCoV), now known as “COVID-19”, which could extend lead times in our supply chain and lengthen sales cycles with our customers;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 and indirect effects of COVID-19 on our employees, customers and supply chain and the economy and financial markets;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impact that new or adjusted tariffs may have on the costs of components or our products, and our ability to sell products internationally;</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be cost competitive while meeting time-to-market requirements for our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meet the product performance needs of our customers in wireless broadband data access in industrial IoT markets;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7" w:name="page28"/>
    <w:bookmarkEnd w:id="27"/>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demand for fleet, vehicle and asset management software-as-a-service (“SaaS”) telematics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wireless telecommunication operators delivering acceptable wireless services;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of any pending or future litigation, including intellectual property litigation;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introduction of new products that could contain errors or defects;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conducting business abroad, including foreign currency risks;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pace of 5G wireless network rollouts globally and their adoption by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make focused investments in research and development;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158"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included in Part I of our Annual Report on Form 10-K for the year ended December 31, 2019 (“Form 10-K”). If one or more events related to these or other risks or uncertainties materialize, or if our underlying assumptions prove to be incorrect, actual results may differ materially from what we anticipate.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62" w:lineRule="exact"/>
        <w:rPr>
          <w:sz w:val="20"/>
          <w:szCs w:val="20"/>
          <w:color w:val="auto"/>
        </w:rPr>
      </w:pPr>
    </w:p>
    <w:p>
      <w:pPr>
        <w:ind w:firstLine="445"/>
        <w:spacing w:after="0" w:line="248" w:lineRule="auto"/>
        <w:rPr>
          <w:sz w:val="20"/>
          <w:szCs w:val="20"/>
          <w:color w:val="auto"/>
        </w:rPr>
      </w:pPr>
      <w:r>
        <w:rPr>
          <w:rFonts w:ascii="Arial" w:cs="Arial" w:eastAsia="Arial" w:hAnsi="Arial"/>
          <w:sz w:val="18"/>
          <w:szCs w:val="18"/>
          <w:color w:val="auto"/>
        </w:rPr>
        <w:t>“Inseego”, the Inseego logo, “DigiCore”, “Novatel Wireless”, the Novatel Wireless logo, “MiFi”, “MiFi Intelligent Mobile Hotspot”, “Ctrack”, the Ctrack logo, “Inseego North America”, and “Skyus” are trademarks or registered trademarks of Inseego and its subsidiaries. Other trademarks, trade names or service marks used in this report are the property of their respective owners.</w:t>
      </w:r>
    </w:p>
    <w:p>
      <w:pPr>
        <w:spacing w:after="0" w:line="128" w:lineRule="exact"/>
        <w:rPr>
          <w:sz w:val="20"/>
          <w:szCs w:val="20"/>
          <w:color w:val="auto"/>
        </w:rPr>
      </w:pPr>
    </w:p>
    <w:p>
      <w:pPr>
        <w:ind w:right="480" w:firstLine="445"/>
        <w:spacing w:after="0" w:line="261" w:lineRule="auto"/>
        <w:rPr>
          <w:sz w:val="20"/>
          <w:szCs w:val="20"/>
          <w:color w:val="auto"/>
        </w:rPr>
      </w:pPr>
      <w:r>
        <w:rPr>
          <w:rFonts w:ascii="Arial" w:cs="Arial" w:eastAsia="Arial" w:hAnsi="Arial"/>
          <w:sz w:val="18"/>
          <w:szCs w:val="18"/>
          <w:color w:val="auto"/>
        </w:rPr>
        <w:t>As used in this report on Form 10-Q, unless the context otherwise requires, the terms “we,” “us,” “our,” the “Company” and “Inseego” refer to Inseego Corp., a Delaware corporation, and its wholly and majority-owned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28" w:name="page29"/>
    <w:bookmarkEnd w:id="28"/>
    <w:p>
      <w:pPr>
        <w:jc w:val="both"/>
        <w:ind w:right="60" w:firstLine="405"/>
        <w:spacing w:after="0" w:line="270" w:lineRule="auto"/>
        <w:rPr>
          <w:sz w:val="20"/>
          <w:szCs w:val="20"/>
          <w:color w:val="auto"/>
        </w:rPr>
      </w:pPr>
      <w:r>
        <w:rPr>
          <w:rFonts w:ascii="Arial" w:cs="Arial" w:eastAsia="Arial" w:hAnsi="Arial"/>
          <w:sz w:val="17"/>
          <w:szCs w:val="17"/>
          <w:color w:val="auto"/>
        </w:rPr>
        <w:t>The following information should be read in conjunction with the condensed consolidated financial statements and the accompanying notes included in Part I, Item 1 of this report, as well as the annual consolidated financial statements and accompanying notes and Management’s Discussion and Analysis of Financial Condition and Results of Operations for the year ended December 31, 2019, contained in our Form 10-K.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62" w:lineRule="exact"/>
        <w:rPr>
          <w:sz w:val="20"/>
          <w:szCs w:val="20"/>
          <w:color w:val="auto"/>
        </w:rPr>
      </w:pPr>
    </w:p>
    <w:p>
      <w:pPr>
        <w:ind w:firstLine="405"/>
        <w:spacing w:after="0" w:line="254" w:lineRule="auto"/>
        <w:rPr>
          <w:sz w:val="20"/>
          <w:szCs w:val="20"/>
          <w:color w:val="auto"/>
        </w:rPr>
      </w:pPr>
      <w:r>
        <w:rPr>
          <w:rFonts w:ascii="Arial" w:cs="Arial" w:eastAsia="Arial" w:hAnsi="Arial"/>
          <w:sz w:val="17"/>
          <w:szCs w:val="17"/>
          <w:color w:val="auto"/>
        </w:rPr>
        <w:t>Inseego Corp. is a leader in the design and development of fixed and mobile wireless solutions (advanced 4G and 5G NR), Industrial IoT (“IIoT”) and cloud solutions for large enterprise verticals, service providers and small and medium-sized businesses around the globe. Our customers include wireless service providers, Fortune 500 enterprises, consumers, governments and first responders. Our product portfolio consists of fixed and mobile device-to-cloud solutions that provide compelling, intelligent, reliable and secure end-to-end IoT services with deep business intelligence. Inseego’s products and solutions, designed and developed in the U.S., power mission critical applications with a “zero unscheduled downtime” mandate, such as our 5G fixed wireless access (“FWA”) gateway solutions, 4G and 5G mobile broadband, IIoT applications such as SD WAN failover management, asset tracking and fleet management services. Our solutions are powered by our key wireless innovations in mobile and FWA technologies, including a suite of products employing the 5G NR standards, and purpose-built SaaS cloud platforms.</w:t>
      </w:r>
    </w:p>
    <w:p>
      <w:pPr>
        <w:spacing w:after="0" w:line="12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7"/>
          <w:szCs w:val="17"/>
          <w:color w:val="auto"/>
        </w:rPr>
        <w:t>We have been at the forefront of the ways in which the world stays connected and accesses information, and protects, and derives intelligence from that information. With multiple first-to-market innovations across a number of wireless technologies, including 5G, and a strong and growing portfolio of hardware and software innovations for IIoT solutions, Inseego has been advancing technology and driving industry transformations for over 30 years. It is this proven expertise, commitment to quality, obsession with innovation and a relentless focus on execution that makes us a preferred global partner of service providers, distributors, value-added resellers, system integrators, and enterprises worldwide.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162" w:lineRule="exact"/>
        <w:rPr>
          <w:sz w:val="20"/>
          <w:szCs w:val="20"/>
          <w:color w:val="auto"/>
        </w:rPr>
      </w:pPr>
    </w:p>
    <w:p>
      <w:pPr>
        <w:ind w:right="120" w:firstLine="405"/>
        <w:spacing w:after="0" w:line="252" w:lineRule="auto"/>
        <w:rPr>
          <w:sz w:val="20"/>
          <w:szCs w:val="20"/>
          <w:color w:val="auto"/>
        </w:rPr>
      </w:pPr>
      <w:r>
        <w:rPr>
          <w:rFonts w:ascii="Arial" w:cs="Arial" w:eastAsia="Arial" w:hAnsi="Arial"/>
          <w:sz w:val="17"/>
          <w:szCs w:val="17"/>
          <w:color w:val="auto"/>
        </w:rPr>
        <w:t>We provide intelligent wireless 3G, 4G and 5G hardware products for the worldwide mobile communications and in IIoT markets. Our hardware products address multiple vertical markets including private LTE/5G networks, the First Responders Network Authority/Firstnet, SD-WAN, telematics, remote monitoring and surveillance, and fixed wireless access and mobile broadband devices. Our broad range of products principally includes intelligent 4G and 5G fixed wireless routers and gateways, and mobile hotspots, and wireless gateways and routers for IIoT applications, Gb speed 4G LTE hotspots and USB modems and integrated telematics and mobile tracking hardware devices, which are supported by applications software and cloud services designed to enable customers to easily analyze data insights and configure/manage their hardware remotely. Our products currently operate on most major global cellular wireless networks. Our mobile hotspots sold under the MiFi brand have been sold to millions of end users, and provide subscribers with secure and convenient high-speed access to corporate, public and personal information through the Internet and enterprise networks. Our wireless standalone and USB modems and gateways allow us to address the rapidly growing and underpenetrated IoT market segments. Our telematics and mobile asset tracking hardware devices collect and control critical vehicle data and driver behaviors, and can reliably deliver that information to the cloud, all managed by our services enablement platforms.</w:t>
      </w:r>
    </w:p>
    <w:p>
      <w:pPr>
        <w:spacing w:after="0" w:line="132" w:lineRule="exact"/>
        <w:rPr>
          <w:sz w:val="20"/>
          <w:szCs w:val="20"/>
          <w:color w:val="auto"/>
        </w:rPr>
      </w:pPr>
    </w:p>
    <w:p>
      <w:pPr>
        <w:ind w:right="240" w:firstLine="405"/>
        <w:spacing w:after="0" w:line="248" w:lineRule="auto"/>
        <w:rPr>
          <w:sz w:val="20"/>
          <w:szCs w:val="20"/>
          <w:color w:val="auto"/>
        </w:rPr>
      </w:pPr>
      <w:r>
        <w:rPr>
          <w:rFonts w:ascii="Arial" w:cs="Arial" w:eastAsia="Arial" w:hAnsi="Arial"/>
          <w:sz w:val="18"/>
          <w:szCs w:val="18"/>
          <w:color w:val="auto"/>
        </w:rPr>
        <w:t>Our MiFi customer base is comprised of wireless operators to whom we provide intelligent fixed and mobile wireless devices. These wireless operators include Verizon Wireless, AT&amp;T, and Sprint in the United States, Rogers in Canada, Telstra in Australia, as well as other international wireless operators, distributors and various companies in other vertical markets and geographies.</w:t>
      </w:r>
    </w:p>
    <w:p>
      <w:pPr>
        <w:spacing w:after="0" w:line="128" w:lineRule="exact"/>
        <w:rPr>
          <w:sz w:val="20"/>
          <w:szCs w:val="20"/>
          <w:color w:val="auto"/>
        </w:rPr>
      </w:pPr>
    </w:p>
    <w:p>
      <w:pPr>
        <w:ind w:right="100" w:firstLine="405"/>
        <w:spacing w:after="0" w:line="259" w:lineRule="auto"/>
        <w:rPr>
          <w:sz w:val="20"/>
          <w:szCs w:val="20"/>
          <w:color w:val="auto"/>
        </w:rPr>
      </w:pPr>
      <w:r>
        <w:rPr>
          <w:rFonts w:ascii="Arial" w:cs="Arial" w:eastAsia="Arial" w:hAnsi="Arial"/>
          <w:sz w:val="17"/>
          <w:szCs w:val="17"/>
          <w:color w:val="auto"/>
        </w:rPr>
        <w:t>We sell our wireless routers for IIoT, integrated telematics and mobile tracking hardware devices through our direct sales force, value-added resellers and through distributors. The customer base for our IIoT products is comprised of transportation companies, industrial enterprises, manufacturers, application service providers, system integrators and distributors in various industries, including fleet and vehicle transportation, aviation ground service management, energy and industrial automation, security and safety, medical monitoring and government. Integrated telematics and asset tracking devices are also sold under our Ctrack brand and provided as part of our integrated SaaS solutions.</w:t>
      </w:r>
    </w:p>
    <w:p>
      <w:pPr>
        <w:spacing w:after="0" w:line="120" w:lineRule="exact"/>
        <w:rPr>
          <w:sz w:val="20"/>
          <w:szCs w:val="20"/>
          <w:color w:val="auto"/>
        </w:rPr>
      </w:pPr>
    </w:p>
    <w:p>
      <w:pPr>
        <w:ind w:right="80" w:firstLine="405"/>
        <w:spacing w:after="0" w:line="284" w:lineRule="auto"/>
        <w:rPr>
          <w:sz w:val="20"/>
          <w:szCs w:val="20"/>
          <w:color w:val="auto"/>
        </w:rPr>
      </w:pPr>
      <w:r>
        <w:rPr>
          <w:rFonts w:ascii="Arial" w:cs="Arial" w:eastAsia="Arial" w:hAnsi="Arial"/>
          <w:sz w:val="16"/>
          <w:szCs w:val="16"/>
          <w:color w:val="auto"/>
        </w:rPr>
        <w:t>Inseego sells SaaS, software and services solutions across multiple mobile and IIoT vertical markets, including fleet management, vehicle telematics, stolen vehicle recovery, asset tracking, monitoring, business connectivity and subscription management. Our SaaS platforms are device-agnostic and provide a standardized, scalable way to order, connect and manage remote assets and to improve business operations. The platforms are flexible and support both on-premise server or cloud-based deployments and are the basis for the delivery of a wide range of IoT services in multiple industries.</w:t>
      </w:r>
    </w:p>
    <w:p>
      <w:pPr>
        <w:spacing w:after="0" w:line="101" w:lineRule="exact"/>
        <w:rPr>
          <w:sz w:val="20"/>
          <w:szCs w:val="20"/>
          <w:color w:val="auto"/>
        </w:rPr>
      </w:pPr>
    </w:p>
    <w:p>
      <w:pPr>
        <w:jc w:val="both"/>
        <w:ind w:right="360" w:firstLine="405"/>
        <w:spacing w:after="0" w:line="263" w:lineRule="auto"/>
        <w:rPr>
          <w:sz w:val="20"/>
          <w:szCs w:val="20"/>
          <w:color w:val="auto"/>
        </w:rPr>
      </w:pPr>
      <w:r>
        <w:rPr>
          <w:rFonts w:ascii="Arial" w:cs="Arial" w:eastAsia="Arial" w:hAnsi="Arial"/>
          <w:sz w:val="18"/>
          <w:szCs w:val="18"/>
          <w:color w:val="auto"/>
        </w:rPr>
        <w:t>Our SaaS delivery platforms include our Ctrack platforms, which provide fleet, vehicle, aviation, asset and other telematics applications, and our Device Management Solutions, a hosted SaaS platform that helps organizations manage the selection, deployment and spend of their wireless assets by helping them to save money on personnel and telecom expenses.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We believe that our future net revenues may be influenced by a number of factors including:</w:t>
      </w:r>
    </w:p>
    <w:p>
      <w:pPr>
        <w:spacing w:after="0" w:line="50"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49" w:lineRule="exact"/>
        <w:rPr>
          <w:rFonts w:ascii="Arial" w:cs="Arial" w:eastAsia="Arial" w:hAnsi="Arial"/>
          <w:sz w:val="18"/>
          <w:szCs w:val="18"/>
          <w:color w:val="auto"/>
        </w:rPr>
      </w:pPr>
    </w:p>
    <w:p>
      <w:pPr>
        <w:ind w:left="980" w:right="300" w:hanging="324"/>
        <w:spacing w:after="0" w:line="261"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competition from other fleet and vehicle telematics solutions, as well as suppliers of emerging devices that contain wireless data access or device management features;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acceptance of our products by new vertical markets;</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in the aviation ground vertical;</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phase-out of earlier generation wireless technologies (such as 3G);</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deployment of 5G infrastructure equipment;</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adoption of 5G end point products;</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in the area of 5G technology;</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protection measures (such as tariffs and duties) and import or export licensing requirements;</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contract manufacturer’s ability to secure necessary supply to build our devices;</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pricing;</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revenues are also significantly dependent upon the availability of materials and components used in our hardware products.</w:t>
      </w:r>
    </w:p>
    <w:p>
      <w:pPr>
        <w:spacing w:after="0" w:line="158" w:lineRule="exact"/>
        <w:rPr>
          <w:sz w:val="20"/>
          <w:szCs w:val="20"/>
          <w:color w:val="auto"/>
        </w:rPr>
      </w:pPr>
    </w:p>
    <w:p>
      <w:pPr>
        <w:ind w:right="100" w:firstLine="405"/>
        <w:spacing w:after="0" w:line="241" w:lineRule="auto"/>
        <w:rPr>
          <w:sz w:val="20"/>
          <w:szCs w:val="20"/>
          <w:color w:val="auto"/>
        </w:rPr>
      </w:pPr>
      <w:r>
        <w:rPr>
          <w:rFonts w:ascii="Arial" w:cs="Arial" w:eastAsia="Arial" w:hAnsi="Arial"/>
          <w:sz w:val="18"/>
          <w:szCs w:val="18"/>
          <w:color w:val="auto"/>
        </w:rPr>
        <w:t>We anticipate introducing additional products during the next twelve months, including SaaS telematics solutions and additional service offerings, IIoT hardware and services, and other mobile and fixed wireless devices targeting the emerging 5G market. We continue to develop and maintain strategic relationships with service providers and other wireless industry leaders such as Verizon Wireless, T-Mobile, Sprint, and Qualcomm. Through strategic relationships, we have been able to maintain market penetration by leveraging the resources of our channel partners, including their access to distribution resources, increased sales opportunities and market opportunities.</w:t>
      </w:r>
    </w:p>
    <w:p>
      <w:pPr>
        <w:spacing w:after="0" w:line="135" w:lineRule="exact"/>
        <w:rPr>
          <w:sz w:val="20"/>
          <w:szCs w:val="20"/>
          <w:color w:val="auto"/>
        </w:rPr>
      </w:pPr>
    </w:p>
    <w:p>
      <w:pPr>
        <w:ind w:right="80" w:firstLine="405"/>
        <w:spacing w:after="0" w:line="279" w:lineRule="auto"/>
        <w:rPr>
          <w:sz w:val="20"/>
          <w:szCs w:val="20"/>
          <w:color w:val="auto"/>
        </w:rPr>
      </w:pPr>
      <w:r>
        <w:rPr>
          <w:rFonts w:ascii="Arial" w:cs="Arial" w:eastAsia="Arial" w:hAnsi="Arial"/>
          <w:sz w:val="16"/>
          <w:szCs w:val="16"/>
          <w:i w:val="1"/>
          <w:iCs w:val="1"/>
          <w:color w:val="auto"/>
        </w:rPr>
        <w:t xml:space="preserve">Cost of Net Revenues. </w:t>
      </w:r>
      <w:r>
        <w:rPr>
          <w:rFonts w:ascii="Arial" w:cs="Arial" w:eastAsia="Arial" w:hAnsi="Arial"/>
          <w:sz w:val="16"/>
          <w:szCs w:val="16"/>
          <w:color w:val="auto"/>
        </w:rPr>
        <w:t>Cost of net revenues includes all costs associated with our contract manufacturers, distribution, fulfillment and repair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SaaS services, warranty costs, amortization of intangible assets, royalties, operations overhead, costs associated with cancellation of purchase orders and costs related to outside services. Also included in cost of net revenues are costs related to inventory adjustments, including acquisition-related amortization of the fair value of inventory, as well as any write downs for excess and obsolete inventory and abandoned product lines. Inventory adjustments are impacted primarily by demand for our products, which is influenced by the factors discussed above.</w:t>
      </w:r>
    </w:p>
    <w:p>
      <w:pPr>
        <w:spacing w:after="0" w:line="105"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Our operating costs consist of three primary categories: research and development; sales and marketing; and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and administrative costs.</w:t>
      </w:r>
    </w:p>
    <w:p>
      <w:pPr>
        <w:spacing w:after="0" w:line="117" w:lineRule="exact"/>
        <w:rPr>
          <w:sz w:val="20"/>
          <w:szCs w:val="20"/>
          <w:color w:val="auto"/>
        </w:rPr>
      </w:pPr>
    </w:p>
    <w:p>
      <w:pPr>
        <w:ind w:right="220" w:firstLine="405"/>
        <w:spacing w:after="0" w:line="291" w:lineRule="auto"/>
        <w:rPr>
          <w:sz w:val="20"/>
          <w:szCs w:val="20"/>
          <w:color w:val="auto"/>
        </w:rPr>
      </w:pPr>
      <w:r>
        <w:rPr>
          <w:rFonts w:ascii="Arial" w:cs="Arial" w:eastAsia="Arial" w:hAnsi="Arial"/>
          <w:sz w:val="17"/>
          <w:szCs w:val="17"/>
          <w:color w:val="auto"/>
        </w:rPr>
        <w:t>Research and development is at the core of our ability to produce innovative, leading-edge products. These expenses consist primarily of engineers and technicians who design and test our highly complex products and the procurement of testing and certification services.</w:t>
      </w:r>
    </w:p>
    <w:p>
      <w:pPr>
        <w:spacing w:after="0" w:line="93" w:lineRule="exact"/>
        <w:rPr>
          <w:sz w:val="20"/>
          <w:szCs w:val="20"/>
          <w:color w:val="auto"/>
        </w:rPr>
      </w:pPr>
    </w:p>
    <w:p>
      <w:pPr>
        <w:ind w:firstLine="405"/>
        <w:spacing w:after="0" w:line="294" w:lineRule="auto"/>
        <w:rPr>
          <w:sz w:val="20"/>
          <w:szCs w:val="20"/>
          <w:color w:val="auto"/>
        </w:rPr>
      </w:pPr>
      <w:r>
        <w:rPr>
          <w:rFonts w:ascii="Arial" w:cs="Arial" w:eastAsia="Arial" w:hAnsi="Arial"/>
          <w:sz w:val="16"/>
          <w:szCs w:val="16"/>
          <w:color w:val="auto"/>
        </w:rPr>
        <w:t>Sales and marketing expenses consist primarily of our sales force and product-marketing professionals. In order to maintain strong sales relationships, we provide co-marketing, trade show support and product training. We are also engaged in a wide variety of marketing activities, such as awareness and lead generation programs as well as product marketing. Other marketing initiatives include public relations, seminars and co-branding with partners.</w:t>
      </w:r>
    </w:p>
    <w:p>
      <w:pPr>
        <w:spacing w:after="0" w:line="93" w:lineRule="exact"/>
        <w:rPr>
          <w:sz w:val="20"/>
          <w:szCs w:val="20"/>
          <w:color w:val="auto"/>
        </w:rPr>
      </w:pPr>
    </w:p>
    <w:p>
      <w:pPr>
        <w:ind w:right="40" w:firstLine="405"/>
        <w:spacing w:after="0" w:line="241" w:lineRule="auto"/>
        <w:rPr>
          <w:sz w:val="20"/>
          <w:szCs w:val="20"/>
          <w:color w:val="auto"/>
        </w:rPr>
      </w:pPr>
      <w:r>
        <w:rPr>
          <w:rFonts w:ascii="Arial" w:cs="Arial" w:eastAsia="Arial" w:hAnsi="Arial"/>
          <w:sz w:val="18"/>
          <w:szCs w:val="18"/>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compliance with the Sarbanes-Oxley Act of 2002, as amended, SEC filings, stock exchange fees and investor relations expense. Although general and administrative expenses are not directly related to revenue levels, certain expenses, such as legal expenses and provisions for bad debts, may cause significant volatility in future general and administrative expenses which may, in turn, impact net revenue levels.</w:t>
      </w:r>
    </w:p>
    <w:p>
      <w:pPr>
        <w:spacing w:after="0" w:line="135" w:lineRule="exact"/>
        <w:rPr>
          <w:sz w:val="20"/>
          <w:szCs w:val="20"/>
          <w:color w:val="auto"/>
        </w:rPr>
      </w:pPr>
    </w:p>
    <w:p>
      <w:pPr>
        <w:jc w:val="both"/>
        <w:ind w:right="40" w:firstLine="405"/>
        <w:spacing w:after="0" w:line="248" w:lineRule="auto"/>
        <w:rPr>
          <w:sz w:val="20"/>
          <w:szCs w:val="20"/>
          <w:color w:val="auto"/>
        </w:rPr>
      </w:pPr>
      <w:r>
        <w:rPr>
          <w:rFonts w:ascii="Arial" w:cs="Arial" w:eastAsia="Arial" w:hAnsi="Arial"/>
          <w:sz w:val="18"/>
          <w:szCs w:val="18"/>
          <w:color w:val="auto"/>
        </w:rPr>
        <w:t>We have undertaken certain restructuring activities and cost reduction initiatives in an effort to better align our organizational structure and costs with our strategy. Restructuring charges consist primarily of severance costs incurred in connection with the reduction of our workforce and facility exit-related costs, as well as discontinued operations, if any.</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30" w:name="page31"/>
    <w:bookmarkEnd w:id="30"/>
    <w:p>
      <w:pPr>
        <w:ind w:right="40" w:firstLine="405"/>
        <w:spacing w:after="0" w:line="284" w:lineRule="auto"/>
        <w:rPr>
          <w:sz w:val="20"/>
          <w:szCs w:val="20"/>
          <w:color w:val="auto"/>
        </w:rPr>
      </w:pPr>
      <w:r>
        <w:rPr>
          <w:rFonts w:ascii="Arial" w:cs="Arial" w:eastAsia="Arial" w:hAnsi="Arial"/>
          <w:sz w:val="16"/>
          <w:szCs w:val="16"/>
          <w:color w:val="auto"/>
        </w:rPr>
        <w:t>As part of our business strategy, we may review acquisition or divestiture opportunities that we believe would be advantageous or complementary to the development of our business. Given our current cash position and recent losses, any additional acquisitions we make would likely involve issuing stock in order to provide the purchase consideration for the acquisitions. If we make any additional acquisitions, we may incur substantial expenditures in conjunction with the acquisition process and the subsequent assimilation of any acquired business, products, technologies or personnel.</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right="40" w:firstLine="405"/>
        <w:spacing w:after="0" w:line="259" w:lineRule="auto"/>
        <w:rPr>
          <w:sz w:val="20"/>
          <w:szCs w:val="20"/>
          <w:color w:val="auto"/>
        </w:rPr>
      </w:pPr>
      <w:r>
        <w:rPr>
          <w:rFonts w:ascii="Arial" w:cs="Arial" w:eastAsia="Arial" w:hAnsi="Arial"/>
          <w:sz w:val="17"/>
          <w:szCs w:val="17"/>
          <w:color w:val="auto"/>
        </w:rPr>
        <w:t>In the notes to our consolidated financial statements and in “Item 7. Management’s Discussion and Analysis of Financial Condition and Results of Operations” included in our Form 10-K, we have disclosed those accounting policies that we consider to be significant in determining our results of operations and financial condition. There have been no material changes to those policies that we consider to be significant since the filing of our Form 10-K, other than our policy on derivative financial instruments as disclosed below. The accounting principles used in preparing our unaudited condensed consolidated financial statements conform in all material respects to accounting principles generally accepted in the 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39" w:lineRule="exact"/>
        <w:rPr>
          <w:sz w:val="20"/>
          <w:szCs w:val="20"/>
          <w:color w:val="auto"/>
        </w:rPr>
      </w:pPr>
    </w:p>
    <w:p>
      <w:pPr>
        <w:ind w:right="120" w:firstLine="405"/>
        <w:spacing w:after="0" w:line="276" w:lineRule="auto"/>
        <w:rPr>
          <w:sz w:val="20"/>
          <w:szCs w:val="20"/>
          <w:color w:val="auto"/>
        </w:rPr>
      </w:pPr>
      <w:r>
        <w:rPr>
          <w:rFonts w:ascii="Arial" w:cs="Arial" w:eastAsia="Arial" w:hAnsi="Arial"/>
          <w:sz w:val="16"/>
          <w:szCs w:val="16"/>
          <w:color w:val="auto"/>
        </w:rPr>
        <w:t>The Company evaluates stock options, stock warrants, debt instruments and other contracts to determine if those contracts or embedded components of those contracts qualify as derivative financial instruments to be separately accounted for under the relevant sections of the Financial Accounting Standards Board (the “FASB”) Accounting Standards Codification. The result of this accounting treatment could be that the fair value of a financial instrument is classified as a derivative financial instrument and is marked-to-market at each balance sheet date and recorded as an asset or liability. In the event that the fair value is recorded as an asset or liability, the change in fair value is recorded in the consolidated statement of operations as other income or other expense. Upon conversion, exercise or expiration of a derivative financial instrument, the instrument is marked to fair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 Instruments</w:t>
      </w:r>
    </w:p>
    <w:p>
      <w:pPr>
        <w:spacing w:after="0" w:line="239" w:lineRule="exact"/>
        <w:rPr>
          <w:sz w:val="20"/>
          <w:szCs w:val="20"/>
          <w:color w:val="auto"/>
        </w:rPr>
      </w:pPr>
    </w:p>
    <w:p>
      <w:pPr>
        <w:ind w:firstLine="405"/>
        <w:spacing w:after="0" w:line="239" w:lineRule="auto"/>
        <w:rPr>
          <w:sz w:val="20"/>
          <w:szCs w:val="20"/>
          <w:color w:val="auto"/>
        </w:rPr>
      </w:pPr>
      <w:r>
        <w:rPr>
          <w:rFonts w:ascii="Arial" w:cs="Arial" w:eastAsia="Arial" w:hAnsi="Arial"/>
          <w:sz w:val="18"/>
          <w:szCs w:val="18"/>
          <w:color w:val="auto"/>
        </w:rPr>
        <w:t>We account for our convertible debt instruments that may be settled in cash upon conversion (including partial cash settlement) by separating the liability and equity components of the instruments in a manner that reflects our nonconvertible debt borrowing rate. We determine the carrying amount of the liability component by measuring the fair value of similar debt instruments that do not have the conversion feature. If a similar debt instrument does not exist, we estimate the fair value by using assumptions that market participants would use in pricing a debt instrument, including market interest rates, credit standing, yield curves and volatilities. Determining the fair value of the debt component requires the use of accounting estimates and assumptions. These estimates and assumptions require significant judgment and could have a significant impact on the determination of the debt component and the associated non-cash interest expense.</w:t>
      </w:r>
    </w:p>
    <w:p>
      <w:pPr>
        <w:spacing w:after="0" w:line="218" w:lineRule="exact"/>
        <w:rPr>
          <w:sz w:val="20"/>
          <w:szCs w:val="20"/>
          <w:color w:val="auto"/>
        </w:rPr>
      </w:pPr>
    </w:p>
    <w:p>
      <w:pPr>
        <w:ind w:right="60" w:firstLine="405"/>
        <w:spacing w:after="0" w:line="294" w:lineRule="auto"/>
        <w:rPr>
          <w:sz w:val="20"/>
          <w:szCs w:val="20"/>
          <w:color w:val="auto"/>
        </w:rPr>
      </w:pPr>
      <w:r>
        <w:rPr>
          <w:rFonts w:ascii="Arial" w:cs="Arial" w:eastAsia="Arial" w:hAnsi="Arial"/>
          <w:sz w:val="16"/>
          <w:szCs w:val="16"/>
          <w:color w:val="auto"/>
        </w:rPr>
        <w:t>For convertible debt that may be settled in cash upon conversion, we assign a value to the debt component equal to the estimated fair value of similar debt instruments without the conversion feature, which could result in recording the debt instrument at a discount. If the debt instrument is recorded at a discount, we amortize the debt discount over the life of the debt instrument as additional non-cash interest expense utilizing the effective interest method.</w:t>
      </w:r>
    </w:p>
    <w:p>
      <w:pPr>
        <w:spacing w:after="0" w:line="174" w:lineRule="exact"/>
        <w:rPr>
          <w:sz w:val="20"/>
          <w:szCs w:val="20"/>
          <w:color w:val="auto"/>
        </w:rPr>
      </w:pPr>
    </w:p>
    <w:p>
      <w:pPr>
        <w:ind w:right="340" w:firstLine="405"/>
        <w:spacing w:after="0" w:line="248" w:lineRule="auto"/>
        <w:rPr>
          <w:sz w:val="20"/>
          <w:szCs w:val="20"/>
          <w:color w:val="auto"/>
        </w:rPr>
      </w:pPr>
      <w:r>
        <w:rPr>
          <w:rFonts w:ascii="Arial" w:cs="Arial" w:eastAsia="Arial" w:hAnsi="Arial"/>
          <w:sz w:val="18"/>
          <w:szCs w:val="18"/>
          <w:color w:val="auto"/>
        </w:rPr>
        <w:t xml:space="preserve">We evaluate embedded features within convertible debt that will be settled in shares upon conversion under Accounting Standards Codification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to determine whether the embedded feature(s) should be bifurcated from the host instrument and accounted for as a derivative at fair value with changes in fair value recorded in earnings.</w:t>
      </w:r>
    </w:p>
    <w:p>
      <w:pPr>
        <w:spacing w:after="0" w:line="209" w:lineRule="exact"/>
        <w:rPr>
          <w:sz w:val="20"/>
          <w:szCs w:val="20"/>
          <w:color w:val="auto"/>
        </w:rPr>
      </w:pPr>
    </w:p>
    <w:p>
      <w:pPr>
        <w:jc w:val="both"/>
        <w:ind w:right="280" w:firstLine="405"/>
        <w:spacing w:after="0" w:line="271" w:lineRule="auto"/>
        <w:rPr>
          <w:sz w:val="20"/>
          <w:szCs w:val="20"/>
          <w:color w:val="auto"/>
        </w:rPr>
      </w:pPr>
      <w:r>
        <w:rPr>
          <w:rFonts w:ascii="Arial" w:cs="Arial" w:eastAsia="Arial" w:hAnsi="Arial"/>
          <w:sz w:val="16"/>
          <w:szCs w:val="16"/>
          <w:color w:val="auto"/>
        </w:rPr>
        <w:t>If an embedded derivative is bifurcated from share-settled convertible debt, we record the debt component at cost less a debt discount equal to the bifurcated derivative’s fair value. We amortize the debt discount over the life of the debt instrument as additional non-cash interest expense utilizing the effective interest method. The convertible debt and the derivative liability are presented in total on the unaudited condensed consolidated balance sheet.</w:t>
      </w:r>
    </w:p>
    <w:p>
      <w:pPr>
        <w:ind w:right="20"/>
        <w:spacing w:after="0" w:line="243" w:lineRule="auto"/>
        <w:rPr>
          <w:sz w:val="20"/>
          <w:szCs w:val="20"/>
          <w:color w:val="auto"/>
        </w:rPr>
      </w:pPr>
      <w:r>
        <w:rPr>
          <w:rFonts w:ascii="Arial" w:cs="Arial" w:eastAsia="Arial" w:hAnsi="Arial"/>
          <w:sz w:val="18"/>
          <w:szCs w:val="18"/>
          <w:color w:val="auto"/>
        </w:rPr>
        <w:t>The derivative liability will be remeasured at each reporting period with changes in fair value recorded in the consolidated statements of operations in other income (expense), net.</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2020 Compared to Three Months Ended June 30, 2019</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Net revenues</w:t>
      </w:r>
      <w:r>
        <w:rPr>
          <w:rFonts w:ascii="Arial" w:cs="Arial" w:eastAsia="Arial" w:hAnsi="Arial"/>
          <w:sz w:val="16"/>
          <w:szCs w:val="16"/>
          <w:color w:val="auto"/>
        </w:rPr>
        <w:t>. Net revenues for the three months ended June 30, 2020 were $80.7 million, compared to $55.9 million for the same period in 2019.</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net revenues by our two product categories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18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 Category</w:t>
            </w:r>
          </w:p>
        </w:tc>
        <w:tc>
          <w:tcPr>
            <w:tcW w:w="37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IoT &amp; Mobile Solutions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66,243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39,983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26,260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24"/>
        </w:trPr>
        <w:tc>
          <w:tcPr>
            <w:tcW w:w="6600" w:type="dxa"/>
            <w:vAlign w:val="bottom"/>
            <w:gridSpan w:val="2"/>
          </w:tcPr>
          <w:p>
            <w:pPr>
              <w:ind w:left="20"/>
              <w:spacing w:after="0"/>
              <w:rPr>
                <w:sz w:val="20"/>
                <w:szCs w:val="20"/>
                <w:color w:val="auto"/>
              </w:rPr>
            </w:pPr>
            <w:r>
              <w:rPr>
                <w:rFonts w:ascii="Arial" w:cs="Arial" w:eastAsia="Arial" w:hAnsi="Arial"/>
                <w:sz w:val="16"/>
                <w:szCs w:val="16"/>
                <w:color w:val="auto"/>
              </w:rPr>
              <w:t>Enterprise SaaS Solutions</w:t>
            </w:r>
          </w:p>
        </w:tc>
        <w:tc>
          <w:tcPr>
            <w:tcW w:w="260" w:type="dxa"/>
            <w:vAlign w:val="bottom"/>
          </w:tcPr>
          <w:p>
            <w:pPr>
              <w:spacing w:after="0"/>
              <w:rPr>
                <w:sz w:val="19"/>
                <w:szCs w:val="19"/>
                <w:color w:val="auto"/>
              </w:rPr>
            </w:pPr>
          </w:p>
        </w:tc>
        <w:tc>
          <w:tcPr>
            <w:tcW w:w="860" w:type="dxa"/>
            <w:vAlign w:val="bottom"/>
          </w:tcPr>
          <w:p>
            <w:pPr>
              <w:ind w:left="260"/>
              <w:spacing w:after="0"/>
              <w:rPr>
                <w:sz w:val="20"/>
                <w:szCs w:val="20"/>
                <w:color w:val="auto"/>
              </w:rPr>
            </w:pPr>
            <w:r>
              <w:rPr>
                <w:rFonts w:ascii="Arial" w:cs="Arial" w:eastAsia="Arial" w:hAnsi="Arial"/>
                <w:sz w:val="16"/>
                <w:szCs w:val="16"/>
                <w:color w:val="auto"/>
              </w:rPr>
              <w:t>14,446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15,908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ind w:left="160"/>
              <w:spacing w:after="0"/>
              <w:rPr>
                <w:sz w:val="20"/>
                <w:szCs w:val="20"/>
                <w:color w:val="auto"/>
              </w:rPr>
            </w:pPr>
            <w:r>
              <w:rPr>
                <w:rFonts w:ascii="Arial" w:cs="Arial" w:eastAsia="Arial" w:hAnsi="Arial"/>
                <w:sz w:val="16"/>
                <w:szCs w:val="16"/>
                <w:color w:val="auto"/>
              </w:rPr>
              <w:t>(1,462)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(9.2) %</w:t>
            </w:r>
          </w:p>
        </w:tc>
        <w:tc>
          <w:tcPr>
            <w:tcW w:w="0" w:type="dxa"/>
            <w:vAlign w:val="bottom"/>
          </w:tcPr>
          <w:p>
            <w:pPr>
              <w:spacing w:after="0"/>
              <w:rPr>
                <w:sz w:val="1"/>
                <w:szCs w:val="1"/>
                <w:color w:val="auto"/>
              </w:rPr>
            </w:pPr>
          </w:p>
        </w:tc>
      </w:tr>
      <w:tr>
        <w:trPr>
          <w:trHeight w:val="33"/>
        </w:trPr>
        <w:tc>
          <w:tcPr>
            <w:tcW w:w="284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80,689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55,891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24,798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40" w:firstLine="405"/>
        <w:spacing w:after="0" w:line="261"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increase in IoT &amp; Mobile Solutions net revenues is primarily a result of increased sales in our LTE gigabit hotspots,</w:t>
      </w:r>
      <w:r>
        <w:rPr>
          <w:rFonts w:ascii="Arial" w:cs="Arial" w:eastAsia="Arial" w:hAnsi="Arial"/>
          <w:sz w:val="18"/>
          <w:szCs w:val="18"/>
          <w:i w:val="1"/>
          <w:iCs w:val="1"/>
          <w:color w:val="auto"/>
        </w:rPr>
        <w:t xml:space="preserve"> </w:t>
      </w:r>
      <w:r>
        <w:rPr>
          <w:rFonts w:ascii="Arial" w:cs="Arial" w:eastAsia="Arial" w:hAnsi="Arial"/>
          <w:sz w:val="18"/>
          <w:szCs w:val="18"/>
          <w:color w:val="auto"/>
        </w:rPr>
        <w:t>USB modems, and our 5G hotspot related to our MiFi business.</w:t>
      </w:r>
    </w:p>
    <w:p>
      <w:pPr>
        <w:spacing w:after="0" w:line="117" w:lineRule="exact"/>
        <w:rPr>
          <w:sz w:val="20"/>
          <w:szCs w:val="20"/>
          <w:color w:val="auto"/>
        </w:rPr>
      </w:pPr>
    </w:p>
    <w:p>
      <w:pPr>
        <w:ind w:right="240" w:firstLine="405"/>
        <w:spacing w:after="0" w:line="324" w:lineRule="auto"/>
        <w:rPr>
          <w:sz w:val="20"/>
          <w:szCs w:val="20"/>
          <w:color w:val="auto"/>
        </w:rPr>
      </w:pPr>
      <w:r>
        <w:rPr>
          <w:rFonts w:ascii="Arial" w:cs="Arial" w:eastAsia="Arial" w:hAnsi="Arial"/>
          <w:sz w:val="16"/>
          <w:szCs w:val="16"/>
          <w:i w:val="1"/>
          <w:iCs w:val="1"/>
          <w:color w:val="auto"/>
        </w:rPr>
        <w:t xml:space="preserve">Enterprise SaaS Solutions. </w:t>
      </w:r>
      <w:r>
        <w:rPr>
          <w:rFonts w:ascii="Arial" w:cs="Arial" w:eastAsia="Arial" w:hAnsi="Arial"/>
          <w:sz w:val="16"/>
          <w:szCs w:val="16"/>
          <w:color w:val="auto"/>
        </w:rPr>
        <w:t>The decrease in Enterprise SaaS Solutions net revenues is primarily a result of lower Ctrack system revenues due to</w:t>
      </w:r>
      <w:r>
        <w:rPr>
          <w:rFonts w:ascii="Arial" w:cs="Arial" w:eastAsia="Arial" w:hAnsi="Arial"/>
          <w:sz w:val="16"/>
          <w:szCs w:val="16"/>
          <w:i w:val="1"/>
          <w:iCs w:val="1"/>
          <w:color w:val="auto"/>
        </w:rPr>
        <w:t xml:space="preserve"> </w:t>
      </w:r>
      <w:r>
        <w:rPr>
          <w:rFonts w:ascii="Arial" w:cs="Arial" w:eastAsia="Arial" w:hAnsi="Arial"/>
          <w:sz w:val="16"/>
          <w:szCs w:val="16"/>
          <w:color w:val="auto"/>
        </w:rPr>
        <w:t>COVID-19 effects and the effect of strengthening U.S. Dollar foreign exchange rates on international sales, partially offset by increased DMS revenues.</w:t>
      </w:r>
    </w:p>
    <w:p>
      <w:pPr>
        <w:spacing w:after="0" w:line="70" w:lineRule="exact"/>
        <w:rPr>
          <w:sz w:val="20"/>
          <w:szCs w:val="20"/>
          <w:color w:val="auto"/>
        </w:rPr>
      </w:pPr>
    </w:p>
    <w:p>
      <w:pPr>
        <w:ind w:right="480" w:firstLine="405"/>
        <w:spacing w:after="0" w:line="261"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three months ended June 30, 2020 was $58.7 million, or 72.7% of net revenues,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$40.3 million, or 72.2% of net revenues, for the same period in 2019.</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cost of net revenues by our two product categories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18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 Category</w:t>
            </w:r>
          </w:p>
        </w:tc>
        <w:tc>
          <w:tcPr>
            <w:tcW w:w="37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IoT &amp; Mobile Solutions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53,223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33,986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19,237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23"/>
        </w:trPr>
        <w:tc>
          <w:tcPr>
            <w:tcW w:w="6600" w:type="dxa"/>
            <w:vAlign w:val="bottom"/>
            <w:gridSpan w:val="2"/>
          </w:tcPr>
          <w:p>
            <w:pPr>
              <w:ind w:left="20"/>
              <w:spacing w:after="0"/>
              <w:rPr>
                <w:sz w:val="20"/>
                <w:szCs w:val="20"/>
                <w:color w:val="auto"/>
              </w:rPr>
            </w:pPr>
            <w:r>
              <w:rPr>
                <w:rFonts w:ascii="Arial" w:cs="Arial" w:eastAsia="Arial" w:hAnsi="Arial"/>
                <w:sz w:val="16"/>
                <w:szCs w:val="16"/>
                <w:color w:val="auto"/>
              </w:rPr>
              <w:t>Enterprise SaaS Solutions</w:t>
            </w:r>
          </w:p>
        </w:tc>
        <w:tc>
          <w:tcPr>
            <w:tcW w:w="260" w:type="dxa"/>
            <w:vAlign w:val="bottom"/>
          </w:tcPr>
          <w:p>
            <w:pPr>
              <w:spacing w:after="0"/>
              <w:rPr>
                <w:sz w:val="19"/>
                <w:szCs w:val="19"/>
                <w:color w:val="auto"/>
              </w:rPr>
            </w:pPr>
          </w:p>
        </w:tc>
        <w:tc>
          <w:tcPr>
            <w:tcW w:w="860" w:type="dxa"/>
            <w:vAlign w:val="bottom"/>
          </w:tcPr>
          <w:p>
            <w:pPr>
              <w:jc w:val="right"/>
              <w:ind w:right="84"/>
              <w:spacing w:after="0"/>
              <w:rPr>
                <w:sz w:val="20"/>
                <w:szCs w:val="20"/>
                <w:color w:val="auto"/>
              </w:rPr>
            </w:pPr>
            <w:r>
              <w:rPr>
                <w:rFonts w:ascii="Arial" w:cs="Arial" w:eastAsia="Arial" w:hAnsi="Arial"/>
                <w:sz w:val="16"/>
                <w:szCs w:val="16"/>
                <w:color w:val="auto"/>
              </w:rPr>
              <w:t>5,466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6,350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(884)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(13.9) %</w:t>
            </w:r>
          </w:p>
        </w:tc>
        <w:tc>
          <w:tcPr>
            <w:tcW w:w="0" w:type="dxa"/>
            <w:vAlign w:val="bottom"/>
          </w:tcPr>
          <w:p>
            <w:pPr>
              <w:spacing w:after="0"/>
              <w:rPr>
                <w:sz w:val="1"/>
                <w:szCs w:val="1"/>
                <w:color w:val="auto"/>
              </w:rPr>
            </w:pPr>
          </w:p>
        </w:tc>
      </w:tr>
      <w:tr>
        <w:trPr>
          <w:trHeight w:val="33"/>
        </w:trPr>
        <w:tc>
          <w:tcPr>
            <w:tcW w:w="284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58,689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40,336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18,353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firstLine="405"/>
        <w:spacing w:after="0" w:line="261"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increase in IoT &amp; Mobile Solutions cost of net revenues is primarily a result of the increased sales in our LTE gigabit</w:t>
      </w:r>
      <w:r>
        <w:rPr>
          <w:rFonts w:ascii="Arial" w:cs="Arial" w:eastAsia="Arial" w:hAnsi="Arial"/>
          <w:sz w:val="18"/>
          <w:szCs w:val="18"/>
          <w:i w:val="1"/>
          <w:iCs w:val="1"/>
          <w:color w:val="auto"/>
        </w:rPr>
        <w:t xml:space="preserve"> </w:t>
      </w:r>
      <w:r>
        <w:rPr>
          <w:rFonts w:ascii="Arial" w:cs="Arial" w:eastAsia="Arial" w:hAnsi="Arial"/>
          <w:sz w:val="18"/>
          <w:szCs w:val="18"/>
          <w:color w:val="auto"/>
        </w:rPr>
        <w:t>hotspots, USB modems and 5G hotspots, as well as associated expenses such as freight and royalties.</w:t>
      </w:r>
    </w:p>
    <w:p>
      <w:pPr>
        <w:spacing w:after="0" w:line="117" w:lineRule="exact"/>
        <w:rPr>
          <w:sz w:val="20"/>
          <w:szCs w:val="20"/>
          <w:color w:val="auto"/>
        </w:rPr>
      </w:pPr>
    </w:p>
    <w:p>
      <w:pPr>
        <w:ind w:right="180" w:firstLine="405"/>
        <w:spacing w:after="0" w:line="261" w:lineRule="auto"/>
        <w:rPr>
          <w:sz w:val="20"/>
          <w:szCs w:val="20"/>
          <w:color w:val="auto"/>
        </w:rPr>
      </w:pPr>
      <w:r>
        <w:rPr>
          <w:rFonts w:ascii="Arial" w:cs="Arial" w:eastAsia="Arial" w:hAnsi="Arial"/>
          <w:sz w:val="18"/>
          <w:szCs w:val="18"/>
          <w:i w:val="1"/>
          <w:iCs w:val="1"/>
          <w:color w:val="auto"/>
        </w:rPr>
        <w:t xml:space="preserve">Enterprise SaaS Solutions. </w:t>
      </w:r>
      <w:r>
        <w:rPr>
          <w:rFonts w:ascii="Arial" w:cs="Arial" w:eastAsia="Arial" w:hAnsi="Arial"/>
          <w:sz w:val="18"/>
          <w:szCs w:val="18"/>
          <w:color w:val="auto"/>
        </w:rPr>
        <w:t>Enterprise SaaS Solutions cost of net revenues decreased as a result of lower Ctrack system revenues, partially offset by</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 of strengthening U.S. Dollar foreign exchange rates on international costs.</w:t>
      </w:r>
    </w:p>
    <w:p>
      <w:pPr>
        <w:spacing w:after="0" w:line="117" w:lineRule="exact"/>
        <w:rPr>
          <w:sz w:val="20"/>
          <w:szCs w:val="20"/>
          <w:color w:val="auto"/>
        </w:rPr>
      </w:pPr>
    </w:p>
    <w:p>
      <w:pPr>
        <w:ind w:right="180" w:firstLine="405"/>
        <w:spacing w:after="0" w:line="248"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three months ended June 30, 2020 was $22.0 million, or a gross margin of 27.3%, compared to $15.6 million,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margin of 27.8%, for the same period in 2019. The increase in gross profit was primarily attributable to the increase in IoT &amp; Mobile Solutions revenues.</w:t>
      </w:r>
    </w:p>
    <w:p>
      <w:pPr>
        <w:spacing w:after="0" w:line="128"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three months ended June 30, 2020 were $10.5 million, or 13.1%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revenues, compared to $5.2 million, or 9.3% of net revenues, for the same period in 2019. The increase was primarily a result of increased staffing, test units, and other development spending related to 5G product programs.</w:t>
      </w:r>
    </w:p>
    <w:p>
      <w:pPr>
        <w:spacing w:after="0" w:line="128" w:lineRule="exact"/>
        <w:rPr>
          <w:sz w:val="20"/>
          <w:szCs w:val="20"/>
          <w:color w:val="auto"/>
        </w:rPr>
      </w:pPr>
    </w:p>
    <w:p>
      <w:pPr>
        <w:ind w:right="40" w:firstLine="405"/>
        <w:spacing w:after="0" w:line="248"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three months ended June 30, 2020 were $8.6 million, or 10.7% of net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$7.2 million, or 12.9% of net revenues, for the same period in 2019. The increase was primarily a result of an increase in employment costs attributable to an increase in headcount.</w:t>
      </w:r>
    </w:p>
    <w:p>
      <w:pPr>
        <w:spacing w:after="0" w:line="128" w:lineRule="exact"/>
        <w:rPr>
          <w:sz w:val="20"/>
          <w:szCs w:val="20"/>
          <w:color w:val="auto"/>
        </w:rPr>
      </w:pPr>
    </w:p>
    <w:p>
      <w:pPr>
        <w:jc w:val="both"/>
        <w:ind w:right="120" w:firstLine="405"/>
        <w:spacing w:after="0"/>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three months ended June 30, 2020 were $7.4 million, or 9.2%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revenues, compared to $7.5 million, or 13.4% of net revenues, for the same period in 2019. Increased employment costs attributable to an increase in headcount were offset by cost reduction measures and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the effect of strengthening U.S. Dollar foreign exchange rates on international costs.</w:t>
      </w:r>
    </w:p>
    <w:p>
      <w:pPr>
        <w:spacing w:after="0" w:line="138" w:lineRule="exact"/>
        <w:rPr>
          <w:sz w:val="20"/>
          <w:szCs w:val="20"/>
          <w:color w:val="auto"/>
        </w:rPr>
      </w:pPr>
    </w:p>
    <w:p>
      <w:pPr>
        <w:ind w:right="240" w:firstLine="405"/>
        <w:spacing w:after="0" w:line="266"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purchased intangible assets for the three months ended June 30, 2020 and 2019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$0.8 million and $0.9 million, respectively.</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32" w:name="page33"/>
    <w:bookmarkEnd w:id="32"/>
    <w:p>
      <w:pPr>
        <w:jc w:val="both"/>
        <w:ind w:right="60" w:firstLine="486"/>
        <w:spacing w:after="0" w:line="248" w:lineRule="auto"/>
        <w:rPr>
          <w:sz w:val="20"/>
          <w:szCs w:val="20"/>
          <w:color w:val="auto"/>
        </w:rPr>
      </w:pPr>
      <w:r>
        <w:rPr>
          <w:rFonts w:ascii="Arial" w:cs="Arial" w:eastAsia="Arial" w:hAnsi="Arial"/>
          <w:sz w:val="18"/>
          <w:szCs w:val="18"/>
          <w:b w:val="1"/>
          <w:bCs w:val="1"/>
          <w:i w:val="1"/>
          <w:iCs w:val="1"/>
          <w:color w:val="auto"/>
        </w:rPr>
        <w:t xml:space="preserve">Loss on debt conversion and extinguishment. </w:t>
      </w:r>
      <w:r>
        <w:rPr>
          <w:rFonts w:ascii="Arial" w:cs="Arial" w:eastAsia="Arial" w:hAnsi="Arial"/>
          <w:sz w:val="18"/>
          <w:szCs w:val="18"/>
          <w:color w:val="auto"/>
        </w:rPr>
        <w:t>The loss on debt conversion and extinguishment expense of $67.2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2020 primarily represents the loss on debt conversion and extinguishment of the 2022 Notes. There was no such expense during the three months ended June 30, 2019.</w:t>
      </w:r>
    </w:p>
    <w:p>
      <w:pPr>
        <w:spacing w:after="0" w:line="128" w:lineRule="exact"/>
        <w:rPr>
          <w:sz w:val="20"/>
          <w:szCs w:val="20"/>
          <w:color w:val="auto"/>
        </w:rPr>
      </w:pPr>
    </w:p>
    <w:p>
      <w:pPr>
        <w:jc w:val="both"/>
        <w:ind w:right="120" w:firstLine="405"/>
        <w:spacing w:after="0" w:line="324" w:lineRule="auto"/>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for the three months ended June 30, 2020 and 2019 was $3.2 million and $5.1 million, respectively.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 in interest expense was due to the reduction in debt associated with the conversion of debt into equity in the three months ended March 31, 2020.</w:t>
      </w:r>
    </w:p>
    <w:p>
      <w:pPr>
        <w:spacing w:after="0" w:line="70" w:lineRule="exact"/>
        <w:rPr>
          <w:sz w:val="20"/>
          <w:szCs w:val="20"/>
          <w:color w:val="auto"/>
        </w:rPr>
      </w:pPr>
    </w:p>
    <w:p>
      <w:pPr>
        <w:jc w:val="both"/>
        <w:ind w:right="80" w:firstLine="405"/>
        <w:spacing w:after="0" w:line="248"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net, for the three months ended June 30, 2020 was $0.8 million, which primarily includes the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adjustment related to our interest make-whole payment. For the period ended June 30, 2019, other expense, net, was $0.1 million which primarily included foreign currency transaction gains and losses.</w:t>
      </w:r>
    </w:p>
    <w:p>
      <w:pPr>
        <w:spacing w:after="0" w:line="128" w:lineRule="exact"/>
        <w:rPr>
          <w:sz w:val="20"/>
          <w:szCs w:val="20"/>
          <w:color w:val="auto"/>
        </w:rPr>
      </w:pPr>
    </w:p>
    <w:p>
      <w:pPr>
        <w:ind w:right="40" w:firstLine="405"/>
        <w:spacing w:after="0" w:line="291" w:lineRule="auto"/>
        <w:rPr>
          <w:sz w:val="20"/>
          <w:szCs w:val="20"/>
          <w:color w:val="auto"/>
        </w:rPr>
      </w:pPr>
      <w:r>
        <w:rPr>
          <w:rFonts w:ascii="Arial" w:cs="Arial" w:eastAsia="Arial" w:hAnsi="Arial"/>
          <w:sz w:val="17"/>
          <w:szCs w:val="17"/>
          <w:b w:val="1"/>
          <w:bCs w:val="1"/>
          <w:i w:val="1"/>
          <w:iCs w:val="1"/>
          <w:color w:val="auto"/>
        </w:rPr>
        <w:t xml:space="preserve">Income tax provision (benefit). </w:t>
      </w:r>
      <w:r>
        <w:rPr>
          <w:rFonts w:ascii="Arial" w:cs="Arial" w:eastAsia="Arial" w:hAnsi="Arial"/>
          <w:sz w:val="17"/>
          <w:szCs w:val="17"/>
          <w:color w:val="auto"/>
        </w:rPr>
        <w:t>The income tax benefit of $0.1 million for the three months ended June 30, 2020 and the income tax provision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three months ended June 30, 2019 of $0.3 million, respectively, primarily relate to certain of our entities in foreign jurisdictions.</w:t>
      </w:r>
    </w:p>
    <w:p>
      <w:pPr>
        <w:spacing w:after="0" w:line="93"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b w:val="1"/>
          <w:bCs w:val="1"/>
          <w:i w:val="1"/>
          <w:iCs w:val="1"/>
          <w:color w:val="auto"/>
        </w:rPr>
        <w:t xml:space="preserve">Net loss (income) attributable to noncontrolling interests. </w:t>
      </w:r>
      <w:r>
        <w:rPr>
          <w:rFonts w:ascii="Arial" w:cs="Arial" w:eastAsia="Arial" w:hAnsi="Arial"/>
          <w:sz w:val="18"/>
          <w:szCs w:val="18"/>
          <w:color w:val="auto"/>
        </w:rPr>
        <w:t>Net loss attributable to noncontrolling interests for the three months ended June 30,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$6,000, compared to a net income attributable to noncontrolling interests of $60,000 for the same period in 2019.</w:t>
      </w:r>
    </w:p>
    <w:p>
      <w:pPr>
        <w:spacing w:after="0" w:line="117" w:lineRule="exact"/>
        <w:rPr>
          <w:sz w:val="20"/>
          <w:szCs w:val="20"/>
          <w:color w:val="auto"/>
        </w:rPr>
      </w:pPr>
    </w:p>
    <w:p>
      <w:pPr>
        <w:ind w:right="400" w:firstLine="405"/>
        <w:spacing w:after="0" w:line="248" w:lineRule="auto"/>
        <w:rPr>
          <w:sz w:val="20"/>
          <w:szCs w:val="20"/>
          <w:color w:val="auto"/>
        </w:rPr>
      </w:pPr>
      <w:r>
        <w:rPr>
          <w:rFonts w:ascii="Arial" w:cs="Arial" w:eastAsia="Arial" w:hAnsi="Arial"/>
          <w:sz w:val="18"/>
          <w:szCs w:val="18"/>
          <w:b w:val="1"/>
          <w:bCs w:val="1"/>
          <w:i w:val="1"/>
          <w:iCs w:val="1"/>
          <w:color w:val="auto"/>
        </w:rPr>
        <w:t xml:space="preserve">Series E preferred stock dividends. </w:t>
      </w:r>
      <w:r>
        <w:rPr>
          <w:rFonts w:ascii="Arial" w:cs="Arial" w:eastAsia="Arial" w:hAnsi="Arial"/>
          <w:sz w:val="18"/>
          <w:szCs w:val="18"/>
          <w:color w:val="auto"/>
        </w:rPr>
        <w:t>During the three months ended June 30, 2020, we recorded dividends of $0.8 million on our Fixed-Rate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Cumulative Perpetual Preferred Stock, Series E, par value $0.001 per share (the “Series E Preferred Stock”). We did not have Series E Preferred Stock dividends during the same period in 2019.</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2020 Compared to Six Months Ended June 30, 2019</w:t>
      </w:r>
    </w:p>
    <w:p>
      <w:pPr>
        <w:spacing w:after="0" w:line="162" w:lineRule="exact"/>
        <w:rPr>
          <w:sz w:val="20"/>
          <w:szCs w:val="20"/>
          <w:color w:val="auto"/>
        </w:rPr>
      </w:pPr>
    </w:p>
    <w:p>
      <w:pPr>
        <w:ind w:right="320" w:firstLine="445"/>
        <w:spacing w:after="0" w:line="261" w:lineRule="auto"/>
        <w:rPr>
          <w:sz w:val="20"/>
          <w:szCs w:val="20"/>
          <w:color w:val="auto"/>
        </w:rPr>
      </w:pPr>
      <w:r>
        <w:rPr>
          <w:rFonts w:ascii="Arial" w:cs="Arial" w:eastAsia="Arial" w:hAnsi="Arial"/>
          <w:sz w:val="18"/>
          <w:szCs w:val="18"/>
          <w:b w:val="1"/>
          <w:bCs w:val="1"/>
          <w:i w:val="1"/>
          <w:iCs w:val="1"/>
          <w:color w:val="auto"/>
        </w:rPr>
        <w:t>Net revenues</w:t>
      </w:r>
      <w:r>
        <w:rPr>
          <w:rFonts w:ascii="Arial" w:cs="Arial" w:eastAsia="Arial" w:hAnsi="Arial"/>
          <w:sz w:val="18"/>
          <w:szCs w:val="18"/>
          <w:color w:val="auto"/>
        </w:rPr>
        <w:t>. Net revenues for the six months ended June 30, 2020 were $137.5 million, an increase of $33.1 million, or 31.7%,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2019.</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net revenues by our two product categories (dollars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11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 Category</w:t>
            </w:r>
          </w:p>
        </w:tc>
        <w:tc>
          <w:tcPr>
            <w:tcW w:w="38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IoT &amp; Mobile Solutions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106,624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72,764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33,860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23"/>
        </w:trPr>
        <w:tc>
          <w:tcPr>
            <w:tcW w:w="6660" w:type="dxa"/>
            <w:vAlign w:val="bottom"/>
            <w:gridSpan w:val="2"/>
          </w:tcPr>
          <w:p>
            <w:pPr>
              <w:ind w:left="20"/>
              <w:spacing w:after="0"/>
              <w:rPr>
                <w:sz w:val="20"/>
                <w:szCs w:val="20"/>
                <w:color w:val="auto"/>
              </w:rPr>
            </w:pPr>
            <w:r>
              <w:rPr>
                <w:rFonts w:ascii="Arial" w:cs="Arial" w:eastAsia="Arial" w:hAnsi="Arial"/>
                <w:sz w:val="16"/>
                <w:szCs w:val="16"/>
                <w:color w:val="auto"/>
              </w:rPr>
              <w:t>Enterprise SaaS Solutions</w:t>
            </w:r>
          </w:p>
        </w:tc>
        <w:tc>
          <w:tcPr>
            <w:tcW w:w="260" w:type="dxa"/>
            <w:vAlign w:val="bottom"/>
          </w:tcPr>
          <w:p>
            <w:pPr>
              <w:spacing w:after="0"/>
              <w:rPr>
                <w:sz w:val="19"/>
                <w:szCs w:val="19"/>
                <w:color w:val="auto"/>
              </w:rPr>
            </w:pPr>
          </w:p>
        </w:tc>
        <w:tc>
          <w:tcPr>
            <w:tcW w:w="860" w:type="dxa"/>
            <w:vAlign w:val="bottom"/>
          </w:tcPr>
          <w:p>
            <w:pPr>
              <w:jc w:val="right"/>
              <w:ind w:right="64"/>
              <w:spacing w:after="0"/>
              <w:rPr>
                <w:sz w:val="20"/>
                <w:szCs w:val="20"/>
                <w:color w:val="auto"/>
              </w:rPr>
            </w:pPr>
            <w:r>
              <w:rPr>
                <w:rFonts w:ascii="Arial" w:cs="Arial" w:eastAsia="Arial" w:hAnsi="Arial"/>
                <w:sz w:val="16"/>
                <w:szCs w:val="16"/>
                <w:color w:val="auto"/>
              </w:rPr>
              <w:t>30,905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31,683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ind w:right="43"/>
              <w:spacing w:after="0"/>
              <w:rPr>
                <w:sz w:val="20"/>
                <w:szCs w:val="20"/>
                <w:color w:val="auto"/>
              </w:rPr>
            </w:pPr>
            <w:r>
              <w:rPr>
                <w:rFonts w:ascii="Arial" w:cs="Arial" w:eastAsia="Arial" w:hAnsi="Arial"/>
                <w:sz w:val="16"/>
                <w:szCs w:val="16"/>
                <w:color w:val="auto"/>
              </w:rPr>
              <w:t>(778)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33"/>
        </w:trPr>
        <w:tc>
          <w:tcPr>
            <w:tcW w:w="284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137,529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104,447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33,082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405"/>
        <w:spacing w:after="0" w:line="244"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increase in IoT &amp; Mobile Solutions net revenues is primarily a result of increased sales in our LTE gigabit hotspots and</w:t>
      </w:r>
      <w:r>
        <w:rPr>
          <w:rFonts w:ascii="Arial" w:cs="Arial" w:eastAsia="Arial" w:hAnsi="Arial"/>
          <w:sz w:val="18"/>
          <w:szCs w:val="18"/>
          <w:i w:val="1"/>
          <w:iCs w:val="1"/>
          <w:color w:val="auto"/>
        </w:rPr>
        <w:t xml:space="preserve"> </w:t>
      </w:r>
      <w:r>
        <w:rPr>
          <w:rFonts w:ascii="Arial" w:cs="Arial" w:eastAsia="Arial" w:hAnsi="Arial"/>
          <w:sz w:val="18"/>
          <w:szCs w:val="18"/>
          <w:color w:val="auto"/>
        </w:rPr>
        <w:t>USB modems, the introduction of our 5G hotspot related to our MiFi business, and higher IoT sales.</w:t>
      </w:r>
    </w:p>
    <w:p>
      <w:pPr>
        <w:ind w:right="320" w:firstLine="405"/>
        <w:spacing w:after="0" w:line="243" w:lineRule="auto"/>
        <w:rPr>
          <w:sz w:val="20"/>
          <w:szCs w:val="20"/>
          <w:color w:val="auto"/>
        </w:rPr>
      </w:pPr>
      <w:r>
        <w:rPr>
          <w:rFonts w:ascii="Arial" w:cs="Arial" w:eastAsia="Arial" w:hAnsi="Arial"/>
          <w:sz w:val="18"/>
          <w:szCs w:val="18"/>
          <w:i w:val="1"/>
          <w:iCs w:val="1"/>
          <w:color w:val="auto"/>
        </w:rPr>
        <w:t xml:space="preserve">Enterprise SaaS Solutions. </w:t>
      </w:r>
      <w:r>
        <w:rPr>
          <w:rFonts w:ascii="Arial" w:cs="Arial" w:eastAsia="Arial" w:hAnsi="Arial"/>
          <w:sz w:val="18"/>
          <w:szCs w:val="18"/>
          <w:color w:val="auto"/>
        </w:rPr>
        <w:t>The decrease in Enterprise SaaS Solutions net revenues is primarily a result of lower Ctrack system revenues,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increased Device Management System revenues.</w:t>
      </w:r>
    </w:p>
    <w:p>
      <w:pPr>
        <w:spacing w:after="0" w:line="132" w:lineRule="exact"/>
        <w:rPr>
          <w:sz w:val="20"/>
          <w:szCs w:val="20"/>
          <w:color w:val="auto"/>
        </w:rPr>
      </w:pPr>
    </w:p>
    <w:p>
      <w:pPr>
        <w:ind w:right="260" w:firstLine="405"/>
        <w:spacing w:after="0" w:line="261"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six months ended June 30, 2020 was $98.3 million or 71.5% of net revenues, compared to $74.1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71.0% of net revenues, for the six months ended June 30, 2019.</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cost of net revenues by our two product categories (dollars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118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 Category</w:t>
            </w:r>
          </w:p>
        </w:tc>
        <w:tc>
          <w:tcPr>
            <w:tcW w:w="37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IoT &amp; Mobile Solutions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86,087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61,586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24,501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23"/>
        </w:trPr>
        <w:tc>
          <w:tcPr>
            <w:tcW w:w="6600" w:type="dxa"/>
            <w:vAlign w:val="bottom"/>
            <w:gridSpan w:val="2"/>
          </w:tcPr>
          <w:p>
            <w:pPr>
              <w:ind w:left="20"/>
              <w:spacing w:after="0"/>
              <w:rPr>
                <w:sz w:val="20"/>
                <w:szCs w:val="20"/>
                <w:color w:val="auto"/>
              </w:rPr>
            </w:pPr>
            <w:r>
              <w:rPr>
                <w:rFonts w:ascii="Arial" w:cs="Arial" w:eastAsia="Arial" w:hAnsi="Arial"/>
                <w:sz w:val="16"/>
                <w:szCs w:val="16"/>
                <w:color w:val="auto"/>
              </w:rPr>
              <w:t>Enterprise SaaS Solutions</w:t>
            </w:r>
          </w:p>
        </w:tc>
        <w:tc>
          <w:tcPr>
            <w:tcW w:w="260" w:type="dxa"/>
            <w:vAlign w:val="bottom"/>
          </w:tcPr>
          <w:p>
            <w:pPr>
              <w:spacing w:after="0"/>
              <w:rPr>
                <w:sz w:val="19"/>
                <w:szCs w:val="19"/>
                <w:color w:val="auto"/>
              </w:rPr>
            </w:pPr>
          </w:p>
        </w:tc>
        <w:tc>
          <w:tcPr>
            <w:tcW w:w="860" w:type="dxa"/>
            <w:vAlign w:val="bottom"/>
          </w:tcPr>
          <w:p>
            <w:pPr>
              <w:jc w:val="right"/>
              <w:ind w:right="84"/>
              <w:spacing w:after="0"/>
              <w:rPr>
                <w:sz w:val="20"/>
                <w:szCs w:val="20"/>
                <w:color w:val="auto"/>
              </w:rPr>
            </w:pPr>
            <w:r>
              <w:rPr>
                <w:rFonts w:ascii="Arial" w:cs="Arial" w:eastAsia="Arial" w:hAnsi="Arial"/>
                <w:sz w:val="16"/>
                <w:szCs w:val="16"/>
                <w:color w:val="auto"/>
              </w:rPr>
              <w:t>12,215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12,546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33"/>
        </w:trPr>
        <w:tc>
          <w:tcPr>
            <w:tcW w:w="284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98,302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74,132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24,170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increase in IoT &amp; Mobile Solutions cost of net revenues is primarily a result of the increased sales in our LTE gigabit</w:t>
      </w:r>
      <w:r>
        <w:rPr>
          <w:rFonts w:ascii="Arial" w:cs="Arial" w:eastAsia="Arial" w:hAnsi="Arial"/>
          <w:sz w:val="18"/>
          <w:szCs w:val="18"/>
          <w:i w:val="1"/>
          <w:iCs w:val="1"/>
          <w:color w:val="auto"/>
        </w:rPr>
        <w:t xml:space="preserve"> </w:t>
      </w:r>
      <w:r>
        <w:rPr>
          <w:rFonts w:ascii="Arial" w:cs="Arial" w:eastAsia="Arial" w:hAnsi="Arial"/>
          <w:sz w:val="18"/>
          <w:szCs w:val="18"/>
          <w:color w:val="auto"/>
        </w:rPr>
        <w:t>hotspots, USB modems, 5G hotspots, and IoT products as well as associated expenses such as freight and royalties.</w:t>
      </w:r>
    </w:p>
    <w:p>
      <w:pPr>
        <w:spacing w:after="0" w:line="211"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i w:val="1"/>
          <w:iCs w:val="1"/>
          <w:color w:val="auto"/>
        </w:rPr>
        <w:t xml:space="preserve">Enterprise SaaS Solutions. </w:t>
      </w:r>
      <w:r>
        <w:rPr>
          <w:rFonts w:ascii="Arial" w:cs="Arial" w:eastAsia="Arial" w:hAnsi="Arial"/>
          <w:sz w:val="18"/>
          <w:szCs w:val="18"/>
          <w:color w:val="auto"/>
        </w:rPr>
        <w:t>Enterprise SaaS Solutions cost of net revenues decreased slightly as a result of lower Ctrack system revenues,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the effect of strengthening U.S. Dollar foreign exchange rates on international costs.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ind w:right="360" w:firstLine="405"/>
        <w:spacing w:after="0" w:line="248"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six months ended June 30, 2020 was $39.2 million, or a gross margin of 28.5%, compared to $30.3 million,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margin of 29.0%, for the same period in 2019. The increase in gross profit was primarily attributable to the increase in IoT &amp; Mobile Solutions revenues.</w:t>
      </w:r>
    </w:p>
    <w:p>
      <w:pPr>
        <w:spacing w:after="0" w:line="128" w:lineRule="exact"/>
        <w:rPr>
          <w:sz w:val="20"/>
          <w:szCs w:val="20"/>
          <w:color w:val="auto"/>
        </w:rPr>
      </w:pPr>
    </w:p>
    <w:p>
      <w:pPr>
        <w:ind w:right="80" w:firstLine="405"/>
        <w:spacing w:after="0" w:line="248"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six months ended June 30, 2020 were $18.8 million, or 13.6%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revenues, compared to $8.7 million, or 8.3% of net revenues, for the same period in 2019. The increase was primarily a result of increased staffing, test units, and other development spending related to 5G product programs.</w:t>
      </w:r>
    </w:p>
    <w:p>
      <w:pPr>
        <w:spacing w:after="0" w:line="128" w:lineRule="exact"/>
        <w:rPr>
          <w:sz w:val="20"/>
          <w:szCs w:val="20"/>
          <w:color w:val="auto"/>
        </w:rPr>
      </w:pPr>
    </w:p>
    <w:p>
      <w:pPr>
        <w:jc w:val="both"/>
        <w:ind w:right="140" w:firstLine="405"/>
        <w:spacing w:after="0" w:line="248"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six months ended June 30, 2020 were $17.4 million, or 12.7% of net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$13.6 million, or 13.0% of net revenues, for the same period in 2019. The increase was primarily a result of an increase in employment costs attributable to an increase in headcount.</w:t>
      </w:r>
    </w:p>
    <w:p>
      <w:pPr>
        <w:spacing w:after="0" w:line="128" w:lineRule="exact"/>
        <w:rPr>
          <w:sz w:val="20"/>
          <w:szCs w:val="20"/>
          <w:color w:val="auto"/>
        </w:rPr>
      </w:pPr>
    </w:p>
    <w:p>
      <w:pPr>
        <w:ind w:right="140" w:firstLine="405"/>
        <w:spacing w:after="0" w:line="248"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six months ended June 30, 2020 were $14.6 million, or 10.6%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revenues, compared to $13.9 million, or 13.3% of net revenues, for the same period in 2019. The increase was primarily a result of an increase in employment costs and non-recurring legal fees.</w:t>
      </w:r>
    </w:p>
    <w:p>
      <w:pPr>
        <w:spacing w:after="0" w:line="124" w:lineRule="exact"/>
        <w:rPr>
          <w:sz w:val="20"/>
          <w:szCs w:val="20"/>
          <w:color w:val="auto"/>
        </w:rPr>
      </w:pPr>
    </w:p>
    <w:p>
      <w:pPr>
        <w:ind w:right="140" w:firstLine="405"/>
        <w:spacing w:after="0" w:line="266"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six months ended June 30, 2020 and 2019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$1.6 million and $1.7 million, respectively, primarily the result of changes in foreign exchange rates.</w:t>
      </w:r>
    </w:p>
    <w:p>
      <w:pPr>
        <w:spacing w:after="0" w:line="112" w:lineRule="exact"/>
        <w:rPr>
          <w:sz w:val="20"/>
          <w:szCs w:val="20"/>
          <w:color w:val="auto"/>
        </w:rPr>
      </w:pPr>
    </w:p>
    <w:p>
      <w:pPr>
        <w:jc w:val="both"/>
        <w:ind w:right="280" w:firstLine="405"/>
        <w:spacing w:after="0" w:line="248" w:lineRule="auto"/>
        <w:rPr>
          <w:sz w:val="20"/>
          <w:szCs w:val="20"/>
          <w:color w:val="auto"/>
        </w:rPr>
      </w:pPr>
      <w:r>
        <w:rPr>
          <w:rFonts w:ascii="Arial" w:cs="Arial" w:eastAsia="Arial" w:hAnsi="Arial"/>
          <w:sz w:val="18"/>
          <w:szCs w:val="18"/>
          <w:b w:val="1"/>
          <w:bCs w:val="1"/>
          <w:i w:val="1"/>
          <w:iCs w:val="1"/>
          <w:color w:val="auto"/>
        </w:rPr>
        <w:t xml:space="preserve">Loss on debt conversion and extinguishment. </w:t>
      </w:r>
      <w:r>
        <w:rPr>
          <w:rFonts w:ascii="Arial" w:cs="Arial" w:eastAsia="Arial" w:hAnsi="Arial"/>
          <w:sz w:val="18"/>
          <w:szCs w:val="18"/>
          <w:color w:val="auto"/>
        </w:rPr>
        <w:t>The loss on debt conversion and extinguishment expense of $75.2 million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2020 primarily represents the loss on debt conversion and extinguishment of the 2022 Notes. There was no such expense during the six months ended June 30, 2019.</w:t>
      </w:r>
    </w:p>
    <w:p>
      <w:pPr>
        <w:spacing w:after="0" w:line="128" w:lineRule="exact"/>
        <w:rPr>
          <w:sz w:val="20"/>
          <w:szCs w:val="20"/>
          <w:color w:val="auto"/>
        </w:rPr>
      </w:pPr>
    </w:p>
    <w:p>
      <w:pPr>
        <w:ind w:right="20" w:firstLine="405"/>
        <w:spacing w:after="0" w:line="248"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net for each of the six months ended June 30, 2020 and 2019 was $6.5 million and $10.2 million, respectively.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expense is primarily a result of the interest expense and amortization of the debt discount and debt issuance costs related to our Term Loan, 2022 Notes and 2025 Notes.</w:t>
      </w:r>
    </w:p>
    <w:p>
      <w:pPr>
        <w:spacing w:after="0" w:line="128" w:lineRule="exact"/>
        <w:rPr>
          <w:sz w:val="20"/>
          <w:szCs w:val="20"/>
          <w:color w:val="auto"/>
        </w:rPr>
      </w:pPr>
    </w:p>
    <w:p>
      <w:pPr>
        <w:ind w:firstLine="405"/>
        <w:spacing w:after="0" w:line="294" w:lineRule="auto"/>
        <w:rPr>
          <w:sz w:val="20"/>
          <w:szCs w:val="20"/>
          <w:color w:val="auto"/>
        </w:rPr>
      </w:pPr>
      <w:r>
        <w:rPr>
          <w:rFonts w:ascii="Arial" w:cs="Arial" w:eastAsia="Arial" w:hAnsi="Arial"/>
          <w:sz w:val="16"/>
          <w:szCs w:val="16"/>
          <w:b w:val="1"/>
          <w:bCs w:val="1"/>
          <w:i w:val="1"/>
          <w:iCs w:val="1"/>
          <w:color w:val="auto"/>
        </w:rPr>
        <w:t xml:space="preserve">Other income (expense), net. </w:t>
      </w:r>
      <w:r>
        <w:rPr>
          <w:rFonts w:ascii="Arial" w:cs="Arial" w:eastAsia="Arial" w:hAnsi="Arial"/>
          <w:sz w:val="16"/>
          <w:szCs w:val="16"/>
          <w:color w:val="auto"/>
        </w:rPr>
        <w:t>Other income, net, for the six months ended June 30, 2020 was $1.8 million, which primarily includes the fair value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adjustment related to our interest make-whole payment as well as foreign currency transaction gains and losses, and gains on the sale of certain fixed assets. Other income, net for the same period in 2019 was $0.2 million, which primarily consisted of foreign currency transaction gains and losses.</w:t>
      </w:r>
    </w:p>
    <w:p>
      <w:pPr>
        <w:spacing w:after="0" w:line="93" w:lineRule="exact"/>
        <w:rPr>
          <w:sz w:val="20"/>
          <w:szCs w:val="20"/>
          <w:color w:val="auto"/>
        </w:rPr>
      </w:pPr>
    </w:p>
    <w:p>
      <w:pPr>
        <w:ind w:right="800" w:firstLine="405"/>
        <w:spacing w:after="0" w:line="324" w:lineRule="auto"/>
        <w:rPr>
          <w:sz w:val="20"/>
          <w:szCs w:val="20"/>
          <w:color w:val="auto"/>
        </w:rPr>
      </w:pPr>
      <w:r>
        <w:rPr>
          <w:rFonts w:ascii="Arial" w:cs="Arial" w:eastAsia="Arial" w:hAnsi="Arial"/>
          <w:sz w:val="16"/>
          <w:szCs w:val="16"/>
          <w:b w:val="1"/>
          <w:bCs w:val="1"/>
          <w:i w:val="1"/>
          <w:iCs w:val="1"/>
          <w:color w:val="auto"/>
        </w:rPr>
        <w:t xml:space="preserve">Income tax provision (benefit). </w:t>
      </w:r>
      <w:r>
        <w:rPr>
          <w:rFonts w:ascii="Arial" w:cs="Arial" w:eastAsia="Arial" w:hAnsi="Arial"/>
          <w:sz w:val="16"/>
          <w:szCs w:val="16"/>
          <w:color w:val="auto"/>
        </w:rPr>
        <w:t>The income tax benefit of $24,000 for the six months ended June 30, 2020 and the income tax provision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$0.6 million for the six months ended June 30, 2019, respectively, primarily relate to certain of our entities in foreign jurisdictions.</w:t>
      </w:r>
    </w:p>
    <w:p>
      <w:pPr>
        <w:spacing w:after="0" w:line="70" w:lineRule="exact"/>
        <w:rPr>
          <w:sz w:val="20"/>
          <w:szCs w:val="20"/>
          <w:color w:val="auto"/>
        </w:rPr>
      </w:pPr>
    </w:p>
    <w:p>
      <w:pPr>
        <w:ind w:right="620" w:firstLine="405"/>
        <w:spacing w:after="0" w:line="261" w:lineRule="auto"/>
        <w:rPr>
          <w:sz w:val="20"/>
          <w:szCs w:val="20"/>
          <w:color w:val="auto"/>
        </w:rPr>
      </w:pPr>
      <w:r>
        <w:rPr>
          <w:rFonts w:ascii="Arial" w:cs="Arial" w:eastAsia="Arial" w:hAnsi="Arial"/>
          <w:sz w:val="18"/>
          <w:szCs w:val="18"/>
          <w:b w:val="1"/>
          <w:bCs w:val="1"/>
          <w:i w:val="1"/>
          <w:iCs w:val="1"/>
          <w:color w:val="auto"/>
        </w:rPr>
        <w:t xml:space="preserve">Series E preferred stock dividends. </w:t>
      </w:r>
      <w:r>
        <w:rPr>
          <w:rFonts w:ascii="Arial" w:cs="Arial" w:eastAsia="Arial" w:hAnsi="Arial"/>
          <w:sz w:val="18"/>
          <w:szCs w:val="18"/>
          <w:color w:val="auto"/>
        </w:rPr>
        <w:t>During the six months ended June 30, 2020, we recorded $1.2 million of accrued Series E preferred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dividends. We did not have Series E preferred stock dividends for the six months ended June 30,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20" w:firstLine="405"/>
        <w:spacing w:after="0" w:line="324" w:lineRule="auto"/>
        <w:rPr>
          <w:sz w:val="20"/>
          <w:szCs w:val="20"/>
          <w:color w:val="auto"/>
        </w:rPr>
      </w:pPr>
      <w:r>
        <w:rPr>
          <w:rFonts w:ascii="Arial" w:cs="Arial" w:eastAsia="Arial" w:hAnsi="Arial"/>
          <w:sz w:val="16"/>
          <w:szCs w:val="16"/>
          <w:color w:val="auto"/>
        </w:rPr>
        <w:t>Our principal sources of liquidity are our existing cash and cash equivalents and cash generated from operations and financing sources. As of June 30, 2020, we had cash and cash equivalents of $42.1 million compared with cash and cash equivalents of $12.1 million as of December 31, 2019.</w:t>
      </w:r>
    </w:p>
    <w:p>
      <w:pPr>
        <w:spacing w:after="0" w:line="70" w:lineRule="exact"/>
        <w:rPr>
          <w:sz w:val="20"/>
          <w:szCs w:val="20"/>
          <w:color w:val="auto"/>
        </w:rPr>
      </w:pPr>
    </w:p>
    <w:p>
      <w:pPr>
        <w:ind w:right="500" w:firstLine="405"/>
        <w:spacing w:after="0" w:line="261" w:lineRule="auto"/>
        <w:rPr>
          <w:sz w:val="20"/>
          <w:szCs w:val="20"/>
          <w:color w:val="auto"/>
        </w:rPr>
      </w:pPr>
      <w:r>
        <w:rPr>
          <w:rFonts w:ascii="Arial" w:cs="Arial" w:eastAsia="Arial" w:hAnsi="Arial"/>
          <w:sz w:val="18"/>
          <w:szCs w:val="18"/>
          <w:color w:val="auto"/>
        </w:rPr>
        <w:t>On August 6, 2018, the Company completed a private placement of 12,062,000 shares of common stock and warrants to purchase an additional 4,221,700 shares of common stock (the “2018 Warrants”).</w:t>
      </w:r>
    </w:p>
    <w:p>
      <w:pPr>
        <w:spacing w:after="0" w:line="117" w:lineRule="exact"/>
        <w:rPr>
          <w:sz w:val="20"/>
          <w:szCs w:val="20"/>
          <w:color w:val="auto"/>
        </w:rPr>
      </w:pPr>
    </w:p>
    <w:p>
      <w:pPr>
        <w:ind w:right="280" w:firstLine="405"/>
        <w:spacing w:after="0" w:line="241" w:lineRule="auto"/>
        <w:rPr>
          <w:sz w:val="20"/>
          <w:szCs w:val="20"/>
          <w:color w:val="auto"/>
        </w:rPr>
      </w:pPr>
      <w:r>
        <w:rPr>
          <w:rFonts w:ascii="Arial" w:cs="Arial" w:eastAsia="Arial" w:hAnsi="Arial"/>
          <w:sz w:val="18"/>
          <w:szCs w:val="18"/>
          <w:color w:val="auto"/>
        </w:rPr>
        <w:t>On March 28, 2019, the 2018 Warrants were exercised at an exercise price of $2.52 per share, for aggregate cash proceeds to the Company of approximately $10.6 million. In connection with the exercise of the 2018 Warrants, on March 28, 2019, the Company issued additional warrants to purchase 2,500,000 shares of common stock. The new warrants have an initial exercise price of $7.00 per share, subject to adjustment for stock splits, reverse stock splits, stock dividends and similar transactions, will be exercisable at any time on or after September 28, 2019, and will expire on June 30, 2022.</w:t>
      </w:r>
    </w:p>
    <w:p>
      <w:pPr>
        <w:spacing w:after="0" w:line="216" w:lineRule="exact"/>
        <w:rPr>
          <w:sz w:val="20"/>
          <w:szCs w:val="20"/>
          <w:color w:val="auto"/>
        </w:rPr>
      </w:pPr>
    </w:p>
    <w:p>
      <w:pPr>
        <w:jc w:val="both"/>
        <w:ind w:right="80" w:firstLine="405"/>
        <w:spacing w:after="0" w:line="248" w:lineRule="auto"/>
        <w:rPr>
          <w:sz w:val="20"/>
          <w:szCs w:val="20"/>
          <w:color w:val="auto"/>
        </w:rPr>
      </w:pPr>
      <w:r>
        <w:rPr>
          <w:rFonts w:ascii="Arial" w:cs="Arial" w:eastAsia="Arial" w:hAnsi="Arial"/>
          <w:sz w:val="18"/>
          <w:szCs w:val="18"/>
          <w:color w:val="auto"/>
        </w:rPr>
        <w:t>On August 9, 2019, we completed a private placement of 10,000 shares of Series E Preferred Stock, for an aggregate purchase price of $10.0 million in accordance with the terms and provisions of a Securities Purchase Agreement, dated August 9, 2019, by and among the Company and certain accredited investors.</w:t>
      </w:r>
    </w:p>
    <w:p>
      <w:pPr>
        <w:spacing w:after="0" w:line="128" w:lineRule="exact"/>
        <w:rPr>
          <w:sz w:val="20"/>
          <w:szCs w:val="20"/>
          <w:color w:val="auto"/>
        </w:rPr>
      </w:pPr>
    </w:p>
    <w:p>
      <w:pPr>
        <w:ind w:right="140" w:firstLine="405"/>
        <w:spacing w:after="0" w:line="248" w:lineRule="auto"/>
        <w:rPr>
          <w:sz w:val="20"/>
          <w:szCs w:val="20"/>
          <w:color w:val="auto"/>
        </w:rPr>
      </w:pPr>
      <w:r>
        <w:rPr>
          <w:rFonts w:ascii="Arial" w:cs="Arial" w:eastAsia="Arial" w:hAnsi="Arial"/>
          <w:sz w:val="18"/>
          <w:szCs w:val="18"/>
          <w:color w:val="auto"/>
        </w:rPr>
        <w:t>On March 6, 2020, the Company completed a private placement of 25,000 additional shares of Series E Preferred Stock, for an aggregate purchase price of $25.0 million in accordance with the terms and provisions of a Securities Purchase Agreement, dated March 6, 2020, by and among the Company and an accredited investor.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4" w:name="page35"/>
    <w:bookmarkEnd w:id="34"/>
    <w:p>
      <w:pPr>
        <w:ind w:left="420"/>
        <w:spacing w:after="0"/>
        <w:rPr>
          <w:sz w:val="20"/>
          <w:szCs w:val="20"/>
          <w:color w:val="auto"/>
        </w:rPr>
      </w:pPr>
      <w:r>
        <w:rPr>
          <w:rFonts w:ascii="Arial" w:cs="Arial" w:eastAsia="Arial" w:hAnsi="Arial"/>
          <w:sz w:val="18"/>
          <w:szCs w:val="18"/>
          <w:b w:val="1"/>
          <w:bCs w:val="1"/>
          <w:i w:val="1"/>
          <w:iCs w:val="1"/>
          <w:color w:val="auto"/>
        </w:rPr>
        <w:t>Debt Overview</w:t>
      </w:r>
    </w:p>
    <w:p>
      <w:pPr>
        <w:spacing w:after="0" w:line="158" w:lineRule="exact"/>
        <w:rPr>
          <w:sz w:val="20"/>
          <w:szCs w:val="20"/>
          <w:color w:val="auto"/>
        </w:rPr>
      </w:pPr>
    </w:p>
    <w:p>
      <w:pPr>
        <w:ind w:right="120" w:firstLine="405"/>
        <w:spacing w:after="0" w:line="261" w:lineRule="auto"/>
        <w:rPr>
          <w:sz w:val="20"/>
          <w:szCs w:val="20"/>
          <w:color w:val="auto"/>
        </w:rPr>
      </w:pPr>
      <w:r>
        <w:rPr>
          <w:rFonts w:ascii="Arial" w:cs="Arial" w:eastAsia="Arial" w:hAnsi="Arial"/>
          <w:sz w:val="18"/>
          <w:szCs w:val="18"/>
          <w:color w:val="auto"/>
        </w:rPr>
        <w:t>As of March 31, 2020, our outstanding indebtedness consisted of a Term Loan with an outstanding principal amount of $47.5 million, which was set to mature on August 23, 2020, as well as $45.0 million of outstanding principal amount of 2022 Notes.</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May 12, 2020, we restructured our outstanding debt through the following transactions, each of which is described in more detail below:</w:t>
      </w:r>
    </w:p>
    <w:p>
      <w:pPr>
        <w:spacing w:after="0" w:line="26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1"/>
          <w:szCs w:val="21"/>
          <w:color w:val="auto"/>
        </w:rPr>
      </w:pPr>
      <w:r>
        <w:rPr>
          <w:rFonts w:ascii="Arial" w:cs="Arial" w:eastAsia="Arial" w:hAnsi="Arial"/>
          <w:sz w:val="17"/>
          <w:szCs w:val="17"/>
          <w:color w:val="auto"/>
        </w:rPr>
        <w:t>We completed a $100.0 million registered public offering (the “Offering”) of convertible 3.25% senior notes due 2025 (the “2025 Notes”).</w:t>
      </w:r>
    </w:p>
    <w:p>
      <w:pPr>
        <w:spacing w:after="0" w:line="1" w:lineRule="exact"/>
        <w:rPr>
          <w:rFonts w:ascii="Arial" w:cs="Arial" w:eastAsia="Arial" w:hAnsi="Arial"/>
          <w:sz w:val="21"/>
          <w:szCs w:val="21"/>
          <w:color w:val="auto"/>
        </w:rPr>
      </w:pPr>
    </w:p>
    <w:p>
      <w:pPr>
        <w:ind w:left="660" w:right="140" w:hanging="328"/>
        <w:spacing w:after="0" w:line="264"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entered into separate privately-negotiated exchange agreements (the “Exchange Agreements”) with certain holders of our outstanding convertible 5.5% senior notes due 2022 (the “2022 Notes” formerly referred to as the “Inseego Notes”), including Golden Harbor Ltd. and North Sound Trading, L.P. (the “Participating Stockholders”). Pursuant to the Exchange Agreements, each of the Participating Stockholders agreed to exchange the 2022 Notes that they held (representing an aggregate of $45.0 million principal amount of 2022 Notes) for an aggregate of</w:t>
      </w:r>
    </w:p>
    <w:p>
      <w:pPr>
        <w:ind w:left="660" w:right="160"/>
        <w:spacing w:after="0" w:line="234" w:lineRule="auto"/>
        <w:rPr>
          <w:rFonts w:ascii="Arial" w:cs="Arial" w:eastAsia="Arial" w:hAnsi="Arial"/>
          <w:sz w:val="16"/>
          <w:szCs w:val="16"/>
          <w:color w:val="auto"/>
        </w:rPr>
      </w:pPr>
      <w:r>
        <w:rPr>
          <w:rFonts w:ascii="Arial" w:cs="Arial" w:eastAsia="Arial" w:hAnsi="Arial"/>
          <w:sz w:val="18"/>
          <w:szCs w:val="18"/>
          <w:color w:val="auto"/>
        </w:rPr>
        <w:t>$32.0 million in cash and $80.4 million principal amount of 2025 Notes in private placement transactions (the “Private Exchange Transactions”) that closed concurrently with the registered Offering.</w:t>
      </w:r>
    </w:p>
    <w:p>
      <w:pPr>
        <w:spacing w:after="0" w:line="1" w:lineRule="exact"/>
        <w:rPr>
          <w:rFonts w:ascii="Arial" w:cs="Arial" w:eastAsia="Arial" w:hAnsi="Arial"/>
          <w:sz w:val="16"/>
          <w:szCs w:val="16"/>
          <w:color w:val="auto"/>
        </w:rPr>
      </w:pPr>
    </w:p>
    <w:p>
      <w:pPr>
        <w:ind w:left="660" w:right="220" w:hanging="328"/>
        <w:spacing w:after="0" w:line="264"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used a portion of the proceeds from the Offering to repay $47.5 million in outstanding principal under the Credit Agreement, approximately $0.5 million in interest accrued thereon, a prepayment fee of $0.8 million and an exit fee of $0.6 million, extinguishing the Credit Agreement.</w:t>
      </w:r>
    </w:p>
    <w:p>
      <w:pPr>
        <w:ind w:left="660" w:right="440" w:hanging="328"/>
        <w:spacing w:after="0" w:line="24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used a portion of the proceeds from the Offering to repurchase 2,330 shares of Series E Preferred Stock, which had been issued to satisfy accrued interest under the Credit Agreement, for $2.4 million.</w:t>
      </w:r>
    </w:p>
    <w:p>
      <w:pPr>
        <w:spacing w:after="0" w:line="213" w:lineRule="exact"/>
        <w:rPr>
          <w:sz w:val="20"/>
          <w:szCs w:val="20"/>
          <w:color w:val="auto"/>
        </w:rPr>
      </w:pPr>
    </w:p>
    <w:p>
      <w:pPr>
        <w:ind w:right="140" w:firstLine="405"/>
        <w:spacing w:after="0" w:line="248" w:lineRule="auto"/>
        <w:rPr>
          <w:sz w:val="20"/>
          <w:szCs w:val="20"/>
          <w:color w:val="auto"/>
        </w:rPr>
      </w:pPr>
      <w:r>
        <w:rPr>
          <w:rFonts w:ascii="Arial" w:cs="Arial" w:eastAsia="Arial" w:hAnsi="Arial"/>
          <w:sz w:val="18"/>
          <w:szCs w:val="18"/>
          <w:color w:val="auto"/>
        </w:rPr>
        <w:t>Accordingly, as of June 30, 2020 our outstanding debt consisted primarily of $180.4 million in principal amount of 2025 Notes and $2,000 in principal amount of 2022 Notes. On July 22, 2020, pursuant to a redemption notice issued on May 15, 2020, we redeemed the remaining $2,000 principal amount of the 2022 Notes.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39" w:lineRule="exact"/>
        <w:rPr>
          <w:sz w:val="20"/>
          <w:szCs w:val="20"/>
          <w:color w:val="auto"/>
        </w:rPr>
      </w:pPr>
    </w:p>
    <w:p>
      <w:pPr>
        <w:ind w:right="380" w:firstLine="405"/>
        <w:spacing w:after="0" w:line="243" w:lineRule="auto"/>
        <w:rPr>
          <w:sz w:val="20"/>
          <w:szCs w:val="20"/>
          <w:color w:val="auto"/>
        </w:rPr>
      </w:pPr>
      <w:r>
        <w:rPr>
          <w:rFonts w:ascii="Arial" w:cs="Arial" w:eastAsia="Arial" w:hAnsi="Arial"/>
          <w:sz w:val="18"/>
          <w:szCs w:val="18"/>
          <w:color w:val="auto"/>
        </w:rPr>
        <w:t>On August 23, 2017, the Company and certain of its direct and indirect subsidiaries, as guarantors, entered into a credit agreement (the “Credit Agreement”) with Cantor Fitzgerald Securities, as administrative agent and collateral agent, and certain funds managed by Highbridge Capital Management, LLC, as lenders (the “Lenders”). Pursuant to the Credit Agreement, the Lenders provided the Company with a term loan in the principal amount of $48.0 million (the “Term Loan”) with a maturity date of August 23, 2020.</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March 31, 2020, we issued 2,330 shares of Series E Preferred Stock to South Ocean Funding, LLC (“South</w:t>
      </w:r>
    </w:p>
    <w:p>
      <w:pPr>
        <w:spacing w:after="0" w:line="12" w:lineRule="exact"/>
        <w:rPr>
          <w:sz w:val="20"/>
          <w:szCs w:val="20"/>
          <w:color w:val="auto"/>
        </w:rPr>
      </w:pPr>
    </w:p>
    <w:p>
      <w:pPr>
        <w:jc w:val="both"/>
        <w:ind w:right="160"/>
        <w:spacing w:after="0" w:line="283" w:lineRule="auto"/>
        <w:rPr>
          <w:sz w:val="20"/>
          <w:szCs w:val="20"/>
          <w:color w:val="auto"/>
        </w:rPr>
      </w:pPr>
      <w:r>
        <w:rPr>
          <w:rFonts w:ascii="Arial" w:cs="Arial" w:eastAsia="Arial" w:hAnsi="Arial"/>
          <w:sz w:val="16"/>
          <w:szCs w:val="16"/>
          <w:color w:val="auto"/>
        </w:rPr>
        <w:t>Ocean”), the Lender holding all of the aggregate principal amount then outstanding under the Credit Agreement in satisfaction of all then accrued interest under the Credit Agreement. On May 12, 2020, we used a portion of the proceeds from the Offering to repurchase the 2,330 shares of Series E Preferred Stock which had been issued to satisfy accrued interest under the Credit Agreement, for $2.4 million. South Ocean is an affiliate of Golden Harbor Ltd.</w:t>
      </w:r>
    </w:p>
    <w:p>
      <w:pPr>
        <w:spacing w:after="0" w:line="184" w:lineRule="exact"/>
        <w:rPr>
          <w:sz w:val="20"/>
          <w:szCs w:val="20"/>
          <w:color w:val="auto"/>
        </w:rPr>
      </w:pPr>
    </w:p>
    <w:p>
      <w:pPr>
        <w:ind w:right="60" w:firstLine="405"/>
        <w:spacing w:after="0" w:line="248" w:lineRule="auto"/>
        <w:rPr>
          <w:sz w:val="20"/>
          <w:szCs w:val="20"/>
          <w:color w:val="auto"/>
        </w:rPr>
      </w:pPr>
      <w:r>
        <w:rPr>
          <w:rFonts w:ascii="Arial" w:cs="Arial" w:eastAsia="Arial" w:hAnsi="Arial"/>
          <w:sz w:val="18"/>
          <w:szCs w:val="18"/>
          <w:color w:val="auto"/>
        </w:rPr>
        <w:t>On May 12, 2020, we used a portion of the proceeds from the Offering to repay in full the Term Loan and terminate the Credit Agreement. The amounts paid included $47.5 million in outstanding principal, approximately $0.5 million in interest accrued thereon, a prepayment fee of $0.8 million and an exit fee of $0.6 million.</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Term Loan bore interest at a rate per annum equal to the three-month LIBOR, but in no event less than 1.00%, plus 7.625%.</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Notes</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May 12, 2020, we completed a registered public Offering of $100.0 million aggregate principal amount of 2025 Notes.</w:t>
      </w:r>
    </w:p>
    <w:p>
      <w:pPr>
        <w:spacing w:after="0" w:line="239" w:lineRule="exact"/>
        <w:rPr>
          <w:sz w:val="20"/>
          <w:szCs w:val="20"/>
          <w:color w:val="auto"/>
        </w:rPr>
      </w:pPr>
    </w:p>
    <w:p>
      <w:pPr>
        <w:ind w:firstLine="405"/>
        <w:spacing w:after="0" w:line="243" w:lineRule="auto"/>
        <w:rPr>
          <w:sz w:val="20"/>
          <w:szCs w:val="20"/>
          <w:color w:val="auto"/>
        </w:rPr>
      </w:pPr>
      <w:r>
        <w:rPr>
          <w:rFonts w:ascii="Arial" w:cs="Arial" w:eastAsia="Arial" w:hAnsi="Arial"/>
          <w:sz w:val="18"/>
          <w:szCs w:val="18"/>
          <w:color w:val="auto"/>
        </w:rPr>
        <w:t>On May 12, 2020, we also entered into separate privately-negotiated Exchange Agreements with the Participating Stockholders. Pursuant to the Exchange Agreements, each of the Participating Stockholders agreed to exchange the 2022 Notes that they held (representing an aggregate of $45.0 million principal amount of 2022 Notes with an estimated fair value of approximately $112.4 million as of the date of exchange) for an aggregate of $32.0 million in cash and $80.4 million principal</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35" w:name="page36"/>
    <w:bookmarkEnd w:id="35"/>
    <w:p>
      <w:pPr>
        <w:ind w:right="440"/>
        <w:spacing w:after="0" w:line="261" w:lineRule="auto"/>
        <w:rPr>
          <w:sz w:val="20"/>
          <w:szCs w:val="20"/>
          <w:color w:val="auto"/>
        </w:rPr>
      </w:pPr>
      <w:r>
        <w:rPr>
          <w:rFonts w:ascii="Arial" w:cs="Arial" w:eastAsia="Arial" w:hAnsi="Arial"/>
          <w:sz w:val="18"/>
          <w:szCs w:val="18"/>
          <w:color w:val="auto"/>
        </w:rPr>
        <w:t>amount of 2025 Notes in concurrent Private Exchange Transactions. The 2025 Notes issued in the Private Exchange Transactions are part of the same series as the 2025 Notes issued in the registered Offering.</w:t>
      </w:r>
    </w:p>
    <w:p>
      <w:pPr>
        <w:spacing w:after="0" w:line="198" w:lineRule="exact"/>
        <w:rPr>
          <w:sz w:val="20"/>
          <w:szCs w:val="20"/>
          <w:color w:val="auto"/>
        </w:rPr>
      </w:pPr>
    </w:p>
    <w:p>
      <w:pPr>
        <w:ind w:right="320" w:firstLine="405"/>
        <w:spacing w:after="0" w:line="248" w:lineRule="auto"/>
        <w:rPr>
          <w:sz w:val="20"/>
          <w:szCs w:val="20"/>
          <w:color w:val="auto"/>
        </w:rPr>
      </w:pPr>
      <w:r>
        <w:rPr>
          <w:rFonts w:ascii="Arial" w:cs="Arial" w:eastAsia="Arial" w:hAnsi="Arial"/>
          <w:sz w:val="18"/>
          <w:szCs w:val="18"/>
          <w:color w:val="auto"/>
        </w:rPr>
        <w:t>We issued the 2025 Notes under an indenture, dated May 12, 2020 (the “Base Indenture”), between the Company and Wilmington Trust, National Association, as trustee (the “Trustee”), as supplemented by the first supplemental indenture, dated May 12, 2020 (the “Supplemental Indenture” and, together with the Base Indenture, the “Indenture”), between us and the Trustee.</w:t>
      </w:r>
    </w:p>
    <w:p>
      <w:pPr>
        <w:spacing w:after="0" w:line="209" w:lineRule="exact"/>
        <w:rPr>
          <w:sz w:val="20"/>
          <w:szCs w:val="20"/>
          <w:color w:val="auto"/>
        </w:rPr>
      </w:pPr>
    </w:p>
    <w:p>
      <w:pPr>
        <w:ind w:right="120" w:firstLine="405"/>
        <w:spacing w:after="0" w:line="248" w:lineRule="auto"/>
        <w:rPr>
          <w:sz w:val="20"/>
          <w:szCs w:val="20"/>
          <w:color w:val="auto"/>
        </w:rPr>
      </w:pPr>
      <w:r>
        <w:rPr>
          <w:rFonts w:ascii="Arial" w:cs="Arial" w:eastAsia="Arial" w:hAnsi="Arial"/>
          <w:sz w:val="18"/>
          <w:szCs w:val="18"/>
          <w:color w:val="auto"/>
        </w:rPr>
        <w:t>The 2025 Notes will mature on May 1, 2025, unless earlier repurchased, redeemed or converted. The 2025 Notes are senior unsecured obligations of the Company and bear interest at an annual rate of 3.25%, payable semi-annually in arrears on May 1 and November 1 of each year, beginning on November 1, 2020.</w:t>
      </w:r>
    </w:p>
    <w:p>
      <w:pPr>
        <w:spacing w:after="0" w:line="209" w:lineRule="exact"/>
        <w:rPr>
          <w:sz w:val="20"/>
          <w:szCs w:val="20"/>
          <w:color w:val="auto"/>
        </w:rPr>
      </w:pPr>
    </w:p>
    <w:p>
      <w:pPr>
        <w:jc w:val="both"/>
        <w:ind w:right="200" w:firstLine="405"/>
        <w:spacing w:after="0" w:line="243" w:lineRule="auto"/>
        <w:rPr>
          <w:sz w:val="20"/>
          <w:szCs w:val="20"/>
          <w:color w:val="auto"/>
        </w:rPr>
      </w:pPr>
      <w:r>
        <w:rPr>
          <w:rFonts w:ascii="Arial" w:cs="Arial" w:eastAsia="Arial" w:hAnsi="Arial"/>
          <w:sz w:val="18"/>
          <w:szCs w:val="18"/>
          <w:color w:val="auto"/>
        </w:rPr>
        <w:t>Holders of the 2025 Notes may convert the 2025 Notes into shares of our common stock (together with cash in lieu of any fractional share), at their option, at any time until the close of business on the scheduled trading day immediately before the maturity date. Upon conversion of the 2025 Notes, we will deliver for each $1,000 principal amount of 2025 Notes converted a number of shares of common stock (together with cash in lieu of any fractional share), equal to the conversion rate.</w:t>
      </w:r>
    </w:p>
    <w:p>
      <w:pPr>
        <w:spacing w:after="0" w:line="215" w:lineRule="exact"/>
        <w:rPr>
          <w:sz w:val="20"/>
          <w:szCs w:val="20"/>
          <w:color w:val="auto"/>
        </w:rPr>
      </w:pPr>
    </w:p>
    <w:p>
      <w:pPr>
        <w:ind w:right="80" w:firstLine="405"/>
        <w:spacing w:after="0" w:line="241" w:lineRule="auto"/>
        <w:rPr>
          <w:sz w:val="20"/>
          <w:szCs w:val="20"/>
          <w:color w:val="auto"/>
        </w:rPr>
      </w:pPr>
      <w:r>
        <w:rPr>
          <w:rFonts w:ascii="Arial" w:cs="Arial" w:eastAsia="Arial" w:hAnsi="Arial"/>
          <w:sz w:val="18"/>
          <w:szCs w:val="18"/>
          <w:color w:val="auto"/>
        </w:rPr>
        <w:t>The initial conversion rate for the 2025 Notes is 79.2896 shares of common stock per $1,000 principal amount of 2025 Notes, which represents an initial conversion price of approximately $12.61 per share, and is subject to adjustment upon the occurrence of certain events, including, but not limited to, certain stock dividends, splits and combinations, the issuance of certain rights, options or warrants to holders of the common stock, certain distributions of assets, debt securities, capital stock or other property to holders of the common stock, cash dividends on the common stock and certain Company tender or exchange offers.</w:t>
      </w:r>
    </w:p>
    <w:p>
      <w:pPr>
        <w:spacing w:after="0" w:line="216" w:lineRule="exact"/>
        <w:rPr>
          <w:sz w:val="20"/>
          <w:szCs w:val="20"/>
          <w:color w:val="auto"/>
        </w:rPr>
      </w:pPr>
    </w:p>
    <w:p>
      <w:pPr>
        <w:ind w:right="640" w:firstLine="405"/>
        <w:spacing w:after="0" w:line="324" w:lineRule="auto"/>
        <w:rPr>
          <w:sz w:val="20"/>
          <w:szCs w:val="20"/>
          <w:color w:val="auto"/>
        </w:rPr>
      </w:pPr>
      <w:r>
        <w:rPr>
          <w:rFonts w:ascii="Arial" w:cs="Arial" w:eastAsia="Arial" w:hAnsi="Arial"/>
          <w:sz w:val="16"/>
          <w:szCs w:val="16"/>
          <w:color w:val="auto"/>
        </w:rPr>
        <w:t>Holders of the 2025 Notes who convert their 2025 Notes may also be entitled to receive, under certain circumstances, an interest make-whole payment payable in, at the Company’s election, either cash or shares of the Common Stock (together with cash in lieu of any fractional share).</w:t>
      </w:r>
    </w:p>
    <w:p>
      <w:pPr>
        <w:spacing w:after="0" w:line="151" w:lineRule="exact"/>
        <w:rPr>
          <w:sz w:val="20"/>
          <w:szCs w:val="20"/>
          <w:color w:val="auto"/>
        </w:rPr>
      </w:pPr>
    </w:p>
    <w:p>
      <w:pPr>
        <w:jc w:val="both"/>
        <w:ind w:right="120" w:firstLine="405"/>
        <w:spacing w:after="0"/>
        <w:rPr>
          <w:sz w:val="20"/>
          <w:szCs w:val="20"/>
          <w:color w:val="auto"/>
        </w:rPr>
      </w:pPr>
      <w:r>
        <w:rPr>
          <w:rFonts w:ascii="Arial" w:cs="Arial" w:eastAsia="Arial" w:hAnsi="Arial"/>
          <w:sz w:val="18"/>
          <w:szCs w:val="18"/>
          <w:color w:val="auto"/>
        </w:rPr>
        <w:t>If a fundamental change (as defined in the Indenture) occurs at any time prior to the maturity date, then the noteholders may require us to repurchase their 2025 Notes at a cash repurchase price equal to the principal amount of the 2025 Notes to be repurchased, plus accrued and unpaid interest, if any, to, but excluding, the fundamental change repurchase date. If a</w:t>
      </w:r>
    </w:p>
    <w:p>
      <w:pPr>
        <w:spacing w:after="0" w:line="3" w:lineRule="exact"/>
        <w:rPr>
          <w:sz w:val="20"/>
          <w:szCs w:val="20"/>
          <w:color w:val="auto"/>
        </w:rPr>
      </w:pPr>
    </w:p>
    <w:p>
      <w:pPr>
        <w:ind w:right="360"/>
        <w:spacing w:after="0" w:line="243" w:lineRule="auto"/>
        <w:rPr>
          <w:sz w:val="20"/>
          <w:szCs w:val="20"/>
          <w:color w:val="auto"/>
        </w:rPr>
      </w:pPr>
      <w:r>
        <w:rPr>
          <w:rFonts w:ascii="Arial" w:cs="Arial" w:eastAsia="Arial" w:hAnsi="Arial"/>
          <w:sz w:val="18"/>
          <w:szCs w:val="18"/>
          <w:color w:val="auto"/>
        </w:rPr>
        <w:t>make-whole fundamental change (as defined in the Indenture) occurs, then we will in certain circumstances increase the conversion rate for a specified period of time.</w:t>
      </w:r>
    </w:p>
    <w:p>
      <w:pPr>
        <w:spacing w:after="0" w:line="213" w:lineRule="exact"/>
        <w:rPr>
          <w:sz w:val="20"/>
          <w:szCs w:val="20"/>
          <w:color w:val="auto"/>
        </w:rPr>
      </w:pPr>
    </w:p>
    <w:p>
      <w:pPr>
        <w:ind w:right="20" w:firstLine="405"/>
        <w:spacing w:after="0" w:line="279" w:lineRule="auto"/>
        <w:rPr>
          <w:sz w:val="20"/>
          <w:szCs w:val="20"/>
          <w:color w:val="auto"/>
        </w:rPr>
      </w:pPr>
      <w:r>
        <w:rPr>
          <w:rFonts w:ascii="Arial" w:cs="Arial" w:eastAsia="Arial" w:hAnsi="Arial"/>
          <w:sz w:val="16"/>
          <w:szCs w:val="16"/>
          <w:color w:val="auto"/>
        </w:rPr>
        <w:t>The 2025 Notes will be redeemable, in whole or in part, at our option at any time, and from time to time, on or after May 6, 2023 and on or before the scheduled trading day before the maturity date, at a cash redemption price equal to the principal amount of the 2025 Notes to be redeemed, plus accrued and unpaid interest, if any, to, but excluding, the redemption date, as long as the last reported sale price per share of the common stock exceeds 130% of the conversion price on (i) each of at least 20 trading days, whether or not consecutive, during the 30 consecutive trading days ending on, and including, the trading day immediately before the date we send the related redemption notice; and (ii) the trading day immediately before the date we send such notice.</w:t>
      </w:r>
    </w:p>
    <w:p>
      <w:pPr>
        <w:spacing w:after="0" w:line="186" w:lineRule="exact"/>
        <w:rPr>
          <w:sz w:val="20"/>
          <w:szCs w:val="20"/>
          <w:color w:val="auto"/>
        </w:rPr>
      </w:pPr>
    </w:p>
    <w:p>
      <w:pPr>
        <w:ind w:firstLine="405"/>
        <w:spacing w:after="0" w:line="272" w:lineRule="auto"/>
        <w:rPr>
          <w:sz w:val="20"/>
          <w:szCs w:val="20"/>
          <w:color w:val="auto"/>
        </w:rPr>
      </w:pPr>
      <w:r>
        <w:rPr>
          <w:rFonts w:ascii="Arial" w:cs="Arial" w:eastAsia="Arial" w:hAnsi="Arial"/>
          <w:sz w:val="16"/>
          <w:szCs w:val="16"/>
          <w:color w:val="auto"/>
        </w:rPr>
        <w:t>The Indenture contains customary events of default. If an event of default (other than certain events of bankruptcy, insolvency or reorganization involving the Company) occurs and is continuing, the Trustee, by notice to the Company, or the holders of the 2025 Notes representing at least 25% in aggregate principal amount of the outstanding 2025 Notes, by notice to the Company and the Trustee, may declare 100% of the principal of, and all accrued and unpaid interest on, all of the then outstanding 2025 Notes to be due and payable immediately. Upon the occurrence of certain events of bankruptcy, insolvency or reorganization involving the Company, 100% of the principal of, and all accrued and unpaid interest on, all of the then outstanding 2025 Notes will automatically become immediately due and payable. Notwithstanding the foregoing, the Indenture provides that, to the extent the Company elects, the sole remedy for an event of default relating to certain failures by the Company to comply with certain reporting covenants in the Indenture will, for the first 360 days after such event of default, consist exclusively of the right to receive additional interest on the 2025 Notes.</w:t>
      </w:r>
    </w:p>
    <w:p>
      <w:pPr>
        <w:spacing w:after="0" w:line="195" w:lineRule="exact"/>
        <w:rPr>
          <w:sz w:val="20"/>
          <w:szCs w:val="20"/>
          <w:color w:val="auto"/>
        </w:rPr>
      </w:pPr>
    </w:p>
    <w:p>
      <w:pPr>
        <w:ind w:right="2380" w:firstLine="405"/>
        <w:spacing w:after="0" w:line="261" w:lineRule="auto"/>
        <w:rPr>
          <w:sz w:val="20"/>
          <w:szCs w:val="20"/>
          <w:color w:val="auto"/>
        </w:rPr>
      </w:pPr>
      <w:r>
        <w:rPr>
          <w:rFonts w:ascii="Arial" w:cs="Arial" w:eastAsia="Arial" w:hAnsi="Arial"/>
          <w:sz w:val="18"/>
          <w:szCs w:val="18"/>
          <w:color w:val="auto"/>
        </w:rPr>
        <w:t>As of June 30, 2020, $180.4 million of the 2025 Notes were outstanding, $80.4 million of which were held by related parties.</w:t>
      </w:r>
    </w:p>
    <w:p>
      <w:pPr>
        <w:spacing w:after="0" w:line="198" w:lineRule="exact"/>
        <w:rPr>
          <w:sz w:val="20"/>
          <w:szCs w:val="20"/>
          <w:color w:val="auto"/>
        </w:rPr>
      </w:pPr>
    </w:p>
    <w:p>
      <w:pPr>
        <w:ind w:right="400" w:firstLine="405"/>
        <w:spacing w:after="0" w:line="261" w:lineRule="auto"/>
        <w:rPr>
          <w:sz w:val="20"/>
          <w:szCs w:val="20"/>
          <w:color w:val="auto"/>
        </w:rPr>
      </w:pPr>
      <w:r>
        <w:rPr>
          <w:rFonts w:ascii="Arial" w:cs="Arial" w:eastAsia="Arial" w:hAnsi="Arial"/>
          <w:sz w:val="18"/>
          <w:szCs w:val="18"/>
          <w:color w:val="auto"/>
        </w:rPr>
        <w:t>Subsequent to June 30, 2020, approximately $13.5 million of the 2025 Notes were converted into 1.2 million shares including approximately 0.1 million shares of common stock in satisfaction of the interest make-whole payment.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2022 Notes</w:t>
      </w:r>
    </w:p>
    <w:p>
      <w:pPr>
        <w:spacing w:after="0" w:line="239"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On January 9, 2017, in connection with the Note Exchange (as defined below), we issued approximately $119.8 million aggregate principal amount of 2022 Notes.</w:t>
      </w:r>
    </w:p>
    <w:p>
      <w:pPr>
        <w:spacing w:after="0" w:line="198" w:lineRule="exact"/>
        <w:rPr>
          <w:sz w:val="20"/>
          <w:szCs w:val="20"/>
          <w:color w:val="auto"/>
        </w:rPr>
      </w:pPr>
    </w:p>
    <w:p>
      <w:pPr>
        <w:ind w:right="100" w:firstLine="405"/>
        <w:spacing w:after="0" w:line="271" w:lineRule="auto"/>
        <w:rPr>
          <w:sz w:val="20"/>
          <w:szCs w:val="20"/>
          <w:color w:val="auto"/>
        </w:rPr>
      </w:pPr>
      <w:r>
        <w:rPr>
          <w:rFonts w:ascii="Arial" w:cs="Arial" w:eastAsia="Arial" w:hAnsi="Arial"/>
          <w:sz w:val="16"/>
          <w:szCs w:val="16"/>
          <w:color w:val="auto"/>
        </w:rPr>
        <w:t xml:space="preserve">During the three months ended March 31, 2020, we entered into privately-negotiated exchange agreements with certain investors holding the 2022 Notes. Pursuant to those exchange agreements, the investors exchanged $59.9 million in aggregate principal amount of outstanding 2022 Notes for 13,688,876 shares of common stock. The investors that participated in such exchange agreements agreed to waive any accrued but unpaid interest on the exchanged 2022 Notes. Included in the 13,688,876 shares of common stock issued in the exchange transactions that took place during the three months ended March 31, 2020 were 942,706 shares valued at $7.9 million on the date of issuance at fair value, which were issued pursuant to the terms of the privately-negotiated exchange agreements and were in excess of the consideration issuable under the original conversion terms of the exchanged 2022 Notes. ASC 470, </w:t>
      </w:r>
      <w:r>
        <w:rPr>
          <w:rFonts w:ascii="Arial" w:cs="Arial" w:eastAsia="Arial" w:hAnsi="Arial"/>
          <w:sz w:val="16"/>
          <w:szCs w:val="16"/>
          <w:i w:val="1"/>
          <w:iCs w:val="1"/>
          <w:color w:val="auto"/>
        </w:rPr>
        <w:t>Debt</w:t>
      </w:r>
      <w:r>
        <w:rPr>
          <w:rFonts w:ascii="Arial" w:cs="Arial" w:eastAsia="Arial" w:hAnsi="Arial"/>
          <w:sz w:val="16"/>
          <w:szCs w:val="16"/>
          <w:color w:val="auto"/>
        </w:rPr>
        <w:t xml:space="preserve"> requires the recognition through earnings of an inducement charge equal to the fair value of the consideration delivered in excess of the consideration issuable under the original conversion terms. This resulted in a non-cash charge of $7.9 million for the three months ended March 31, 2020, which was recorded as inducement expense in the condensed consolidated statement of operations.</w:t>
      </w:r>
    </w:p>
    <w:p>
      <w:pPr>
        <w:spacing w:after="0" w:line="196" w:lineRule="exact"/>
        <w:rPr>
          <w:sz w:val="20"/>
          <w:szCs w:val="20"/>
          <w:color w:val="auto"/>
        </w:rPr>
      </w:pPr>
    </w:p>
    <w:p>
      <w:pPr>
        <w:jc w:val="both"/>
        <w:ind w:right="140" w:firstLine="405"/>
        <w:spacing w:after="0" w:line="243" w:lineRule="auto"/>
        <w:rPr>
          <w:sz w:val="20"/>
          <w:szCs w:val="20"/>
          <w:color w:val="auto"/>
        </w:rPr>
      </w:pPr>
      <w:r>
        <w:rPr>
          <w:rFonts w:ascii="Arial" w:cs="Arial" w:eastAsia="Arial" w:hAnsi="Arial"/>
          <w:sz w:val="18"/>
          <w:szCs w:val="18"/>
          <w:color w:val="auto"/>
        </w:rPr>
        <w:t>Pursuant to the Private Exchange Transactions described above, on May 12, 2020, the holders of an aggregate of $45.0 million principal amount of 2022 Notes exchanged their 2022 Notes for a combination of 2025 Notes and cash. As a result of the Private Exchange Transactions, $2,000 in principal amount of the 2022 Notes were outstanding as of June 30, 2020. On July 22, 2020, pursuant to a redemption notice issued on May 15, 2020, we redeemed the remaining $2,000 principal amount of the 2022 Notes.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Agreement</w:t>
      </w:r>
    </w:p>
    <w:p>
      <w:pPr>
        <w:spacing w:after="0" w:line="104" w:lineRule="exact"/>
        <w:rPr>
          <w:sz w:val="20"/>
          <w:szCs w:val="20"/>
          <w:color w:val="auto"/>
        </w:rPr>
      </w:pPr>
    </w:p>
    <w:p>
      <w:pPr>
        <w:ind w:right="180" w:firstLine="405"/>
        <w:spacing w:after="0" w:line="274" w:lineRule="auto"/>
        <w:rPr>
          <w:sz w:val="20"/>
          <w:szCs w:val="20"/>
          <w:color w:val="auto"/>
        </w:rPr>
      </w:pPr>
      <w:r>
        <w:rPr>
          <w:rFonts w:ascii="Arial" w:cs="Arial" w:eastAsia="Arial" w:hAnsi="Arial"/>
          <w:sz w:val="16"/>
          <w:szCs w:val="16"/>
          <w:color w:val="auto"/>
        </w:rPr>
        <w:t>Pursuant to the amended merger agreement with respect to our acquisition of R.E.R. Enterprises, Inc. (“RER”) and its wholly-owned subsidiary and principal operating asset, Feeney Wireless, LLC (which has been renamed Inseego North America, LLC, the Company agreed to pay a total of</w:t>
      </w:r>
    </w:p>
    <w:p>
      <w:pPr>
        <w:spacing w:after="0" w:line="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$15.0 million in deferred purchase price in five cash installments over a four-year period, beginning in March 2016. The Company also agreed to provide earn-out consideration to the former stockholders of RER in the form of $6.1 million in cash over a four-year period, beginning in March 2016, and issuance of up to 2,920,000 shares of the Company’s common stock in three equal annual installments, beginning in March 2016, contingent upon retention of certain key personnel of RER.</w:t>
      </w:r>
    </w:p>
    <w:p>
      <w:pPr>
        <w:spacing w:after="0" w:line="81" w:lineRule="exact"/>
        <w:rPr>
          <w:sz w:val="20"/>
          <w:szCs w:val="20"/>
          <w:color w:val="auto"/>
        </w:rPr>
      </w:pPr>
    </w:p>
    <w:p>
      <w:pPr>
        <w:ind w:right="60" w:firstLine="405"/>
        <w:spacing w:after="0" w:line="268" w:lineRule="auto"/>
        <w:rPr>
          <w:sz w:val="20"/>
          <w:szCs w:val="20"/>
          <w:color w:val="auto"/>
        </w:rPr>
      </w:pPr>
      <w:r>
        <w:rPr>
          <w:rFonts w:ascii="Arial" w:cs="Arial" w:eastAsia="Arial" w:hAnsi="Arial"/>
          <w:sz w:val="16"/>
          <w:szCs w:val="16"/>
          <w:color w:val="auto"/>
        </w:rPr>
        <w:t>On May 11, 2017, the Company initiated a lawsuit against the former stockholders of RER in the Court of Chancery of the State of Delaware seeking recovery of damages for civil conspiracy, fraud in the inducement, unjust enrichment and breach of fiduciary duty. On January 16, 2018, the former stockholders of RER filed an answer and counterclaim in the matter seeking recovery of certain deferred and earn-out payments allegedly owed to them by the Company in connection with the Company’s acquisition of RER. On July 26, 2018, the Company and the former stockholders of RER entered into a mutual general release and settlement agreement (the “Settlement Agreement”) pursuant to which the parties agreed to release all claims against each other and the Company agreed to (i) pay the former stockholders of RER $1.0 million in cash by August 17, 2018, (ii) immediately instruct its transfer agent to permit the transfer or sale of 973,333 shares of the Company’s common stock that the Company had issued to the former stockholders of RER in March 2017, (iii) immediately issue 500,000 shares of the Company’s common stock to the former stockholders of RER, (iv) within 12 months following the execution of the Settlement Agreement, deliver to the former stockholders of RER an additional $1.0 million in cash, common stock, or a combination thereof, at the Company’s option, (v) within 24 months following the execution of the Settlement Agreement deliver to the former stockholders of RER an additional $1.0 million in cash, common stock, or a combination thereof, at the Company’s option, and (vi) file one or more registration statements with respect to the resale of the shares of the Company’s common stock issued to the former stockholders of RER pursuant to the Settlement Agreement. The Company’s remaining liability under the Settlement Agreement at June 30, 2020 consists of approximately $1.0 million in current liabilities. On July 24, 2020, the Company issued 89,928 shares in satisfaction of the $1.0 million liability.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Agreement</w:t>
      </w:r>
    </w:p>
    <w:p>
      <w:pPr>
        <w:spacing w:after="0" w:line="104" w:lineRule="exact"/>
        <w:rPr>
          <w:sz w:val="20"/>
          <w:szCs w:val="20"/>
          <w:color w:val="auto"/>
        </w:rPr>
      </w:pPr>
    </w:p>
    <w:p>
      <w:pPr>
        <w:ind w:right="20" w:firstLine="405"/>
        <w:spacing w:after="0" w:line="241" w:lineRule="auto"/>
        <w:rPr>
          <w:sz w:val="20"/>
          <w:szCs w:val="20"/>
          <w:color w:val="auto"/>
        </w:rPr>
      </w:pPr>
      <w:r>
        <w:rPr>
          <w:rFonts w:ascii="Arial" w:cs="Arial" w:eastAsia="Arial" w:hAnsi="Arial"/>
          <w:sz w:val="18"/>
          <w:szCs w:val="18"/>
          <w:color w:val="auto"/>
        </w:rPr>
        <w:t>On January 22, 2018, the Company entered into the Rights Agreement and issued a preferred share purchase right (a “Right”) to each of the stockholders of record of each share of the Company’s common stock outstanding on February 2, 2018. Each Right entitles the registered holder, under certain circumstances, to purchase from the Company one one-thousandth of a share of Series D Preferred Stock, par value $0.001 per share (the “Preferred Shares”), of the Company, at a price of $10.00 per one one-thousandth of a Preferred Share represented by a Right, subject to adjustment. The description and terms of the Rights are set forth in the Rights Agreement.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ind w:firstLine="405"/>
        <w:spacing w:after="0" w:line="291" w:lineRule="auto"/>
        <w:rPr>
          <w:sz w:val="20"/>
          <w:szCs w:val="20"/>
          <w:color w:val="auto"/>
        </w:rPr>
      </w:pPr>
      <w:r>
        <w:rPr>
          <w:rFonts w:ascii="Arial" w:cs="Arial" w:eastAsia="Arial" w:hAnsi="Arial"/>
          <w:sz w:val="17"/>
          <w:szCs w:val="17"/>
          <w:color w:val="auto"/>
        </w:rPr>
        <w:t>The Rights are not exercisable until the Distribution Date (as defined in the Rights Agreement). The Rights will expire on the earlier of (i) the close of business on January 22, 2021, (ii) the time at which the Rights are redeemed and (iii) the time at which the Rights are exchanged.</w:t>
      </w:r>
    </w:p>
    <w:p>
      <w:pPr>
        <w:spacing w:after="0" w:line="39"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color w:val="auto"/>
        </w:rPr>
        <w:t>Until a Right is exercised, the holder thereof, as such, will have no rights as a stockholder of the Company, including, without limitation, the right to vote or to receive dividends.</w:t>
      </w:r>
    </w:p>
    <w:p>
      <w:pPr>
        <w:spacing w:after="0" w:line="63"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In connection with an issuance of warrants, on March 28, 2019, we entered into Amendment No. 3 to the Rights Agreement, dated January 22, 2018, as amended from time to time, between us and Computershare Trust Company, N.A., as rights agent, for the purpose of modifying the definition of “Acquiring Person” under the Rights Agreement to permit each of North Sound Trading, L.P. and Golden Harbor Ltd. (together the “Investors”) to remain a Grandfathered Stockholder (as defined in the Rights Agreement) and not be deemed an “Acquiring Person” under the Rights Agreement.</w:t>
      </w:r>
    </w:p>
    <w:p>
      <w:pPr>
        <w:spacing w:after="0" w:line="182" w:lineRule="exact"/>
        <w:rPr>
          <w:sz w:val="20"/>
          <w:szCs w:val="20"/>
          <w:color w:val="auto"/>
        </w:rPr>
      </w:pPr>
    </w:p>
    <w:p>
      <w:pPr>
        <w:ind w:right="100" w:firstLine="405"/>
        <w:spacing w:after="0" w:line="248" w:lineRule="auto"/>
        <w:rPr>
          <w:sz w:val="20"/>
          <w:szCs w:val="20"/>
          <w:color w:val="auto"/>
        </w:rPr>
      </w:pPr>
      <w:r>
        <w:rPr>
          <w:rFonts w:ascii="Arial" w:cs="Arial" w:eastAsia="Arial" w:hAnsi="Arial"/>
          <w:sz w:val="18"/>
          <w:szCs w:val="18"/>
          <w:color w:val="auto"/>
        </w:rPr>
        <w:t>The Investors will remain Grandfathered Stockholders as long as they do not acquire, after the date of the Third Amendment to Rights Agreement, beneficial ownership of our securities (other than as a result of any adjustment provision or the accrual of interest under any outstanding convertible notes) equal to more than 0.50% of the then-outstanding common stock.</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Historical Cash Flows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our unaudited condensed consolidated statements of cash flows for the periods indicated (in thousands):</w:t>
      </w:r>
    </w:p>
    <w:p>
      <w:pPr>
        <w:spacing w:after="0" w:line="147"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13335</wp:posOffset>
            </wp:positionV>
            <wp:extent cx="16459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r>
      <w:tr>
        <w:trPr>
          <w:trHeight w:val="23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4,662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(10,055)</w:t>
            </w:r>
          </w:p>
        </w:tc>
      </w:tr>
      <w:tr>
        <w:trPr>
          <w:trHeight w:val="224"/>
        </w:trPr>
        <w:tc>
          <w:tcPr>
            <w:tcW w:w="860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(13,233)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(11,320)</w:t>
            </w:r>
          </w:p>
        </w:tc>
      </w:tr>
      <w:tr>
        <w:trPr>
          <w:trHeight w:val="33"/>
        </w:trPr>
        <w:tc>
          <w:tcPr>
            <w:tcW w:w="8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41,144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10,311</w:t>
            </w:r>
          </w:p>
        </w:tc>
      </w:tr>
      <w:tr>
        <w:trPr>
          <w:trHeight w:val="223"/>
        </w:trPr>
        <w:tc>
          <w:tcPr>
            <w:tcW w:w="8600" w:type="dxa"/>
            <w:vAlign w:val="bottom"/>
          </w:tcPr>
          <w:p>
            <w:pPr>
              <w:ind w:left="20"/>
              <w:spacing w:after="0"/>
              <w:rPr>
                <w:sz w:val="20"/>
                <w:szCs w:val="20"/>
                <w:color w:val="auto"/>
              </w:rPr>
            </w:pPr>
            <w:r>
              <w:rPr>
                <w:rFonts w:ascii="Arial" w:cs="Arial" w:eastAsia="Arial" w:hAnsi="Arial"/>
                <w:sz w:val="16"/>
                <w:szCs w:val="16"/>
                <w:color w:val="auto"/>
              </w:rPr>
              <w:t>Effect of exchange rates on cash</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(2,547)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317</w:t>
            </w:r>
          </w:p>
        </w:tc>
      </w:tr>
      <w:tr>
        <w:trPr>
          <w:trHeight w:val="33"/>
        </w:trPr>
        <w:tc>
          <w:tcPr>
            <w:tcW w:w="8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8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30,026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(10,747)</w:t>
            </w:r>
          </w:p>
        </w:tc>
      </w:tr>
      <w:tr>
        <w:trPr>
          <w:trHeight w:val="224"/>
        </w:trPr>
        <w:tc>
          <w:tcPr>
            <w:tcW w:w="86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00" w:type="dxa"/>
            <w:vAlign w:val="bottom"/>
          </w:tcPr>
          <w:p>
            <w:pPr>
              <w:spacing w:after="0"/>
              <w:rPr>
                <w:sz w:val="19"/>
                <w:szCs w:val="19"/>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12,074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31,076</w:t>
            </w:r>
          </w:p>
        </w:tc>
      </w:tr>
      <w:tr>
        <w:trPr>
          <w:trHeight w:val="33"/>
        </w:trPr>
        <w:tc>
          <w:tcPr>
            <w:tcW w:w="8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5"/>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42,100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20,329</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firstLine="445"/>
        <w:spacing w:after="0" w:line="238"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provided by operating activities was $4.7 million for the six months ended June 30, 2020, compared to net cash used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activities of $10.1 million for the same period in 2019. Net cash provided by operating activities for the six months ended June 30, 2020 was primarily attributable to the net operating loss in the period and net cash provided by working capital, offset by non-cash charges for the fair value of inducement shares issued in the privately-negotiated exchange transactions with certain holders of the 2022 Notes, depreciation and amortization, including the amortization of debt discount and debt issuance costs, and share-based compensation expense. Net cash used in operating activities for the six months ended June 30, 2019 was primarily attributable to the net loss in the period and net cash used in working capital, partially offset by non-cash charges for depreciation and amortization, including the amortization of debt discount and debt issuance costs, provision for excess and obsolete inventory and share-based compensation expense.</w:t>
      </w:r>
    </w:p>
    <w:p>
      <w:pPr>
        <w:spacing w:after="0" w:line="86" w:lineRule="exact"/>
        <w:rPr>
          <w:sz w:val="20"/>
          <w:szCs w:val="20"/>
          <w:color w:val="auto"/>
        </w:rPr>
      </w:pPr>
    </w:p>
    <w:p>
      <w:pPr>
        <w:ind w:right="60" w:firstLine="445"/>
        <w:spacing w:after="0"/>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in investing activities during the six months ended June 30, 2020 was $13.2 million, compared to net cash used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investing activities of $11.3 million for the same period in 2019. Cash used in investing activities during the six months ended June 30, 2020 was primarily related to the purchases of property, plant and equipment and capitalization of certain costs related to the research and development of software to be sold in our products, in large part due to the increase in development in support of 5G products and services. Cash used in investing activities during the same period in 2019 was primarily related to the purchases of property, plant and equipment and capitalization of certain costs related to the research and development of software to be sold in our products.</w:t>
      </w:r>
    </w:p>
    <w:p>
      <w:pPr>
        <w:spacing w:after="0" w:line="81" w:lineRule="exact"/>
        <w:rPr>
          <w:sz w:val="20"/>
          <w:szCs w:val="20"/>
          <w:color w:val="auto"/>
        </w:rPr>
      </w:pPr>
    </w:p>
    <w:p>
      <w:pPr>
        <w:ind w:right="180" w:firstLine="445"/>
        <w:spacing w:after="0" w:line="274"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Net cash provided by financing activities during the six months ended June 30, 2020 was $41.1 million, compared to net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provided by financing activities of $10.3 million for the same period in 2019. Net cash provided by financing activities during the six months ended</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June 30, 2020 was primarily related to proceeds received from the registered Offering of $100.0 million of 2025 Notes, the sale of $25.0 million of Series E Preferred Stock, receipt of $1.9 million from the exercise of warrants to purchase common stock, and $1.4 million in proceeds received from stock option exercises, partially offset by taxes paid on vested restricted stock units. Uses of cash in financing activities included payoff of the Term Loan and related expenses in the amount of $48.8 million, cash paid to investors in the Private Exchange Transactions of $32.0 million, debt issuance costs of $2.5 million, repurchase of Series E Preferred Stock in the amount of $2.4 million, and principal payments under finance lease obligations. Net cash provided by financing activities for the same period in 2019 was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8" w:name="page39"/>
    <w:bookmarkEnd w:id="38"/>
    <w:p>
      <w:pPr>
        <w:spacing w:after="0" w:line="261" w:lineRule="auto"/>
        <w:rPr>
          <w:sz w:val="20"/>
          <w:szCs w:val="20"/>
          <w:color w:val="auto"/>
        </w:rPr>
      </w:pPr>
      <w:r>
        <w:rPr>
          <w:rFonts w:ascii="Arial" w:cs="Arial" w:eastAsia="Arial" w:hAnsi="Arial"/>
          <w:sz w:val="18"/>
          <w:szCs w:val="18"/>
          <w:color w:val="auto"/>
        </w:rPr>
        <w:t>primarily related to proceeds received from the exercise of warrants to purchase common stock and proceeds received from stock option exercises, partially offset by principal payments under finance lease obligations and taxes paid on vested restricted stock units.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Needs</w:t>
      </w:r>
    </w:p>
    <w:p>
      <w:pPr>
        <w:spacing w:after="0" w:line="104" w:lineRule="exact"/>
        <w:rPr>
          <w:sz w:val="20"/>
          <w:szCs w:val="20"/>
          <w:color w:val="auto"/>
        </w:rPr>
      </w:pPr>
    </w:p>
    <w:p>
      <w:pPr>
        <w:ind w:right="2100" w:firstLine="405"/>
        <w:spacing w:after="0" w:line="261" w:lineRule="auto"/>
        <w:rPr>
          <w:sz w:val="20"/>
          <w:szCs w:val="20"/>
          <w:color w:val="auto"/>
        </w:rPr>
      </w:pPr>
      <w:r>
        <w:rPr>
          <w:rFonts w:ascii="Arial" w:cs="Arial" w:eastAsia="Arial" w:hAnsi="Arial"/>
          <w:sz w:val="18"/>
          <w:szCs w:val="18"/>
          <w:color w:val="auto"/>
        </w:rPr>
        <w:t>At June 30, 2020 the Company had $42.1 million of cash and cash equivalents on hand. Under the terms of the indenture governing the 2025 Notes, there were no principal payments due until 2025.</w:t>
      </w:r>
    </w:p>
    <w:p>
      <w:pPr>
        <w:spacing w:after="0" w:line="198" w:lineRule="exact"/>
        <w:rPr>
          <w:sz w:val="20"/>
          <w:szCs w:val="20"/>
          <w:color w:val="auto"/>
        </w:rPr>
      </w:pPr>
    </w:p>
    <w:p>
      <w:pPr>
        <w:ind w:right="2160" w:firstLine="405"/>
        <w:spacing w:after="0" w:line="324" w:lineRule="auto"/>
        <w:rPr>
          <w:sz w:val="20"/>
          <w:szCs w:val="20"/>
          <w:color w:val="auto"/>
        </w:rPr>
      </w:pPr>
      <w:r>
        <w:rPr>
          <w:rFonts w:ascii="Arial" w:cs="Arial" w:eastAsia="Arial" w:hAnsi="Arial"/>
          <w:sz w:val="16"/>
          <w:szCs w:val="16"/>
          <w:color w:val="auto"/>
        </w:rPr>
        <w:t>Based on the above, the Company’s management believes that its current cash and cash equivalents, together with anticipated cash flows from operations, will be sufficient to meet its working capital needs without additional sources of cash.</w:t>
      </w:r>
    </w:p>
    <w:p>
      <w:pPr>
        <w:spacing w:after="0" w:line="70" w:lineRule="exact"/>
        <w:rPr>
          <w:sz w:val="20"/>
          <w:szCs w:val="20"/>
          <w:color w:val="auto"/>
        </w:rPr>
      </w:pPr>
    </w:p>
    <w:p>
      <w:pPr>
        <w:ind w:right="60" w:firstLine="405"/>
        <w:spacing w:after="0" w:line="255" w:lineRule="auto"/>
        <w:rPr>
          <w:sz w:val="20"/>
          <w:szCs w:val="20"/>
          <w:color w:val="auto"/>
        </w:rPr>
      </w:pPr>
      <w:r>
        <w:rPr>
          <w:rFonts w:ascii="Arial" w:cs="Arial" w:eastAsia="Arial" w:hAnsi="Arial"/>
          <w:sz w:val="17"/>
          <w:szCs w:val="17"/>
          <w:color w:val="auto"/>
        </w:rPr>
        <w:t>The Company’s liquidity could be impaired if there is any interruption in its business operations, a material failure to satisfy its contractual commitments or a failure to generate revenue from new or existing products. Ultimately, the Company’s ability to attain profitability and to generate positive cash flow is dependent upon achieving a level of revenues adequate to support its evolving cost structure and increasing working capital needs. If events or circumstances occur such that the Company does not meet its operating plan as expected, the Company may be required to raise additional capital, reduce planned research and development activities, incur additional restructuring charges or reduce other operating expenses which could have an adverse impact on its ability to achieve its intended business objectives. There can be no assurance that any required or desired restructuring or financing will be available on terms favorable to the Company, or at all.</w:t>
      </w:r>
    </w:p>
    <w:p>
      <w:pPr>
        <w:spacing w:after="0" w:line="126" w:lineRule="exact"/>
        <w:rPr>
          <w:sz w:val="20"/>
          <w:szCs w:val="20"/>
          <w:color w:val="auto"/>
        </w:rPr>
      </w:pPr>
    </w:p>
    <w:p>
      <w:pPr>
        <w:ind w:right="40" w:firstLine="405"/>
        <w:spacing w:after="0"/>
        <w:rPr>
          <w:sz w:val="20"/>
          <w:szCs w:val="20"/>
          <w:color w:val="auto"/>
        </w:rPr>
      </w:pPr>
      <w:r>
        <w:rPr>
          <w:rFonts w:ascii="Arial" w:cs="Arial" w:eastAsia="Arial" w:hAnsi="Arial"/>
          <w:sz w:val="18"/>
          <w:szCs w:val="18"/>
          <w:color w:val="auto"/>
        </w:rPr>
        <w:t>The global outbreak of COVID-19 was declared a pandemic by the World Health Organization and a national emergency by the U.S. Government in March 2020 and has negatively impacted the U.S. and global economy, disrupted global supply chains, resulted in significant travel and transport restrictions, including mandated closures and orders to “shelter-in-place,” and created significant disruption of the financial markets. The extent of the impact of the COVID-19 pandemic on our operational and financial performance will depend on future developments, including the duration and spread of the pandemic and related actions taken by the U.S. government, state and local government officials, and international governments to prevent disease spread, all of which are uncertain and cannot be predicted.</w:t>
      </w:r>
    </w:p>
    <w:p>
      <w:pPr>
        <w:spacing w:after="0" w:line="324" w:lineRule="exact"/>
        <w:rPr>
          <w:sz w:val="20"/>
          <w:szCs w:val="20"/>
          <w:color w:val="auto"/>
        </w:rPr>
      </w:pPr>
    </w:p>
    <w:p>
      <w:pPr>
        <w:ind w:firstLine="405"/>
        <w:spacing w:after="0" w:line="243" w:lineRule="auto"/>
        <w:rPr>
          <w:sz w:val="20"/>
          <w:szCs w:val="20"/>
          <w:color w:val="auto"/>
        </w:rPr>
      </w:pPr>
      <w:r>
        <w:rPr>
          <w:rFonts w:ascii="Arial" w:cs="Arial" w:eastAsia="Arial" w:hAnsi="Arial"/>
          <w:sz w:val="18"/>
          <w:szCs w:val="18"/>
          <w:color w:val="auto"/>
        </w:rPr>
        <w:t>On March 27, 2020, the President of the United States signed and enacted into law the Coronavirus Aid, Relief, and Economic Security Act (“CARES Act”), a $2 trillion economic relief bill. Pursuant to the CARES Act's relief related to federal employment taxes, we have elected to defer payment of such taxes beginning in April 2020, with $0.6 million in deferred taxes as of June 30, 2020, which will be due in two equal installments in 2021 and 2022.</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engage in any off-balance sheet arrangements.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140" w:firstLine="405"/>
        <w:spacing w:after="0" w:line="241" w:lineRule="auto"/>
        <w:rPr>
          <w:sz w:val="20"/>
          <w:szCs w:val="20"/>
          <w:color w:val="auto"/>
        </w:rPr>
      </w:pPr>
      <w:r>
        <w:rPr>
          <w:rFonts w:ascii="Arial" w:cs="Arial" w:eastAsia="Arial" w:hAnsi="Arial"/>
          <w:sz w:val="18"/>
          <w:szCs w:val="18"/>
          <w:color w:val="auto"/>
        </w:rPr>
        <w:t>The Company maintains disclosure controls and procedures, as defined in Rule 13a-15(e) and 15d-15(e) promulgated under the Exchange Act, that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spacing w:after="0" w:line="81" w:lineRule="exact"/>
        <w:rPr>
          <w:sz w:val="20"/>
          <w:szCs w:val="20"/>
          <w:color w:val="auto"/>
        </w:rPr>
      </w:pPr>
    </w:p>
    <w:p>
      <w:pPr>
        <w:ind w:right="40" w:firstLine="405"/>
        <w:spacing w:after="0" w:line="241" w:lineRule="auto"/>
        <w:rPr>
          <w:sz w:val="20"/>
          <w:szCs w:val="20"/>
          <w:color w:val="auto"/>
        </w:rPr>
      </w:pPr>
      <w:r>
        <w:rPr>
          <w:rFonts w:ascii="Arial" w:cs="Arial" w:eastAsia="Arial" w:hAnsi="Arial"/>
          <w:sz w:val="18"/>
          <w:szCs w:val="18"/>
          <w:color w:val="auto"/>
        </w:rPr>
        <w:t>As required by Rule 13a-15(b) promulgated under the Exchange Act, the Company carried out an evaluation, under the supervision and with the participation of the Company’s management, including the Company’s principal executive officer and principal financial officer, of the effectiveness of the design and operation of the Company’s disclosure controls and procedures as of June 30, 2020, the end of the period covered by this report. Based on the foregoing, our principal executive officer and principal financial officer concluded that our disclosure controls and procedures were effective as of June 30, 2020.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100" w:firstLine="405"/>
        <w:spacing w:after="0" w:line="248"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and 15d-15(f) promulgated under the Exchange Act, during the three months ended June 30, 2020, that have materially affected, or are reasonably likely to materially affect, the Company’s internal control over financial reporting.</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08" w:lineRule="exact"/>
        <w:rPr>
          <w:sz w:val="20"/>
          <w:szCs w:val="20"/>
          <w:color w:val="auto"/>
        </w:rPr>
      </w:pPr>
    </w:p>
    <w:p>
      <w:pPr>
        <w:ind w:right="200" w:firstLine="405"/>
        <w:spacing w:after="0" w:line="261" w:lineRule="auto"/>
        <w:rPr>
          <w:sz w:val="20"/>
          <w:szCs w:val="20"/>
          <w:color w:val="auto"/>
        </w:rPr>
      </w:pPr>
      <w:r>
        <w:rPr>
          <w:rFonts w:ascii="Arial" w:cs="Arial" w:eastAsia="Arial" w:hAnsi="Arial"/>
          <w:sz w:val="18"/>
          <w:szCs w:val="18"/>
          <w:color w:val="auto"/>
        </w:rPr>
        <w:t xml:space="preserve">The disclosure in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unaudited condensed consolidated financial statements includes a discussion of our legal proceedings and is incorporated herein by reference.</w:t>
      </w:r>
    </w:p>
    <w:p>
      <w:pPr>
        <w:spacing w:after="0" w:line="63" w:lineRule="exact"/>
        <w:rPr>
          <w:sz w:val="20"/>
          <w:szCs w:val="20"/>
          <w:color w:val="auto"/>
        </w:rPr>
      </w:pPr>
    </w:p>
    <w:p>
      <w:pPr>
        <w:ind w:right="220" w:firstLine="405"/>
        <w:spacing w:after="0" w:line="248" w:lineRule="auto"/>
        <w:rPr>
          <w:sz w:val="20"/>
          <w:szCs w:val="20"/>
          <w:color w:val="auto"/>
        </w:rPr>
      </w:pPr>
      <w:r>
        <w:rPr>
          <w:rFonts w:ascii="Arial" w:cs="Arial" w:eastAsia="Arial" w:hAnsi="Arial"/>
          <w:sz w:val="18"/>
          <w:szCs w:val="18"/>
          <w:color w:val="auto"/>
        </w:rPr>
        <w:t>The Company is also engaged in various other legal actions arising in the ordinary course of our business and, while there can be no assurance, the Company currently believes that the ultimate outcome of these other legal actions will not have a material adverse effect on its business, results of operations, financial condition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color w:val="auto"/>
        </w:rPr>
        <w:t>Except as set forth below, there have been no material changes in our risk factors from those disclosed in “Item 1A. Risk Factors” of the Form 10-K and the Company’s Quarterly Report on Form 10-Q for the three months ended March 31, 2020.</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debt service requirements are significant, and we may not have sufficient cash flow from our business to pay our substantial debt.</w:t>
      </w:r>
    </w:p>
    <w:p>
      <w:pPr>
        <w:spacing w:after="0" w:line="250" w:lineRule="exact"/>
        <w:rPr>
          <w:sz w:val="20"/>
          <w:szCs w:val="20"/>
          <w:color w:val="auto"/>
        </w:rPr>
      </w:pPr>
    </w:p>
    <w:p>
      <w:pPr>
        <w:ind w:right="80" w:firstLine="445"/>
        <w:spacing w:after="0" w:line="254" w:lineRule="auto"/>
        <w:rPr>
          <w:sz w:val="20"/>
          <w:szCs w:val="20"/>
          <w:color w:val="auto"/>
        </w:rPr>
      </w:pPr>
      <w:r>
        <w:rPr>
          <w:rFonts w:ascii="Arial" w:cs="Arial" w:eastAsia="Arial" w:hAnsi="Arial"/>
          <w:sz w:val="17"/>
          <w:szCs w:val="17"/>
          <w:color w:val="auto"/>
        </w:rPr>
        <w:t>During the second quarter of 2020, we issued $180.4 million of 2025 Notes and used a portion of the proceeds to repay the Term Loan in full and retire the 2022 Notes. Our ability to make scheduled payments of the principal of, to pay interest on, or to refinance our indebtedness, depends on our future performance, which is subject to economic, financial, competitive and other factors beyond our control. Our business may not generate cash flow from operations in the future sufficient to service our debt and other fixed charges, fund working capital needs and make necessary capital expenditures. If we are unable to generate such cash flow, we may be required to adopt one or more alternatives, such as selling assets, refinancing or restructuring debt or obtaining additional equity capital on terms that may be onerous or dilutive. Our ability to refinance or restructure our indebtedness will depend on the capital markets and our financial condition at such time. We may not be able to engage in any of these activities or engage in these activities on favorable terms, which could result in a default on our debt obligations.</w:t>
      </w:r>
    </w:p>
    <w:p>
      <w:pPr>
        <w:spacing w:after="0" w:line="208" w:lineRule="exact"/>
        <w:rPr>
          <w:sz w:val="20"/>
          <w:szCs w:val="20"/>
          <w:color w:val="auto"/>
        </w:rPr>
      </w:pPr>
    </w:p>
    <w:p>
      <w:pPr>
        <w:ind w:right="40" w:firstLine="445"/>
        <w:spacing w:after="0" w:line="243" w:lineRule="auto"/>
        <w:rPr>
          <w:sz w:val="20"/>
          <w:szCs w:val="20"/>
          <w:color w:val="auto"/>
        </w:rPr>
      </w:pPr>
      <w:r>
        <w:rPr>
          <w:rFonts w:ascii="Arial" w:cs="Arial" w:eastAsia="Arial" w:hAnsi="Arial"/>
          <w:sz w:val="18"/>
          <w:szCs w:val="18"/>
          <w:color w:val="auto"/>
        </w:rPr>
        <w:t>If we are unable to generate sufficient cash flow or otherwise obtain funds necessary to make required payments, or if we fail to comply with the various requirements of our existing indebtedness or any other indebtedness which we may incur in the future, we would be in default, which could permit the holders of the 2025 Notes to accelerate the maturity of such indebtedness. Any default under such indebtedness could have a material adverse effect on our business, results of operations and financial condition.</w:t>
      </w:r>
    </w:p>
    <w:p>
      <w:pPr>
        <w:spacing w:after="0" w:line="21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Future settlements of any conversion obligations with respect to the 2025 Notes may result in dilution to existing stockholders, lower prevailing market prices for our common stock or require a significant cash outlay.</w:t>
      </w:r>
    </w:p>
    <w:p>
      <w:pPr>
        <w:spacing w:after="0" w:line="198" w:lineRule="exact"/>
        <w:rPr>
          <w:sz w:val="20"/>
          <w:szCs w:val="20"/>
          <w:color w:val="auto"/>
        </w:rPr>
      </w:pPr>
    </w:p>
    <w:p>
      <w:pPr>
        <w:ind w:firstLine="445"/>
        <w:spacing w:after="0" w:line="270" w:lineRule="auto"/>
        <w:rPr>
          <w:sz w:val="20"/>
          <w:szCs w:val="20"/>
          <w:color w:val="auto"/>
        </w:rPr>
      </w:pPr>
      <w:r>
        <w:rPr>
          <w:rFonts w:ascii="Arial" w:cs="Arial" w:eastAsia="Arial" w:hAnsi="Arial"/>
          <w:sz w:val="16"/>
          <w:szCs w:val="16"/>
          <w:color w:val="auto"/>
        </w:rPr>
        <w:t>The 2025 Notes are currently convertible at the option of the holders at any time until close of business on the business day immediately preceding the maturity date. The 2025 Notes are convertible into shares of the Company’s common stock at a conversion rate of 79.2896 shares of common stock per $1,000 principal amount of 2025 Notes (which is equivalent to an initial conversion price of $12.61 per share of common stock). The conversion rate is subject to adjustment if certain events occur, but in no event will the conversion rate exceed 95.1474 shares of common stock per $1,000 principal amount of 2025 Notes (which is equivalent to a conversion price of $10.51 per share of common stock). Holders of the 2025 Notes who convert may also be entitled to receive, under certain circumstances, an interest make-whole payment payable in, at our election, either cash or shares of common stock. If holders of the 2025 Notes elect to convert their 2025 Notes into common stock, or if we elect to settle any interest make-whole payments due upon conversion of the 2025 Notes with shares of common stock, this may cause significant dilution to our existing stockholders. Any sales in the public market of the common stock issued upon such conversion could adversely affect prevailing market prices of our common stock. If we do elect to settle any interest make-whole payments due upon conversion of the 2025 Notes with cash, such payments could adversely affect our liquidity.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provisions in the Indenture relating to the 2025 Notes could delay or prevent an otherwise beneficial takeover or takeover attempt of us.</w:t>
      </w:r>
    </w:p>
    <w:p>
      <w:pPr>
        <w:spacing w:after="0" w:line="262" w:lineRule="exact"/>
        <w:rPr>
          <w:sz w:val="20"/>
          <w:szCs w:val="20"/>
          <w:color w:val="auto"/>
        </w:rPr>
      </w:pPr>
    </w:p>
    <w:p>
      <w:pPr>
        <w:ind w:right="60" w:firstLine="445"/>
        <w:spacing w:after="0" w:line="259" w:lineRule="auto"/>
        <w:rPr>
          <w:sz w:val="20"/>
          <w:szCs w:val="20"/>
          <w:color w:val="auto"/>
        </w:rPr>
      </w:pPr>
      <w:r>
        <w:rPr>
          <w:rFonts w:ascii="Arial" w:cs="Arial" w:eastAsia="Arial" w:hAnsi="Arial"/>
          <w:sz w:val="17"/>
          <w:szCs w:val="17"/>
          <w:color w:val="auto"/>
        </w:rPr>
        <w:t>Certain provisions in the Indenture relating to the 2025 Notes could make it more difficult or more expensive for a third party to acquire us. For example, if a takeover would constitute a fundamental change (as defined in the Indenture), holders of the 2025 Notes will have the right to require us to repurchase their notes in cash. In addition, if a takeover constitutes a make-whole fundamental change, we may be required to increase the conversion rate for holders who convert their 2025 Notes in connection with such takeover. In either case, and in other cases, our obligations under the 2025 Notes and the related Indenture could increase the cost of acquiring us or otherwise discourage a third party from acquiring us.</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Ownership of our common stock is concentrated, and as a result, certain stockholders may exercise significant influence over us.</w:t>
      </w:r>
    </w:p>
    <w:p>
      <w:pPr>
        <w:spacing w:after="0" w:line="239" w:lineRule="exact"/>
        <w:rPr>
          <w:sz w:val="20"/>
          <w:szCs w:val="20"/>
          <w:color w:val="auto"/>
        </w:rPr>
      </w:pPr>
    </w:p>
    <w:p>
      <w:pPr>
        <w:ind w:right="80" w:firstLine="445"/>
        <w:spacing w:after="0" w:line="282" w:lineRule="auto"/>
        <w:rPr>
          <w:sz w:val="20"/>
          <w:szCs w:val="20"/>
          <w:color w:val="auto"/>
        </w:rPr>
      </w:pPr>
      <w:r>
        <w:rPr>
          <w:rFonts w:ascii="Arial" w:cs="Arial" w:eastAsia="Arial" w:hAnsi="Arial"/>
          <w:sz w:val="16"/>
          <w:szCs w:val="16"/>
          <w:color w:val="auto"/>
        </w:rPr>
        <w:t>As of June 30, 2020, North Sound Trading, L.P. and Golden Harbor Ltd. (together the “Investors”) and their affiliates own an aggregate of approximately 29.2% of the outstanding shares of our common stock. The Investors and their affiliates also hold approximately $80.0 million of the 2025</w:t>
      </w:r>
    </w:p>
    <w:p>
      <w:pPr>
        <w:ind w:right="60"/>
        <w:spacing w:after="0" w:line="261" w:lineRule="auto"/>
        <w:rPr>
          <w:sz w:val="20"/>
          <w:szCs w:val="20"/>
          <w:color w:val="auto"/>
        </w:rPr>
      </w:pPr>
      <w:r>
        <w:rPr>
          <w:rFonts w:ascii="Arial" w:cs="Arial" w:eastAsia="Arial" w:hAnsi="Arial"/>
          <w:sz w:val="18"/>
          <w:szCs w:val="18"/>
          <w:color w:val="auto"/>
        </w:rPr>
        <w:t>Notes (44.3% of the total principal amount). The Indenture relating to the 2025 Notes includes a Section 382 conversion blocker that may prevent the Investors from converting their 2025 Notes unless they receive the prior written approval of our Board of Directors. Assuming the conversion of the 2025 Notes owned</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by the Investors and their affiliates and the exercise of the warrants also owned by the Investors and their affiliates, the Investors and their affiliates would own approximately 37.2% of the outstanding shares of our common stock. As a result, the Investors have the ability to significantly influence the outcome of any matter submitted for the vote of the holders of our common stock.</w:t>
      </w:r>
    </w:p>
    <w:p>
      <w:pPr>
        <w:spacing w:after="0" w:line="216" w:lineRule="exact"/>
        <w:rPr>
          <w:sz w:val="20"/>
          <w:szCs w:val="20"/>
          <w:color w:val="auto"/>
        </w:rPr>
      </w:pPr>
    </w:p>
    <w:p>
      <w:pPr>
        <w:ind w:right="40" w:firstLine="445"/>
        <w:spacing w:after="0" w:line="241" w:lineRule="auto"/>
        <w:rPr>
          <w:sz w:val="20"/>
          <w:szCs w:val="20"/>
          <w:color w:val="auto"/>
        </w:rPr>
      </w:pPr>
      <w:r>
        <w:rPr>
          <w:rFonts w:ascii="Arial" w:cs="Arial" w:eastAsia="Arial" w:hAnsi="Arial"/>
          <w:sz w:val="18"/>
          <w:szCs w:val="18"/>
          <w:color w:val="auto"/>
        </w:rPr>
        <w:t>The concentration of voting power could exert substantial influence over our business. For example, the concentration of voting power could delay, defer or prevent a change of control, entrench our management and the board of directors or delay or prevent a merger, consolidation, takeover or other business combination involving us on terms that other security holders may desire. In addition, conflicts of interest could arise in the future between us on the one hand, and either or both of the Investors on the other hand, concerning potential competitive business activities, business opportunities, capital financing, the issuance of additional securities and other matters.</w:t>
      </w:r>
    </w:p>
    <w:p>
      <w:pPr>
        <w:spacing w:after="0" w:line="216" w:lineRule="exact"/>
        <w:rPr>
          <w:sz w:val="20"/>
          <w:szCs w:val="20"/>
          <w:color w:val="auto"/>
        </w:rPr>
      </w:pPr>
    </w:p>
    <w:p>
      <w:pPr>
        <w:ind w:firstLine="445"/>
        <w:spacing w:after="0" w:line="274" w:lineRule="auto"/>
        <w:rPr>
          <w:sz w:val="20"/>
          <w:szCs w:val="20"/>
          <w:color w:val="auto"/>
        </w:rPr>
      </w:pPr>
      <w:r>
        <w:rPr>
          <w:rFonts w:ascii="Arial" w:cs="Arial" w:eastAsia="Arial" w:hAnsi="Arial"/>
          <w:sz w:val="16"/>
          <w:szCs w:val="16"/>
          <w:color w:val="auto"/>
        </w:rPr>
        <w:t>In addition, pursuant to that certain Securities Purchase Agreement, dated August 6, 2018, by and among Inseego and the Investors (the “Purchase Agreement”), each of the Investors has the right to nominate a director so long as such Investor and its affiliates beneficially own at least 5% of the issued and outstanding shares of common stock of the Company, subject to satisfaction of reasonable qualification standards. The Purchase Agreement further provides that, at any time at which either Investor, together with its affiliates, beneficially owns more than 20% of the issued and outstanding common shares of stock of the Company, such Investor shall be entitled to appoint a second director, and the size of our Board of Directors shall not be increased to exceed seven directors. Notwithstanding the fact that all directors will be subject to fiduciary duties to the Company and to applicable law, the interests of the directors designated by the Investors may differ from the interests of our security holders as a whole or of our other directors.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 except as previously disclosed in the Company’s Current Reports on Form 8-K, and except for the issuance described below.</w:t>
      </w:r>
    </w:p>
    <w:p>
      <w:pPr>
        <w:spacing w:after="0" w:line="239" w:lineRule="exact"/>
        <w:rPr>
          <w:sz w:val="20"/>
          <w:szCs w:val="20"/>
          <w:color w:val="auto"/>
        </w:rPr>
      </w:pPr>
    </w:p>
    <w:p>
      <w:pPr>
        <w:ind w:right="80" w:firstLine="405"/>
        <w:spacing w:after="0" w:line="279" w:lineRule="auto"/>
        <w:rPr>
          <w:sz w:val="20"/>
          <w:szCs w:val="20"/>
          <w:color w:val="auto"/>
        </w:rPr>
      </w:pPr>
      <w:r>
        <w:rPr>
          <w:rFonts w:ascii="Arial" w:cs="Arial" w:eastAsia="Arial" w:hAnsi="Arial"/>
          <w:sz w:val="16"/>
          <w:szCs w:val="16"/>
          <w:color w:val="auto"/>
        </w:rPr>
        <w:t>On May 12, 2020, pursuant to a privately-negotiated exchange agreement, an investor holding $150,000 principal amount of the Company’s outstanding 2022 Notes agreed to exchange such notes for $375,000 principal amount of 2025 Notes in a private placement transaction. This issuance of 2025 Notes was exempt from the registration requirements of the Securities Act pursuant to the exemption for transactions by an issuer not involving any public offering under Section 4(a)(2) of the Securities Act. The disclosure in Note 4, Debt, in the accompanying unaudited condensed consolidated financial statements includes a description of the terms of conversion of the 2025 Notes and is incorporated herein by reference.</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38" w:right="4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6"/>
                <w:szCs w:val="16"/>
                <w:color w:val="auto"/>
              </w:rPr>
            </w:pPr>
          </w:p>
        </w:tc>
        <w:tc>
          <w:tcPr>
            <w:tcW w:w="8800" w:type="dxa"/>
            <w:vAlign w:val="bottom"/>
            <w:gridSpan w:val="5"/>
          </w:tcPr>
          <w:p>
            <w:pPr>
              <w:spacing w:after="0"/>
              <w:rPr>
                <w:sz w:val="20"/>
                <w:szCs w:val="20"/>
                <w:color w:val="auto"/>
              </w:rPr>
            </w:pPr>
            <w:r>
              <w:rPr>
                <w:rFonts w:ascii="Arial" w:cs="Arial" w:eastAsia="Arial" w:hAnsi="Arial"/>
                <w:sz w:val="14"/>
                <w:szCs w:val="14"/>
                <w:b w:val="1"/>
                <w:bCs w:val="1"/>
                <w:color w:val="auto"/>
              </w:rPr>
              <w:t>Description</w:t>
            </w:r>
          </w:p>
        </w:tc>
      </w:tr>
      <w:tr>
        <w:trPr>
          <w:trHeight w:val="283"/>
        </w:trPr>
        <w:tc>
          <w:tcPr>
            <w:tcW w:w="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800" w:type="dxa"/>
            <w:vAlign w:val="bottom"/>
            <w:tcBorders>
              <w:top w:val="single" w:sz="8" w:color="auto"/>
            </w:tcBorders>
            <w:gridSpan w:val="5"/>
          </w:tcPr>
          <w:p>
            <w:pPr>
              <w:spacing w:after="0"/>
              <w:rPr>
                <w:rFonts w:ascii="Arial" w:cs="Arial" w:eastAsia="Arial" w:hAnsi="Arial"/>
                <w:sz w:val="18"/>
                <w:szCs w:val="18"/>
                <w:color w:val="0000FF"/>
                <w:w w:val="93"/>
              </w:rPr>
            </w:pPr>
            <w:hyperlink r:id="rId56">
              <w:r>
                <w:rPr>
                  <w:rFonts w:ascii="Arial" w:cs="Arial" w:eastAsia="Arial" w:hAnsi="Arial"/>
                  <w:sz w:val="18"/>
                  <w:szCs w:val="18"/>
                  <w:color w:val="0000FF"/>
                  <w:w w:val="93"/>
                </w:rPr>
                <w:t>Amended and Restated Certificate of Incorporation (incorporated by reference to Exhibit 3.1 to the Company’s Current</w:t>
              </w:r>
            </w:hyperlink>
          </w:p>
        </w:tc>
      </w:tr>
      <w:tr>
        <w:trPr>
          <w:trHeight w:val="169"/>
        </w:trPr>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8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Report on Form 8-K, filed November 9, 2016).</w:t>
              </w:r>
            </w:hyperlink>
          </w:p>
        </w:tc>
        <w:tc>
          <w:tcPr>
            <w:tcW w:w="520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1"/>
        </w:trPr>
        <w:tc>
          <w:tcPr>
            <w:tcW w:w="90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0" w:type="dxa"/>
            <w:vAlign w:val="bottom"/>
            <w:gridSpan w:val="5"/>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Amended and Restated Bylaws (incorporated by reference to Exhibit 3.2 to the Company’s Current Report on Form 8-K,</w:t>
              </w:r>
            </w:hyperlink>
          </w:p>
        </w:tc>
      </w:tr>
      <w:tr>
        <w:trPr>
          <w:trHeight w:val="169"/>
        </w:trPr>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filed November 9, 2016).</w:t>
              </w:r>
            </w:hyperlink>
          </w:p>
        </w:tc>
        <w:tc>
          <w:tcPr>
            <w:tcW w:w="6880" w:type="dxa"/>
            <w:vAlign w:val="bottom"/>
            <w:tcBorders>
              <w:top w:val="single" w:sz="8" w:color="0000FF"/>
            </w:tcBorders>
            <w:gridSpan w:val="3"/>
          </w:tcPr>
          <w:p>
            <w:pPr>
              <w:spacing w:after="0"/>
              <w:rPr>
                <w:sz w:val="14"/>
                <w:szCs w:val="14"/>
                <w:color w:val="auto"/>
              </w:rPr>
            </w:pPr>
          </w:p>
        </w:tc>
        <w:tc>
          <w:tcPr>
            <w:tcW w:w="100" w:type="dxa"/>
            <w:vAlign w:val="bottom"/>
          </w:tcPr>
          <w:p>
            <w:pPr>
              <w:spacing w:after="0"/>
              <w:rPr>
                <w:sz w:val="14"/>
                <w:szCs w:val="14"/>
                <w:color w:val="auto"/>
              </w:rPr>
            </w:pPr>
          </w:p>
        </w:tc>
      </w:tr>
    </w:tbl>
    <w:p>
      <w:pPr>
        <w:spacing w:after="0" w:line="107" w:lineRule="exact"/>
        <w:rPr>
          <w:sz w:val="20"/>
          <w:szCs w:val="20"/>
          <w:color w:val="auto"/>
        </w:rPr>
      </w:pPr>
    </w:p>
    <w:p>
      <w:pPr>
        <w:sectPr>
          <w:pgSz w:w="11900" w:h="16838" w:orient="portrait"/>
          <w:cols w:equalWidth="0" w:num="1">
            <w:col w:w="10139"/>
          </w:cols>
          <w:pgMar w:left="320" w:top="891" w:right="1440" w:bottom="1440" w:gutter="0" w:footer="0" w:header="0"/>
        </w:sectPr>
      </w:pPr>
    </w:p>
    <w:p>
      <w:pPr>
        <w:ind w:left="20"/>
        <w:spacing w:after="0"/>
        <w:rPr>
          <w:sz w:val="20"/>
          <w:szCs w:val="20"/>
          <w:color w:val="auto"/>
        </w:rPr>
      </w:pPr>
      <w:r>
        <w:rPr>
          <w:rFonts w:ascii="Arial" w:cs="Arial" w:eastAsia="Arial" w:hAnsi="Arial"/>
          <w:sz w:val="18"/>
          <w:szCs w:val="18"/>
          <w:color w:val="auto"/>
        </w:rPr>
        <w:t>3.3</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3.4</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3.5</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10.2</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10.3</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10.4</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10.5</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379"/>
        <w:spacing w:after="0" w:line="246" w:lineRule="auto"/>
        <w:rPr>
          <w:rFonts w:ascii="Arial" w:cs="Arial" w:eastAsia="Arial" w:hAnsi="Arial"/>
          <w:sz w:val="18"/>
          <w:szCs w:val="18"/>
          <w:u w:val="single" w:color="auto"/>
          <w:color w:val="0000FF"/>
        </w:rPr>
      </w:pPr>
      <w:hyperlink r:id="rId58">
        <w:r>
          <w:rPr>
            <w:rFonts w:ascii="Arial" w:cs="Arial" w:eastAsia="Arial" w:hAnsi="Arial"/>
            <w:sz w:val="18"/>
            <w:szCs w:val="18"/>
            <w:u w:val="single" w:color="auto"/>
            <w:color w:val="0000FF"/>
          </w:rPr>
          <w:t>Certificate of Designation of Series D Junior Participating Preferred Stock of Inseego Corp. (incorporated by reference to</w:t>
        </w:r>
      </w:hyperlink>
      <w:r>
        <w:rPr>
          <w:rFonts w:ascii="Arial" w:cs="Arial" w:eastAsia="Arial" w:hAnsi="Arial"/>
          <w:sz w:val="18"/>
          <w:szCs w:val="18"/>
          <w:u w:val="single" w:color="auto"/>
          <w:color w:val="0000FF"/>
        </w:rPr>
        <w:t xml:space="preserve"> </w:t>
      </w:r>
      <w:hyperlink r:id="rId58">
        <w:r>
          <w:rPr>
            <w:rFonts w:ascii="Arial" w:cs="Arial" w:eastAsia="Arial" w:hAnsi="Arial"/>
            <w:sz w:val="18"/>
            <w:szCs w:val="18"/>
            <w:u w:val="single" w:color="auto"/>
            <w:color w:val="0000FF"/>
          </w:rPr>
          <w:t>Exhibit 3.1 to the Company’s Current Report on Form 8-K, filed January 22, 2018).</w:t>
        </w:r>
      </w:hyperlink>
    </w:p>
    <w:p>
      <w:pPr>
        <w:spacing w:after="0" w:line="62" w:lineRule="exact"/>
        <w:rPr>
          <w:sz w:val="20"/>
          <w:szCs w:val="20"/>
          <w:color w:val="auto"/>
        </w:rPr>
      </w:pPr>
    </w:p>
    <w:p>
      <w:pPr>
        <w:ind w:right="359"/>
        <w:spacing w:after="0" w:line="224" w:lineRule="auto"/>
        <w:rPr>
          <w:rFonts w:ascii="Arial" w:cs="Arial" w:eastAsia="Arial" w:hAnsi="Arial"/>
          <w:sz w:val="18"/>
          <w:szCs w:val="18"/>
          <w:u w:val="single" w:color="auto"/>
          <w:color w:val="0000FF"/>
        </w:rPr>
      </w:pPr>
      <w:hyperlink r:id="rId59">
        <w:r>
          <w:rPr>
            <w:rFonts w:ascii="Arial" w:cs="Arial" w:eastAsia="Arial" w:hAnsi="Arial"/>
            <w:sz w:val="18"/>
            <w:szCs w:val="18"/>
            <w:u w:val="single" w:color="auto"/>
            <w:color w:val="0000FF"/>
          </w:rPr>
          <w:t>Certificate of Designation of Series E Fixed-Rate Cumulative Perpetual Preferred Stock filed with the Secretary of State</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of the State of Delaware on August 8, 2019 (incorporated by reference to Exhibit 3.1 to the Company’s Current Report on</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Form 8-K, filed August 13, 2019).</w:t>
        </w:r>
      </w:hyperlink>
    </w:p>
    <w:p>
      <w:pPr>
        <w:spacing w:after="0" w:line="2" w:lineRule="exact"/>
        <w:rPr>
          <w:rFonts w:ascii="Arial" w:cs="Arial" w:eastAsia="Arial" w:hAnsi="Arial"/>
          <w:sz w:val="18"/>
          <w:szCs w:val="18"/>
          <w:u w:val="single" w:color="auto"/>
          <w:color w:val="0000FF"/>
        </w:rPr>
      </w:pPr>
    </w:p>
    <w:p>
      <w:pPr>
        <w:ind w:right="679"/>
        <w:spacing w:after="0" w:line="272" w:lineRule="auto"/>
        <w:rPr>
          <w:rFonts w:ascii="Arial" w:cs="Arial" w:eastAsia="Arial" w:hAnsi="Arial"/>
          <w:sz w:val="16"/>
          <w:szCs w:val="16"/>
          <w:u w:val="single" w:color="auto"/>
          <w:color w:val="0000FF"/>
        </w:rPr>
      </w:pPr>
      <w:hyperlink r:id="rId60">
        <w:r>
          <w:rPr>
            <w:rFonts w:ascii="Arial" w:cs="Arial" w:eastAsia="Arial" w:hAnsi="Arial"/>
            <w:sz w:val="16"/>
            <w:szCs w:val="16"/>
            <w:u w:val="single" w:color="auto"/>
            <w:color w:val="0000FF"/>
          </w:rPr>
          <w:t>Certificate of Amendment to Certificate of Designation of Series E Fixed-Rate Cumulative Perpetual Preferred Stock</w:t>
        </w:r>
      </w:hyperlink>
      <w:r>
        <w:rPr>
          <w:rFonts w:ascii="Arial" w:cs="Arial" w:eastAsia="Arial" w:hAnsi="Arial"/>
          <w:sz w:val="16"/>
          <w:szCs w:val="16"/>
          <w:u w:val="single" w:color="auto"/>
          <w:color w:val="0000FF"/>
        </w:rPr>
        <w:t xml:space="preserve"> </w:t>
      </w:r>
      <w:hyperlink r:id="rId60">
        <w:r>
          <w:rPr>
            <w:rFonts w:ascii="Arial" w:cs="Arial" w:eastAsia="Arial" w:hAnsi="Arial"/>
            <w:sz w:val="16"/>
            <w:szCs w:val="16"/>
            <w:u w:val="single" w:color="auto"/>
            <w:color w:val="0000FF"/>
          </w:rPr>
          <w:t>(incorporated by reference to Exhibit 3.1 to the Company’s Current Report on Form 8-K, filed March 10, 2020).</w:t>
        </w:r>
      </w:hyperlink>
    </w:p>
    <w:p>
      <w:pPr>
        <w:spacing w:after="0" w:line="1" w:lineRule="exact"/>
        <w:rPr>
          <w:sz w:val="20"/>
          <w:szCs w:val="20"/>
          <w:color w:val="auto"/>
        </w:rPr>
      </w:pPr>
    </w:p>
    <w:p>
      <w:pPr>
        <w:ind w:right="399"/>
        <w:spacing w:after="0" w:line="248" w:lineRule="auto"/>
        <w:rPr>
          <w:rFonts w:ascii="Arial" w:cs="Arial" w:eastAsia="Arial" w:hAnsi="Arial"/>
          <w:sz w:val="18"/>
          <w:szCs w:val="18"/>
          <w:u w:val="single" w:color="auto"/>
          <w:color w:val="0000FF"/>
        </w:rPr>
      </w:pPr>
      <w:hyperlink r:id="rId61">
        <w:r>
          <w:rPr>
            <w:rFonts w:ascii="Arial" w:cs="Arial" w:eastAsia="Arial" w:hAnsi="Arial"/>
            <w:sz w:val="18"/>
            <w:szCs w:val="18"/>
            <w:u w:val="single" w:color="auto"/>
            <w:color w:val="0000FF"/>
          </w:rPr>
          <w:t>Underwriting Agreement, dated May 7, 2020, between Inseego Corp. and Stifel, Nicolaus &amp; Company, v Incorporated as</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representative of the several underwriters named therein (incorporated by reference to Exhibit 1.1 to the Company’s</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Current Report on Form 8-K, filed May 12, 2020).</w:t>
        </w:r>
      </w:hyperlink>
    </w:p>
    <w:p>
      <w:pPr>
        <w:spacing w:after="0" w:line="20" w:lineRule="exact"/>
        <w:rPr>
          <w:rFonts w:ascii="Arial" w:cs="Arial" w:eastAsia="Arial" w:hAnsi="Arial"/>
          <w:sz w:val="18"/>
          <w:szCs w:val="18"/>
          <w:u w:val="single" w:color="auto"/>
          <w:color w:val="0000FF"/>
        </w:rPr>
      </w:pPr>
    </w:p>
    <w:p>
      <w:pPr>
        <w:jc w:val="both"/>
        <w:ind w:right="419"/>
        <w:spacing w:after="0" w:line="248" w:lineRule="auto"/>
        <w:rPr>
          <w:rFonts w:ascii="Arial" w:cs="Arial" w:eastAsia="Arial" w:hAnsi="Arial"/>
          <w:sz w:val="18"/>
          <w:szCs w:val="18"/>
          <w:u w:val="single" w:color="auto"/>
          <w:color w:val="0000FF"/>
        </w:rPr>
      </w:pPr>
      <w:hyperlink r:id="rId62">
        <w:r>
          <w:rPr>
            <w:rFonts w:ascii="Arial" w:cs="Arial" w:eastAsia="Arial" w:hAnsi="Arial"/>
            <w:sz w:val="18"/>
            <w:szCs w:val="18"/>
            <w:u w:val="single" w:color="auto"/>
            <w:color w:val="0000FF"/>
          </w:rPr>
          <w:t>Form of Exchange Agreement, dated May 12, 2020, between Inseego Corp. and certain investors holding the Company’s</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5.50% Convertible Senior Notes due 2022 (incorporated by reference to Exhibit 1.2 to the Company’s Current Report on</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Form 8-K, filed May 12, 2020).</w:t>
        </w:r>
      </w:hyperlink>
    </w:p>
    <w:p>
      <w:pPr>
        <w:spacing w:after="0" w:line="20" w:lineRule="exact"/>
        <w:rPr>
          <w:rFonts w:ascii="Arial" w:cs="Arial" w:eastAsia="Arial" w:hAnsi="Arial"/>
          <w:sz w:val="18"/>
          <w:szCs w:val="18"/>
          <w:u w:val="single" w:color="auto"/>
          <w:color w:val="0000FF"/>
        </w:rPr>
      </w:pPr>
    </w:p>
    <w:p>
      <w:pPr>
        <w:ind w:right="779"/>
        <w:spacing w:after="0" w:line="299" w:lineRule="auto"/>
        <w:rPr>
          <w:rFonts w:ascii="Arial" w:cs="Arial" w:eastAsia="Arial" w:hAnsi="Arial"/>
          <w:sz w:val="16"/>
          <w:szCs w:val="16"/>
          <w:u w:val="single" w:color="auto"/>
          <w:color w:val="0000FF"/>
        </w:rPr>
      </w:pPr>
      <w:hyperlink r:id="rId63">
        <w:r>
          <w:rPr>
            <w:rFonts w:ascii="Arial" w:cs="Arial" w:eastAsia="Arial" w:hAnsi="Arial"/>
            <w:sz w:val="16"/>
            <w:szCs w:val="16"/>
            <w:u w:val="single" w:color="auto"/>
            <w:color w:val="0000FF"/>
          </w:rPr>
          <w:t>Base Indenture, dated May 12, 2020, between Inseego Corp. and Wilmington Trust, National Association, as trustee</w:t>
        </w:r>
      </w:hyperlink>
      <w:r>
        <w:rPr>
          <w:rFonts w:ascii="Arial" w:cs="Arial" w:eastAsia="Arial" w:hAnsi="Arial"/>
          <w:sz w:val="16"/>
          <w:szCs w:val="16"/>
          <w:u w:val="single" w:color="auto"/>
          <w:color w:val="0000FF"/>
        </w:rPr>
        <w:t xml:space="preserve"> </w:t>
      </w:r>
      <w:hyperlink r:id="rId63">
        <w:r>
          <w:rPr>
            <w:rFonts w:ascii="Arial" w:cs="Arial" w:eastAsia="Arial" w:hAnsi="Arial"/>
            <w:sz w:val="16"/>
            <w:szCs w:val="16"/>
            <w:u w:val="single" w:color="auto"/>
            <w:color w:val="0000FF"/>
          </w:rPr>
          <w:t>(incorporated by reference to Exhibit 4.1 to the Company’s Current Report on Form 8-K, filed May 12, 2020).</w:t>
        </w:r>
      </w:hyperlink>
    </w:p>
    <w:p>
      <w:pPr>
        <w:spacing w:after="0" w:line="1" w:lineRule="exact"/>
        <w:rPr>
          <w:sz w:val="20"/>
          <w:szCs w:val="20"/>
          <w:color w:val="auto"/>
        </w:rPr>
      </w:pPr>
    </w:p>
    <w:p>
      <w:pPr>
        <w:jc w:val="both"/>
        <w:ind w:right="459"/>
        <w:spacing w:after="0" w:line="308" w:lineRule="auto"/>
        <w:rPr>
          <w:rFonts w:ascii="Arial" w:cs="Arial" w:eastAsia="Arial" w:hAnsi="Arial"/>
          <w:sz w:val="16"/>
          <w:szCs w:val="16"/>
          <w:u w:val="single" w:color="auto"/>
          <w:color w:val="0000FF"/>
        </w:rPr>
      </w:pPr>
      <w:hyperlink r:id="rId64">
        <w:r>
          <w:rPr>
            <w:rFonts w:ascii="Arial" w:cs="Arial" w:eastAsia="Arial" w:hAnsi="Arial"/>
            <w:sz w:val="16"/>
            <w:szCs w:val="16"/>
            <w:u w:val="single" w:color="auto"/>
            <w:color w:val="0000FF"/>
          </w:rPr>
          <w:t>First Supplemental Indenture, dated May 12, 2020, between Inseego Corp. and Wilmington Trust, National Association,</w:t>
        </w:r>
      </w:hyperlink>
      <w:r>
        <w:rPr>
          <w:rFonts w:ascii="Arial" w:cs="Arial" w:eastAsia="Arial" w:hAnsi="Arial"/>
          <w:sz w:val="16"/>
          <w:szCs w:val="16"/>
          <w:u w:val="single" w:color="auto"/>
          <w:color w:val="0000FF"/>
        </w:rPr>
        <w:t xml:space="preserve"> </w:t>
      </w:r>
      <w:hyperlink r:id="rId64">
        <w:r>
          <w:rPr>
            <w:rFonts w:ascii="Arial" w:cs="Arial" w:eastAsia="Arial" w:hAnsi="Arial"/>
            <w:sz w:val="16"/>
            <w:szCs w:val="16"/>
            <w:u w:val="single" w:color="auto"/>
            <w:color w:val="0000FF"/>
          </w:rPr>
          <w:t>as trustee (incorporated by reference to Exhibit 4.2 to the Company’s Current Report on Form 8-K, filed May 12, 2020).</w:t>
        </w:r>
      </w:hyperlink>
    </w:p>
    <w:p>
      <w:pPr>
        <w:spacing w:after="0"/>
        <w:rPr>
          <w:rFonts w:ascii="Arial" w:cs="Arial" w:eastAsia="Arial" w:hAnsi="Arial"/>
          <w:sz w:val="18"/>
          <w:szCs w:val="18"/>
          <w:color w:val="0000FF"/>
        </w:rPr>
      </w:pPr>
      <w:hyperlink r:id="rId64">
        <w:r>
          <w:rPr>
            <w:rFonts w:ascii="Arial" w:cs="Arial" w:eastAsia="Arial" w:hAnsi="Arial"/>
            <w:sz w:val="18"/>
            <w:szCs w:val="18"/>
            <w:u w:val="single" w:color="auto"/>
            <w:color w:val="0000FF"/>
          </w:rPr>
          <w:t>Form of 3.25% convertible senior note due 2025 (included in Exhibit 10.</w:t>
        </w:r>
      </w:hyperlink>
      <w:r>
        <w:rPr>
          <w:rFonts w:ascii="Arial" w:cs="Arial" w:eastAsia="Arial" w:hAnsi="Arial"/>
          <w:sz w:val="18"/>
          <w:szCs w:val="18"/>
          <w:color w:val="0000FF"/>
        </w:rPr>
        <w:t>4)</w:t>
      </w:r>
      <w:hyperlink r:id="rId64">
        <w:r>
          <w:rPr>
            <w:rFonts w:ascii="Arial" w:cs="Arial" w:eastAsia="Arial" w:hAnsi="Arial"/>
            <w:sz w:val="18"/>
            <w:szCs w:val="18"/>
            <w:u w:val="single" w:color="auto"/>
            <w:color w:val="0000FF"/>
          </w:rPr>
          <w:t>.</w:t>
        </w:r>
      </w:hyperlink>
    </w:p>
    <w:p>
      <w:pPr>
        <w:spacing w:after="0" w:line="50" w:lineRule="exact"/>
        <w:rPr>
          <w:sz w:val="20"/>
          <w:szCs w:val="20"/>
          <w:color w:val="auto"/>
        </w:rPr>
      </w:pPr>
    </w:p>
    <w:p>
      <w:pPr>
        <w:ind w:right="579"/>
        <w:spacing w:after="0" w:line="261" w:lineRule="auto"/>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Amended Inseego Corp. 2018 Omnibus Incentive Compensation Plan (incorporated by reference to Exhibit 10.1 to the</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Company’s Current Report on Form 8-K, filed July 24, 2020).</w:t>
        </w:r>
      </w:hyperlink>
    </w:p>
    <w:p>
      <w:pPr>
        <w:spacing w:after="0" w:line="49" w:lineRule="exact"/>
        <w:rPr>
          <w:sz w:val="20"/>
          <w:szCs w:val="20"/>
          <w:color w:val="auto"/>
        </w:rPr>
      </w:pPr>
    </w:p>
    <w:p>
      <w:pPr>
        <w:sectPr>
          <w:pgSz w:w="11900" w:h="16838" w:orient="portrait"/>
          <w:cols w:equalWidth="0" w:num="2">
            <w:col w:w="340" w:space="680"/>
            <w:col w:w="9119"/>
          </w:cols>
          <w:pgMar w:left="320" w:top="891" w:right="1440" w:bottom="1440"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8800" w:type="dxa"/>
            <w:vAlign w:val="bottom"/>
            <w:gridSpan w:val="4"/>
          </w:tcPr>
          <w:p>
            <w:pPr>
              <w:spacing w:after="0"/>
              <w:rPr>
                <w:rFonts w:ascii="Arial" w:cs="Arial" w:eastAsia="Arial" w:hAnsi="Arial"/>
                <w:sz w:val="18"/>
                <w:szCs w:val="18"/>
                <w:u w:val="single" w:color="auto"/>
                <w:color w:val="0000FF"/>
                <w:w w:val="96"/>
              </w:rPr>
            </w:pPr>
            <w:hyperlink w:anchor="page44">
              <w:r>
                <w:rPr>
                  <w:rFonts w:ascii="Arial" w:cs="Arial" w:eastAsia="Arial" w:hAnsi="Arial"/>
                  <w:sz w:val="18"/>
                  <w:szCs w:val="18"/>
                  <w:u w:val="single" w:color="auto"/>
                  <w:color w:val="0000FF"/>
                  <w:w w:val="96"/>
                </w:rPr>
                <w:t>Certification of our Principal Executive Officer adopted pursuant to Section 302 of the Sarbanes-Oxley Act of 2002.</w:t>
              </w:r>
            </w:hyperlink>
          </w:p>
        </w:tc>
      </w:tr>
      <w:tr>
        <w:trPr>
          <w:trHeight w:val="351"/>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8800" w:type="dxa"/>
            <w:vAlign w:val="bottom"/>
            <w:gridSpan w:val="4"/>
          </w:tcPr>
          <w:p>
            <w:pPr>
              <w:spacing w:after="0"/>
              <w:rPr>
                <w:rFonts w:ascii="Arial" w:cs="Arial" w:eastAsia="Arial" w:hAnsi="Arial"/>
                <w:sz w:val="18"/>
                <w:szCs w:val="18"/>
                <w:u w:val="single" w:color="auto"/>
                <w:color w:val="0000FF"/>
                <w:w w:val="96"/>
              </w:rPr>
            </w:pPr>
            <w:hyperlink w:anchor="page45">
              <w:r>
                <w:rPr>
                  <w:rFonts w:ascii="Arial" w:cs="Arial" w:eastAsia="Arial" w:hAnsi="Arial"/>
                  <w:sz w:val="18"/>
                  <w:szCs w:val="18"/>
                  <w:u w:val="single" w:color="auto"/>
                  <w:color w:val="0000FF"/>
                  <w:w w:val="96"/>
                </w:rPr>
                <w:t>Certification of our Principal Financial Officer adopted pursuant to Section 302 of the Sarbanes-Oxley Act of 2002.</w:t>
              </w:r>
            </w:hyperlink>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8800" w:type="dxa"/>
            <w:vAlign w:val="bottom"/>
            <w:gridSpan w:val="4"/>
          </w:tcPr>
          <w:p>
            <w:pPr>
              <w:spacing w:after="0"/>
              <w:rPr>
                <w:rFonts w:ascii="Arial" w:cs="Arial" w:eastAsia="Arial" w:hAnsi="Arial"/>
                <w:sz w:val="18"/>
                <w:szCs w:val="18"/>
                <w:color w:val="0000FF"/>
                <w:w w:val="91"/>
              </w:rPr>
            </w:pPr>
            <w:hyperlink w:anchor="page46">
              <w:r>
                <w:rPr>
                  <w:rFonts w:ascii="Arial" w:cs="Arial" w:eastAsia="Arial" w:hAnsi="Arial"/>
                  <w:sz w:val="18"/>
                  <w:szCs w:val="18"/>
                  <w:color w:val="0000FF"/>
                  <w:w w:val="91"/>
                </w:rPr>
                <w:t>Certification of Principal Executive Officer pursuant to 18 U.S.C. Section 1350, as adopted pursuant to Section 906 of the</w:t>
              </w:r>
            </w:hyperlink>
          </w:p>
        </w:tc>
      </w:tr>
      <w:tr>
        <w:trPr>
          <w:trHeight w:val="169"/>
        </w:trPr>
        <w:tc>
          <w:tcPr>
            <w:tcW w:w="1000" w:type="dxa"/>
            <w:vAlign w:val="bottom"/>
          </w:tcPr>
          <w:p>
            <w:pPr>
              <w:spacing w:after="0"/>
              <w:rPr>
                <w:sz w:val="14"/>
                <w:szCs w:val="14"/>
                <w:color w:val="auto"/>
              </w:rPr>
            </w:pPr>
          </w:p>
        </w:tc>
        <w:tc>
          <w:tcPr>
            <w:tcW w:w="210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0"/>
              </w:rPr>
            </w:pPr>
            <w:hyperlink w:anchor="page46">
              <w:r>
                <w:rPr>
                  <w:rFonts w:ascii="Arial" w:cs="Arial" w:eastAsia="Arial" w:hAnsi="Arial"/>
                  <w:sz w:val="18"/>
                  <w:szCs w:val="18"/>
                  <w:color w:val="0000FF"/>
                  <w:w w:val="90"/>
                </w:rPr>
                <w:t>Sarbanes-Oxley Act of 2002.</w:t>
              </w:r>
            </w:hyperlink>
          </w:p>
        </w:tc>
        <w:tc>
          <w:tcPr>
            <w:tcW w:w="6680" w:type="dxa"/>
            <w:vAlign w:val="bottom"/>
            <w:tcBorders>
              <w:top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32.2**</w:t>
            </w:r>
          </w:p>
        </w:tc>
        <w:tc>
          <w:tcPr>
            <w:tcW w:w="8800" w:type="dxa"/>
            <w:vAlign w:val="bottom"/>
            <w:gridSpan w:val="4"/>
          </w:tcPr>
          <w:p>
            <w:pPr>
              <w:spacing w:after="0"/>
              <w:rPr>
                <w:rFonts w:ascii="Arial" w:cs="Arial" w:eastAsia="Arial" w:hAnsi="Arial"/>
                <w:sz w:val="18"/>
                <w:szCs w:val="18"/>
                <w:color w:val="0000FF"/>
                <w:w w:val="91"/>
              </w:rPr>
            </w:pPr>
            <w:hyperlink w:anchor="page47">
              <w:r>
                <w:rPr>
                  <w:rFonts w:ascii="Arial" w:cs="Arial" w:eastAsia="Arial" w:hAnsi="Arial"/>
                  <w:sz w:val="18"/>
                  <w:szCs w:val="18"/>
                  <w:color w:val="0000FF"/>
                  <w:w w:val="91"/>
                </w:rPr>
                <w:t>Certification of Principal Financial Officer pursuant to 18 U.S.C. Section 1350, as adopted pursuant to Section 906 of the</w:t>
              </w:r>
            </w:hyperlink>
          </w:p>
        </w:tc>
      </w:tr>
      <w:tr>
        <w:trPr>
          <w:trHeight w:val="169"/>
        </w:trPr>
        <w:tc>
          <w:tcPr>
            <w:tcW w:w="1000" w:type="dxa"/>
            <w:vAlign w:val="bottom"/>
          </w:tcPr>
          <w:p>
            <w:pPr>
              <w:spacing w:after="0"/>
              <w:rPr>
                <w:sz w:val="14"/>
                <w:szCs w:val="14"/>
                <w:color w:val="auto"/>
              </w:rPr>
            </w:pPr>
          </w:p>
        </w:tc>
        <w:tc>
          <w:tcPr>
            <w:tcW w:w="210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0"/>
              </w:rPr>
            </w:pPr>
            <w:hyperlink w:anchor="page47">
              <w:r>
                <w:rPr>
                  <w:rFonts w:ascii="Arial" w:cs="Arial" w:eastAsia="Arial" w:hAnsi="Arial"/>
                  <w:sz w:val="18"/>
                  <w:szCs w:val="18"/>
                  <w:color w:val="0000FF"/>
                  <w:w w:val="90"/>
                </w:rPr>
                <w:t>Sarbanes-Oxley Act of 2002.</w:t>
              </w:r>
            </w:hyperlink>
          </w:p>
        </w:tc>
        <w:tc>
          <w:tcPr>
            <w:tcW w:w="6620" w:type="dxa"/>
            <w:vAlign w:val="bottom"/>
            <w:tcBorders>
              <w:top w:val="single" w:sz="8" w:color="0000FF"/>
            </w:tcBorders>
          </w:tcPr>
          <w:p>
            <w:pPr>
              <w:spacing w:after="0"/>
              <w:rPr>
                <w:sz w:val="14"/>
                <w:szCs w:val="14"/>
                <w:color w:val="auto"/>
              </w:rPr>
            </w:pPr>
          </w:p>
        </w:tc>
        <w:tc>
          <w:tcPr>
            <w:tcW w:w="80" w:type="dxa"/>
            <w:vAlign w:val="bottom"/>
            <w:gridSpan w:val="2"/>
          </w:tcPr>
          <w:p>
            <w:pPr>
              <w:spacing w:after="0"/>
              <w:rPr>
                <w:sz w:val="14"/>
                <w:szCs w:val="14"/>
                <w:color w:val="auto"/>
              </w:rPr>
            </w:pPr>
          </w:p>
        </w:tc>
      </w:tr>
      <w:tr>
        <w:trPr>
          <w:trHeight w:val="330"/>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8800" w:type="dxa"/>
            <w:vAlign w:val="bottom"/>
            <w:gridSpan w:val="4"/>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w:t>
            </w:r>
          </w:p>
        </w:tc>
      </w:tr>
      <w:tr>
        <w:trPr>
          <w:trHeight w:val="230"/>
        </w:trPr>
        <w:tc>
          <w:tcPr>
            <w:tcW w:w="1000" w:type="dxa"/>
            <w:vAlign w:val="bottom"/>
          </w:tcPr>
          <w:p>
            <w:pPr>
              <w:spacing w:after="0"/>
              <w:rPr>
                <w:sz w:val="20"/>
                <w:szCs w:val="20"/>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51"/>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880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51"/>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880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51"/>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880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51"/>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880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51"/>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880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880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80" w:lineRule="exact"/>
        <w:rPr>
          <w:sz w:val="20"/>
          <w:szCs w:val="20"/>
          <w:color w:val="auto"/>
        </w:rPr>
      </w:pPr>
    </w:p>
    <w:p>
      <w:pPr>
        <w:ind w:left="1020" w:right="359" w:hanging="994"/>
        <w:spacing w:after="0" w:line="274"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Certain schedules and exhibits to this agreement have been omitted in accordance with Item 601(b)(2) of Regulation S-K. A copy of any omitted schedule and/or exhibit will be furnished supplementally to the SEC upon request.</w:t>
      </w:r>
    </w:p>
    <w:p>
      <w:pPr>
        <w:spacing w:after="0" w:line="94" w:lineRule="exact"/>
        <w:rPr>
          <w:sz w:val="20"/>
          <w:szCs w:val="20"/>
          <w:color w:val="auto"/>
        </w:rPr>
      </w:pPr>
    </w:p>
    <w:p>
      <w:pPr>
        <w:ind w:left="1020" w:hanging="99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type w:val="continuous"/>
        </w:sectPr>
      </w:pPr>
    </w:p>
    <w:bookmarkStart w:id="42" w:name="page43"/>
    <w:bookmarkEnd w:id="4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August 10, 2020</w:t>
            </w:r>
          </w:p>
        </w:tc>
        <w:tc>
          <w:tcPr>
            <w:tcW w:w="4400" w:type="dxa"/>
            <w:vAlign w:val="bottom"/>
            <w:gridSpan w:val="2"/>
          </w:tcPr>
          <w:p>
            <w:pPr>
              <w:ind w:left="2980"/>
              <w:spacing w:after="0"/>
              <w:rPr>
                <w:sz w:val="20"/>
                <w:szCs w:val="20"/>
                <w:color w:val="auto"/>
              </w:rPr>
            </w:pPr>
            <w:r>
              <w:rPr>
                <w:rFonts w:ascii="Arial" w:cs="Arial" w:eastAsia="Arial" w:hAnsi="Arial"/>
                <w:sz w:val="18"/>
                <w:szCs w:val="18"/>
                <w:color w:val="auto"/>
              </w:rPr>
              <w:t>Inseego Corp.</w:t>
            </w:r>
          </w:p>
        </w:tc>
        <w:tc>
          <w:tcPr>
            <w:tcW w:w="68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324"/>
        </w:trPr>
        <w:tc>
          <w:tcPr>
            <w:tcW w:w="3580" w:type="dxa"/>
            <w:vAlign w:val="bottom"/>
          </w:tcPr>
          <w:p>
            <w:pPr>
              <w:spacing w:after="0"/>
              <w:rPr>
                <w:sz w:val="24"/>
                <w:szCs w:val="24"/>
                <w:color w:val="auto"/>
              </w:rPr>
            </w:pPr>
          </w:p>
        </w:tc>
        <w:tc>
          <w:tcPr>
            <w:tcW w:w="4400" w:type="dxa"/>
            <w:vAlign w:val="bottom"/>
            <w:gridSpan w:val="2"/>
          </w:tcPr>
          <w:p>
            <w:pPr>
              <w:ind w:left="2980"/>
              <w:spacing w:after="0"/>
              <w:rPr>
                <w:sz w:val="20"/>
                <w:szCs w:val="20"/>
                <w:color w:val="auto"/>
              </w:rPr>
            </w:pPr>
            <w:r>
              <w:rPr>
                <w:rFonts w:ascii="Arial" w:cs="Arial" w:eastAsia="Arial" w:hAnsi="Arial"/>
                <w:sz w:val="18"/>
                <w:szCs w:val="18"/>
                <w:color w:val="auto"/>
              </w:rPr>
              <w:t>By:</w:t>
            </w:r>
          </w:p>
        </w:tc>
        <w:tc>
          <w:tcPr>
            <w:tcW w:w="680" w:type="dxa"/>
            <w:vAlign w:val="bottom"/>
          </w:tcPr>
          <w:p>
            <w:pPr>
              <w:ind w:left="480"/>
              <w:spacing w:after="0"/>
              <w:rPr>
                <w:sz w:val="20"/>
                <w:szCs w:val="20"/>
                <w:color w:val="auto"/>
              </w:rPr>
            </w:pPr>
            <w:r>
              <w:rPr>
                <w:rFonts w:ascii="Arial" w:cs="Arial" w:eastAsia="Arial" w:hAnsi="Arial"/>
                <w:sz w:val="16"/>
                <w:szCs w:val="16"/>
                <w:color w:val="auto"/>
              </w:rPr>
              <w:t>/s/</w:t>
            </w:r>
          </w:p>
        </w:tc>
        <w:tc>
          <w:tcPr>
            <w:tcW w:w="2520" w:type="dxa"/>
            <w:vAlign w:val="bottom"/>
          </w:tcPr>
          <w:p>
            <w:pPr>
              <w:jc w:val="center"/>
              <w:ind w:right="1104"/>
              <w:spacing w:after="0"/>
              <w:rPr>
                <w:sz w:val="20"/>
                <w:szCs w:val="20"/>
                <w:color w:val="auto"/>
              </w:rPr>
            </w:pPr>
            <w:r>
              <w:rPr>
                <w:rFonts w:ascii="Arial" w:cs="Arial" w:eastAsia="Arial" w:hAnsi="Arial"/>
                <w:sz w:val="16"/>
                <w:szCs w:val="16"/>
                <w:color w:val="auto"/>
                <w:w w:val="98"/>
              </w:rPr>
              <w:t>DAN MONDOR</w:t>
            </w:r>
          </w:p>
        </w:tc>
      </w:tr>
      <w:tr>
        <w:trPr>
          <w:trHeight w:val="27"/>
        </w:trPr>
        <w:tc>
          <w:tcPr>
            <w:tcW w:w="35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184"/>
        </w:trPr>
        <w:tc>
          <w:tcPr>
            <w:tcW w:w="35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20" w:type="dxa"/>
            <w:vAlign w:val="bottom"/>
          </w:tcPr>
          <w:p>
            <w:pPr>
              <w:jc w:val="center"/>
              <w:ind w:right="1404"/>
              <w:spacing w:after="0"/>
              <w:rPr>
                <w:sz w:val="20"/>
                <w:szCs w:val="20"/>
                <w:color w:val="auto"/>
              </w:rPr>
            </w:pPr>
            <w:r>
              <w:rPr>
                <w:rFonts w:ascii="Arial" w:cs="Arial" w:eastAsia="Arial" w:hAnsi="Arial"/>
                <w:sz w:val="14"/>
                <w:szCs w:val="14"/>
                <w:b w:val="1"/>
                <w:bCs w:val="1"/>
                <w:color w:val="auto"/>
                <w:w w:val="97"/>
              </w:rPr>
              <w:t>Dan Mondor</w:t>
            </w:r>
          </w:p>
        </w:tc>
      </w:tr>
      <w:tr>
        <w:trPr>
          <w:trHeight w:val="203"/>
        </w:trPr>
        <w:tc>
          <w:tcPr>
            <w:tcW w:w="35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0" w:type="dxa"/>
            <w:vAlign w:val="bottom"/>
            <w:gridSpan w:val="2"/>
          </w:tcPr>
          <w:p>
            <w:pPr>
              <w:jc w:val="center"/>
              <w:ind w:right="724"/>
              <w:spacing w:after="0"/>
              <w:rPr>
                <w:sz w:val="20"/>
                <w:szCs w:val="20"/>
                <w:color w:val="auto"/>
              </w:rPr>
            </w:pPr>
            <w:r>
              <w:rPr>
                <w:rFonts w:ascii="Arial" w:cs="Arial" w:eastAsia="Arial" w:hAnsi="Arial"/>
                <w:sz w:val="14"/>
                <w:szCs w:val="14"/>
                <w:b w:val="1"/>
                <w:bCs w:val="1"/>
                <w:color w:val="auto"/>
                <w:w w:val="93"/>
              </w:rPr>
              <w:t>Chief Executive Officer</w:t>
            </w:r>
          </w:p>
        </w:tc>
      </w:tr>
      <w:tr>
        <w:trPr>
          <w:trHeight w:val="647"/>
        </w:trPr>
        <w:tc>
          <w:tcPr>
            <w:tcW w:w="3580" w:type="dxa"/>
            <w:vAlign w:val="bottom"/>
          </w:tcPr>
          <w:p>
            <w:pPr>
              <w:spacing w:after="0"/>
              <w:rPr>
                <w:sz w:val="24"/>
                <w:szCs w:val="24"/>
                <w:color w:val="auto"/>
              </w:rPr>
            </w:pPr>
          </w:p>
        </w:tc>
        <w:tc>
          <w:tcPr>
            <w:tcW w:w="4400" w:type="dxa"/>
            <w:vAlign w:val="bottom"/>
            <w:gridSpan w:val="2"/>
          </w:tcPr>
          <w:p>
            <w:pPr>
              <w:ind w:left="2980"/>
              <w:spacing w:after="0"/>
              <w:rPr>
                <w:sz w:val="20"/>
                <w:szCs w:val="20"/>
                <w:color w:val="auto"/>
              </w:rPr>
            </w:pPr>
            <w:r>
              <w:rPr>
                <w:rFonts w:ascii="Arial" w:cs="Arial" w:eastAsia="Arial" w:hAnsi="Arial"/>
                <w:sz w:val="18"/>
                <w:szCs w:val="18"/>
                <w:color w:val="auto"/>
              </w:rPr>
              <w:t>By:</w:t>
            </w:r>
          </w:p>
        </w:tc>
        <w:tc>
          <w:tcPr>
            <w:tcW w:w="680" w:type="dxa"/>
            <w:vAlign w:val="bottom"/>
          </w:tcPr>
          <w:p>
            <w:pPr>
              <w:ind w:left="400"/>
              <w:spacing w:after="0"/>
              <w:rPr>
                <w:sz w:val="20"/>
                <w:szCs w:val="20"/>
                <w:color w:val="auto"/>
              </w:rPr>
            </w:pPr>
            <w:r>
              <w:rPr>
                <w:rFonts w:ascii="Arial" w:cs="Arial" w:eastAsia="Arial" w:hAnsi="Arial"/>
                <w:sz w:val="16"/>
                <w:szCs w:val="16"/>
                <w:color w:val="auto"/>
              </w:rPr>
              <w:t>/s/</w:t>
            </w:r>
          </w:p>
        </w:tc>
        <w:tc>
          <w:tcPr>
            <w:tcW w:w="2520" w:type="dxa"/>
            <w:vAlign w:val="bottom"/>
          </w:tcPr>
          <w:p>
            <w:pPr>
              <w:jc w:val="center"/>
              <w:ind w:right="1104"/>
              <w:spacing w:after="0"/>
              <w:rPr>
                <w:sz w:val="20"/>
                <w:szCs w:val="20"/>
                <w:color w:val="auto"/>
              </w:rPr>
            </w:pPr>
            <w:r>
              <w:rPr>
                <w:rFonts w:ascii="Arial" w:cs="Arial" w:eastAsia="Arial" w:hAnsi="Arial"/>
                <w:sz w:val="16"/>
                <w:szCs w:val="16"/>
                <w:color w:val="auto"/>
                <w:w w:val="97"/>
              </w:rPr>
              <w:t>STEPHEN SMITH</w:t>
            </w:r>
          </w:p>
        </w:tc>
      </w:tr>
      <w:tr>
        <w:trPr>
          <w:trHeight w:val="27"/>
        </w:trPr>
        <w:tc>
          <w:tcPr>
            <w:tcW w:w="35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184"/>
        </w:trPr>
        <w:tc>
          <w:tcPr>
            <w:tcW w:w="35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20" w:type="dxa"/>
            <w:vAlign w:val="bottom"/>
          </w:tcPr>
          <w:p>
            <w:pPr>
              <w:jc w:val="center"/>
              <w:ind w:right="1424"/>
              <w:spacing w:after="0"/>
              <w:rPr>
                <w:sz w:val="20"/>
                <w:szCs w:val="20"/>
                <w:color w:val="auto"/>
              </w:rPr>
            </w:pPr>
            <w:r>
              <w:rPr>
                <w:rFonts w:ascii="Arial" w:cs="Arial" w:eastAsia="Arial" w:hAnsi="Arial"/>
                <w:sz w:val="14"/>
                <w:szCs w:val="14"/>
                <w:b w:val="1"/>
                <w:bCs w:val="1"/>
                <w:color w:val="auto"/>
                <w:w w:val="91"/>
              </w:rPr>
              <w:t>Stephen Smith</w:t>
            </w:r>
          </w:p>
        </w:tc>
      </w:tr>
      <w:tr>
        <w:trPr>
          <w:trHeight w:val="203"/>
        </w:trPr>
        <w:tc>
          <w:tcPr>
            <w:tcW w:w="35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0" w:type="dxa"/>
            <w:vAlign w:val="bottom"/>
            <w:gridSpan w:val="2"/>
          </w:tcPr>
          <w:p>
            <w:pPr>
              <w:jc w:val="center"/>
              <w:ind w:right="744"/>
              <w:spacing w:after="0"/>
              <w:rPr>
                <w:sz w:val="20"/>
                <w:szCs w:val="20"/>
                <w:color w:val="auto"/>
              </w:rPr>
            </w:pPr>
            <w:r>
              <w:rPr>
                <w:rFonts w:ascii="Arial" w:cs="Arial" w:eastAsia="Arial" w:hAnsi="Arial"/>
                <w:sz w:val="14"/>
                <w:szCs w:val="14"/>
                <w:b w:val="1"/>
                <w:bCs w:val="1"/>
                <w:color w:val="auto"/>
                <w:w w:val="95"/>
              </w:rPr>
              <w:t>Chief Financial Officer</w:t>
            </w:r>
          </w:p>
        </w:tc>
      </w:tr>
      <w:tr>
        <w:trPr>
          <w:trHeight w:val="876"/>
        </w:trPr>
        <w:tc>
          <w:tcPr>
            <w:tcW w:w="3580" w:type="dxa"/>
            <w:vAlign w:val="bottom"/>
          </w:tcPr>
          <w:p>
            <w:pPr>
              <w:spacing w:after="0"/>
              <w:rPr>
                <w:sz w:val="24"/>
                <w:szCs w:val="24"/>
                <w:color w:val="auto"/>
              </w:rPr>
            </w:pPr>
          </w:p>
        </w:tc>
        <w:tc>
          <w:tcPr>
            <w:tcW w:w="3580" w:type="dxa"/>
            <w:vAlign w:val="bottom"/>
          </w:tcPr>
          <w:p>
            <w:pPr>
              <w:jc w:val="right"/>
              <w:ind w:right="1370"/>
              <w:spacing w:after="0"/>
              <w:rPr>
                <w:sz w:val="20"/>
                <w:szCs w:val="20"/>
                <w:color w:val="auto"/>
              </w:rPr>
            </w:pPr>
            <w:r>
              <w:rPr>
                <w:rFonts w:ascii="Arial" w:cs="Arial" w:eastAsia="Arial" w:hAnsi="Arial"/>
                <w:sz w:val="18"/>
                <w:szCs w:val="18"/>
                <w:color w:val="auto"/>
              </w:rPr>
              <w:t>43</w:t>
            </w: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ectPr>
          <w:pgSz w:w="11900" w:h="16838" w:orient="portrait"/>
          <w:cols w:equalWidth="0" w:num="1">
            <w:col w:w="11200"/>
          </w:cols>
          <w:pgMar w:left="320" w:top="891" w:right="37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Dan Mondor, certify that:</w:t>
      </w:r>
    </w:p>
    <w:p>
      <w:pPr>
        <w:spacing w:after="0" w:line="171" w:lineRule="exact"/>
        <w:rPr>
          <w:sz w:val="20"/>
          <w:szCs w:val="20"/>
          <w:color w:val="auto"/>
        </w:rPr>
      </w:pPr>
    </w:p>
    <w:p>
      <w:pPr>
        <w:ind w:left="680" w:hanging="186"/>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Inseego Corp.;</w:t>
      </w:r>
    </w:p>
    <w:p>
      <w:pPr>
        <w:spacing w:after="0" w:line="171"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80" w:firstLine="494"/>
        <w:spacing w:after="0" w:line="263" w:lineRule="auto"/>
        <w:tabs>
          <w:tab w:leader="none" w:pos="6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ind w:left="1100" w:right="120" w:hanging="243"/>
        <w:spacing w:after="0" w:line="263" w:lineRule="auto"/>
        <w:tabs>
          <w:tab w:leader="none" w:pos="11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00" w:right="260" w:hanging="253"/>
        <w:spacing w:after="0" w:line="263" w:lineRule="auto"/>
        <w:tabs>
          <w:tab w:leader="none" w:pos="11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100" w:right="420" w:hanging="243"/>
        <w:spacing w:after="0" w:line="342" w:lineRule="auto"/>
        <w:tabs>
          <w:tab w:leader="none" w:pos="11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00" w:right="120" w:hanging="253"/>
        <w:spacing w:after="0" w:line="263" w:lineRule="auto"/>
        <w:tabs>
          <w:tab w:leader="none" w:pos="11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100" w:right="660" w:hanging="243"/>
        <w:spacing w:after="0" w:line="342" w:lineRule="auto"/>
        <w:tabs>
          <w:tab w:leader="none" w:pos="11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00" w:right="360" w:hanging="253"/>
        <w:spacing w:after="0" w:line="277" w:lineRule="auto"/>
        <w:tabs>
          <w:tab w:leader="none" w:pos="11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239" w:lineRule="exact"/>
        <w:rPr>
          <w:sz w:val="20"/>
          <w:szCs w:val="20"/>
          <w:color w:val="auto"/>
        </w:rPr>
      </w:pPr>
    </w:p>
    <w:p>
      <w:pPr>
        <w:ind w:left="2960"/>
        <w:spacing w:after="0"/>
        <w:tabs>
          <w:tab w:leader="none" w:pos="33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23495</wp:posOffset>
            </wp:positionV>
            <wp:extent cx="33947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6"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Dan Mondor</w:t>
      </w:r>
    </w:p>
    <w:p>
      <w:pPr>
        <w:spacing w:after="0" w:line="121"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3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Stephen Smith, certify that:</w:t>
      </w:r>
    </w:p>
    <w:p>
      <w:pPr>
        <w:spacing w:after="0" w:line="171" w:lineRule="exact"/>
        <w:rPr>
          <w:sz w:val="20"/>
          <w:szCs w:val="20"/>
          <w:color w:val="auto"/>
        </w:rPr>
      </w:pPr>
    </w:p>
    <w:p>
      <w:pPr>
        <w:ind w:left="680" w:hanging="186"/>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Inseego Corp.;</w:t>
      </w:r>
    </w:p>
    <w:p>
      <w:pPr>
        <w:spacing w:after="0" w:line="171"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80" w:firstLine="494"/>
        <w:spacing w:after="0" w:line="263" w:lineRule="auto"/>
        <w:tabs>
          <w:tab w:leader="none" w:pos="66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100" w:right="120" w:hanging="243"/>
        <w:spacing w:after="0" w:line="263" w:lineRule="auto"/>
        <w:tabs>
          <w:tab w:leader="none" w:pos="11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00" w:right="260" w:hanging="253"/>
        <w:spacing w:after="0" w:line="263" w:lineRule="auto"/>
        <w:tabs>
          <w:tab w:leader="none" w:pos="11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100" w:right="420" w:hanging="243"/>
        <w:spacing w:after="0" w:line="342" w:lineRule="auto"/>
        <w:tabs>
          <w:tab w:leader="none" w:pos="11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00" w:right="120" w:hanging="253"/>
        <w:spacing w:after="0" w:line="263" w:lineRule="auto"/>
        <w:tabs>
          <w:tab w:leader="none" w:pos="11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1100" w:right="660" w:hanging="243"/>
        <w:spacing w:after="0" w:line="342" w:lineRule="auto"/>
        <w:tabs>
          <w:tab w:leader="none" w:pos="11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00" w:right="360" w:hanging="253"/>
        <w:spacing w:after="0" w:line="277" w:lineRule="auto"/>
        <w:tabs>
          <w:tab w:leader="none" w:pos="11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239" w:lineRule="exact"/>
        <w:rPr>
          <w:sz w:val="20"/>
          <w:szCs w:val="20"/>
          <w:color w:val="auto"/>
        </w:rPr>
      </w:pPr>
    </w:p>
    <w:p>
      <w:pPr>
        <w:ind w:left="2960"/>
        <w:spacing w:after="0"/>
        <w:tabs>
          <w:tab w:leader="none" w:pos="33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23495</wp:posOffset>
            </wp:positionV>
            <wp:extent cx="33947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26"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Stephen Smith</w:t>
      </w:r>
    </w:p>
    <w:p>
      <w:pPr>
        <w:spacing w:after="0" w:line="121"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688"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 Dan Mondor, Chief Executive Officer of Inseego Corp.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278" w:lineRule="exact"/>
        <w:rPr>
          <w:sz w:val="20"/>
          <w:szCs w:val="20"/>
          <w:color w:val="auto"/>
        </w:rPr>
      </w:pPr>
    </w:p>
    <w:p>
      <w:pPr>
        <w:ind w:left="1520" w:right="580" w:hanging="819"/>
        <w:spacing w:after="0" w:line="277" w:lineRule="auto"/>
        <w:tabs>
          <w:tab w:leader="none" w:pos="15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2020 (the “Report”) fully complies with the requirements of Section 13(a) or 15(d) of the Securities Exchange Act of 1934, as amended; and</w:t>
      </w:r>
    </w:p>
    <w:p>
      <w:pPr>
        <w:spacing w:after="0" w:line="224" w:lineRule="exact"/>
        <w:rPr>
          <w:rFonts w:ascii="Arial" w:cs="Arial" w:eastAsia="Arial" w:hAnsi="Arial"/>
          <w:sz w:val="18"/>
          <w:szCs w:val="18"/>
          <w:color w:val="auto"/>
        </w:rPr>
      </w:pPr>
    </w:p>
    <w:p>
      <w:pPr>
        <w:ind w:left="1460" w:right="180" w:hanging="813"/>
        <w:spacing w:after="0" w:line="235" w:lineRule="auto"/>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252" w:lineRule="exact"/>
        <w:rPr>
          <w:sz w:val="20"/>
          <w:szCs w:val="20"/>
          <w:color w:val="auto"/>
        </w:rPr>
      </w:pPr>
    </w:p>
    <w:p>
      <w:pPr>
        <w:ind w:left="3060"/>
        <w:spacing w:after="0"/>
        <w:tabs>
          <w:tab w:leader="none" w:pos="3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23495</wp:posOffset>
            </wp:positionV>
            <wp:extent cx="32918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26"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Dan Mondor</w:t>
      </w:r>
    </w:p>
    <w:p>
      <w:pPr>
        <w:spacing w:after="0" w:line="67"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688"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 Stephen Smith, Chief Financial Officer of Inseego Corp.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278" w:lineRule="exact"/>
        <w:rPr>
          <w:sz w:val="20"/>
          <w:szCs w:val="20"/>
          <w:color w:val="auto"/>
        </w:rPr>
      </w:pPr>
    </w:p>
    <w:p>
      <w:pPr>
        <w:ind w:left="1320" w:right="760" w:hanging="808"/>
        <w:spacing w:after="0" w:line="277" w:lineRule="auto"/>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2020 (the “Report”) fully complies with the requirements of Section 13(a) or 15(d) of the Securities Exchange Act of 1934, as amended; and</w:t>
      </w:r>
    </w:p>
    <w:p>
      <w:pPr>
        <w:spacing w:after="0" w:line="224" w:lineRule="exact"/>
        <w:rPr>
          <w:rFonts w:ascii="Arial" w:cs="Arial" w:eastAsia="Arial" w:hAnsi="Arial"/>
          <w:sz w:val="18"/>
          <w:szCs w:val="18"/>
          <w:color w:val="auto"/>
        </w:rPr>
      </w:pPr>
    </w:p>
    <w:p>
      <w:pPr>
        <w:ind w:left="1340" w:right="300" w:hanging="815"/>
        <w:spacing w:after="0" w:line="235" w:lineRule="auto"/>
        <w:tabs>
          <w:tab w:leader="none" w:pos="13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252" w:lineRule="exact"/>
        <w:rPr>
          <w:sz w:val="20"/>
          <w:szCs w:val="20"/>
          <w:color w:val="auto"/>
        </w:rPr>
      </w:pPr>
    </w:p>
    <w:p>
      <w:pPr>
        <w:ind w:left="3060"/>
        <w:spacing w:after="0"/>
        <w:tabs>
          <w:tab w:leader="none" w:pos="3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23495</wp:posOffset>
            </wp:positionV>
            <wp:extent cx="32918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6"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Stephen Smith</w:t>
      </w:r>
    </w:p>
    <w:p>
      <w:pPr>
        <w:spacing w:after="0" w:line="67"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4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
      <w:numFmt w:val="bullet"/>
      <w:start w:val="1"/>
    </w:lvl>
    <w:lvl w:ilvl="1">
      <w:lvlJc w:val="left"/>
      <w:lvlText w:val="•"/>
      <w:numFmt w:val="bullet"/>
      <w:start w:val="1"/>
    </w:lvl>
  </w:abstractNum>
  <w:abstractNum w:abstractNumId="15">
    <w:nsid w:val="6B68079A"/>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56" Type="http://schemas.openxmlformats.org/officeDocument/2006/relationships/hyperlink" Target="http://www.sec.gov/Archives/edgar/data/1022652/000119312516763609/d261554dex31.htm" TargetMode="External"/><Relationship Id="rId57" Type="http://schemas.openxmlformats.org/officeDocument/2006/relationships/hyperlink" Target="http://www.sec.gov/Archives/edgar/data/1022652/000119312516763609/d261554dex32.htm" TargetMode="External"/><Relationship Id="rId58" Type="http://schemas.openxmlformats.org/officeDocument/2006/relationships/hyperlink" Target="http://www.sec.gov/Archives/edgar/data/1022652/000119312518015371/d525985dex31.htm" TargetMode="External"/><Relationship Id="rId59" Type="http://schemas.openxmlformats.org/officeDocument/2006/relationships/hyperlink" Target="http://www.sec.gov/Archives/edgar/data/1022652/000119312519219943/d792529dex31.htm" TargetMode="External"/><Relationship Id="rId60" Type="http://schemas.openxmlformats.org/officeDocument/2006/relationships/hyperlink" Target="http://www.sec.gov/Archives/edgar/data/1022652/000119312520067668/d824727dex31.htm" TargetMode="External"/><Relationship Id="rId61" Type="http://schemas.openxmlformats.org/officeDocument/2006/relationships/hyperlink" Target="http://www.sec.gov/Archives/edgar/data/1022652/000119312520140582/d915288dex11.htm" TargetMode="External"/><Relationship Id="rId62" Type="http://schemas.openxmlformats.org/officeDocument/2006/relationships/hyperlink" Target="http://www.sec.gov/Archives/edgar/data/1022652/000119312520140582/d915288dex12.htm" TargetMode="External"/><Relationship Id="rId63" Type="http://schemas.openxmlformats.org/officeDocument/2006/relationships/hyperlink" Target="http://www.sec.gov/Archives/edgar/data/1022652/000119312520140582/d915288dex41.htm" TargetMode="External"/><Relationship Id="rId64" Type="http://schemas.openxmlformats.org/officeDocument/2006/relationships/hyperlink" Target="http://www.sec.gov/Archives/edgar/data/1022652/000119312520140582/d915288dex42.htm" TargetMode="External"/><Relationship Id="rId65" Type="http://schemas.openxmlformats.org/officeDocument/2006/relationships/hyperlink" Target="http://www.sec.gov/Archives/edgar/data/1022652/000168316820002356/inseego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2020-08-10T16:25:00Z</dcterms:created>
  <dcterms:modified xsi:type="dcterms:W3CDTF">2020-08-10T16:25:00Z</dcterms:modified>
</cp:coreProperties>
</file>