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INSEEGO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001-38358</w:t>
            </w:r>
          </w:p>
        </w:tc>
        <w:tc>
          <w:tcPr>
            <w:tcW w:w="198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81-3377646</w:t>
            </w:r>
          </w:p>
        </w:tc>
      </w:tr>
      <w:tr>
        <w:trPr>
          <w:trHeight w:val="216"/>
        </w:trPr>
        <w:tc>
          <w:tcPr>
            <w:tcW w:w="2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(State or other jurisdiction</w:t>
            </w:r>
          </w:p>
        </w:tc>
        <w:tc>
          <w:tcPr>
            <w:tcW w:w="48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47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of incorporation)</w:t>
            </w:r>
          </w:p>
        </w:tc>
        <w:tc>
          <w:tcPr>
            <w:tcW w:w="48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file number)</w:t>
            </w:r>
          </w:p>
        </w:tc>
        <w:tc>
          <w:tcPr>
            <w:tcW w:w="1980" w:type="dxa"/>
            <w:vAlign w:val="bottom"/>
          </w:tcPr>
          <w:p>
            <w:pPr>
              <w:jc w:val="center"/>
              <w:ind w:left="47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4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9710 Scranton Road, Suite 200</w:t>
            </w:r>
          </w:p>
        </w:tc>
        <w:tc>
          <w:tcPr>
            <w:tcW w:w="198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48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98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48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95"/>
        </w:trPr>
        <w:tc>
          <w:tcPr>
            <w:tcW w:w="432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5"/>
              </w:rPr>
              <w:t>INSG</w:t>
            </w:r>
          </w:p>
        </w:tc>
        <w:tc>
          <w:tcPr>
            <w:tcW w:w="4340" w:type="dxa"/>
            <w:vAlign w:val="bottom"/>
            <w:vMerge w:val="restart"/>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r>
        <w:trPr>
          <w:trHeight w:val="122"/>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9"/>
              </w:rPr>
              <w:t>Preferred Stock Purchase Rights</w:t>
            </w:r>
          </w:p>
        </w:tc>
        <w:tc>
          <w:tcPr>
            <w:tcW w:w="2580" w:type="dxa"/>
            <w:vAlign w:val="bottom"/>
            <w:vMerge w:val="continue"/>
          </w:tcPr>
          <w:p>
            <w:pPr>
              <w:spacing w:after="0"/>
              <w:rPr>
                <w:sz w:val="10"/>
                <w:szCs w:val="10"/>
                <w:color w:val="auto"/>
              </w:rPr>
            </w:pPr>
          </w:p>
        </w:tc>
        <w:tc>
          <w:tcPr>
            <w:tcW w:w="4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8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ectPr>
          <w:pgSz w:w="11900" w:h="16838" w:orient="portrait"/>
          <w:cols w:equalWidth="0" w:num="2">
            <w:col w:w="840" w:space="720"/>
            <w:col w:w="9640"/>
          </w:cols>
          <w:pgMar w:left="320" w:top="796" w:right="37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Appointment of Chief Financial Officer</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Board of Directors of Inseego Corp. (the “Company”) has appointed Steven Gatoff as Chief Financial Officer of the Company, effective September 14, 2023, to replace Robert G. Barbieri, who is leaving the Company to pursue other interests.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Mr. Gatoff, 56, has worked most recently as chief financial officer ("CFO") of Edge Case Research, Inc. since early 2023. Before that, he worked as CFO of each of the following corporations: HALO Dx, Inc. (dba HALO Precision Diagnostics) in 2022; Absolute Software Corporation from 2020 to 2022; 8x8, Inc. from 2018 to 2020; PagerDuty, Inc. from 2017 to 2018; Rapid7, Inc. from 2013 to 2018; and iPass, Inc. from 2009 to 2013. Prior to these positions, Mr. Gatoff held senior finance roles at United Online, Inc., Sterling Commerce, Inc. and VeriSign Inc. Earlier in his career, Mr. Gatoff worked as an investment banker at several Wall Street firms including Bear Stearns &amp; Co., Credit Suisse First Boston and Morgan Stanley. He began his career as an auditor with Deloitte &amp; Touche. Mr. Gatoff earned a Master of Business Administration (MBA) degree from Columbia University and a Bachelor of Science (BS) degree from the University of Vermont. He is a certified public accountant (CPA).</w:t>
      </w:r>
    </w:p>
    <w:p>
      <w:pPr>
        <w:spacing w:after="0" w:line="17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Effective September 14, 2023, the Company’s Board of Directors also designated Mr. Gatoff as the Company’s “principal financial officer” and “principal accounting officer” for purposes of disclosures under the federal securities laws.</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There are no arrangements or understandings between Mr. Gatoff and any other persons pursuant to which he was selected as an officer of the Company. There are also no family relationships between Mr. Gatoff and any director or executive officer of the Company, and he has no direct or indirect material interest in any transaction required to be disclosed pursuant to Item 404(a) of Regulation 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 with Steven Gatoff</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entered into an offer letter with Mr. Gatoff (the “Offer Letter”) setting forth the terms of his employment as the Company’s Chief Financial Officer.</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Salary and Bonus</w:t>
      </w:r>
      <w:r>
        <w:rPr>
          <w:rFonts w:ascii="Arial" w:cs="Arial" w:eastAsia="Arial" w:hAnsi="Arial"/>
          <w:sz w:val="18"/>
          <w:szCs w:val="18"/>
          <w:color w:val="auto"/>
        </w:rPr>
        <w:t>. The Offer Letter provides for an annual base salary of $350,000. Mr. Gatoff will be eligible to participate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cash bonus program with an annual target bonus equal to 50% of his base salary. Mr. Gatoff will be eligible to participate in other benefit programs that the Company establishes and makes available to its employees from time to time, to the same extent available to similarly situated employees of the Company.</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Term and Termination. </w:t>
      </w:r>
      <w:r>
        <w:rPr>
          <w:rFonts w:ascii="Arial" w:cs="Arial" w:eastAsia="Arial" w:hAnsi="Arial"/>
          <w:sz w:val="18"/>
          <w:szCs w:val="18"/>
          <w:color w:val="auto"/>
        </w:rPr>
        <w:t>The Offer Letter has no specific term and is subject to termination by either the Company or Mr. Gatoff at any time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Pursuant to the Offer Letter, as an inducement to accepting the appointment as the Company’s new Chief Financial Officer, Mr.</w:t>
      </w:r>
      <w:r>
        <w:rPr>
          <w:rFonts w:ascii="Arial" w:cs="Arial" w:eastAsia="Arial" w:hAnsi="Arial"/>
          <w:sz w:val="16"/>
          <w:szCs w:val="16"/>
          <w:i w:val="1"/>
          <w:iCs w:val="1"/>
          <w:color w:val="auto"/>
        </w:rPr>
        <w:t xml:space="preserve"> </w:t>
      </w:r>
      <w:r>
        <w:rPr>
          <w:rFonts w:ascii="Arial" w:cs="Arial" w:eastAsia="Arial" w:hAnsi="Arial"/>
          <w:sz w:val="16"/>
          <w:szCs w:val="16"/>
          <w:color w:val="auto"/>
        </w:rPr>
        <w:t>Gatoff received a one-time stock option award to purchase 250,000 shares of common stock, with an exercise price equal to the closing trading price of the Company’s common stock on September 14, 2023 (the “Inducement Options”). The Inducement Options vest according to the following schedule: one-fourth of the Inducement Options shall vest on September 14, 2024, and the remaining Inducement Options vest ratably each month thereafter for a period of 36 months. The Inducement Options were issued as an employment inducement award in accordance with NASDAQ Listing Rule 5635(c)(4).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Change in Control Agreement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will enter into a Change in Control and Severance Agreement (the “Severance Agreement”) with Mr. Gatoff which will provide that Mr. Gatoff is terminated without cause or resigns for good reason (a “Covered Termination”) during the period commencing 30 days prior to a change in control and ending on the 12-month anniversary of such change in control (a “Change in Control Period”), Mr. Gatoff will, subject to certain conditions including the execution of a general release, be entitled to receive severance in an amount equal to the sum of 18 months of his then-current annual base salary, plus an amount equal to 12 months of his then-current annual target bonus opportunity. In addition, all of Mr. Gatoff’s outstanding equity awards will automatically become vested and, if applicable, exercisable, and Mr. Gatoff and his covered dependents will be entitled to certain healthcare benefits for a period of up to 18 months.</w:t>
      </w:r>
    </w:p>
    <w:p>
      <w:pPr>
        <w:spacing w:after="0" w:line="195"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In the event of a Covered Termination other than during a Change in Control Period, Mr. Gatoff will, subject to certain conditions including the execution of a general release, be entitled to receive severance in an amount equal to the sum of 6 months of his then-current annual base salary, plus a lump-sum bonus payment equal to the pro-rated portion of the target bonus in the year of termination based on actual achievement of corporate performance goals and assumed full achievement of any individual performance goals. In addition, Mr. Gatoff’s outstanding equity awards will become vested and, if applicable, exercisable with respect to that number of shares of Company common stock that would have vested had Mr. Gatoff continued employment with the Company for six months following the date of termination, and Mr. Gatoff and his covered dependents will be entitled to certain healthcare benefits for a period of up to 9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and Mr. Gatoff will enter into the Company’s standard form of indemnification agreement. The agreement requires the Company, among other things, to indemnify Mr. Gatoff against liabilities that may arise by reason of his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100" w:type="dxa"/>
            <w:vAlign w:val="bottom"/>
            <w:gridSpan w:val="2"/>
          </w:tcPr>
          <w:p>
            <w:pPr>
              <w:ind w:left="1920"/>
              <w:spacing w:after="0"/>
              <w:rPr>
                <w:sz w:val="20"/>
                <w:szCs w:val="20"/>
                <w:color w:val="auto"/>
              </w:rPr>
            </w:pPr>
            <w:r>
              <w:rPr>
                <w:rFonts w:ascii="Arial" w:cs="Arial" w:eastAsia="Arial" w:hAnsi="Arial"/>
                <w:sz w:val="18"/>
                <w:szCs w:val="18"/>
                <w:b w:val="1"/>
                <w:bCs w:val="1"/>
                <w:color w:val="auto"/>
              </w:rPr>
              <w:t>INSEEGO CORP.</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September 14, 2023</w:t>
            </w:r>
          </w:p>
        </w:tc>
        <w:tc>
          <w:tcPr>
            <w:tcW w:w="2380" w:type="dxa"/>
            <w:vAlign w:val="bottom"/>
          </w:tcPr>
          <w:p>
            <w:pPr>
              <w:ind w:left="19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Kurt E. Scheuerman</w:t>
            </w:r>
          </w:p>
        </w:tc>
      </w:tr>
      <w:tr>
        <w:trPr>
          <w:trHeight w:val="195"/>
        </w:trPr>
        <w:tc>
          <w:tcPr>
            <w:tcW w:w="3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720" w:type="dxa"/>
            <w:vAlign w:val="bottom"/>
          </w:tcPr>
          <w:p>
            <w:pPr>
              <w:ind w:left="180"/>
              <w:spacing w:after="0" w:line="195" w:lineRule="exact"/>
              <w:rPr>
                <w:sz w:val="20"/>
                <w:szCs w:val="20"/>
                <w:color w:val="auto"/>
              </w:rPr>
            </w:pPr>
            <w:r>
              <w:rPr>
                <w:rFonts w:ascii="Arial" w:cs="Arial" w:eastAsia="Arial" w:hAnsi="Arial"/>
                <w:sz w:val="18"/>
                <w:szCs w:val="18"/>
                <w:color w:val="auto"/>
              </w:rPr>
              <w:t>Name: Kurt E. Scheuerman</w:t>
            </w:r>
          </w:p>
        </w:tc>
      </w:tr>
      <w:tr>
        <w:trPr>
          <w:trHeight w:val="230"/>
        </w:trPr>
        <w:tc>
          <w:tcPr>
            <w:tcW w:w="3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Title: Chief Administrative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2023-09-14T16:45:19Z</dcterms:created>
  <dcterms:modified xsi:type="dcterms:W3CDTF">2023-09-14T16:45:19Z</dcterms:modified>
</cp:coreProperties>
</file>