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137160</wp:posOffset>
            </wp:positionV>
            <wp:extent cx="1243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70485</wp:posOffset>
            </wp:positionV>
            <wp:extent cx="1243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98"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454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111125</wp:posOffset>
            </wp:positionV>
            <wp:extent cx="266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400"/>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2"/>
          </w:tcPr>
          <w:p>
            <w:pPr>
              <w:jc w:val="center"/>
              <w:ind w:right="480"/>
              <w:spacing w:after="0"/>
              <w:rPr>
                <w:sz w:val="20"/>
                <w:szCs w:val="20"/>
                <w:color w:val="auto"/>
              </w:rPr>
            </w:pPr>
            <w:r>
              <w:rPr>
                <w:rFonts w:ascii="Times New Roman" w:cs="Times New Roman" w:eastAsia="Times New Roman" w:hAnsi="Times New Roman"/>
                <w:sz w:val="32"/>
                <w:szCs w:val="32"/>
                <w:b w:val="1"/>
                <w:bCs w:val="1"/>
                <w:color w:val="auto"/>
                <w:w w:val="99"/>
              </w:rPr>
              <w:t>INSEEGO CORP.</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37"/>
        </w:trPr>
        <w:tc>
          <w:tcPr>
            <w:tcW w:w="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60" w:type="dxa"/>
            <w:vAlign w:val="bottom"/>
          </w:tcPr>
          <w:p>
            <w:pPr>
              <w:spacing w:after="0"/>
              <w:rPr>
                <w:sz w:val="3"/>
                <w:szCs w:val="3"/>
                <w:color w:val="auto"/>
              </w:rPr>
            </w:pPr>
          </w:p>
        </w:tc>
      </w:tr>
      <w:tr>
        <w:trPr>
          <w:trHeight w:val="333"/>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4"/>
              <w:spacing w:after="0"/>
              <w:rPr>
                <w:sz w:val="20"/>
                <w:szCs w:val="20"/>
                <w:color w:val="auto"/>
              </w:rPr>
            </w:pPr>
            <w:r>
              <w:rPr>
                <w:rFonts w:ascii="Times New Roman" w:cs="Times New Roman" w:eastAsia="Times New Roman" w:hAnsi="Times New Roman"/>
                <w:sz w:val="18"/>
                <w:szCs w:val="18"/>
                <w:b w:val="1"/>
                <w:bCs w:val="1"/>
                <w:color w:val="auto"/>
              </w:rPr>
              <w:t>81-3377646</w:t>
            </w:r>
          </w:p>
        </w:tc>
      </w:tr>
      <w:tr>
        <w:trPr>
          <w:trHeight w:val="146"/>
        </w:trPr>
        <w:tc>
          <w:tcPr>
            <w:tcW w:w="60" w:type="dxa"/>
            <w:vAlign w:val="bottom"/>
          </w:tcPr>
          <w:p>
            <w:pPr>
              <w:spacing w:after="0"/>
              <w:rPr>
                <w:sz w:val="12"/>
                <w:szCs w:val="12"/>
                <w:color w:val="auto"/>
              </w:rPr>
            </w:pPr>
          </w:p>
        </w:tc>
        <w:tc>
          <w:tcPr>
            <w:tcW w:w="3980" w:type="dxa"/>
            <w:vAlign w:val="bottom"/>
            <w:gridSpan w:val="2"/>
          </w:tcPr>
          <w:p>
            <w:pPr>
              <w:jc w:val="center"/>
              <w:ind w:left="133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60" w:type="dxa"/>
            <w:vAlign w:val="bottom"/>
          </w:tcPr>
          <w:p>
            <w:pPr>
              <w:jc w:val="center"/>
              <w:ind w:right="174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rPr>
              <w:t>9710 Scranton Road, Suite 200</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7"/>
        </w:trPr>
        <w:tc>
          <w:tcPr>
            <w:tcW w:w="60" w:type="dxa"/>
            <w:vAlign w:val="bottom"/>
          </w:tcPr>
          <w:p>
            <w:pPr>
              <w:spacing w:after="0"/>
              <w:rPr>
                <w:sz w:val="19"/>
                <w:szCs w:val="19"/>
                <w:color w:val="auto"/>
              </w:rPr>
            </w:pPr>
          </w:p>
        </w:tc>
        <w:tc>
          <w:tcPr>
            <w:tcW w:w="39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0"/>
        </w:trPr>
        <w:tc>
          <w:tcPr>
            <w:tcW w:w="60" w:type="dxa"/>
            <w:vAlign w:val="bottom"/>
          </w:tcPr>
          <w:p>
            <w:pPr>
              <w:spacing w:after="0"/>
              <w:rPr>
                <w:sz w:val="24"/>
                <w:szCs w:val="24"/>
                <w:color w:val="auto"/>
              </w:rPr>
            </w:pPr>
          </w:p>
        </w:tc>
        <w:tc>
          <w:tcPr>
            <w:tcW w:w="11180" w:type="dxa"/>
            <w:vAlign w:val="bottom"/>
            <w:gridSpan w:val="7"/>
          </w:tcPr>
          <w:p>
            <w:pPr>
              <w:ind w:left="29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812-3400</w:t>
            </w:r>
          </w:p>
        </w:tc>
      </w:tr>
      <w:tr>
        <w:trPr>
          <w:trHeight w:val="324"/>
        </w:trPr>
        <w:tc>
          <w:tcPr>
            <w:tcW w:w="7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22"/>
        </w:trPr>
        <w:tc>
          <w:tcPr>
            <w:tcW w:w="60" w:type="dxa"/>
            <w:vAlign w:val="bottom"/>
          </w:tcPr>
          <w:p>
            <w:pPr>
              <w:spacing w:after="0"/>
              <w:rPr>
                <w:sz w:val="10"/>
                <w:szCs w:val="10"/>
                <w:color w:val="auto"/>
              </w:rPr>
            </w:pPr>
          </w:p>
        </w:tc>
        <w:tc>
          <w:tcPr>
            <w:tcW w:w="398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gridSpan w:val="2"/>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3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2"/>
          </w:tcPr>
          <w:p>
            <w:pPr>
              <w:jc w:val="center"/>
              <w:ind w:right="184"/>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16"/>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INSG</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504"/>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0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jc w:val="both"/>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22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w:t>
      </w:r>
      <w:r>
        <w:rPr>
          <w:rFonts w:ascii="Times New Roman" w:cs="Times New Roman" w:eastAsia="Times New Roman" w:hAnsi="Times New Roman"/>
          <w:sz w:val="16"/>
          <w:szCs w:val="16"/>
          <w:color w:val="auto"/>
        </w:rPr>
        <w:t>(as defined in Rule 12b-2 of the Exchange Act)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July 31, 2024, was 12,282,552.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PART I—FINANCIAL INFORMATION</w:t>
            </w: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06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8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 and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$890 and $1,113,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22,880</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58,226</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$29,835 and $28,920,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Rental assets, net of accumulated depreciation of $8,682 and $7,003, respectively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 of $45,110 and $39,987,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21,922</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12"/>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149,563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121,797</w:t>
            </w:r>
          </w:p>
        </w:tc>
        <w:tc>
          <w:tcPr>
            <w:tcW w:w="0" w:type="dxa"/>
            <w:vAlign w:val="bottom"/>
          </w:tcPr>
          <w:p>
            <w:pPr>
              <w:spacing w:after="0"/>
              <w:rPr>
                <w:sz w:val="1"/>
                <w:szCs w:val="1"/>
                <w:color w:val="auto"/>
              </w:rPr>
            </w:pP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24,795</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27,022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Short-term loan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Convertible Notes,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0" w:type="dxa"/>
            <w:vAlign w:val="bottom"/>
          </w:tcPr>
          <w:p>
            <w:pPr>
              <w:spacing w:after="0"/>
              <w:rPr>
                <w:sz w:val="1"/>
                <w:szCs w:val="1"/>
                <w:color w:val="auto"/>
              </w:rPr>
            </w:pPr>
          </w:p>
        </w:tc>
      </w:tr>
      <w:tr>
        <w:trPr>
          <w:trHeight w:val="207"/>
        </w:trPr>
        <w:tc>
          <w:tcPr>
            <w:tcW w:w="8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239,101</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55,911</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Convertible Notes, net</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159,912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251,326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223,902</w:t>
            </w:r>
          </w:p>
        </w:tc>
        <w:tc>
          <w:tcPr>
            <w:tcW w:w="0" w:type="dxa"/>
            <w:vAlign w:val="bottom"/>
          </w:tcPr>
          <w:p>
            <w:pPr>
              <w:spacing w:after="0"/>
              <w:rPr>
                <w:sz w:val="1"/>
                <w:szCs w:val="1"/>
                <w:color w:val="auto"/>
              </w:rPr>
            </w:pPr>
          </w:p>
        </w:tc>
      </w:tr>
      <w:tr>
        <w:trPr>
          <w:trHeight w:val="19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$0.001; 2,000,000 shares authorized: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Preferred stock, par value $0.001; 39,500 shares designated, 25,000 shares issued and outstanding as of June 30, 2024 and</w:t>
            </w:r>
          </w:p>
        </w:tc>
        <w:tc>
          <w:tcPr>
            <w:tcW w:w="18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December 31, 2023, respectively (aggregate liquidation preference of $36,721,385)</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par value $0.001; 150,000,000 shares authorized, 11,910,151 and 11,878,557 shares issued and outstanding as of</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30, 2024 and December 31, 2023, respectively</w:t>
            </w: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816,002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810,138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(912,357)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(906,928)</w:t>
            </w:r>
          </w:p>
        </w:tc>
        <w:tc>
          <w:tcPr>
            <w:tcW w:w="0" w:type="dxa"/>
            <w:vAlign w:val="bottom"/>
          </w:tcPr>
          <w:p>
            <w:pPr>
              <w:spacing w:after="0"/>
              <w:rPr>
                <w:sz w:val="1"/>
                <w:szCs w:val="1"/>
                <w:color w:val="auto"/>
              </w:rPr>
            </w:pPr>
          </w:p>
        </w:tc>
      </w:tr>
      <w:tr>
        <w:trPr>
          <w:trHeight w:val="210"/>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(102,105)</w:t>
            </w:r>
          </w:p>
        </w:tc>
        <w:tc>
          <w:tcPr>
            <w:tcW w:w="0" w:type="dxa"/>
            <w:vAlign w:val="bottom"/>
          </w:tcPr>
          <w:p>
            <w:pPr>
              <w:spacing w:after="0"/>
              <w:rPr>
                <w:sz w:val="1"/>
                <w:szCs w:val="1"/>
                <w:color w:val="auto"/>
              </w:rPr>
            </w:pPr>
          </w:p>
        </w:tc>
      </w:tr>
      <w:tr>
        <w:trPr>
          <w:trHeight w:val="212"/>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149,563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121,797</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6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Mobile solutions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41,935</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31,375</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73,310</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19,953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31,041</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53,557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104,351</w:t>
            </w: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58,587</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8,681</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revenues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36,109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34,661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67,268</w:t>
            </w:r>
          </w:p>
        </w:tc>
        <w:tc>
          <w:tcPr>
            <w:tcW w:w="0" w:type="dxa"/>
            <w:vAlign w:val="bottom"/>
          </w:tcPr>
          <w:p>
            <w:pPr>
              <w:spacing w:after="0"/>
              <w:rPr>
                <w:sz w:val="1"/>
                <w:szCs w:val="1"/>
                <w:color w:val="auto"/>
              </w:rPr>
            </w:pPr>
          </w:p>
        </w:tc>
      </w:tr>
      <w:tr>
        <w:trPr>
          <w:trHeight w:val="207"/>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37,083</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12,253</w:t>
            </w: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43,950</w:t>
            </w:r>
          </w:p>
        </w:tc>
        <w:tc>
          <w:tcPr>
            <w:tcW w:w="0" w:type="dxa"/>
            <w:vAlign w:val="bottom"/>
          </w:tcPr>
          <w:p>
            <w:pPr>
              <w:spacing w:after="0"/>
              <w:rPr>
                <w:sz w:val="1"/>
                <w:szCs w:val="1"/>
                <w:color w:val="auto"/>
              </w:rPr>
            </w:pP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(6,867)</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0" w:type="dxa"/>
            <w:vAlign w:val="bottom"/>
          </w:tcPr>
          <w:p>
            <w:pPr>
              <w:spacing w:after="0"/>
              <w:rPr>
                <w:sz w:val="1"/>
                <w:szCs w:val="1"/>
                <w:color w:val="auto"/>
              </w:rPr>
            </w:pP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(9,425)</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0" w:type="dxa"/>
            <w:vAlign w:val="bottom"/>
          </w:tcPr>
          <w:p>
            <w:pPr>
              <w:spacing w:after="0"/>
              <w:rPr>
                <w:sz w:val="1"/>
                <w:szCs w:val="1"/>
                <w:color w:val="auto"/>
              </w:rPr>
            </w:pPr>
          </w:p>
        </w:tc>
      </w:tr>
      <w:tr>
        <w:trPr>
          <w:trHeight w:val="212"/>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(11,503)</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data:</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Basic and diluted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computation of net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Basic and diluted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11,894,746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11,108,029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11,887,233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10,984,794</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Adjusted retroactively for reverse stock split that occurred on January 24, 2024, see Note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15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68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8"/>
                <w:szCs w:val="8"/>
                <w:color w:val="auto"/>
              </w:rPr>
            </w:pPr>
          </w:p>
        </w:tc>
        <w:tc>
          <w:tcPr>
            <w:tcW w:w="920" w:type="dxa"/>
            <w:vAlign w:val="bottom"/>
          </w:tcPr>
          <w:p>
            <w:pPr>
              <w:jc w:val="center"/>
              <w:ind w:right="50"/>
              <w:spacing w:after="0" w:line="102"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920" w:type="dxa"/>
            <w:vAlign w:val="bottom"/>
          </w:tcPr>
          <w:p>
            <w:pPr>
              <w:jc w:val="center"/>
              <w:ind w:right="5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 (*)</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 (*)</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5"/>
                <w:szCs w:val="15"/>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2023</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10,937</w:t>
            </w:r>
          </w:p>
        </w:tc>
        <w:tc>
          <w:tcPr>
            <w:tcW w:w="100" w:type="dxa"/>
            <w:vAlign w:val="bottom"/>
          </w:tcPr>
          <w:p>
            <w:pPr>
              <w:spacing w:after="0"/>
              <w:rPr>
                <w:sz w:val="16"/>
                <w:szCs w:val="16"/>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797,079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(863,579)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(72,725)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(4,936)</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in connection with a public</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5,529</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March 31, 2024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(912,173)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(105,589)</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0" w:type="dxa"/>
            <w:vAlign w:val="bottom"/>
          </w:tcPr>
          <w:p>
            <w:pPr>
              <w:spacing w:after="0"/>
              <w:rPr>
                <w:sz w:val="1"/>
                <w:szCs w:val="1"/>
                <w:color w:val="auto"/>
              </w:rPr>
            </w:pPr>
          </w:p>
        </w:tc>
      </w:tr>
      <w:tr>
        <w:trPr>
          <w:trHeight w:val="135"/>
        </w:trPr>
        <w:tc>
          <w:tcPr>
            <w:tcW w:w="3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warrants, net of issuance costs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11,910</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816,002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(912,357)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(101,763)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15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74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8"/>
                <w:szCs w:val="8"/>
                <w:color w:val="auto"/>
              </w:rPr>
            </w:pPr>
          </w:p>
        </w:tc>
        <w:tc>
          <w:tcPr>
            <w:tcW w:w="920" w:type="dxa"/>
            <w:vAlign w:val="bottom"/>
          </w:tcPr>
          <w:p>
            <w:pPr>
              <w:jc w:val="center"/>
              <w:ind w:right="50"/>
              <w:spacing w:after="0" w:line="102"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9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920" w:type="dxa"/>
            <w:vAlign w:val="bottom"/>
          </w:tcPr>
          <w:p>
            <w:pPr>
              <w:jc w:val="center"/>
              <w:ind w:right="5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 (*)</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 (*)</w:t>
            </w:r>
          </w:p>
        </w:tc>
        <w:tc>
          <w:tcPr>
            <w:tcW w:w="12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5"/>
                <w:szCs w:val="15"/>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10,847</w:t>
            </w:r>
          </w:p>
        </w:tc>
        <w:tc>
          <w:tcPr>
            <w:tcW w:w="10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793,952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(857,751)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(70,118)</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(10,041)</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42"/>
        </w:trPr>
        <w:tc>
          <w:tcPr>
            <w:tcW w:w="3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in connection with a public</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6,058</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805,282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(70,815)</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(906,928)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(102,105)</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35"/>
        </w:trPr>
        <w:tc>
          <w:tcPr>
            <w:tcW w:w="3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warrants, net of issuance costs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11,910</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816,002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(912,357)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(101,763)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(10,041)</w:t>
            </w: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9,069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10,819</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Provision for expected credit losses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Impairment of operating lease right-of-use assets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3,762</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Amortization of debt discount and debt issuance costs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977</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Gain on debt repurchases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Non-cash operating lease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w:t>
            </w:r>
          </w:p>
        </w:tc>
      </w:tr>
      <w:tr>
        <w:trPr>
          <w:trHeight w:val="205"/>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Inventories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6,172</w:t>
            </w:r>
          </w:p>
        </w:tc>
      </w:tr>
      <w:tr>
        <w:trPr>
          <w:trHeight w:val="200"/>
        </w:trPr>
        <w:tc>
          <w:tcPr>
            <w:tcW w:w="86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w:t>
            </w:r>
          </w:p>
        </w:tc>
      </w:tr>
      <w:tr>
        <w:trPr>
          <w:trHeight w:val="205"/>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5,106</w:t>
            </w:r>
          </w:p>
        </w:tc>
      </w:tr>
      <w:tr>
        <w:trPr>
          <w:trHeight w:val="200"/>
        </w:trPr>
        <w:tc>
          <w:tcPr>
            <w:tcW w:w="8680" w:type="dxa"/>
            <w:vAlign w:val="bottom"/>
          </w:tcPr>
          <w:p>
            <w:pPr>
              <w:ind w:left="68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(6,384)</w:t>
            </w:r>
          </w:p>
        </w:tc>
      </w:tr>
      <w:tr>
        <w:trPr>
          <w:trHeight w:val="205"/>
        </w:trPr>
        <w:tc>
          <w:tcPr>
            <w:tcW w:w="8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r>
      <w:tr>
        <w:trPr>
          <w:trHeight w:val="194"/>
        </w:trPr>
        <w:tc>
          <w:tcPr>
            <w:tcW w:w="86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33,301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12,679</w:t>
            </w:r>
          </w:p>
        </w:tc>
      </w:tr>
      <w:tr>
        <w:trPr>
          <w:trHeight w:val="18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w:t>
            </w: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Additions to capitalized software development costs and purchases of intangible assets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(4,441)</w:t>
            </w:r>
          </w:p>
        </w:tc>
      </w:tr>
      <w:tr>
        <w:trPr>
          <w:trHeight w:val="194"/>
        </w:trPr>
        <w:tc>
          <w:tcPr>
            <w:tcW w:w="86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(4,602)</w:t>
            </w:r>
          </w:p>
        </w:tc>
      </w:tr>
      <w:tr>
        <w:trPr>
          <w:trHeight w:val="18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related to repurchases of 2025 Convertible Notes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from issuance of short-term loan and warrants, net of issuance costs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Proceeds from a public offering of equity, net of issuance costs</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6,059</w:t>
            </w: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Principal payments on financed assets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w:t>
            </w:r>
          </w:p>
        </w:tc>
      </w:tr>
      <w:tr>
        <w:trPr>
          <w:trHeight w:val="200"/>
        </w:trPr>
        <w:tc>
          <w:tcPr>
            <w:tcW w:w="868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Net repayments on revolving credit facility</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(4,598)</w:t>
            </w: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r>
      <w:tr>
        <w:trPr>
          <w:trHeight w:val="194"/>
        </w:trPr>
        <w:tc>
          <w:tcPr>
            <w:tcW w:w="868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10,758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1,227</w:t>
            </w:r>
          </w:p>
        </w:tc>
      </w:tr>
      <w:tr>
        <w:trPr>
          <w:trHeight w:val="19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Effect of exchange rates on cash</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(1,282)</w:t>
            </w:r>
          </w:p>
        </w:tc>
      </w:tr>
      <w:tr>
        <w:trPr>
          <w:trHeight w:val="194"/>
        </w:trPr>
        <w:tc>
          <w:tcPr>
            <w:tcW w:w="8680" w:type="dxa"/>
            <w:vAlign w:val="bottom"/>
          </w:tcPr>
          <w:p>
            <w:pPr>
              <w:ind w:left="900"/>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8,022</w:t>
            </w:r>
          </w:p>
        </w:tc>
      </w:tr>
      <w:tr>
        <w:trPr>
          <w:trHeight w:val="20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7,519</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7,143</w:t>
            </w:r>
          </w:p>
        </w:tc>
      </w:tr>
      <w:tr>
        <w:trPr>
          <w:trHeight w:val="198"/>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48,993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15,165</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during the year for:</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Interest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2,966</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2,864</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Income taxes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disclosures of non-cash investing and financing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Transfer of inventories to rental assets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1,346</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665</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Capital expenditures financed through accounts payable or accrued liabilities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4,312</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Debt and warrant issuance costs financed through accrued liabilities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Right-of-use assets obtained in exchange for operating leases liabilities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62"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(“Financial Statements”) have been prepared by Inseego Corp. (the “Company”, “we”, “us”) in accordance with accounting principles generally accepted in the U.S. (“GAAP”) and applicable rules and regulations of the Securities and Exchange Commission (“SEC”) regarding interim financial reporting. The Financial Statements include the accounts of the Company and its consolidated subsidiaries. All significant intercompany balances and transactions have been eliminated in consolidation. These Financial Statements should be read in conjunction with the audited consolidated financial statements and notes as of and for the year ended December 31, 2023, included in the Company's Annual Report on Form 10-K for the year ended December 31, 2023 (the “Form 10-K”).</w:t>
      </w:r>
    </w:p>
    <w:p>
      <w:pPr>
        <w:spacing w:after="0" w:line="112" w:lineRule="exact"/>
        <w:rPr>
          <w:sz w:val="20"/>
          <w:szCs w:val="20"/>
          <w:color w:val="auto"/>
        </w:rPr>
      </w:pPr>
    </w:p>
    <w:p>
      <w:pPr>
        <w:ind w:right="80" w:firstLine="405"/>
        <w:spacing w:after="0" w:line="242"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was derived from the audited consolidated financial statements as of that date, but does not include all disclosures required by GAAP. In management’s opinion, the accompanying Financial Statements reflect all normal recurring adjustments necessary for their fair presentation. Other than described below, there have been no changes to the Company’s significant accounting policies described in the Form 10-K that have had a material impact on the Company’s Financial Statements. The results of operations for the interim periods presented are not necessarily indicative of results to be expected for any other interim period or for the year as a whole.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6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The principal executive officer, who is also the Chief Operating Decision Maker, does not manage any part of the Company separately, and the allocation of resources and assessment of performance are based solely on the Company’s consolidated operations and financial results.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ind w:right="80" w:firstLine="405"/>
        <w:spacing w:after="0" w:line="24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warranty provision,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62" w:lineRule="exact"/>
        <w:rPr>
          <w:sz w:val="20"/>
          <w:szCs w:val="20"/>
          <w:color w:val="auto"/>
        </w:rPr>
      </w:pPr>
    </w:p>
    <w:p>
      <w:pPr>
        <w:ind w:right="500" w:firstLine="405"/>
        <w:spacing w:after="0" w:line="266" w:lineRule="auto"/>
        <w:rPr>
          <w:sz w:val="20"/>
          <w:szCs w:val="20"/>
          <w:color w:val="auto"/>
        </w:rPr>
      </w:pPr>
      <w:r>
        <w:rPr>
          <w:rFonts w:ascii="Times New Roman" w:cs="Times New Roman" w:eastAsia="Times New Roman" w:hAnsi="Times New Roman"/>
          <w:sz w:val="18"/>
          <w:szCs w:val="18"/>
          <w:color w:val="auto"/>
        </w:rPr>
        <w:t>Certain amounts recorded in the prior period consolidated financial statements have been reclassified to conform to the current period financial statement presentation. These reclassifications had no effect on previously reported operating results.</w:t>
      </w:r>
    </w:p>
    <w:p>
      <w:pPr>
        <w:spacing w:after="0" w:line="122" w:lineRule="exact"/>
        <w:rPr>
          <w:sz w:val="20"/>
          <w:szCs w:val="20"/>
          <w:color w:val="auto"/>
        </w:rPr>
      </w:pPr>
    </w:p>
    <w:p>
      <w:pPr>
        <w:ind w:right="100" w:firstLine="405"/>
        <w:spacing w:after="0" w:line="242" w:lineRule="auto"/>
        <w:rPr>
          <w:sz w:val="20"/>
          <w:szCs w:val="20"/>
          <w:color w:val="auto"/>
        </w:rPr>
      </w:pPr>
      <w:r>
        <w:rPr>
          <w:rFonts w:ascii="Times New Roman" w:cs="Times New Roman" w:eastAsia="Times New Roman" w:hAnsi="Times New Roman"/>
          <w:sz w:val="18"/>
          <w:szCs w:val="18"/>
          <w:color w:val="auto"/>
        </w:rPr>
        <w:t xml:space="preserve">During the fourth quarter of 2023, and as noted in the Form 10-K, the Company reclassified revenue on its Consolidated Statement of Operations. Historically, the Company classified revenues from products and services into two categories, IoT &amp; Mobile Solutions and Enterprise SaaS Solutions. The Company is now classifying revenues from products and services into the following two categories: Product Revenue, which consists of our Mobile Solutions and Fixed Wireless Access Solutions, and Services and Other. Additionally, during 2023 the Company reclassified all depreciation and amortization expense previously recorded in the operating expense line items of research and development, sales and marketing, and general and administrative expenses on the Consolidated Statement of Operations into a separate line labeled </w:t>
      </w: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xml:space="preserve"> All prior periods have been reclassified to conform to the current period presentation for these changes.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62" w:lineRule="exact"/>
        <w:rPr>
          <w:sz w:val="20"/>
          <w:szCs w:val="20"/>
          <w:color w:val="auto"/>
        </w:rPr>
      </w:pPr>
    </w:p>
    <w:p>
      <w:pPr>
        <w:jc w:val="both"/>
        <w:ind w:right="20" w:firstLine="405"/>
        <w:spacing w:after="0" w:line="250" w:lineRule="auto"/>
        <w:rPr>
          <w:sz w:val="20"/>
          <w:szCs w:val="20"/>
          <w:color w:val="auto"/>
        </w:rPr>
      </w:pPr>
      <w:r>
        <w:rPr>
          <w:rFonts w:ascii="Times New Roman" w:cs="Times New Roman" w:eastAsia="Times New Roman" w:hAnsi="Times New Roman"/>
          <w:sz w:val="18"/>
          <w:szCs w:val="18"/>
          <w:color w:val="auto"/>
        </w:rPr>
        <w:t>On January 24, 2024, the Company completed a 1-for-10 reverse stock split of its issued and outstanding common stock (the “Reverse Stock Split”). As a result of the Reverse Stock Split, each share of common stock issued and outstanding immediately prior to January 24th were automatically converted into one-tenth (1/10)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fractional shares were issued in connection with the Reverse Stock Split. Stockholders who otherwise would be entitled to receive a fractional share instead were entitled to receive cash in lieu of such fractional share.</w:t>
      </w:r>
    </w:p>
    <w:p>
      <w:pPr>
        <w:spacing w:after="0" w:line="122"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The Reverse Stock Split did not change the par value of the common stock or the authorized number of shares of common stock. All outstanding convertible notes entitling their holders to purchase or obtain or convert into shares of our common stock were adjusted, as required by the terms of these securities.</w:t>
      </w:r>
    </w:p>
    <w:p>
      <w:pPr>
        <w:spacing w:after="0" w:line="136" w:lineRule="exact"/>
        <w:rPr>
          <w:sz w:val="20"/>
          <w:szCs w:val="20"/>
          <w:color w:val="auto"/>
        </w:rPr>
      </w:pPr>
    </w:p>
    <w:p>
      <w:pPr>
        <w:ind w:right="760" w:firstLine="405"/>
        <w:spacing w:after="0" w:line="414" w:lineRule="auto"/>
        <w:rPr>
          <w:sz w:val="20"/>
          <w:szCs w:val="20"/>
          <w:color w:val="auto"/>
        </w:rPr>
      </w:pPr>
      <w:r>
        <w:rPr>
          <w:rFonts w:ascii="Times New Roman" w:cs="Times New Roman" w:eastAsia="Times New Roman" w:hAnsi="Times New Roman"/>
          <w:sz w:val="18"/>
          <w:szCs w:val="18"/>
          <w:color w:val="auto"/>
        </w:rPr>
        <w:t xml:space="preserve">All common share and per-share amounts in this Form 10-Q have been retroactively restated to reflect the effect of the Reverse Stock Split. </w:t>
      </w:r>
      <w:r>
        <w:rPr>
          <w:rFonts w:ascii="Times New Roman" w:cs="Times New Roman" w:eastAsia="Times New Roman" w:hAnsi="Times New Roman"/>
          <w:sz w:val="18"/>
          <w:szCs w:val="18"/>
          <w:b w:val="1"/>
          <w:bCs w:val="1"/>
          <w:i w:val="1"/>
          <w:iCs w:val="1"/>
          <w:color w:val="auto"/>
        </w:rPr>
        <w:t>Liquidity</w:t>
      </w:r>
    </w:p>
    <w:p>
      <w:pPr>
        <w:spacing w:after="0" w:line="1"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On June 28, 2024, the Company entered into a series of agreements, as part of its overall capital structure management, to reduce its total debt and restructure its outstanding 3.25% convertible notes due 2025 (the “2025 Convertible Notes”). Specifically, pursuant to agreements summarized in Note 4 – Debt, the Company executed three transactions that, together, involved the three largest noteholders of $125.9 million in face value, or 80%, of the 2025 Convertible Notes, as follows:</w:t>
      </w:r>
    </w:p>
    <w:p>
      <w:pPr>
        <w:spacing w:after="0" w:line="127" w:lineRule="exact"/>
        <w:rPr>
          <w:sz w:val="20"/>
          <w:szCs w:val="20"/>
          <w:color w:val="auto"/>
        </w:rPr>
      </w:pPr>
    </w:p>
    <w:p>
      <w:pPr>
        <w:jc w:val="both"/>
        <w:ind w:right="60" w:firstLine="413"/>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Repurchase: the Company agreed to purchase for cash, all of the $45.9 million in face value of the 2025 Convertible Notes held by certain entities managed by Highbridge Capital Management, LLC (such entities, “Highbridge”), the second largest noteholder, at a discount of 30% to face value;</w:t>
      </w:r>
    </w:p>
    <w:p>
      <w:pPr>
        <w:spacing w:after="0" w:line="122" w:lineRule="exact"/>
        <w:rPr>
          <w:rFonts w:ascii="Times New Roman" w:cs="Times New Roman" w:eastAsia="Times New Roman" w:hAnsi="Times New Roman"/>
          <w:sz w:val="18"/>
          <w:szCs w:val="18"/>
          <w:color w:val="auto"/>
        </w:rPr>
      </w:pPr>
    </w:p>
    <w:p>
      <w:pPr>
        <w:ind w:firstLine="413"/>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Loan Agreement: to finance a portion of the Convertible Debt Repurchase, the Company agreed to a $19.5 million loan from (i) South Ocean Funding, LLC (“South Ocean”), which is an affiliate of Golden Harbor Ltd. (“Golden Harbor”), and Tavistock Financial, LLC, and (ii) certain participant lenders (the “Participating Lenders”); and</w:t>
      </w:r>
    </w:p>
    <w:p>
      <w:pPr>
        <w:spacing w:after="0" w:line="122" w:lineRule="exact"/>
        <w:rPr>
          <w:rFonts w:ascii="Times New Roman" w:cs="Times New Roman" w:eastAsia="Times New Roman" w:hAnsi="Times New Roman"/>
          <w:sz w:val="18"/>
          <w:szCs w:val="18"/>
          <w:color w:val="auto"/>
        </w:rPr>
      </w:pPr>
    </w:p>
    <w:p>
      <w:pPr>
        <w:ind w:right="20" w:firstLine="413"/>
        <w:spacing w:after="0" w:line="23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Exchange: the Company entered into binding term sheets (the “Exchange Agreements”) to exchange $80.0 million of face value that represents all of the 2025 Convertible Notes held by North Sound Partners and Golden Harbor (the “Noteholders”), the largest and third-largest bondholders, respectively, for the same 30% discount as the Highbridge Notes purchase, for a combination of new long-term debt and equity. Specifically, the Noteholders will receive an aggregate of approximately 2.4 million shares of Common Stock and $31.8 million principal amount of new long-term senior secured notes. In addition the Noteholders will receive warrants to purchase an aggregate of approximately 1.5 million shares of Common Stock.</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2024, the Company had available cash and cash equivalents totaling $49.0 million. Under the Short-Term Loan Agreement,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received $16.5 million in cash on June 28, 2024. Subsequent to June 30, 2024 (on July 1, 2024), the Company received the remaining</w:t>
      </w:r>
    </w:p>
    <w:p>
      <w:pPr>
        <w:spacing w:after="0" w:line="234" w:lineRule="auto"/>
        <w:rPr>
          <w:sz w:val="20"/>
          <w:szCs w:val="20"/>
          <w:color w:val="auto"/>
        </w:rPr>
      </w:pPr>
      <w:r>
        <w:rPr>
          <w:rFonts w:ascii="Times New Roman" w:cs="Times New Roman" w:eastAsia="Times New Roman" w:hAnsi="Times New Roman"/>
          <w:sz w:val="18"/>
          <w:szCs w:val="18"/>
          <w:color w:val="auto"/>
        </w:rPr>
        <w:t>$3.0 million under the Short-Term Loan Agreement and closed the Convertible Debt Repurchase, paying $32.1 million to Highbridge, plus accrued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w:t>
      </w:r>
    </w:p>
    <w:p>
      <w:pPr>
        <w:spacing w:after="0" w:line="138"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The 2025 Convertible Notes had a principal balance of $158.9 million as of June 30, 2024 and mature on May 1, 2025. The closing of the Convertible Debt Repurchase on July 1, 2024 reduced the principal balance of the 2025 Convertible Notes by $45.9 million. Taking into account the Convertible Debt Repurchase, the Convertible Debt Exchange, and certain other transactions with individual holders of the 2025 Convertible Notes through the date of issuance of this report, the Company has repurchased and/or entered into binding agreements to repurchase and/or exchange approximately $141.9 million, or 87.7%, of the face value of the outstanding 2025 Convertible Notes.</w:t>
      </w:r>
    </w:p>
    <w:p>
      <w:pPr>
        <w:spacing w:after="0" w:line="117" w:lineRule="exact"/>
        <w:rPr>
          <w:sz w:val="20"/>
          <w:szCs w:val="20"/>
          <w:color w:val="auto"/>
        </w:rPr>
      </w:pPr>
    </w:p>
    <w:p>
      <w:pPr>
        <w:ind w:right="40" w:firstLine="405"/>
        <w:spacing w:after="0" w:line="241" w:lineRule="auto"/>
        <w:rPr>
          <w:sz w:val="20"/>
          <w:szCs w:val="20"/>
          <w:color w:val="auto"/>
        </w:rPr>
      </w:pPr>
      <w:r>
        <w:rPr>
          <w:rFonts w:ascii="Times New Roman" w:cs="Times New Roman" w:eastAsia="Times New Roman" w:hAnsi="Times New Roman"/>
          <w:sz w:val="18"/>
          <w:szCs w:val="18"/>
          <w:color w:val="auto"/>
        </w:rPr>
        <w:t>Consummation of the Convertible Debt Exchanges are subject to, among other things, the drafting, execution and delivery of one or more final agreements reflecting the terms contained in the Exchange Agreements and other customary and mutually acceptable terms and conditions, which agreements the Company and the Noteholders have agreed to negotiate in good faith. There can be no assurance that the Convertible Debt Exchanges will be consummated on the terms set forth in the Exchange Agreements, or at all. As the closing of the Convertible Debt Exchanges cannot be assured, accounting guidance requires disclosure that this raises substantial doubt about the Company’s ability to continue as a going concern within one year of the issuance of these financial statements.</w:t>
      </w:r>
    </w:p>
    <w:p>
      <w:pPr>
        <w:spacing w:after="0" w:line="130" w:lineRule="exact"/>
        <w:rPr>
          <w:sz w:val="20"/>
          <w:szCs w:val="20"/>
          <w:color w:val="auto"/>
        </w:rPr>
      </w:pPr>
    </w:p>
    <w:p>
      <w:pPr>
        <w:ind w:right="80" w:firstLine="405"/>
        <w:spacing w:after="0" w:line="245" w:lineRule="auto"/>
        <w:rPr>
          <w:sz w:val="20"/>
          <w:szCs w:val="20"/>
          <w:color w:val="auto"/>
        </w:rPr>
      </w:pPr>
      <w:r>
        <w:rPr>
          <w:rFonts w:ascii="Times New Roman" w:cs="Times New Roman" w:eastAsia="Times New Roman" w:hAnsi="Times New Roman"/>
          <w:sz w:val="18"/>
          <w:szCs w:val="18"/>
          <w:color w:val="auto"/>
        </w:rPr>
        <w:t>The Company generated positive cash flow from operations both for the year ended December 31, 2023 and in the three and six months ended June 30, 2024. In April 2024, the Company received a $15.0 million upfront payment from a customer in connection with a two-year service contract. Based on the factors above, and to reduce financing costs, the Company voluntarily paid-off and terminated its Credit Facility (as defined below) effective April 18, 2024. These factors have had a positive impact on our liquidity.</w:t>
      </w:r>
    </w:p>
    <w:p>
      <w:pPr>
        <w:spacing w:after="0" w:line="127" w:lineRule="exact"/>
        <w:rPr>
          <w:sz w:val="20"/>
          <w:szCs w:val="20"/>
          <w:color w:val="auto"/>
        </w:rPr>
      </w:pPr>
    </w:p>
    <w:p>
      <w:pPr>
        <w:ind w:right="220" w:firstLine="405"/>
        <w:spacing w:after="0" w:line="242" w:lineRule="auto"/>
        <w:rPr>
          <w:sz w:val="20"/>
          <w:szCs w:val="20"/>
          <w:color w:val="auto"/>
        </w:rPr>
      </w:pPr>
      <w:r>
        <w:rPr>
          <w:rFonts w:ascii="Times New Roman" w:cs="Times New Roman" w:eastAsia="Times New Roman" w:hAnsi="Times New Roman"/>
          <w:sz w:val="18"/>
          <w:szCs w:val="18"/>
          <w:color w:val="auto"/>
        </w:rPr>
        <w:t>While the Company’s liquidity and financial results have had several positive developments recently, as noted above, the Company has a history of operating and net losses and overall usage of cash from operating and investing activities. The Company’s ability to maintain profitable operations and continue to generate positive cash flows is dependent upon achieving 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level and mix of revenues adequate to support its evolving cost structure. In order to effect the restructuring or refinancing of the Company’s obligations, or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Financial Statement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21,264</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r>
      <w:tr>
        <w:trPr>
          <w:trHeight w:val="207"/>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inventories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18,006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22,880</w:t>
            </w:r>
          </w:p>
        </w:tc>
      </w:tr>
      <w:tr>
        <w:trPr>
          <w:trHeight w:val="23"/>
        </w:trPr>
        <w:tc>
          <w:tcPr>
            <w:tcW w:w="8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consists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Rebate receivables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1,566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contract manufacturers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24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37"/>
        </w:trPr>
        <w:tc>
          <w:tcPr>
            <w:tcW w:w="8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prepaid expenses and other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Warranty obligations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contract manufacturing liabilities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7,537</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w:t>
            </w:r>
          </w:p>
        </w:tc>
        <w:tc>
          <w:tcPr>
            <w:tcW w:w="12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5,699</w:t>
            </w:r>
          </w:p>
        </w:tc>
      </w:tr>
      <w:tr>
        <w:trPr>
          <w:trHeight w:val="207"/>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37,019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27,022</w:t>
            </w:r>
          </w:p>
        </w:tc>
      </w:tr>
      <w:tr>
        <w:trPr>
          <w:trHeight w:val="23"/>
        </w:trPr>
        <w:tc>
          <w:tcPr>
            <w:tcW w:w="8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liabilities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1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Warranty obligations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w:t>
            </w:r>
          </w:p>
        </w:tc>
      </w:tr>
      <w:tr>
        <w:trPr>
          <w:trHeight w:val="234"/>
        </w:trPr>
        <w:tc>
          <w:tcPr>
            <w:tcW w:w="8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140" w:firstLine="405"/>
        <w:spacing w:after="0" w:line="282" w:lineRule="auto"/>
        <w:rPr>
          <w:sz w:val="20"/>
          <w:szCs w:val="20"/>
          <w:color w:val="auto"/>
        </w:rPr>
      </w:pPr>
      <w:r>
        <w:rPr>
          <w:rFonts w:ascii="Times New Roman" w:cs="Times New Roman" w:eastAsia="Times New Roman" w:hAnsi="Times New Roman"/>
          <w:sz w:val="18"/>
          <w:szCs w:val="18"/>
          <w:color w:val="auto"/>
        </w:rPr>
        <w:t>As of June 30, 2024, of the $7.0 million long-term deferred revenue balance, $6.3 million relates to performance obligations expected to be satisfied between one and two years, and $0.7 million relates to performance obligations expected to be satisfied between two and three years from June 30,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only financial instrument measured at fair value on a recurring basis is its interest make-whole payment derivative liability on its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2025 Convertible Notes (see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 The fair value of that liability was zero as of both June 30, 2024 and December 31, 2023.</w:t>
      </w:r>
    </w:p>
    <w:p>
      <w:pPr>
        <w:spacing w:after="0" w:line="151" w:lineRule="exact"/>
        <w:rPr>
          <w:sz w:val="20"/>
          <w:szCs w:val="20"/>
          <w:color w:val="auto"/>
        </w:rPr>
      </w:pPr>
    </w:p>
    <w:p>
      <w:pPr>
        <w:ind w:right="88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interest make-whole payment derivative liability was determined using a Monte Carlo model using the following key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8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640" w:type="dxa"/>
            <w:vAlign w:val="bottom"/>
            <w:vMerge w:val="continue"/>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98.50 %</w:t>
            </w: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77.00 %</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price</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$10.66 per share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per share</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spread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107.58 %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92.20 %</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0.84 years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years</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was no change in the fair value of the interest make-whole liability for the three and six months ended June 30, 2024 or June 30, 2023.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75"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carrying values of the Company’s other financial assets and liabilities approximate their fair values because of their short-term nature, with the exception of the 2025 Convertible Notes. The 2025 Convertible Notes are carried at amortized cost, adjusted for changes in the fair value of the embedded derivative.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Loan</w:t>
      </w:r>
    </w:p>
    <w:p>
      <w:pPr>
        <w:spacing w:after="0" w:line="162"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On June 28, 2024, the Company entered into a Loan and Security Agreement (the “Short-Term Loan Agreement”), among South Ocean, as lender (“Lender”), the Participating Lenders, the Company, as borrower, and two of the Company’s wholly-owned subsidiaries, Inseego Wireless, Inc. and Inseego North America LLC as guarantors (collectively, the “Guarantors,” and together with the Company, the “Loan Parties”). The Loan Agreement establishes a senior secured $19.5 million loan facility (the “Short-Term Loan”) under which the Company borrowed $16.5 million as of June 30, 2024. The remaining $3.0 million was borrowed in July 2024.</w:t>
      </w:r>
    </w:p>
    <w:p>
      <w:pPr>
        <w:spacing w:after="0" w:line="123" w:lineRule="exact"/>
        <w:rPr>
          <w:sz w:val="20"/>
          <w:szCs w:val="20"/>
          <w:color w:val="auto"/>
        </w:rPr>
      </w:pPr>
    </w:p>
    <w:p>
      <w:pPr>
        <w:ind w:right="160" w:firstLine="405"/>
        <w:spacing w:after="0" w:line="250" w:lineRule="auto"/>
        <w:rPr>
          <w:sz w:val="20"/>
          <w:szCs w:val="20"/>
          <w:color w:val="auto"/>
        </w:rPr>
      </w:pPr>
      <w:r>
        <w:rPr>
          <w:rFonts w:ascii="Times New Roman" w:cs="Times New Roman" w:eastAsia="Times New Roman" w:hAnsi="Times New Roman"/>
          <w:sz w:val="18"/>
          <w:szCs w:val="18"/>
          <w:color w:val="auto"/>
        </w:rPr>
        <w:t>The Company’s obligations under the Short-Term Loan Agreement are guaranteed by the Guarantors. Subject to the requirements of the Short-Term Loan Agreement, certain of the Company’s other subsidiaries may become guarantors and Loan Parties of the Loan Agreement after closing. The Loan Parties’ obligations under the Loan Agreement are secured by a continuing security interest in substantially all property of each Loan Party, subject to certain excluded collateral, as defined in the Short-Term Loan Agreement.</w:t>
      </w:r>
    </w:p>
    <w:p>
      <w:pPr>
        <w:spacing w:after="0" w:line="123"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Short-Term Loan matures on September 30, 2024, provided that the Company may request an extension of the maturity date of up to six months, to March 31, 2025, which the Lender and each Participating Lender may grant or deny with respect to each of their respective portions of the Short-Term Loan. Borrowings under the Short-Term Loan will bear interest at 12.0% per annum. Upon any repayment or prepayment of the amounts borrowed under the Short-Term Loan (including at maturity), the Company will be required to pay an exit fee equal to 4.0% of the aggregate principal amount prepaid or repaid.</w:t>
      </w:r>
    </w:p>
    <w:p>
      <w:pPr>
        <w:spacing w:after="0" w:line="123" w:lineRule="exact"/>
        <w:rPr>
          <w:sz w:val="20"/>
          <w:szCs w:val="20"/>
          <w:color w:val="auto"/>
        </w:rPr>
      </w:pPr>
    </w:p>
    <w:p>
      <w:pPr>
        <w:jc w:val="both"/>
        <w:ind w:right="380" w:firstLine="405"/>
        <w:spacing w:after="0" w:line="258" w:lineRule="auto"/>
        <w:rPr>
          <w:sz w:val="20"/>
          <w:szCs w:val="20"/>
          <w:color w:val="auto"/>
        </w:rPr>
      </w:pPr>
      <w:r>
        <w:rPr>
          <w:rFonts w:ascii="Times New Roman" w:cs="Times New Roman" w:eastAsia="Times New Roman" w:hAnsi="Times New Roman"/>
          <w:sz w:val="18"/>
          <w:szCs w:val="18"/>
          <w:color w:val="auto"/>
        </w:rPr>
        <w:t>The Short-Term Loan Agreement contains certain customary covenants, which include, but are not limited to, restrictions on indebtedness, liens, fundamental changes, restricted payments, asset sales, and investments, and places limits on various other payments. The Short-Term Loan Agreement contains certain customary provisions with respect to the definition of, and remedies with respect to, events of default.</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Also on June 28, 2024, as part of the Short-Term Loan Agreement, the Participating Lenders contributed an aggregate of $3.0 million of participation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the Short-Term Loan Agreement (the “Participation Interests”). The Participating Lenders consist of Philip Brace, the Company’s Executive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who acquired a $1.0 million Participation Interest, and North Sound Ventures, LP, which acquired a $2.0 million Participation Interest in the</w:t>
      </w:r>
    </w:p>
    <w:p>
      <w:pPr>
        <w:spacing w:after="0" w:line="234" w:lineRule="auto"/>
        <w:rPr>
          <w:sz w:val="20"/>
          <w:szCs w:val="20"/>
          <w:color w:val="auto"/>
        </w:rPr>
      </w:pPr>
      <w:r>
        <w:rPr>
          <w:rFonts w:ascii="Times New Roman" w:cs="Times New Roman" w:eastAsia="Times New Roman" w:hAnsi="Times New Roman"/>
          <w:sz w:val="18"/>
          <w:szCs w:val="18"/>
          <w:color w:val="auto"/>
        </w:rPr>
        <w:t>$19.5 million Loan. As of the date hereof, affiliates of each of the Lender and North Sound Ventures, LP may be deemed to beneficially own more than 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outstanding Common Stock. James B. Avery, a member of the Company’s Board of Directors, currently serves as Senior Managing</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Tavistock Group, an affiliate of the Lender. Accordingly, the Lender and the Participating Lenders are considered related parties of the</w:t>
      </w: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138" w:lineRule="exact"/>
        <w:rPr>
          <w:sz w:val="20"/>
          <w:szCs w:val="20"/>
          <w:color w:val="auto"/>
        </w:rPr>
      </w:pPr>
    </w:p>
    <w:p>
      <w:pPr>
        <w:ind w:right="340" w:firstLine="405"/>
        <w:spacing w:after="0" w:line="250" w:lineRule="auto"/>
        <w:rPr>
          <w:sz w:val="20"/>
          <w:szCs w:val="20"/>
          <w:color w:val="auto"/>
        </w:rPr>
      </w:pPr>
      <w:r>
        <w:rPr>
          <w:rFonts w:ascii="Times New Roman" w:cs="Times New Roman" w:eastAsia="Times New Roman" w:hAnsi="Times New Roman"/>
          <w:sz w:val="18"/>
          <w:szCs w:val="18"/>
          <w:color w:val="auto"/>
        </w:rPr>
        <w:t>In connection with entering into the Short-Term Loan Agreement, the Company paid an arrangement and administration fee of $0.2 million to the Lender (the “Loan Costs”). Additionally in connection with the Short-Term Loan Agreement, the Company issued to the Lender and the Participating Lenders warrants (the “Loan Warrants”) to purchase an aggregate of 550,000 shares of the Company’s common stock, par value $0.001 per share (“Common Stock”). See Note 7 – Stockholders' Equity (Deficit) for further details regarding the Loan Warrants.</w:t>
      </w:r>
    </w:p>
    <w:p>
      <w:pPr>
        <w:spacing w:after="0" w:line="13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gross proceeds received under the Short-Term Loan Agreement, along with the Loan Costs, were allocated between the Short-Term Loan and the Loan Warrants based on their relative fair values at issuance.</w:t>
      </w:r>
    </w:p>
    <w:p>
      <w:pPr>
        <w:spacing w:after="0" w:line="10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As of June 30, 2024, $16.5 million of principal amount of the Short-Term Loan was funded and outstanding. The Short-Term Loan amount recorded in the Condensed Consolidated Balance Sheets as of June 30, 2024 consists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6"/>
        </w:trPr>
        <w:tc>
          <w:tcPr>
            <w:tcW w:w="9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16,500</w:t>
            </w:r>
          </w:p>
        </w:tc>
      </w:tr>
      <w:tr>
        <w:trPr>
          <w:trHeight w:val="219"/>
        </w:trPr>
        <w:tc>
          <w:tcPr>
            <w:tcW w:w="99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Less: unamortized debt discount</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(2,836)</w:t>
            </w:r>
          </w:p>
        </w:tc>
      </w:tr>
      <w:tr>
        <w:trPr>
          <w:trHeight w:val="210"/>
        </w:trPr>
        <w:tc>
          <w:tcPr>
            <w:tcW w:w="9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rPr>
              <w:t>13,664</w:t>
            </w:r>
          </w:p>
        </w:tc>
      </w:tr>
      <w:tr>
        <w:trPr>
          <w:trHeight w:val="20"/>
        </w:trPr>
        <w:tc>
          <w:tcPr>
            <w:tcW w:w="9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Represents the portion of the net proceeds received for the Short-Term Loan and Loan Warrants that was allocated to the Loan Warrants, see Note 7 – Stockholders' Equity (Deficit)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2020, the Company completed both a registered public offering and a privately negotiated exchange agreement that resulted in the issuance of the</w:t>
      </w:r>
    </w:p>
    <w:p>
      <w:pPr>
        <w:spacing w:after="0" w:line="2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2025 Convertible Notes. After taking into account exchanges and redemptions occurring in prior periods, the outstanding principal balance of the 2025 Convertible Notes was $158.9 million and $161.9 million as of June 30, 2024 and December 31, 2023, respectively.</w:t>
      </w:r>
    </w:p>
    <w:p>
      <w:pPr>
        <w:spacing w:after="0" w:line="126" w:lineRule="exact"/>
        <w:rPr>
          <w:sz w:val="20"/>
          <w:szCs w:val="20"/>
          <w:color w:val="auto"/>
        </w:rPr>
      </w:pPr>
    </w:p>
    <w:p>
      <w:pPr>
        <w:ind w:right="380" w:firstLine="405"/>
        <w:spacing w:after="0" w:line="258" w:lineRule="auto"/>
        <w:rPr>
          <w:sz w:val="20"/>
          <w:szCs w:val="20"/>
          <w:color w:val="auto"/>
        </w:rPr>
      </w:pPr>
      <w:r>
        <w:rPr>
          <w:rFonts w:ascii="Times New Roman" w:cs="Times New Roman" w:eastAsia="Times New Roman" w:hAnsi="Times New Roman"/>
          <w:sz w:val="18"/>
          <w:szCs w:val="18"/>
          <w:color w:val="auto"/>
        </w:rPr>
        <w:t>The 2025 Convertible Notes were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115"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2025 Convertible Notes will mature on May 1, 2025, unless earlier repurchased, redeemed or converted. The 2025 Convertible Notes are senior unsecured obligations of the Company and bear interest at an annual rate of 3.25%, payable semi-annually in arrears on May 1 and November 1 of each year.</w:t>
      </w:r>
    </w:p>
    <w:p>
      <w:pPr>
        <w:spacing w:after="0" w:line="115"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Holders of the 2025 Convertible Notes may convert the 2025 Convertible Notes into shares of the Company’s common stock (together with cash in lieu of any fractional share), at their option, at any time until the close of business on the scheduled trading day immediately before the maturity date. Upon conversion of the 2025 Convertible Notes, the Company will deliver for each $1,000 principal amount of 2025 Convertible Notes converted a number of shares of the Company’s common stock (together with cash in lieu of any fractional share), equal to the conversion rate.</w:t>
      </w:r>
    </w:p>
    <w:p>
      <w:pPr>
        <w:spacing w:after="0" w:line="137" w:lineRule="exact"/>
        <w:rPr>
          <w:sz w:val="20"/>
          <w:szCs w:val="20"/>
          <w:color w:val="auto"/>
        </w:rPr>
      </w:pPr>
    </w:p>
    <w:p>
      <w:pPr>
        <w:ind w:right="280" w:firstLine="405"/>
        <w:spacing w:after="0" w:line="246" w:lineRule="auto"/>
        <w:rPr>
          <w:sz w:val="20"/>
          <w:szCs w:val="20"/>
          <w:color w:val="auto"/>
        </w:rPr>
      </w:pPr>
      <w:r>
        <w:rPr>
          <w:rFonts w:ascii="Times New Roman" w:cs="Times New Roman" w:eastAsia="Times New Roman" w:hAnsi="Times New Roman"/>
          <w:sz w:val="18"/>
          <w:szCs w:val="18"/>
          <w:color w:val="auto"/>
        </w:rPr>
        <w:t>As of June 30, 2024, the conversion rate for the 2025 Convertible Notes is 7.92896 shares of common stock per $1,000 principal amount of 2025 Convertible Notes, which represents a conversion price of approximately $126.12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127"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at any time prior to the maturity date, then the noteholders may require the Company to repurchase their 2025 Convertible Notes at a cash repurchase price equal to the principal amount of the 2025 Convertible Notes to be repurchased, plus accrued and unpaid interest, if any, to, but excluding, the fundamental change repurchase date. If a make-whole fundamental change (as defined in the Indenture) occurs, then the Company will in certain circumstances increase the conversion rate for a specified period of time.</w:t>
      </w:r>
    </w:p>
    <w:p>
      <w:pPr>
        <w:spacing w:after="0" w:line="122" w:lineRule="exact"/>
        <w:rPr>
          <w:sz w:val="20"/>
          <w:szCs w:val="20"/>
          <w:color w:val="auto"/>
        </w:rPr>
      </w:pPr>
    </w:p>
    <w:p>
      <w:pPr>
        <w:ind w:right="60" w:firstLine="405"/>
        <w:spacing w:after="0" w:line="244" w:lineRule="auto"/>
        <w:rPr>
          <w:sz w:val="20"/>
          <w:szCs w:val="20"/>
          <w:color w:val="auto"/>
        </w:rPr>
      </w:pPr>
      <w:r>
        <w:rPr>
          <w:rFonts w:ascii="Times New Roman" w:cs="Times New Roman" w:eastAsia="Times New Roman" w:hAnsi="Times New Roman"/>
          <w:sz w:val="18"/>
          <w:szCs w:val="18"/>
          <w:color w:val="auto"/>
        </w:rPr>
        <w:t>The 2025 Convertible Notes are be redeemable, in whole or in part, at the Company’s option at any time, and from time to time, on or after May 6, 2023 through the last scheduled trading day before the maturity date, at a cash redemption price equal to the principal amount of the 2025 Convertible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141" w:lineRule="exact"/>
        <w:rPr>
          <w:sz w:val="20"/>
          <w:szCs w:val="20"/>
          <w:color w:val="auto"/>
        </w:rPr>
      </w:pPr>
    </w:p>
    <w:p>
      <w:pPr>
        <w:ind w:right="20" w:firstLine="405"/>
        <w:spacing w:after="0" w:line="242" w:lineRule="auto"/>
        <w:rPr>
          <w:sz w:val="20"/>
          <w:szCs w:val="20"/>
          <w:color w:val="auto"/>
        </w:rPr>
      </w:pPr>
      <w:r>
        <w:rPr>
          <w:rFonts w:ascii="Times New Roman" w:cs="Times New Roman" w:eastAsia="Times New Roman" w:hAnsi="Times New Roman"/>
          <w:sz w:val="18"/>
          <w:szCs w:val="18"/>
          <w:color w:val="auto"/>
        </w:rPr>
        <w:t>The Indenture contains customary events of default. If an event of default (other than certain events of bankruptcy, insolvency or reorganization involving the Company) occurs and is continuing, the Trustee, by notice to the Company, or the holders of the 2025 Convertible Notes representing at least 25% in aggregate principal amount of the outstanding 2025 Convertible Notes, by notice to the Company and the Trustee, may declare 100% of the principal of, and all accrued and unpaid interest on, all of the then outstanding 2025 Convertible Notes to be due and payable immediately. Upon the occurrence of certain events of bankruptcy, insolvency or reorganization involving the Company, 100% of the principal of, and all accrued and unpaid interest on, all of the then outstanding 2025 Convertible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Convertible Notes.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make-whole payment</w:t>
      </w:r>
    </w:p>
    <w:p>
      <w:pPr>
        <w:spacing w:after="0" w:line="160"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 2025 Convertible Notes also include an interest make-whole payment feature whereby if the last reported sale price of the Company’s common stock for each of the five trading days immediately preceding a conversion date is greater than or equal to $105.10, the Company will, in addition to the other consideration payable or deliverable in connection with such conversion,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make an interest make-whole payment to the converting holder equal to the sum of the present values of the scheduled payments of interest that would have been made on the 2025 Convertible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 common stock (together with cash in lieu of fractional shares). The Company has determined that this feature is an embedded derivative and has recognized the fair value of this derivative as a liability in the</w:t>
      </w:r>
    </w:p>
    <w:p>
      <w:pPr>
        <w:spacing w:after="0" w:line="2"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consolidated balance sheets, with subsequent changes to fair value to be recorded at each reporting period on the consolidated statement of operations in other income, net. See Note 3 – Fair Value Measurements, for more information on this derivative liability.</w:t>
      </w:r>
    </w:p>
    <w:p>
      <w:pPr>
        <w:spacing w:after="0" w:line="1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2025 Convertible Note Repurchases</w:t>
      </w:r>
    </w:p>
    <w:p>
      <w:pPr>
        <w:spacing w:after="0" w:line="173"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On May 24, 2024, the Company entered into a repurchase agreement with a single holder of the 2025 Convertible Notes, resulting in the settlement of $3.0 million of outstanding principal at a purchase price of 55% of par. The repurchase price was equal to the aggregate principal amount at 55% of par, plus accrued and unpaid interest up to, but excluding, the repurchase date. The total repurchase payment was $1.7 million. The repurchase resulted in a gain of $1.3 million, net of costs incurred directly with executing the transaction, recorded within other (expense) income, net on the condensed consolidated statement of operations.</w:t>
      </w:r>
    </w:p>
    <w:p>
      <w:pPr>
        <w:spacing w:after="0" w:line="127"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Additional repurchase and exchange restructuring transactions involving the 2025 Convertible Notes were completed after June 30, 2024. See Note 1 – Nature of Business and Significant Accounting Policies and Note 11 – Subsequent Events for more information.</w:t>
      </w:r>
    </w:p>
    <w:p>
      <w:pPr>
        <w:spacing w:after="0" w:line="94"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and December 31, 2023, $158.9 million and $161.9 million of principal amount of the 2025 Convertible Notes was outstanding, respectively, $80.4 million of which was held by related parties.</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2025 Convertible Notes consist of the following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161,898</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fair value of embedded derivative</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12"/>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159,912</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effective interest rate of the liability component of the 2025 Convertible Notes was 4.17% and 4.23% for the three months ended June 30, 2024 and 2023, respectively, and 4.17% and 4.25% for the six months ended June 30, 2024 and 2023,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2025 Convertible Notes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40" w:type="dxa"/>
            <w:vAlign w:val="bottom"/>
            <w:gridSpan w:val="4"/>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contractual interest expense on the 2025 Convertible Notes recorded within interest expense, net on the consolidated statements of operations attributable to related parties was $0.7 million in the three months ended June 30, 2024 and 2023 and $1.3 million in the six months ended June 30, 2024 and 2023. As of both June 30, 2024 and December 31, 2023, accrued interest due to related parties of $0.4 million was included within accrued expenses and other current liabilities on the condensed consolidated balance sheets.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Revolving Credit Facility</w:t>
      </w:r>
    </w:p>
    <w:p>
      <w:pPr>
        <w:spacing w:after="0" w:line="175"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In August 2022, the Company entered into a Loan and Security Agreement (as subsequently amended, the “Credit Agreement”), by and among Siena Lending Group LLC, as lender (“Lender”), Inseego Wireless, Inc., a Delaware corporation (“Inseego Wireless”), a subsidiary of the Company, and Inseego North America LLC, an Oregon limited liability company and indirect subsidiary of the Company, as borrowers (together with Inseego Wireless, the “Borrowers”), and the Company, as guarantor (together with the Borrowers, the “Credit Facility Parties”).</w:t>
      </w:r>
    </w:p>
    <w:p>
      <w:pPr>
        <w:spacing w:after="0" w:line="123" w:lineRule="exact"/>
        <w:rPr>
          <w:sz w:val="20"/>
          <w:szCs w:val="20"/>
          <w:color w:val="auto"/>
        </w:rPr>
      </w:pPr>
    </w:p>
    <w:p>
      <w:pPr>
        <w:ind w:right="160" w:firstLine="405"/>
        <w:spacing w:after="0" w:line="247" w:lineRule="auto"/>
        <w:rPr>
          <w:sz w:val="20"/>
          <w:szCs w:val="20"/>
          <w:color w:val="auto"/>
        </w:rPr>
      </w:pPr>
      <w:r>
        <w:rPr>
          <w:rFonts w:ascii="Times New Roman" w:cs="Times New Roman" w:eastAsia="Times New Roman" w:hAnsi="Times New Roman"/>
          <w:sz w:val="18"/>
          <w:szCs w:val="18"/>
          <w:color w:val="auto"/>
        </w:rPr>
        <w:t>The Credit Agreement established a secured asset-backed revolving credit facility which was comprised of a maximum $50 million revolving credit facility (“Credit Facility”), with a minimum borrowing amount for interest calculations of $4.5 million upon execution of the Credit Agreement. Availability under the Credit Facility was determined monthly by a borrowing base comprised of a percentage of eligible accounts receivable and eligible inventory of the Borrowers. Outstanding amounts exceeding the borrowing base were to be repaid immediately. The Borrowers’ obligations under the Credit Agreement were guaranteed by the Company. The Loan Parties’ obligations under the Credit Agreement were secured by a continuing security interest in all property of each Loan Party, subject to certain Excluded Collateral (as defined in the Credit Agreement).</w:t>
      </w:r>
    </w:p>
    <w:p>
      <w:pPr>
        <w:spacing w:after="0" w:line="126" w:lineRule="exact"/>
        <w:rPr>
          <w:sz w:val="20"/>
          <w:szCs w:val="20"/>
          <w:color w:val="auto"/>
        </w:rPr>
      </w:pPr>
    </w:p>
    <w:p>
      <w:pPr>
        <w:ind w:right="40" w:firstLine="405"/>
        <w:spacing w:after="0" w:line="260" w:lineRule="auto"/>
        <w:rPr>
          <w:sz w:val="20"/>
          <w:szCs w:val="20"/>
          <w:color w:val="auto"/>
        </w:rPr>
      </w:pPr>
      <w:r>
        <w:rPr>
          <w:rFonts w:ascii="Times New Roman" w:cs="Times New Roman" w:eastAsia="Times New Roman" w:hAnsi="Times New Roman"/>
          <w:sz w:val="17"/>
          <w:szCs w:val="17"/>
          <w:color w:val="auto"/>
        </w:rPr>
        <w:t>On May 2, 2023, (1) two related parties, South Ocean Funding, LLC and North Sound Ventures, LP (collectively, the “Credit Facility Participants”) collectively purchased a $4.0 million last-out subordinated participation interest in the Credit Agreement (the “Credit Facility Participation Interest”) from the Lender, and (2) the Borrowers entered into an amendment to the Credit Agreement which increased the borrowing base under the Credit Facility by $4.0 million, increased the minimum borrowing amount for interest calculations to $8.5 million, and modified certain covenants. In connection with the purchase of the Participation Interest, we agreed to pay the Participants an aggregate exit fee (the “Exit Fee”) ranging from 7.5% to 12.5% of the amount of the Participation Interest, payable upon the earlier to occur of (a) the maturity date of the Credit Facility, (b) termination of the Lender’s commitment to make revolving loans prior to the scheduled maturity date of the Credit Facility, and (c) the early redemption of the Participation Interest, as applicable. Further, the purchase of the Participation Interest granted an option for the Participants to purchase the subject revolving loan or to redeem its Participation Interest under certain circumstances. The Participants are each affiliates of beneficial holders of greater than five percent of our outstanding common stock.</w:t>
      </w:r>
    </w:p>
    <w:p>
      <w:pPr>
        <w:spacing w:after="0" w:line="119" w:lineRule="exact"/>
        <w:rPr>
          <w:sz w:val="20"/>
          <w:szCs w:val="20"/>
          <w:color w:val="auto"/>
        </w:rPr>
      </w:pPr>
    </w:p>
    <w:p>
      <w:pPr>
        <w:ind w:right="120" w:firstLine="405"/>
        <w:spacing w:after="0" w:line="245" w:lineRule="auto"/>
        <w:rPr>
          <w:sz w:val="20"/>
          <w:szCs w:val="20"/>
          <w:color w:val="auto"/>
        </w:rPr>
      </w:pPr>
      <w:r>
        <w:rPr>
          <w:rFonts w:ascii="Times New Roman" w:cs="Times New Roman" w:eastAsia="Times New Roman" w:hAnsi="Times New Roman"/>
          <w:sz w:val="18"/>
          <w:szCs w:val="18"/>
          <w:color w:val="auto"/>
        </w:rPr>
        <w:t>Effective April 18, 2024, the Company exercised its right to voluntarily pay-off and terminate the Credit Facility. As a result of the termination, the Company paid the outstanding balance and related termination fees on the Credit Facility of approximately $3.0 million. The Company also paid the Exit Fee in the aggregate amount of $0.4 million to the Participants. South Ocean Funding, LLC is an affiliate of Golden Harbor, Ltd. and North Sound Ventures, LP is an affiliate of North Sound Management, Inc. As of April 18, 2024, each of Golden Harbor, Ltd. and North Sound Management, Inc. were beneficial owners of in excess of 5% of the Company’s outstanding common stock. As a result of the voluntary pay-off, the Company recorded a loss on extinguishment of debt of $0.8 million within other (expense) income, net on the condensed consolidated statements of operations during the six months ended June 30, 2024.</w:t>
      </w:r>
    </w:p>
    <w:p>
      <w:pPr>
        <w:spacing w:after="0" w:line="127"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The effective interest rate of the average outstanding balance for the Credit Facility was 36.1%, which includes 8.3% related to amortization of original issuance costs, and 28.5%, which includes 14.5% related to amortization of original issuance costs, for the six months ended June 30, 2024 and 2023, respectively. The following table sets forth total interest expense recognized related to the Credit Facility (in thousands):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420" w:type="dxa"/>
            <w:vAlign w:val="bottom"/>
            <w:gridSpan w:val="4"/>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4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8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4"/>
        </w:trPr>
        <w:tc>
          <w:tcPr>
            <w:tcW w:w="5880" w:type="dxa"/>
            <w:vAlign w:val="bottom"/>
          </w:tcPr>
          <w:p>
            <w:pPr>
              <w:spacing w:after="0"/>
              <w:rPr>
                <w:sz w:val="16"/>
                <w:szCs w:val="16"/>
                <w:color w:val="auto"/>
              </w:rPr>
            </w:pPr>
          </w:p>
        </w:tc>
        <w:tc>
          <w:tcPr>
            <w:tcW w:w="10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1020" w:type="dxa"/>
            <w:vAlign w:val="bottom"/>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2"/>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1020" w:type="dxa"/>
            <w:vAlign w:val="bottom"/>
            <w:tcBorders>
              <w:top w:val="single" w:sz="8" w:color="auto"/>
              <w:bottom w:val="single" w:sz="8" w:color="auto"/>
            </w:tcBorders>
          </w:tcPr>
          <w:p>
            <w:pPr>
              <w:jc w:val="right"/>
              <w:ind w:right="84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21"/>
        </w:trPr>
        <w:tc>
          <w:tcPr>
            <w:tcW w:w="5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Share-based Compensation</w:t>
      </w:r>
    </w:p>
    <w:p>
      <w:pPr>
        <w:spacing w:after="0" w:line="175" w:lineRule="exact"/>
        <w:rPr>
          <w:sz w:val="20"/>
          <w:szCs w:val="20"/>
          <w:color w:val="auto"/>
        </w:rPr>
      </w:pPr>
    </w:p>
    <w:p>
      <w:pPr>
        <w:ind w:right="40" w:firstLine="405"/>
        <w:spacing w:after="0" w:line="246"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shares of common stock may be issued upon the exercise of stock options, in the form of restricted stock, or in settlement of restricted stock units (“RSUs”) or other awards, including awards with alternative vesting schedules such as performance-based criteria.</w:t>
      </w:r>
    </w:p>
    <w:p>
      <w:pPr>
        <w:spacing w:after="0" w:line="127"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total share-based compensation expense within each functional line item on the condensed consolidated statements of operations for the three and six months ended June 30, 2024 and 2023 (in thousands):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18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6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80" w:type="dxa"/>
            <w:vAlign w:val="bottom"/>
          </w:tcPr>
          <w:p>
            <w:pPr>
              <w:spacing w:after="0"/>
              <w:rPr>
                <w:sz w:val="16"/>
                <w:szCs w:val="16"/>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080" w:type="dxa"/>
            <w:vAlign w:val="bottom"/>
            <w:vMerge w:val="continue"/>
          </w:tcPr>
          <w:p>
            <w:pPr>
              <w:spacing w:after="0"/>
              <w:rPr>
                <w:sz w:val="17"/>
                <w:szCs w:val="17"/>
                <w:color w:val="auto"/>
              </w:rPr>
            </w:pPr>
          </w:p>
        </w:tc>
        <w:tc>
          <w:tcPr>
            <w:tcW w:w="860" w:type="dxa"/>
            <w:vAlign w:val="bottom"/>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7"/>
                <w:szCs w:val="17"/>
                <w:color w:val="auto"/>
              </w:rPr>
            </w:pP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0" w:type="dxa"/>
            <w:vAlign w:val="bottom"/>
          </w:tcPr>
          <w:p>
            <w:pPr>
              <w:spacing w:after="0"/>
              <w:rPr>
                <w:sz w:val="1"/>
                <w:szCs w:val="1"/>
                <w:color w:val="auto"/>
              </w:rPr>
            </w:pPr>
          </w:p>
        </w:tc>
      </w:tr>
      <w:tr>
        <w:trPr>
          <w:trHeight w:val="207"/>
        </w:trPr>
        <w:tc>
          <w:tcPr>
            <w:tcW w:w="6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Compensation Committee of the Board of Directors determines eligibility, vesting schedules and exercise prices for stock options granted. The Company generally uses the Black-Scholes option pricing model to estimate the fair value of its stock options. For performance stock awards subject to market-based vesting conditions, fair values are determined using the Monte-Carlo simulation model. Stock options generally have a term of ten years and vest over a three- to four-year period.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six months ended June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545,872</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14,250</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(262,605)</w:t>
            </w:r>
          </w:p>
        </w:tc>
      </w:tr>
      <w:tr>
        <w:trPr>
          <w:trHeight w:val="183"/>
        </w:trPr>
        <w:tc>
          <w:tcPr>
            <w:tcW w:w="101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June 30, 2024</w:t>
            </w: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297,247</w:t>
            </w:r>
          </w:p>
        </w:tc>
      </w:tr>
      <w:tr>
        <w:trPr>
          <w:trHeight w:val="20"/>
        </w:trPr>
        <w:tc>
          <w:tcPr>
            <w:tcW w:w="10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10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 June 30,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195,725</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At June 30, 2024, total unrecognized compensation expense related to stock options was $0.5 million, which is expected to be recognized over a weighted-average period of 3.15 years.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six months ended June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203,008</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(29,293)</w:t>
            </w:r>
          </w:p>
        </w:tc>
      </w:tr>
      <w:tr>
        <w:trPr>
          <w:trHeight w:val="216"/>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w:t>
            </w:r>
          </w:p>
        </w:tc>
      </w:tr>
      <w:tr>
        <w:trPr>
          <w:trHeight w:val="212"/>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June 30, 2024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161,441</w:t>
            </w:r>
          </w:p>
        </w:tc>
      </w:tr>
      <w:tr>
        <w:trPr>
          <w:trHeight w:val="21"/>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At June 30, 2024, total unrecognized compensation expense related to RSUs was $1.2 million, which is expected to be recognized over a weighted-average period of 0.90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Loss per Share</w:t>
      </w:r>
    </w:p>
    <w:p>
      <w:pPr>
        <w:spacing w:after="0" w:line="175" w:lineRule="exact"/>
        <w:rPr>
          <w:sz w:val="20"/>
          <w:szCs w:val="20"/>
          <w:color w:val="auto"/>
        </w:rPr>
      </w:pPr>
    </w:p>
    <w:p>
      <w:pPr>
        <w:ind w:right="60" w:firstLine="405"/>
        <w:spacing w:after="0" w:line="247" w:lineRule="auto"/>
        <w:rPr>
          <w:sz w:val="20"/>
          <w:szCs w:val="20"/>
          <w:color w:val="auto"/>
        </w:rPr>
      </w:pPr>
      <w:r>
        <w:rPr>
          <w:rFonts w:ascii="Times New Roman" w:cs="Times New Roman" w:eastAsia="Times New Roman" w:hAnsi="Times New Roman"/>
          <w:sz w:val="18"/>
          <w:szCs w:val="18"/>
          <w:color w:val="auto"/>
        </w:rPr>
        <w:t>Basic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2025 Convertible Notes calculated using the if-converted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was as follows (in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26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6"/>
        </w:trPr>
        <w:tc>
          <w:tcPr>
            <w:tcW w:w="5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196"/>
        </w:trPr>
        <w:tc>
          <w:tcPr>
            <w:tcW w:w="5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(11,503)</w:t>
            </w: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11,894,746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11,108,029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11,887,233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10,984,794</w:t>
            </w:r>
          </w:p>
        </w:tc>
      </w:tr>
      <w:tr>
        <w:trPr>
          <w:trHeight w:val="212"/>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181"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following is a summary of outstanding anti-dilutive potential shares of common stock that have been excluded from diluted net loss per share attributable to common stockholders because their inclusion would have been anti-dilutive (in thousands):</w:t>
      </w:r>
    </w:p>
    <w:p>
      <w:pPr>
        <w:spacing w:after="0" w:line="156"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Convertible Notes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warrants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Non-qualified stock options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32"/>
        </w:trPr>
        <w:tc>
          <w:tcPr>
            <w:tcW w:w="9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 (Deficit)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Loan Warrants</w:t>
      </w:r>
    </w:p>
    <w:p>
      <w:pPr>
        <w:spacing w:after="0" w:line="162"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As noted in Note 4 – Debt, on June 28, 2024 in connection with the Short-Term Loan Agreement, the Company agreed to issue to the Lender and the Participating Lenders Loan Warrants to purchase an aggregate of 550,000 shares of the Company’s Common Stock. The Loan Warrants have an exercise price of $12.12 per share of Common Stock, subject to adjustment for stock splits, reverse stock splits, stock dividends and similar transactions. The Loan Warrants will expire on June 28, 2028, are exercisable on a cash basis, and contain customary registration rights with respect to the shares of Common Stock issuable upon exercise of the Loan Warrants.</w:t>
      </w:r>
    </w:p>
    <w:p>
      <w:pPr>
        <w:spacing w:after="0" w:line="123"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As of June 30, 2024, 465,385 of the 550,000 warrants were issued in connection with the portion of the Short-Term Loan received. The remaining 84,615 warrants were issued in July 2024. The proceeds from the Short-Term Loan Agreement, along with the related Loan Costs incurred, were allocated to the Loan Warrants and Short-Term Loan based on their relative fair values. This allocation resulted in the Warrants having a net value of $2.7 million that the Company recorded within Additional Paid-In Capital within the Company’s Condensed Consolidated Statements of Stockholders’ Deficit.</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Public Equity Offering</w:t>
      </w:r>
    </w:p>
    <w:p>
      <w:pPr>
        <w:spacing w:after="0" w:line="175" w:lineRule="exact"/>
        <w:rPr>
          <w:sz w:val="20"/>
          <w:szCs w:val="20"/>
          <w:color w:val="auto"/>
        </w:rPr>
      </w:pPr>
    </w:p>
    <w:p>
      <w:pPr>
        <w:ind w:right="60" w:firstLine="405"/>
        <w:spacing w:after="0" w:line="244" w:lineRule="auto"/>
        <w:rPr>
          <w:sz w:val="20"/>
          <w:szCs w:val="20"/>
          <w:color w:val="auto"/>
        </w:rPr>
      </w:pPr>
      <w:r>
        <w:rPr>
          <w:rFonts w:ascii="Times New Roman" w:cs="Times New Roman" w:eastAsia="Times New Roman" w:hAnsi="Times New Roman"/>
          <w:sz w:val="18"/>
          <w:szCs w:val="18"/>
          <w:color w:val="auto"/>
        </w:rPr>
        <w:t>In January 2021, the Company entered into an Equity Distribution Agreement with Canaccord Genuity LLC (the “Agent”), pursuant to which the Company could offer and sell, from time to time, through or to the Agent, up to $40.0 million of shares of its common stock (the “ATM Offering”). During the three months ended June 30, 2023 the Company sold 717,786 shares of common stock, at an average price of $7.70 per share, for net proceeds of $5.4 million, after deducting underwriter fees and discounts. During the six months ended June 30, 2023 the Company sold 803,596 shares of common stock, at an average price of $7.54 per share, for net proceeds of $5.9 million, after deducting underwriter fees and discounts. Effective as of November 2, 2023, the Equity Distribution Agreement was terminated by the Company, and there will be no further sales under the ATM Offering.</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jc w:val="both"/>
        <w:ind w:right="360" w:firstLine="405"/>
        <w:spacing w:after="0" w:line="258" w:lineRule="auto"/>
        <w:rPr>
          <w:sz w:val="20"/>
          <w:szCs w:val="20"/>
          <w:color w:val="auto"/>
        </w:rPr>
      </w:pPr>
      <w:r>
        <w:rPr>
          <w:rFonts w:ascii="Times New Roman" w:cs="Times New Roman" w:eastAsia="Times New Roman" w:hAnsi="Times New Roman"/>
          <w:sz w:val="18"/>
          <w:szCs w:val="18"/>
          <w:color w:val="auto"/>
        </w:rPr>
        <w:t>The Company has a total of 2,000,000 shares of preferred stock authorized for issuance at a par value of $0.001 per share, 150,000 of which have been designated Series D Preferred Stock and 39,500 of which have been designated Series E Preferred Stock. As of June 30, 2024 and December 31, 2023, the Company had 25,000 shares of Series E preferred stock issued and outstanding.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Geographic Information and Concentrations of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Company’s revenues by geographic region based on shipping destination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00" w:type="dxa"/>
            <w:vAlign w:val="bottom"/>
            <w:gridSpan w:val="4"/>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5"/>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50,808</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46,072</w:t>
            </w:r>
          </w:p>
        </w:tc>
        <w:tc>
          <w:tcPr>
            <w:tcW w:w="2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86,284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89,277</w:t>
            </w: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 (including United Kingdom)</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5,956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13,802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w:t>
            </w: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1,278</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w:t>
            </w:r>
          </w:p>
        </w:tc>
      </w:tr>
      <w:tr>
        <w:trPr>
          <w:trHeight w:val="21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2"/>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59,149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53,557</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104,158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104,351</w:t>
            </w:r>
          </w:p>
        </w:tc>
      </w:tr>
      <w:tr>
        <w:trPr>
          <w:trHeight w:val="21"/>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60"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two customers accounted for 39.5% and 30.0% of revenues, respectively. For the three months ended June 30, 2023, two customers accounted for 33.2% and 25.9% of revenues, respectively.</w:t>
      </w:r>
    </w:p>
    <w:p>
      <w:pPr>
        <w:spacing w:after="0" w:line="9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two customers accounted for 39.4% and 24.9% of revenues, respectively. For the six months ended June 30, 2023, two customers accounted for 30.0% and 28.4%, respectively, of revenues.</w:t>
      </w:r>
    </w:p>
    <w:p>
      <w:pPr>
        <w:spacing w:after="0" w:line="122"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As of June 30, 2024, three customers accounted for 30.7%, 15.3%, and 12.5% of accounts receivable, net, respectively. As of December 31, 2023, two customers accounted for 41.8% and 10.2% of accounts receivable, net,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Purchase Obligations</w:t>
      </w:r>
    </w:p>
    <w:p>
      <w:pPr>
        <w:spacing w:after="0" w:line="9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Company typically enters into commitments with its contract manufacturers that require future purchases of goods or services in the three to four quarters following the balance sheet date. Such commitments are noncancellable (“noncancellable purchase obligations”). As of June 30, 2024, future payments under these noncancellable purchase obligations were approximately $78.2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60"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60"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ind w:right="100" w:firstLine="405"/>
        <w:spacing w:after="0" w:line="247" w:lineRule="auto"/>
        <w:rPr>
          <w:sz w:val="20"/>
          <w:szCs w:val="20"/>
          <w:color w:val="auto"/>
        </w:rPr>
      </w:pPr>
      <w:r>
        <w:rPr>
          <w:rFonts w:ascii="Times New Roman" w:cs="Times New Roman" w:eastAsia="Times New Roman" w:hAnsi="Times New Roman"/>
          <w:sz w:val="18"/>
          <w:szCs w:val="18"/>
          <w:color w:val="auto"/>
        </w:rPr>
        <w:t>The Company’s income tax provision was $0.3 million and $0.5 million for the three and six months ended June 30, 2024, respectively, compared to $0.3 million and $0.6 million for the three and six months ended June 30, 2023, respectively. Income taxes for both periods consisted primarily of foreign income taxes at certain of the Company’s international entities and state taxes for its U.S.-based entities. The Company’s income tax expense differs from the expected expense based on statutory rates primarily due to full valuation allowances at all of its U.S.-based entities and several of its foreign subsidiaries. The income tax provisions for the three and six months ended June 30, 2024 and 2023, were largely driven by a combination of improved profits and unrealized foreign currency gains at the Company’s foreign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75" w:lineRule="exact"/>
        <w:rPr>
          <w:sz w:val="20"/>
          <w:szCs w:val="20"/>
          <w:color w:val="auto"/>
        </w:rPr>
      </w:pPr>
    </w:p>
    <w:p>
      <w:pPr>
        <w:ind w:right="100" w:firstLine="405"/>
        <w:spacing w:after="0" w:line="270" w:lineRule="auto"/>
        <w:rPr>
          <w:sz w:val="20"/>
          <w:szCs w:val="20"/>
          <w:color w:val="auto"/>
        </w:rPr>
      </w:pPr>
      <w:r>
        <w:rPr>
          <w:rFonts w:ascii="Times New Roman" w:cs="Times New Roman" w:eastAsia="Times New Roman" w:hAnsi="Times New Roman"/>
          <w:sz w:val="17"/>
          <w:szCs w:val="17"/>
          <w:color w:val="auto"/>
        </w:rPr>
        <w:t>On July 19, 2024, the Company entered into an agreement with a holder of approximately $4.7 million in principal amount of the Company’s 2025 Convertible Notes, pursuant to which the Company agreed to repurchase the holder’s 2025 Convertible Notes in exchange for 349,740 shares of the Company’s common stock, and warrants to purchase an aggregate of 236,074 shares of Common Stock, plus accrued interest. The warrants have the same general terms as the Loan Warrants and an exercise price of $13.37 per share of Common Stock and will expire four years from the date of issuance.</w:t>
      </w:r>
    </w:p>
    <w:p>
      <w:pPr>
        <w:spacing w:after="0" w:line="119"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On August 2, 2024, the Company entered into an agreement with another holder of approximately $5.0 million in principal amount of the Company’s 2025 Convertible Notes, pursuant to which the Company agreed to repurchase the holder’s 2025 Convertible Notes in exchange for new senior secured notes with an aggregate principal amount of $4.3 million and warrants to purchase an aggregate of 180,000 shares of Common Stock. The new senior secured notes will bear interest at 9% per annum, payable semi-annually in arrears, and matures on May 1, 2029. The warrants have the same general terms as the Loan Warrants and an exercise price of $11.27 per share of Common Stock and will expire four years from the date of issuance.</w:t>
      </w:r>
    </w:p>
    <w:p>
      <w:pPr>
        <w:spacing w:after="0" w:line="114" w:lineRule="exact"/>
        <w:rPr>
          <w:sz w:val="20"/>
          <w:szCs w:val="20"/>
          <w:color w:val="auto"/>
        </w:rPr>
      </w:pPr>
    </w:p>
    <w:p>
      <w:pPr>
        <w:ind w:right="400" w:firstLine="405"/>
        <w:spacing w:after="0" w:line="266" w:lineRule="auto"/>
        <w:rPr>
          <w:sz w:val="20"/>
          <w:szCs w:val="20"/>
          <w:color w:val="auto"/>
        </w:rPr>
      </w:pPr>
      <w:r>
        <w:rPr>
          <w:rFonts w:ascii="Times New Roman" w:cs="Times New Roman" w:eastAsia="Times New Roman" w:hAnsi="Times New Roman"/>
          <w:sz w:val="18"/>
          <w:szCs w:val="18"/>
          <w:color w:val="auto"/>
        </w:rPr>
        <w:t>Through the date of issuance of this report, the Company has repurchased and/or entered into binding agreements to repurchase and/or exchange approximately $141.9 million, or 87.7%, of face value of the outstanding 2025 Convertible Notes.</w:t>
      </w:r>
    </w:p>
    <w:p>
      <w:pPr>
        <w:spacing w:after="0" w:line="122"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On July 30, 2024, the Company’s Board of Directors approved new issuances of approximately 1.0 million restricted stock units to our employee base. These restricted stock units will generally vest over a four year period.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17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payments on or to refinance our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customers for a substantial portion of our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 for wireless broadband data access products, wireless modem products, and telematics products and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introduce new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5G wireless network rollouts globally and their adoption by customers;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wireless telecommunication operators delivering acceptable wireless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price and performance standards of the evolving 5G New Radio (“5G NR”) products and technologies;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channels and to onboard channel partners;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and the performance of our channel partners;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 that comply with current and evolving industry standards and government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strategic relationships to expand into new markets;</w:t>
      </w:r>
    </w:p>
    <w:p>
      <w:pPr>
        <w:spacing w:after="0" w:line="130"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the growth of our business to avoid significant strains on our management and operations and disruptions to our business;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build our devices;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and/or the shortage of semiconductors or other key components of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order the manufacture and timely delivery of sufficient product quantities;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source suppliers for some products and devices used in our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cost competitive while meeting time-to-market requirements for our customers;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product performance needs of our customers in mobile broadband and fixed wireless access markets;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fleet, vehicle and asset management software-as-a-service (“SaaS”) telematics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successful investments in research and development;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future litigation, including intellectual property litigation;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20" w:name="page21"/>
    <w:bookmarkEnd w:id="20"/>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with respect to intellectual property contained in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license necessary third-party technology for the development and sale of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that could contain errors or defects;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abroad, including foreign currency risks;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manage qualified personnel to maintain and expand our business.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impact of tariffs or other government-imposed sanctions;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 rates of inflation and rising interest rates;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uncertain global economic conditions on the demand for our products;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instability on our business.</w:t>
      </w:r>
    </w:p>
    <w:p>
      <w:pPr>
        <w:spacing w:after="0" w:line="158"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2023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1" w:name="page22"/>
    <w:bookmarkEnd w:id="21"/>
    <w:p>
      <w:pPr>
        <w:jc w:val="both"/>
        <w:ind w:right="60" w:firstLine="405"/>
        <w:spacing w:after="0" w:line="258"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2023, contained in our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20" w:firstLine="405"/>
        <w:spacing w:after="0" w:line="247" w:lineRule="auto"/>
        <w:rPr>
          <w:sz w:val="20"/>
          <w:szCs w:val="20"/>
          <w:color w:val="auto"/>
        </w:rPr>
      </w:pPr>
      <w:r>
        <w:rPr>
          <w:rFonts w:ascii="Times New Roman" w:cs="Times New Roman" w:eastAsia="Times New Roman" w:hAnsi="Times New Roman"/>
          <w:sz w:val="18"/>
          <w:szCs w:val="18"/>
          <w:color w:val="auto"/>
        </w:rPr>
        <w:t>Inseego Corp. is a leader in the design and development of cloud-managed wireless broadband and intelligent edge solutions. Our 4G and 5G wireless broadband portfolio is comprised of secure and high-performance mobile broadband and fixed wireless access (“FWA”) solutions with associated cloud solutions for real time WAN visibility, monitoring, automation and control with centralized orchestration of network functions. These solutions are specifically built for the enterprise and small and medium business (“SMB”) market segments with a focus on performance, scalability, quality and enterprise grade security. Our telematics solutions are designed to improve business outcomes for enterprise and SMB market segments. We also provide a wireless subscriber management SaaS solution for carriers to manage their government and complex enterprise customer subscriptions.</w:t>
      </w:r>
    </w:p>
    <w:p>
      <w:pPr>
        <w:spacing w:after="0" w:line="126"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Our 5G products and associated cloud solutions are designed and developed in the U.S. and are used in mission-critical applications requiring the highest levels of security and zero unscheduled downtime. These solutions support applications such as business broadband for both mobile and fixed use cases, enterprise networking and software-defined wide area network (“SD-WAN”) failover management.</w:t>
      </w:r>
    </w:p>
    <w:p>
      <w:pPr>
        <w:spacing w:after="0" w:line="115"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 xml:space="preserve">Inseego is at the forefront of providing high speed broadband through state-of-the-art 4G and 5G solutions to keep enterprise and SMB customers seamlessly connected. With multiple first-to-market innovations through several generations of 4G and 5G technologies, Inseego has been advancing wireless WAN technology and driving industry transformations for over 30 years. Our products currently operate on all major cellular networks in the US. Our mobile hotspots, sold under the MiFi </w:t>
      </w:r>
      <w:r>
        <w:rPr>
          <w:rFonts w:ascii="Times New Roman" w:cs="Times New Roman" w:eastAsia="Times New Roman" w:hAnsi="Times New Roman"/>
          <w:sz w:val="18"/>
          <w:szCs w:val="18"/>
          <w:color w:val="353740"/>
        </w:rPr>
        <w:t>™</w:t>
      </w:r>
      <w:r>
        <w:rPr>
          <w:rFonts w:ascii="Times New Roman" w:cs="Times New Roman" w:eastAsia="Times New Roman" w:hAnsi="Times New Roman"/>
          <w:sz w:val="18"/>
          <w:szCs w:val="18"/>
          <w:color w:val="auto"/>
        </w:rPr>
        <w:t xml:space="preserve"> brand, have been sold to millions of end users and provide secure and convenient high-speed broadband access to the Internet on the go.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classify our revenues from the sale of our products and services into two categories: Product Revenue, which consists of our Mobile Solutions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Wireless Access Solutions, and Services and Other. A description of each of the revenue classifications is as follows:</w:t>
      </w:r>
    </w:p>
    <w:p>
      <w:pPr>
        <w:spacing w:after="0" w:line="137" w:lineRule="exact"/>
        <w:rPr>
          <w:sz w:val="20"/>
          <w:szCs w:val="20"/>
          <w:color w:val="auto"/>
        </w:rPr>
      </w:pPr>
    </w:p>
    <w:p>
      <w:pPr>
        <w:ind w:left="660" w:right="100"/>
        <w:spacing w:after="0" w:line="245" w:lineRule="auto"/>
        <w:rPr>
          <w:sz w:val="20"/>
          <w:szCs w:val="20"/>
          <w:color w:val="auto"/>
        </w:rPr>
      </w:pPr>
      <w:r>
        <w:rPr>
          <w:rFonts w:ascii="Times New Roman" w:cs="Times New Roman" w:eastAsia="Times New Roman" w:hAnsi="Times New Roman"/>
          <w:sz w:val="18"/>
          <w:szCs w:val="18"/>
          <w:i w:val="1"/>
          <w:iCs w:val="1"/>
          <w:color w:val="auto"/>
        </w:rPr>
        <w:t>Mobile solutions</w:t>
      </w:r>
      <w:r>
        <w:rPr>
          <w:rFonts w:ascii="Times New Roman" w:cs="Times New Roman" w:eastAsia="Times New Roman" w:hAnsi="Times New Roman"/>
          <w:sz w:val="18"/>
          <w:szCs w:val="18"/>
          <w:color w:val="auto"/>
        </w:rPr>
        <w:t>: Our mobile broadband solutions, sold under the MiFi brand, are actively used by millions of end users to provide secure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convenient high-speed access to corporate, public and personal information through the Internet and enterprise networks. Our Mobile Solutions portfolio also includes 4G VoLTE products and 4G USB modems. Our mobile portfolio is supported by our cloud offerings - Inseego Connect for device management, and 5G SD EDGE for secure networking enabling corporate managed mobile remote workforce, whose revenues are included 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Our Mobile Solutions customer base is primarily comprised of mobile operators. These mobile operators include Verizon Wireless, T-Mobile and U.S. Cellular in the United States, Rogers and Telus in Canada, Telstra in Australia, as well as other international wireless operators, distributors and various companies in other vertical markets and geographies.</w:t>
      </w:r>
    </w:p>
    <w:p>
      <w:pPr>
        <w:spacing w:after="0" w:line="208" w:lineRule="exact"/>
        <w:rPr>
          <w:sz w:val="20"/>
          <w:szCs w:val="20"/>
          <w:color w:val="auto"/>
        </w:rPr>
      </w:pPr>
    </w:p>
    <w:p>
      <w:pPr>
        <w:ind w:left="660" w:right="100"/>
        <w:spacing w:after="0" w:line="247" w:lineRule="auto"/>
        <w:rPr>
          <w:sz w:val="20"/>
          <w:szCs w:val="20"/>
          <w:color w:val="auto"/>
        </w:rPr>
      </w:pPr>
      <w:r>
        <w:rPr>
          <w:rFonts w:ascii="Times New Roman" w:cs="Times New Roman" w:eastAsia="Times New Roman" w:hAnsi="Times New Roman"/>
          <w:sz w:val="18"/>
          <w:szCs w:val="18"/>
          <w:i w:val="1"/>
          <w:iCs w:val="1"/>
          <w:color w:val="auto"/>
        </w:rPr>
        <w:t>Fixed wireless access solutions</w:t>
      </w:r>
      <w:r>
        <w:rPr>
          <w:rFonts w:ascii="Times New Roman" w:cs="Times New Roman" w:eastAsia="Times New Roman" w:hAnsi="Times New Roman"/>
          <w:sz w:val="18"/>
          <w:szCs w:val="18"/>
          <w:color w:val="auto"/>
        </w:rPr>
        <w:t>: Our fixed wireless access solutions are deployed by enterprise and SMB customers for their distributed sites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as a fully secure and corporate managed wireless WWAN solution. The portfolio consists of indoor, outdoor and industrial routers and gateways supported by our cloud offerings – Inseego Connect for device management and 5G SD Edge for secure cloud networking. Revenues related to our cloud offerings of Inseego Connect and SD Edge are included within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These solutions, sold under the Wavemaker and Skyus brands, are sold by mobile operators such as T-Mobile, U.S. Cellular and Verizon Wireless along with distribution and channel partners.</w:t>
      </w:r>
    </w:p>
    <w:p>
      <w:pPr>
        <w:spacing w:after="0" w:line="207" w:lineRule="exact"/>
        <w:rPr>
          <w:sz w:val="20"/>
          <w:szCs w:val="20"/>
          <w:color w:val="auto"/>
        </w:rPr>
      </w:pPr>
    </w:p>
    <w:p>
      <w:pPr>
        <w:jc w:val="both"/>
        <w:ind w:left="660" w:right="80"/>
        <w:spacing w:after="0" w:line="263" w:lineRule="auto"/>
        <w:rPr>
          <w:sz w:val="20"/>
          <w:szCs w:val="20"/>
          <w:color w:val="auto"/>
        </w:rPr>
      </w:pPr>
      <w:r>
        <w:rPr>
          <w:rFonts w:ascii="Times New Roman" w:cs="Times New Roman" w:eastAsia="Times New Roman" w:hAnsi="Times New Roman"/>
          <w:sz w:val="17"/>
          <w:szCs w:val="17"/>
          <w:i w:val="1"/>
          <w:iCs w:val="1"/>
          <w:color w:val="auto"/>
        </w:rPr>
        <w:t>Services and other</w:t>
      </w:r>
      <w:r>
        <w:rPr>
          <w:rFonts w:ascii="Times New Roman" w:cs="Times New Roman" w:eastAsia="Times New Roman" w:hAnsi="Times New Roman"/>
          <w:sz w:val="17"/>
          <w:szCs w:val="17"/>
          <w:color w:val="auto"/>
        </w:rPr>
        <w:t>: We sell certain other types of SaaS solutions. First is our telematics solution that is deployed across multiple vertical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Europe, UK, Australia and New Zealand. This solution provides real time visibility to fleet managers on their deployed vehicles with live maps and data to improve driver safety and performance. We have thousands of enterprise and SMB customers currently subscribed to this service.</w:t>
      </w:r>
    </w:p>
    <w:p>
      <w:pPr>
        <w:ind w:left="660" w:right="340"/>
        <w:spacing w:after="0" w:line="246" w:lineRule="auto"/>
        <w:rPr>
          <w:sz w:val="20"/>
          <w:szCs w:val="20"/>
          <w:color w:val="auto"/>
        </w:rPr>
      </w:pPr>
      <w:r>
        <w:rPr>
          <w:rFonts w:ascii="Times New Roman" w:cs="Times New Roman" w:eastAsia="Times New Roman" w:hAnsi="Times New Roman"/>
          <w:sz w:val="18"/>
          <w:szCs w:val="18"/>
          <w:color w:val="auto"/>
        </w:rPr>
        <w:t>Second, we provide a SaaS wireless subscriber management solution (Inseego Subscribe) for carrier’s management of their government and complex enterprise customer subscriptions. We also categorize non-recurring engineering services we provide to our customers as Service and other revenue.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Business Segment Reporting</w:t>
      </w:r>
    </w:p>
    <w:p>
      <w:pPr>
        <w:spacing w:after="0" w:line="16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operate as one business segment. Our principal executive officer, who is also our Chief Operating Decision Maker, evaluates the business as a single entity and reviews financial information and makes business decisions based on the overall results of the business. As such, our operations constitute a single operating segment and one reportable segment.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175"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During the fourth quarter of 2023 the Company reclassified revenues in order to align with how management reviews revenue results. Historically, the Company classified revenues from products and services into two categories, IoT &amp; Mobile Solutions and Enterprise SaaS Solutions. The Company is now classifying revenues into the following two categories: Product Revenue, which consists of our Mobile Solutions and Fixed Wireless Access Solutions, and Services and Other.</w:t>
      </w:r>
    </w:p>
    <w:p>
      <w:pPr>
        <w:spacing w:after="0" w:line="123"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Additionally, during 2023 the Company reclassified all depreciation and amortization expense previously recorded in the operating expense line items of research and development, sales and marketing, and general and administrative expenses into a separate line labeled </w:t>
      </w: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xml:space="preserve"> All prior periods have been reclassified to conform to the current period presentation for these changes.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The preparation of these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We base our estimates on historical experience and other assumptions that we believe are reasonable under the circumstances. Our actual results could differ significantly from these estimates under different assumptions and conditions.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estimates discussed in the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Revenues for the three months ended June 30, 2024 were $59.1 million, compared to $53.6 million for the same period in 2023.</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revenues by our two product categories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Mobile solutions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25,879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18,895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19,505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7"/>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39,196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38,400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19,953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59,149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53,557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0" w:right="30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The $7.0 million increase in mobile solutions revenues is primarily due to product mix as a result of current period sales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margin premium 5G MiFi category in comparison to sales of the predecessor, lower-cost, 4G MiFi category in the prior year.</w:t>
      </w:r>
    </w:p>
    <w:p>
      <w:pPr>
        <w:spacing w:after="0" w:line="105" w:lineRule="exact"/>
        <w:rPr>
          <w:sz w:val="20"/>
          <w:szCs w:val="20"/>
          <w:color w:val="auto"/>
        </w:rPr>
      </w:pPr>
    </w:p>
    <w:p>
      <w:pPr>
        <w:jc w:val="both"/>
        <w:ind w:left="120" w:right="28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Fixed wireless access solutions. </w:t>
      </w:r>
      <w:r>
        <w:rPr>
          <w:rFonts w:ascii="Times New Roman" w:cs="Times New Roman" w:eastAsia="Times New Roman" w:hAnsi="Times New Roman"/>
          <w:sz w:val="18"/>
          <w:szCs w:val="18"/>
          <w:color w:val="auto"/>
        </w:rPr>
        <w:t>The $6.2 million decrease in fixed wireless access solutions revenues is primarily due to higher sales in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2023 relating to pre-launch sales of our indoor FWA solution in preparation for the release that occurred in the third quarter of 2023.</w:t>
      </w:r>
    </w:p>
    <w:p>
      <w:pPr>
        <w:spacing w:after="0" w:line="113" w:lineRule="exact"/>
        <w:rPr>
          <w:sz w:val="20"/>
          <w:szCs w:val="20"/>
          <w:color w:val="auto"/>
        </w:rPr>
      </w:pPr>
    </w:p>
    <w:p>
      <w:pPr>
        <w:ind w:left="120" w:right="1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$4.8 million increase in services and other revenues is primarily due to increased Inseego Subscribe revenues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a two-year service contract renewal with a major customer that was effective in April 2024.</w:t>
      </w:r>
    </w:p>
    <w:p>
      <w:pPr>
        <w:spacing w:after="0" w:line="89" w:lineRule="exact"/>
        <w:rPr>
          <w:sz w:val="20"/>
          <w:szCs w:val="20"/>
          <w:color w:val="auto"/>
        </w:rPr>
      </w:pPr>
    </w:p>
    <w:p>
      <w:pPr>
        <w:ind w:right="6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for the three months ended June 30, 2024 was $36.1 million, or 61.0% of revenues, compared to $34.7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64.7% of revenues, for the same period in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revenues by category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30,507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30,620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5,602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38.6</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36,109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34,661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0" w:right="50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The $0.1 million decrease in product cost of revenues is primarily due to product mix as a result of current period sales of our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premium 5G MiFi category in comparison to the predecessor, lower margin, 4G MiFi category that was sold during the prior year.</w:t>
      </w:r>
    </w:p>
    <w:p>
      <w:pPr>
        <w:spacing w:after="0" w:line="118" w:lineRule="exact"/>
        <w:rPr>
          <w:sz w:val="20"/>
          <w:szCs w:val="20"/>
          <w:color w:val="auto"/>
        </w:rPr>
      </w:pPr>
    </w:p>
    <w:p>
      <w:pPr>
        <w:ind w:left="120" w:right="20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$1.6 million increase in services and other cost of revenues is primarily due to increased Inseego Subscribe and telematics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revenues and the related increase in costs incurred to provide these services.</w:t>
      </w:r>
    </w:p>
    <w:p>
      <w:pPr>
        <w:spacing w:after="0" w:line="103" w:lineRule="exact"/>
        <w:rPr>
          <w:sz w:val="20"/>
          <w:szCs w:val="20"/>
          <w:color w:val="auto"/>
        </w:rPr>
      </w:pPr>
    </w:p>
    <w:p>
      <w:pPr>
        <w:jc w:val="both"/>
        <w:ind w:right="10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three months ended June 30, 2024 was $23.0 million, or a gross margin of 39.0%, compared to $18.9 million,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 of 35.3%, for the same period in 2023. The increase in gross profit is primarily due to higher revenues. The increase in gross profit margin is primarily due to a larger proportion of higher margin service revenues as a percentage of total revenues and increased margins on the Company’s premium 5G MiFi offerings in the current year in comparison to the lower margin products offered in the prior year.</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costs and expenses. </w:t>
      </w:r>
      <w:r>
        <w:rPr>
          <w:rFonts w:ascii="Times New Roman" w:cs="Times New Roman" w:eastAsia="Times New Roman" w:hAnsi="Times New Roman"/>
          <w:sz w:val="18"/>
          <w:szCs w:val="18"/>
          <w:color w:val="auto"/>
        </w:rPr>
        <w:t>The following table summarizes operating costs and expenses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60" w:type="dxa"/>
            <w:vAlign w:val="bottom"/>
          </w:tcPr>
          <w:p>
            <w:pPr>
              <w:spacing w:after="0"/>
              <w:rPr>
                <w:sz w:val="16"/>
                <w:szCs w:val="16"/>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5,486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6,266</w:t>
            </w:r>
          </w:p>
        </w:tc>
        <w:tc>
          <w:tcPr>
            <w:tcW w:w="100" w:type="dxa"/>
            <w:vAlign w:val="bottom"/>
          </w:tcPr>
          <w:p>
            <w:pPr>
              <w:spacing w:after="0"/>
              <w:rPr>
                <w:sz w:val="18"/>
                <w:szCs w:val="18"/>
                <w:color w:val="auto"/>
              </w:rPr>
            </w:pPr>
          </w:p>
        </w:tc>
        <w:tc>
          <w:tcPr>
            <w:tcW w:w="66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5,787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5,805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5,431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4,688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20,691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22,172</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June 30, 2024 were $5.5 million, or 9.3%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$6.3 million, or 11.7% of revenues, for the same period in 2023. The decrease in research and development expenses was primarily due to lower research and development personnel-related costs as a result of a decrease in overall research and development headcount, partially offset by increased annual incentive bonus accruals for current year performance.</w:t>
      </w:r>
    </w:p>
    <w:p>
      <w:pPr>
        <w:spacing w:after="0" w:line="116" w:lineRule="exact"/>
        <w:rPr>
          <w:sz w:val="20"/>
          <w:szCs w:val="20"/>
          <w:color w:val="auto"/>
        </w:rPr>
      </w:pPr>
    </w:p>
    <w:p>
      <w:pPr>
        <w:ind w:right="34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three months ended June 30, 2024 were $5.4 million, or 9.1% of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$5.8 million, or 10.8% of revenues, for the same period in 2023. The decrease in sales and marketing expenses was primarily due to lower sales personnel-related costs as a result of a decrease in overall sales headcount and a decrease in consulting and outside services in relation to cost reduction efforts.</w:t>
      </w:r>
    </w:p>
    <w:p>
      <w:pPr>
        <w:spacing w:after="0" w:line="116"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three months ended June 30, 2024 were $5.8 million, or 9.8%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$5.4 million, or 10.1% of revenues, for the same period in 2023. The increase in general and administrative expense was primarily due to an increase in legal and consulting expenses from our overall capital structure management efforts and increased annual incentive bonus accruals for current year performance, partially offset by a decreased share-based compensation and contractor expenses.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expenses for the three months ended June 30, 2024 were $4.0 million, 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6.8% of revenues, compared to $4.7 million, or 8.8% of revenues, for the same period in 2023. The decrease in depreciation and amortization expenses was</w:t>
      </w:r>
    </w:p>
    <w:p>
      <w:pPr>
        <w:spacing w:after="0"/>
        <w:rPr>
          <w:sz w:val="20"/>
          <w:szCs w:val="20"/>
          <w:color w:val="auto"/>
        </w:rPr>
      </w:pPr>
      <w:r>
        <w:rPr>
          <w:rFonts w:ascii="Times New Roman" w:cs="Times New Roman" w:eastAsia="Times New Roman" w:hAnsi="Times New Roman"/>
          <w:sz w:val="18"/>
          <w:szCs w:val="18"/>
          <w:color w:val="auto"/>
        </w:rPr>
        <w:t>primarily due to lower amortization related to capitalized software projects during the three months ended June 30, 2024 compared to the same period in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w:t>
      </w:r>
      <w:r>
        <w:rPr>
          <w:rFonts w:ascii="Times New Roman" w:cs="Times New Roman" w:eastAsia="Times New Roman" w:hAnsi="Times New Roman"/>
          <w:sz w:val="18"/>
          <w:szCs w:val="18"/>
          <w:color w:val="auto"/>
        </w:rPr>
        <w:t>The following table summarizes other (expense) income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Pr>
          <w:p>
            <w:pPr>
              <w:spacing w:after="0"/>
              <w:rPr>
                <w:sz w:val="16"/>
                <w:szCs w:val="16"/>
                <w:color w:val="auto"/>
              </w:rPr>
            </w:pPr>
          </w:p>
        </w:tc>
        <w:tc>
          <w:tcPr>
            <w:tcW w:w="9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1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79" w:lineRule="exact"/>
        <w:rPr>
          <w:sz w:val="20"/>
          <w:szCs w:val="20"/>
          <w:color w:val="auto"/>
        </w:rPr>
      </w:pPr>
    </w:p>
    <w:p>
      <w:pPr>
        <w:ind w:right="16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$0.2 million decrease in interest expense, net for the three months ended June 30, 2024 over the same period in 2023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a result of the termination of the Company’s Credit Facility in April 2024.</w:t>
      </w:r>
    </w:p>
    <w:p>
      <w:pPr>
        <w:spacing w:after="0" w:line="100" w:lineRule="exact"/>
        <w:rPr>
          <w:sz w:val="20"/>
          <w:szCs w:val="20"/>
          <w:color w:val="auto"/>
        </w:rPr>
      </w:pPr>
    </w:p>
    <w:p>
      <w:pPr>
        <w:jc w:val="both"/>
        <w:ind w:right="14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The $0.3 million decrease in other income, net for the three months ended June 30, 2024 over the same period in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primarily due to foreign currency exchange losses in the current period compared to foreign currency exchange gains in the prior period, partially offset by net gains recorded on our debt restructuring transactions.</w:t>
      </w:r>
    </w:p>
    <w:p>
      <w:pPr>
        <w:spacing w:after="0" w:line="110" w:lineRule="exact"/>
        <w:rPr>
          <w:sz w:val="20"/>
          <w:szCs w:val="20"/>
          <w:color w:val="auto"/>
        </w:rPr>
      </w:pPr>
    </w:p>
    <w:p>
      <w:pPr>
        <w:ind w:right="34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w:t>
      </w:r>
      <w:r>
        <w:rPr>
          <w:rFonts w:ascii="Times New Roman" w:cs="Times New Roman" w:eastAsia="Times New Roman" w:hAnsi="Times New Roman"/>
          <w:sz w:val="18"/>
          <w:szCs w:val="18"/>
          <w:color w:val="auto"/>
        </w:rPr>
        <w:t>Income tax provision for the three months ended June 30, 2024 and 2023 was a provision of $0.3 million and $0.3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55" w:lineRule="exact"/>
        <w:rPr>
          <w:sz w:val="20"/>
          <w:szCs w:val="20"/>
          <w:color w:val="auto"/>
        </w:rPr>
      </w:pPr>
    </w:p>
    <w:p>
      <w:pPr>
        <w:ind w:right="76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dividends. </w:t>
      </w:r>
      <w:r>
        <w:rPr>
          <w:rFonts w:ascii="Times New Roman" w:cs="Times New Roman" w:eastAsia="Times New Roman" w:hAnsi="Times New Roman"/>
          <w:sz w:val="18"/>
          <w:szCs w:val="18"/>
          <w:color w:val="auto"/>
        </w:rPr>
        <w:t>During the three months ended June 30, 2024 and 2023, we recorded dividends of $0.8 million and $0.7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on our Preferred Stock.</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Revenues for the six months ended June 30, 2024 were $104.2 million, compared to $104.4 million for the same period in 2023.</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revenues by our two product categories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Mobile solutions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41,149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41,935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27,499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31,375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7"/>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68,648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73,310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35,510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31,041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104,158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104,351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left="120" w:right="52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The $0.8 million decrease in mobile solutions revenues is primarily a result of reduction of sales of phone line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and investing more of our resources in the premium 5G MiFi category as opposed to developing a low-end, lower margin 5G MiFi, which resulted in lower unit sales during the six months ended June 30, 2024 as compared to the six months ended June 30, 2023.</w:t>
      </w:r>
    </w:p>
    <w:p>
      <w:pPr>
        <w:spacing w:after="0" w:line="120" w:lineRule="exact"/>
        <w:rPr>
          <w:sz w:val="20"/>
          <w:szCs w:val="20"/>
          <w:color w:val="auto"/>
        </w:rPr>
      </w:pPr>
    </w:p>
    <w:p>
      <w:pPr>
        <w:jc w:val="both"/>
        <w:ind w:left="120" w:right="360" w:firstLine="405"/>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Fixed wireless access solutions. </w:t>
      </w:r>
      <w:r>
        <w:rPr>
          <w:rFonts w:ascii="Times New Roman" w:cs="Times New Roman" w:eastAsia="Times New Roman" w:hAnsi="Times New Roman"/>
          <w:sz w:val="17"/>
          <w:szCs w:val="17"/>
          <w:color w:val="auto"/>
        </w:rPr>
        <w:t>The $3.9 million decrease in fixed wireless access solutions revenues is primarily due to higher sales in the six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months ended June 30, 2023 relating to pre-launch sales of our indoor FWA solution in preparation for the release that occurred in the third quarter of 2023 and reduced sales of our indoor router category during the six months ended June 30, 2024 as compared to the six months ended June 30, 2023.</w:t>
      </w:r>
    </w:p>
    <w:p>
      <w:pPr>
        <w:spacing w:after="0" w:line="102" w:lineRule="exact"/>
        <w:rPr>
          <w:sz w:val="20"/>
          <w:szCs w:val="20"/>
          <w:color w:val="auto"/>
        </w:rPr>
      </w:pPr>
    </w:p>
    <w:p>
      <w:pPr>
        <w:ind w:left="120" w:right="1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$4.5 million increase in services and other revenues is primarily due to increased Inseego Subscribe revenues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a two-year service contract renewal with a major customer that was executed in April 2024.</w:t>
      </w:r>
    </w:p>
    <w:p>
      <w:pPr>
        <w:spacing w:after="0" w:line="103" w:lineRule="exact"/>
        <w:rPr>
          <w:sz w:val="20"/>
          <w:szCs w:val="20"/>
          <w:color w:val="auto"/>
        </w:rPr>
      </w:pPr>
    </w:p>
    <w:p>
      <w:pPr>
        <w:ind w:right="220"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for the six months ended June 30, 2024 was $63.7 million, or 61.2% of revenues, compared to $67.3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64.5% of revenues, for the same period in 2023.</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revenues by category (in thousands):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53,220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58,587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263"/>
              <w:spacing w:after="0"/>
              <w:rPr>
                <w:sz w:val="20"/>
                <w:szCs w:val="20"/>
                <w:color w:val="auto"/>
              </w:rPr>
            </w:pPr>
            <w:r>
              <w:rPr>
                <w:rFonts w:ascii="Times New Roman" w:cs="Times New Roman" w:eastAsia="Times New Roman" w:hAnsi="Times New Roman"/>
                <w:sz w:val="16"/>
                <w:szCs w:val="16"/>
                <w:color w:val="auto"/>
              </w:rPr>
              <w:t>(5,367)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10,506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303"/>
              <w:spacing w:after="0"/>
              <w:rPr>
                <w:sz w:val="20"/>
                <w:szCs w:val="20"/>
                <w:color w:val="auto"/>
              </w:rPr>
            </w:pPr>
            <w:r>
              <w:rPr>
                <w:rFonts w:ascii="Times New Roman" w:cs="Times New Roman" w:eastAsia="Times New Roman" w:hAnsi="Times New Roman"/>
                <w:sz w:val="16"/>
                <w:szCs w:val="16"/>
                <w:color w:val="auto"/>
                <w:w w:val="99"/>
              </w:rPr>
              <w:t>1,825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63,726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67,268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center"/>
              <w:ind w:left="263"/>
              <w:spacing w:after="0"/>
              <w:rPr>
                <w:sz w:val="20"/>
                <w:szCs w:val="20"/>
                <w:color w:val="auto"/>
              </w:rPr>
            </w:pPr>
            <w:r>
              <w:rPr>
                <w:rFonts w:ascii="Times New Roman" w:cs="Times New Roman" w:eastAsia="Times New Roman" w:hAnsi="Times New Roman"/>
                <w:sz w:val="16"/>
                <w:szCs w:val="16"/>
                <w:color w:val="auto"/>
              </w:rPr>
              <w:t>(3,542)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20" w:right="380" w:firstLine="405"/>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The $5.4 million decrease in Product cost of revenues is primarily due to product mix as a result of current period sales of our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premium 5G MiFi category in comparison to the predecessor, lower margin, 4G MiFi category that was sold during the prior year and overall decreased product sales in the six months ended June 30, 2024 as compared to the six months ended June 30, 2023.</w:t>
      </w:r>
    </w:p>
    <w:p>
      <w:pPr>
        <w:spacing w:after="0" w:line="120" w:lineRule="exact"/>
        <w:rPr>
          <w:sz w:val="20"/>
          <w:szCs w:val="20"/>
          <w:color w:val="auto"/>
        </w:rPr>
      </w:pPr>
    </w:p>
    <w:p>
      <w:pPr>
        <w:ind w:left="120" w:right="1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$1.8 million increase in Services and other cost of revenues is primarily due to increased Inseego Subscribe and telematics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revenues and the related increase in costs incurred to provide said services.</w:t>
      </w:r>
    </w:p>
    <w:p>
      <w:pPr>
        <w:spacing w:after="0" w:line="103" w:lineRule="exact"/>
        <w:rPr>
          <w:sz w:val="20"/>
          <w:szCs w:val="20"/>
          <w:color w:val="auto"/>
        </w:rPr>
      </w:pPr>
    </w:p>
    <w:p>
      <w:pPr>
        <w:ind w:right="100" w:firstLine="405"/>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six months ended June 30, 2024 was $40.4 million, or a gross margin of 38.8%, compared to $37.1 million,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 of 35.5%, for the same period in 2023. The increase in gross profit is primarily due to higher revenues. The increase in gross profit margin is primarily due to a larger proportion of higher margin service revenues as a percentage of total revenues and increased margins on the Company’s premium 5G MiFi offerings in the current year in comparison to the lower margin products offered in the prior year.</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costs and expenses. </w:t>
      </w:r>
      <w:r>
        <w:rPr>
          <w:rFonts w:ascii="Times New Roman" w:cs="Times New Roman" w:eastAsia="Times New Roman" w:hAnsi="Times New Roman"/>
          <w:sz w:val="18"/>
          <w:szCs w:val="18"/>
          <w:color w:val="auto"/>
        </w:rPr>
        <w:t>The following table summarizes operating costs and expenses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10,529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10,788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39,767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20" w:firstLine="405"/>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six months ended June 30, 2024 were $10.5 million, or 10.1%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$10.0 million, or 9.6% of revenues, for the same period in 2023. The increase in research and development expenses was primarily due to fewer research and development projects that were capitalizable during the six months ended June 30, 2024, which resulted in a higher percentage of research and development costs being recorded as operating expenses, and increased annual incentive bonus accruals for current year performance, partially offset by lower personnel-related costs as a result of a decrease in overall sales headcount and a decrease in consulting and outside services in relation to cost reduction efforts.</w:t>
      </w:r>
    </w:p>
    <w:p>
      <w:pPr>
        <w:spacing w:after="0" w:line="127" w:lineRule="exact"/>
        <w:rPr>
          <w:sz w:val="20"/>
          <w:szCs w:val="20"/>
          <w:color w:val="auto"/>
        </w:rPr>
      </w:pPr>
    </w:p>
    <w:p>
      <w:pPr>
        <w:ind w:right="260" w:firstLine="405"/>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six months ended June 30, 2024 were $10.4 million, or 10.0% of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$12.3 million, or 11.7% of revenues, for the same period in 2023. The decrease in sales and marketing expenses was primarily due to lower sales personnel-related costs as a result of a decrease in overall sales headcount and a decrease in consulting and outside services in relation to cost reduction efforts.</w:t>
      </w:r>
    </w:p>
    <w:p>
      <w:pPr>
        <w:spacing w:after="0" w:line="123" w:lineRule="exact"/>
        <w:rPr>
          <w:sz w:val="20"/>
          <w:szCs w:val="20"/>
          <w:color w:val="auto"/>
        </w:rPr>
      </w:pPr>
    </w:p>
    <w:p>
      <w:pPr>
        <w:ind w:right="60" w:firstLine="405"/>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six months ended June 30, 2024 were $10.8 million, or 10.4%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$11.2 million, or 10.7% of revenues, for the same period in 2023. The decrease in general and administrative expense was primarily due to a decrease in share-based compensation expense and temporary employment costs as part of cost reduction efforts, partially offset by increase in legal and consulting expenses from our overall capital structure management efforts and increased annual incentive bonus accruals for current year performance.</w:t>
      </w:r>
    </w:p>
    <w:p>
      <w:pPr>
        <w:spacing w:after="0" w:line="127"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expenses for the six months ended June 30, 2024 were $7.6 million, or 7.3%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revenues, compared to $10.0 million, or 9.6% of revenues, for the same period in 2023. The decrease in depreciation and amortization expenses was primarily due to lower amortization related to capitalized software projects during the six months ended June 30, 2024 compared to the same period in 2023.</w:t>
      </w:r>
    </w:p>
    <w:p>
      <w:pPr>
        <w:spacing w:after="0" w:line="130" w:lineRule="exact"/>
        <w:rPr>
          <w:sz w:val="20"/>
          <w:szCs w:val="20"/>
          <w:color w:val="auto"/>
        </w:rPr>
      </w:pPr>
    </w:p>
    <w:p>
      <w:pPr>
        <w:ind w:right="26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capitalized software. </w:t>
      </w:r>
      <w:r>
        <w:rPr>
          <w:rFonts w:ascii="Times New Roman" w:cs="Times New Roman" w:eastAsia="Times New Roman" w:hAnsi="Times New Roman"/>
          <w:sz w:val="18"/>
          <w:szCs w:val="18"/>
          <w:color w:val="auto"/>
        </w:rPr>
        <w:t>For the six months ended June 30, 2024 and 2023, we recorded impairments of $0.4 million and $0.5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w:t>
      </w:r>
      <w:r>
        <w:rPr>
          <w:rFonts w:ascii="Times New Roman" w:cs="Times New Roman" w:eastAsia="Times New Roman" w:hAnsi="Times New Roman"/>
          <w:sz w:val="18"/>
          <w:szCs w:val="18"/>
          <w:color w:val="auto"/>
        </w:rPr>
        <w:t>The following table summarizes other (expense) income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40" w:type="dxa"/>
            <w:vAlign w:val="bottom"/>
          </w:tcPr>
          <w:p>
            <w:pPr>
              <w:spacing w:after="0"/>
              <w:rPr>
                <w:sz w:val="13"/>
                <w:szCs w:val="13"/>
                <w:color w:val="auto"/>
              </w:rPr>
            </w:pPr>
          </w:p>
        </w:tc>
        <w:tc>
          <w:tcPr>
            <w:tcW w:w="134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left="281"/>
              <w:spacing w:after="0"/>
              <w:rPr>
                <w:sz w:val="20"/>
                <w:szCs w:val="20"/>
                <w:color w:val="auto"/>
              </w:rPr>
            </w:pPr>
            <w:r>
              <w:rPr>
                <w:rFonts w:ascii="Times New Roman" w:cs="Times New Roman" w:eastAsia="Times New Roman" w:hAnsi="Times New Roman"/>
                <w:sz w:val="16"/>
                <w:szCs w:val="16"/>
                <w:color w:val="auto"/>
              </w:rPr>
              <w:t>(4,011)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301"/>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center"/>
              <w:ind w:left="281"/>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65" w:lineRule="exact"/>
        <w:rPr>
          <w:sz w:val="20"/>
          <w:szCs w:val="20"/>
          <w:color w:val="auto"/>
        </w:rPr>
      </w:pPr>
    </w:p>
    <w:p>
      <w:pPr>
        <w:ind w:right="8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$0.1 million decrease in interest expense, net for the six months ended June 30, 2024 over the same period in 2023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a result of the termination of the Company’s Credit Facility in April 2024 as primarily a result of interest expense associated with the Company’s Credit Facility.</w:t>
      </w:r>
    </w:p>
    <w:p>
      <w:pPr>
        <w:spacing w:after="0" w:line="131" w:lineRule="exact"/>
        <w:rPr>
          <w:sz w:val="20"/>
          <w:szCs w:val="20"/>
          <w:color w:val="auto"/>
        </w:rPr>
      </w:pPr>
    </w:p>
    <w:p>
      <w:pPr>
        <w:jc w:val="both"/>
        <w:ind w:right="1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The $1.5 million decrease in other income (expense), net for the six months ended June 30, 2024 over the same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2023 is primarily due to foreign currency exchange gains in the prior period, partially offset by net gains recorded on our debt restructuring transactions in the current period.</w:t>
      </w:r>
    </w:p>
    <w:p>
      <w:pPr>
        <w:spacing w:after="0" w:line="131" w:lineRule="exact"/>
        <w:rPr>
          <w:sz w:val="20"/>
          <w:szCs w:val="20"/>
          <w:color w:val="auto"/>
        </w:rPr>
      </w:pPr>
    </w:p>
    <w:p>
      <w:pPr>
        <w:ind w:right="48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w:t>
      </w:r>
      <w:r>
        <w:rPr>
          <w:rFonts w:ascii="Times New Roman" w:cs="Times New Roman" w:eastAsia="Times New Roman" w:hAnsi="Times New Roman"/>
          <w:sz w:val="18"/>
          <w:szCs w:val="18"/>
          <w:color w:val="auto"/>
        </w:rPr>
        <w:t>Income tax provision for the six months ended June 30, 2024 and 2023 was a provision of $0.5 million and $0.6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w:t>
      </w:r>
    </w:p>
    <w:p>
      <w:pPr>
        <w:spacing w:after="0" w:line="167" w:lineRule="exact"/>
        <w:rPr>
          <w:sz w:val="20"/>
          <w:szCs w:val="20"/>
          <w:color w:val="auto"/>
        </w:rPr>
      </w:pPr>
    </w:p>
    <w:p>
      <w:pPr>
        <w:ind w:right="90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dividends. </w:t>
      </w:r>
      <w:r>
        <w:rPr>
          <w:rFonts w:ascii="Times New Roman" w:cs="Times New Roman" w:eastAsia="Times New Roman" w:hAnsi="Times New Roman"/>
          <w:sz w:val="18"/>
          <w:szCs w:val="18"/>
          <w:color w:val="auto"/>
        </w:rPr>
        <w:t>During the six months ended June 30, 2024 and 2023, we recorded dividends of $1.6 million and $1.5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on our Preferred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62" w:lineRule="exact"/>
        <w:rPr>
          <w:sz w:val="20"/>
          <w:szCs w:val="20"/>
          <w:color w:val="auto"/>
        </w:rPr>
      </w:pPr>
    </w:p>
    <w:p>
      <w:pPr>
        <w:ind w:right="120" w:firstLine="405"/>
        <w:spacing w:after="0" w:line="247" w:lineRule="auto"/>
        <w:rPr>
          <w:sz w:val="20"/>
          <w:szCs w:val="20"/>
          <w:color w:val="auto"/>
        </w:rPr>
      </w:pPr>
      <w:r>
        <w:rPr>
          <w:rFonts w:ascii="Times New Roman" w:cs="Times New Roman" w:eastAsia="Times New Roman" w:hAnsi="Times New Roman"/>
          <w:sz w:val="18"/>
          <w:szCs w:val="18"/>
          <w:color w:val="auto"/>
        </w:rPr>
        <w:t>On January 24, 2024, the Company completed a 1-for-10 reverse stock split of its issued and outstanding common stock (the “Reverse Stock Split”). As a result of the Reverse Stock Split, each share of common stock issued and outstanding immediately prior to January 24, 2024 were automatically converted into one-tenth (1/10) of a share of common stock. 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split.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40" w:firstLine="405"/>
        <w:spacing w:after="0"/>
        <w:rPr>
          <w:sz w:val="20"/>
          <w:szCs w:val="20"/>
          <w:color w:val="auto"/>
        </w:rPr>
      </w:pPr>
      <w:r>
        <w:rPr>
          <w:rFonts w:ascii="Times New Roman" w:cs="Times New Roman" w:eastAsia="Times New Roman" w:hAnsi="Times New Roman"/>
          <w:sz w:val="18"/>
          <w:szCs w:val="18"/>
          <w:color w:val="auto"/>
        </w:rPr>
        <w:t>On June 28, 2024, the Company entered into a series of agreements, as part of its overall capital structure management, to reduce its total debt and restructure its outstanding 2025 Convertible Notes. Specifically, pursuant to agreements summarized in Note 4 – Debt in the accompanying unaudited financial statements, the Company executed three transactions that, together, involved the three largest noteholders of $125.9 million in face value, or 80%, of the 2025 Convertible Notes, as follows:</w:t>
      </w:r>
    </w:p>
    <w:p>
      <w:pPr>
        <w:spacing w:after="0" w:line="144" w:lineRule="exact"/>
        <w:rPr>
          <w:sz w:val="20"/>
          <w:szCs w:val="20"/>
          <w:color w:val="auto"/>
        </w:rPr>
      </w:pPr>
    </w:p>
    <w:p>
      <w:pPr>
        <w:jc w:val="both"/>
        <w:ind w:right="80" w:firstLine="413"/>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Repurchase: the Company agreed to purchase for cash, all of the $45.9 million in face value of the 2025 Convertible Notes held by certain entities managed by Highbridge Capital Management, LLC (such entities, “Highbridge”), the second largest noteholder, at a discount of 30% to face value;</w:t>
      </w:r>
    </w:p>
    <w:p>
      <w:pPr>
        <w:spacing w:after="0" w:line="115" w:lineRule="exact"/>
        <w:rPr>
          <w:rFonts w:ascii="Times New Roman" w:cs="Times New Roman" w:eastAsia="Times New Roman" w:hAnsi="Times New Roman"/>
          <w:sz w:val="18"/>
          <w:szCs w:val="18"/>
          <w:color w:val="auto"/>
        </w:rPr>
      </w:pPr>
    </w:p>
    <w:p>
      <w:pPr>
        <w:ind w:right="80" w:firstLine="413"/>
        <w:spacing w:after="0" w:line="24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Short-Term Loan Agreement: to finance a portion of the Convertible Debt Repurchase, the Company agreed to a $19.5 million loan (“Short-Term Loan”) from (i) South Ocean Funding, LLC (“South Ocean”), which is an affiliate of Golden Harbor Ltd. (“Golden Harbor”), and Tavistock Financial, LLC, and (ii) certain participant lenders (the “Participating Lenders”). The Short-Term Loan matures on September 30, 2024, provided that the Company may request an extension of the maturity date of up to six months, to March 31, 2025, which the Lender and each Participating Lender may grant or deny with respect to each of their respective portions of the Short-Term Loan. Borrowings under the Short-Term Loan will bear interest at 12.0% per annum. Upon any repayment or prepayment of the amounts borrowed under the Short-Term Loan (including at maturity), the Company will be required to pay an exit fee equal to 4.0% of the aggregate principal amount prepaid or repaid. See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 xml:space="preserve"> in the accompanying condensed consolidated financial statements for further details regarding the Short-Term Loan; and</w:t>
      </w:r>
    </w:p>
    <w:p>
      <w:pPr>
        <w:spacing w:after="0" w:line="125" w:lineRule="exact"/>
        <w:rPr>
          <w:rFonts w:ascii="Times New Roman" w:cs="Times New Roman" w:eastAsia="Times New Roman" w:hAnsi="Times New Roman"/>
          <w:sz w:val="18"/>
          <w:szCs w:val="18"/>
          <w:color w:val="auto"/>
        </w:rPr>
      </w:pPr>
    </w:p>
    <w:p>
      <w:pPr>
        <w:ind w:right="40" w:firstLine="413"/>
        <w:spacing w:after="0" w:line="24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Exchange: the Company entered into binding term sheets (the “Exchange Agreements”) to exchange $80.0 million of face value that represents all of the 2025 Convertible Notes held by North Sound Partners and Golden Harbor (the “Noteholders”), the largest and third-largest bondholders, respectively, for the same 30% discount as the Highbridge Notes purchase, for a combination of new long-term debt and equity. Specifically, the Noteholders will receive an aggregate of approximately 2.4 million shares of Common Stock and $31.8 million principal amount of new long-term senior secured notes. In addition the Noteholders will receive warrants to purchase an aggregate of approximately 1.5 million shares of Common Stock.</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27" w:name="page28"/>
    <w:bookmarkEnd w:id="27"/>
    <w:p>
      <w:pPr>
        <w:ind w:right="340" w:firstLine="405"/>
        <w:spacing w:after="0" w:line="280" w:lineRule="auto"/>
        <w:rPr>
          <w:sz w:val="20"/>
          <w:szCs w:val="20"/>
          <w:color w:val="auto"/>
        </w:rPr>
      </w:pPr>
      <w:r>
        <w:rPr>
          <w:rFonts w:ascii="Times New Roman" w:cs="Times New Roman" w:eastAsia="Times New Roman" w:hAnsi="Times New Roman"/>
          <w:sz w:val="17"/>
          <w:szCs w:val="17"/>
          <w:color w:val="auto"/>
        </w:rPr>
        <w:t>As of June 30, 2024, the Company had available cash and cash equivalents totaling $49.0 million. Under the Short-Term Loan Agreement, the Company received $16.5 million in cash on June 28, 2024. Subsequent to June 30, 2024 (on July 1, 2024), the Company received the remaining $3.0 million under the Short-Term Loan Agreement and closed the Convertible Debt Repurchase, paying $32.1 million to Highbridge, plus accrued interest.</w:t>
      </w:r>
    </w:p>
    <w:p>
      <w:pPr>
        <w:spacing w:after="0" w:line="85"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The 2025 Convertible Notes had a principal balance of $158.9 million as of June 30, 2024 and mature on May 1, 2025. The closing of the Convertible Debt Repurchase on July 1, 2024 reduced the principal balance of the 2025 Convertible Notes by $45.9 million. Taking into account the Convertible Debt Repurchase, the Convertible Debt Exchange, and certain other transactions with individual holders of the 2025 Convertible Notes through the date of issuance of this report, the Company has repurchased and/or entered into binding agreements to repurchase and/or exchange approximately $141.9 million, or 87.7%, of the face value of the outstanding 2025 Convertible Notes.</w:t>
      </w:r>
    </w:p>
    <w:p>
      <w:pPr>
        <w:spacing w:after="0" w:line="131" w:lineRule="exact"/>
        <w:rPr>
          <w:sz w:val="20"/>
          <w:szCs w:val="20"/>
          <w:color w:val="auto"/>
        </w:rPr>
      </w:pPr>
    </w:p>
    <w:p>
      <w:pPr>
        <w:ind w:right="40" w:firstLine="405"/>
        <w:spacing w:after="0" w:line="238" w:lineRule="auto"/>
        <w:rPr>
          <w:sz w:val="20"/>
          <w:szCs w:val="20"/>
          <w:color w:val="auto"/>
        </w:rPr>
      </w:pPr>
      <w:r>
        <w:rPr>
          <w:rFonts w:ascii="Times New Roman" w:cs="Times New Roman" w:eastAsia="Times New Roman" w:hAnsi="Times New Roman"/>
          <w:sz w:val="18"/>
          <w:szCs w:val="18"/>
          <w:color w:val="auto"/>
        </w:rPr>
        <w:t>Consummation of the Convertible Debt Exchanges are subject to, among other things, the drafting, execution and delivery of one or more final agreements reflecting the terms contained in the Exchange Agreements and other customary and mutually acceptable terms and conditions, which agreements the Company and the Noteholders have agreed to negotiate in good faith. There can be no assurance that the Convertible Debt Exchanges will be consummated on the terms set forth in the Exchange Agreements, or at all. As the closing of the Convertible Debt Exchanges cannot be assured, accounting guidance requires disclosure that this raises substantial doubt about the Company’s ability to continue as a going concern within one year of the issuance of these financial statements.</w:t>
      </w:r>
    </w:p>
    <w:p>
      <w:pPr>
        <w:spacing w:after="0" w:line="132" w:lineRule="exact"/>
        <w:rPr>
          <w:sz w:val="20"/>
          <w:szCs w:val="20"/>
          <w:color w:val="auto"/>
        </w:rPr>
      </w:pPr>
    </w:p>
    <w:p>
      <w:pPr>
        <w:ind w:right="40" w:firstLine="405"/>
        <w:spacing w:after="0" w:line="245" w:lineRule="auto"/>
        <w:rPr>
          <w:sz w:val="20"/>
          <w:szCs w:val="20"/>
          <w:color w:val="auto"/>
        </w:rPr>
      </w:pPr>
      <w:r>
        <w:rPr>
          <w:rFonts w:ascii="Times New Roman" w:cs="Times New Roman" w:eastAsia="Times New Roman" w:hAnsi="Times New Roman"/>
          <w:sz w:val="18"/>
          <w:szCs w:val="18"/>
          <w:color w:val="auto"/>
        </w:rPr>
        <w:t>The Company generated positive cash flow from operations both for the year ended December 31, 2023 and in the three and six months ended June 30, 2024. In April 2024, the Company received a $15.0 million upfront payment from a customer in connection with a two-year service contract. Based on the factors above, and to reduce financing costs, the Company voluntarily paid-off and terminated its Credit Facility effective April 18, 2024. These factors have had a positive impact on our liquidity.</w:t>
      </w:r>
    </w:p>
    <w:p>
      <w:pPr>
        <w:spacing w:after="0" w:line="127" w:lineRule="exact"/>
        <w:rPr>
          <w:sz w:val="20"/>
          <w:szCs w:val="20"/>
          <w:color w:val="auto"/>
        </w:rPr>
      </w:pPr>
    </w:p>
    <w:p>
      <w:pPr>
        <w:ind w:firstLine="405"/>
        <w:spacing w:after="0" w:line="237" w:lineRule="auto"/>
        <w:rPr>
          <w:sz w:val="20"/>
          <w:szCs w:val="20"/>
          <w:color w:val="auto"/>
        </w:rPr>
      </w:pPr>
      <w:r>
        <w:rPr>
          <w:rFonts w:ascii="Times New Roman" w:cs="Times New Roman" w:eastAsia="Times New Roman" w:hAnsi="Times New Roman"/>
          <w:sz w:val="18"/>
          <w:szCs w:val="18"/>
          <w:color w:val="auto"/>
        </w:rPr>
        <w:t>While the Company’s liquidity and financial results have had several positive developments recently, as noted above,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In order to effect the restructuring or refinancing of the Company’s obligations, or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149"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Our liquidity could be compromised if there is any interruption in our business operations, a material failure to satisfy our contractual commitments or a failure to generate revenue from new or existing products. If additional funds are raised by the issuance of equity securities, or in connection with any restructuring or refinancing of the 2025 Convertible Notes, Company stockholders could experience significant dilution of their ownership interests and securities issued may have rights senior to those of the holders of the Company’s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2024, our material contractual obligations consisted of the following:</w:t>
      </w:r>
    </w:p>
    <w:p>
      <w:pPr>
        <w:spacing w:after="0" w:line="158" w:lineRule="exact"/>
        <w:rPr>
          <w:sz w:val="20"/>
          <w:szCs w:val="20"/>
          <w:color w:val="auto"/>
        </w:rPr>
      </w:pPr>
    </w:p>
    <w:p>
      <w:pPr>
        <w:ind w:left="660" w:right="300" w:hanging="328"/>
        <w:spacing w:after="0" w:line="250"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June 30, 2024, our future payments under these noncancellable purchase obligations were approximately $78.2 million.</w:t>
      </w:r>
    </w:p>
    <w:p>
      <w:pPr>
        <w:spacing w:after="0" w:line="163" w:lineRule="exact"/>
        <w:rPr>
          <w:rFonts w:ascii="Times New Roman" w:cs="Times New Roman" w:eastAsia="Times New Roman" w:hAnsi="Times New Roman"/>
          <w:sz w:val="18"/>
          <w:szCs w:val="18"/>
          <w:b w:val="1"/>
          <w:bCs w:val="1"/>
          <w:i w:val="1"/>
          <w:iCs w:val="1"/>
          <w:color w:val="auto"/>
        </w:rPr>
      </w:pPr>
    </w:p>
    <w:p>
      <w:pPr>
        <w:ind w:left="660" w:right="300" w:hanging="328"/>
        <w:spacing w:after="0" w:line="234" w:lineRule="auto"/>
        <w:tabs>
          <w:tab w:leader="none" w:pos="655" w:val="left"/>
        </w:tabs>
        <w:numPr>
          <w:ilvl w:val="0"/>
          <w:numId w:val="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 xml:space="preserve">$158.9 million and $16.5 million in outstanding principal amount of 2025 Convertible Notes and Short-Term Loan, respectively, with required interest payments; see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 xml:space="preserve"> in the accompanying condensed consolidated financial statements; and</w:t>
      </w:r>
    </w:p>
    <w:p>
      <w:pPr>
        <w:spacing w:after="0" w:line="132" w:lineRule="exact"/>
        <w:rPr>
          <w:rFonts w:ascii="Times New Roman" w:cs="Times New Roman" w:eastAsia="Times New Roman" w:hAnsi="Times New Roman"/>
          <w:sz w:val="22"/>
          <w:szCs w:val="22"/>
          <w:b w:val="1"/>
          <w:bCs w:val="1"/>
          <w:i w:val="1"/>
          <w:i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that are included on our consolidated balance sheet.</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material changes in our other contractual obligations during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Historical Cash Flows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condensed consolidated statements of cash flows for the periods indicated (in thousands):</w:t>
      </w:r>
    </w:p>
    <w:p>
      <w:pPr>
        <w:spacing w:after="0" w:line="20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5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33,301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12,679</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(4,602)</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r>
      <w:tr>
        <w:trPr>
          <w:trHeight w:val="207"/>
        </w:trPr>
        <w:tc>
          <w:tcPr>
            <w:tcW w:w="8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8,022</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48,993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15,165</w:t>
            </w:r>
          </w:p>
        </w:tc>
      </w:tr>
      <w:tr>
        <w:trPr>
          <w:trHeight w:val="2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is comprised of a $3.8 million net loss incurred during the period and a non-cash gain on debt restructurings of $1.3 million, which was offset by net cash provided by working capital of $26.7 million and non-cash charges, including depreciation and amortization of $9.1 million, share-based compensation expense of $1.6 million, and amortization of debt discount and debt issuance costs of $0.9 million.</w:t>
      </w:r>
    </w:p>
    <w:p>
      <w:pPr>
        <w:spacing w:after="0" w:line="123" w:lineRule="exact"/>
        <w:rPr>
          <w:sz w:val="20"/>
          <w:szCs w:val="20"/>
          <w:color w:val="auto"/>
        </w:rPr>
      </w:pPr>
    </w:p>
    <w:p>
      <w:pPr>
        <w:jc w:val="both"/>
        <w:ind w:right="40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six months ended June 30, 2023 is comprised of a $10.0 million net loss incurred during the period, which was offset by and net cash provided by working capital of $5.6 million and non-cash charges, including depreciation and amortization of $10.8 million, share-based compensation expense of $3.8 million, and amortization of debt discount and debt issuance costs of $1.0 million.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82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six months ended June 30, 2024 is comprised of $2.3 million of cash outflows related to the development of software in support of our products and services.</w:t>
      </w:r>
    </w:p>
    <w:p>
      <w:pPr>
        <w:spacing w:after="0" w:line="108" w:lineRule="exact"/>
        <w:rPr>
          <w:sz w:val="20"/>
          <w:szCs w:val="20"/>
          <w:color w:val="auto"/>
        </w:rPr>
      </w:pPr>
    </w:p>
    <w:p>
      <w:pPr>
        <w:ind w:right="940"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same period in 2023 is primarily comprised of $4.4 million of cash outflows related to the development of software in support of our products and services and $0.2 million of property, plant and equipment purchases.</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2024 is comprised of $16.5 million from the issuance of the short-term loan and common stock warrants, partially offset by $4.1 million of cash outflow from the termination and repayment of our revolving credit facility and $1.7 million of cash outflow from the repurchase of a portion of our convertible notes.</w:t>
      </w:r>
    </w:p>
    <w:p>
      <w:pPr>
        <w:spacing w:after="0" w:line="115"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same period in 2023 is primarily comprised of $6.1 million in proceeds from the ATM offering, partially offset by $4.6 million of cash outflow related to net repayments of our revolving credit facility.</w:t>
      </w:r>
    </w:p>
    <w:p>
      <w:pPr>
        <w:spacing w:after="0" w:line="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Our revenue, earnings, cash flows, receivables, and payables are subject to fluctuations due to changes in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 and Embedded Derivative</w:t>
      </w:r>
    </w:p>
    <w:p>
      <w:pPr>
        <w:spacing w:after="0" w:line="162" w:lineRule="exact"/>
        <w:rPr>
          <w:sz w:val="20"/>
          <w:szCs w:val="20"/>
          <w:color w:val="auto"/>
        </w:rPr>
      </w:pPr>
    </w:p>
    <w:p>
      <w:pPr>
        <w:jc w:val="both"/>
        <w:ind w:right="100" w:firstLine="405"/>
        <w:spacing w:after="0" w:line="250" w:lineRule="auto"/>
        <w:rPr>
          <w:sz w:val="20"/>
          <w:szCs w:val="20"/>
          <w:color w:val="auto"/>
        </w:rPr>
      </w:pPr>
      <w:r>
        <w:rPr>
          <w:rFonts w:ascii="Times New Roman" w:cs="Times New Roman" w:eastAsia="Times New Roman" w:hAnsi="Times New Roman"/>
          <w:sz w:val="18"/>
          <w:szCs w:val="18"/>
          <w:color w:val="auto"/>
        </w:rPr>
        <w:t>Our total fixed-rate borrowings under the 2025 Convertible Notes as of both June 30, 2024 and December 31, 2023 were $158.9 million. We record all of our fixed-rate borrowings at amortized cost and therefore, any changes in interest rates do not impact the values that we report for these senior notes on our consolidated financial statements. As of June 30, 2024 and December 31, 2023, we had no variable-rate borrowings related to the 2025 Convertible Notes.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9" w:name="page30"/>
    <w:bookmarkEnd w:id="29"/>
    <w:p>
      <w:pPr>
        <w:ind w:firstLine="405"/>
        <w:spacing w:after="0" w:line="246" w:lineRule="auto"/>
        <w:rPr>
          <w:sz w:val="20"/>
          <w:szCs w:val="20"/>
          <w:color w:val="auto"/>
        </w:rPr>
      </w:pPr>
      <w:r>
        <w:rPr>
          <w:rFonts w:ascii="Times New Roman" w:cs="Times New Roman" w:eastAsia="Times New Roman" w:hAnsi="Times New Roman"/>
          <w:sz w:val="18"/>
          <w:szCs w:val="18"/>
          <w:color w:val="auto"/>
        </w:rPr>
        <w:t xml:space="preserve">The 2025 Convertible Notes include an embedded derivative which was marked to a fair value of zero at both June 30, 2024 and December 31, 2023.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Convertible Notes and the embedded derivative are included in Part 1 Item 1 </w:t>
      </w:r>
      <w:r>
        <w:rPr>
          <w:rFonts w:ascii="Times New Roman" w:cs="Times New Roman" w:eastAsia="Times New Roman" w:hAnsi="Times New Roman"/>
          <w:sz w:val="18"/>
          <w:szCs w:val="18"/>
          <w:i w:val="1"/>
          <w:iCs w:val="1"/>
          <w:color w:val="auto"/>
        </w:rPr>
        <w:t>Note 3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 xml:space="preserve"> in this Quarterly Report on Form 10-Q.</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62"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Inflation has increased during the period covered by this Quarterly Report on Form 10-Q,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right="200" w:firstLine="405"/>
        <w:spacing w:after="0" w:line="250"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A majority of our revenue is denominated in U.S. Dollars.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For the six months ended June 30, 2024, sales denominated in foreign currencies were approximately 17.2% of total revenue. Our results of</w:t>
      </w:r>
    </w:p>
    <w:p>
      <w:pPr>
        <w:spacing w:after="0" w:line="1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operations and cash flows are, therefore, subject to fluctuations due to changes in foreign currency exchange rates and may be adversely affected in the future due to changes in foreign exchange rates. These foreign currencies primarily consist of the South African Rand, British Pound, Euro, and Australian Dollar. For the six months ended June 30, 2024, a hypothetical 10% change in these foreign currencies would have increased or decreased our revenue by approximately $1.8 million. Actual gains and losses in the future may differ materially from the hypothetical gains and losses discussed above based on changes in the timing and amount of foreign currency exchange rate movements.</w:t>
      </w:r>
    </w:p>
    <w:p>
      <w:pPr>
        <w:spacing w:after="0" w:line="1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7"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June 30, 2024, the end of the period covered by this report. Based on the foregoing, our principal executive officer and principal financial officer concluded that our disclosure controls and procedures were effective as of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ind w:right="180" w:firstLine="405"/>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promulgated under the Exchange Act,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Other than the amended risk factors set forth below, there were no material changes to the risk factors disclosed in Part I, Item 1A, Risk Factors of the Form 10-K, which was filed with the Securities and Exchange Commission on February 21, 2024. Any of the risks discussed in such report, as well as additional risks and uncertainties not currently known to us or that we currently deem immaterial, could materially and adversely affect our results of operations, financial condition or prospects.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service requirements are significant, and we may not have sufficient cash flow from our business to pay our substantial debt.</w:t>
      </w:r>
    </w:p>
    <w:p>
      <w:pPr>
        <w:spacing w:after="0" w:line="162"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The outstanding principal amount of our 2025 Notes at June 30, 2024 was $158.9 million. The 2025 Notes have a maturity date of May 1, 2025. While we have repurchased and/or entered into binding agreements to repurchase and/or exchange a significant amount of the outstanding principal amount of the 2025 Notes, including pursuant to the Convertible Debt Exchange described elsewhere in this report, there can be no assurance that the Convertible Debt Exchange will be consummated or that any required or desired restructuring or financing of the remaining balance of the 2025 Notes will be available on terms favorable to us, or at all. Furthermore, if the Convertible Debt Exchange and any similar exchanges with additional holders of our 2025 Notes are consummated, we will owe a significant amount of secured indebtedness under the terms of the new indebtedness to be issued on account of a portion of the outstanding principal amount of the 2025 Notes (the “Replacement Indebtedness”). In addition, we incurred $19.5 million in principal amount of indebtedness pursuant to the Short-Term Loan, which matures on September 30, 2024, provided that the Company may request an extension of the maturity date of up to six months, to March 31, 2025, which the Lender and each Participating Lender may grant or deny with respect to each of their respective portions of the Short-Term Loan. The Company’s intention is to refinance the Short-Term Loan, however, there can be no assurance that any required or desired restructuring or financing will be available on terms favorable to the Company, or at all.</w:t>
      </w:r>
    </w:p>
    <w:p>
      <w:pPr>
        <w:spacing w:after="0" w:line="148" w:lineRule="exact"/>
        <w:rPr>
          <w:sz w:val="20"/>
          <w:szCs w:val="20"/>
          <w:color w:val="auto"/>
        </w:rPr>
      </w:pPr>
    </w:p>
    <w:p>
      <w:pPr>
        <w:ind w:right="80" w:firstLine="405"/>
        <w:spacing w:after="0" w:line="243"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indebtedness,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condition of the capital markets and our financial condition at such time. We may not be able to engage in any of these activities or engage in these activities on favorable terms, which could result in a default on our debt obligations. Any default under such indebtedness could have a material adverse effect on our business, results of operations and financial condition.</w:t>
      </w:r>
    </w:p>
    <w:p>
      <w:pPr>
        <w:spacing w:after="0" w:line="12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certain financial and other covenants under our Short-Term Loan Agreement and, if we fail to meet those covenants or otherwise suffer a default thereunder, our lenders may accelerate the payment of such obligations.</w:t>
      </w:r>
    </w:p>
    <w:p>
      <w:pPr>
        <w:spacing w:after="0" w:line="91" w:lineRule="exact"/>
        <w:rPr>
          <w:sz w:val="20"/>
          <w:szCs w:val="20"/>
          <w:color w:val="auto"/>
        </w:rPr>
      </w:pPr>
    </w:p>
    <w:p>
      <w:pPr>
        <w:ind w:right="40" w:firstLine="486"/>
        <w:spacing w:after="0" w:line="243" w:lineRule="auto"/>
        <w:rPr>
          <w:sz w:val="20"/>
          <w:szCs w:val="20"/>
          <w:color w:val="auto"/>
        </w:rPr>
      </w:pPr>
      <w:r>
        <w:rPr>
          <w:rFonts w:ascii="Times New Roman" w:cs="Times New Roman" w:eastAsia="Times New Roman" w:hAnsi="Times New Roman"/>
          <w:sz w:val="18"/>
          <w:szCs w:val="18"/>
          <w:color w:val="auto"/>
        </w:rPr>
        <w:t>The Loan and Security Agreement entered into in connection with the establishment of the Short-Term Loan (the “Short-Term Loan Agreement”) contains various covenants, restrictions and events of default. Among other things, these provisions require us to maintain a certain level of consolidated liquidity and impose certain limits on our ability to engage in certain activities. The restrictions in the Short-Term Loan Agreement impose operating and financial restrictions on us and may limit our ability to compete effectively, take advantage of new business opportunities or take other actions that may be in our, or our shareholders’, best interests. Further, various risks and uncertainties may impact our ability to comply with our obligations under the Short-Term Loan Agreement. Our obligations under the Short-Term Loan Agreement are secured by, and we expect that our obligations under the Replacement Indebtedness, if and when incurred, will be secured by, a continuing security interest in all property (other than certain excluded collateral) of the Company and each of the borrower parties.</w:t>
      </w:r>
    </w:p>
    <w:p>
      <w:pPr>
        <w:spacing w:after="0" w:line="132" w:lineRule="exact"/>
        <w:rPr>
          <w:sz w:val="20"/>
          <w:szCs w:val="20"/>
          <w:color w:val="auto"/>
        </w:rPr>
      </w:pPr>
    </w:p>
    <w:p>
      <w:pPr>
        <w:ind w:right="200" w:firstLine="486"/>
        <w:spacing w:after="0" w:line="250" w:lineRule="auto"/>
        <w:rPr>
          <w:sz w:val="20"/>
          <w:szCs w:val="20"/>
          <w:color w:val="auto"/>
        </w:rPr>
      </w:pPr>
      <w:r>
        <w:rPr>
          <w:rFonts w:ascii="Times New Roman" w:cs="Times New Roman" w:eastAsia="Times New Roman" w:hAnsi="Times New Roman"/>
          <w:sz w:val="18"/>
          <w:szCs w:val="18"/>
          <w:color w:val="auto"/>
        </w:rPr>
        <w:t>Our inability to comply with any of the provisions of the Short-Term Loan Agreement (and we expect that our inability to comply with any of the provisions of the agreements governing the Replacement Indebtedness, if and when entered into) could result in a default under it. If such a default under the Short-Term Loan Agreement occurs, the lenders may elect to demand payment in full of all or any portion of our obligations under the Short-Term Loan Agreement and, among other remedies, foreclose on our assets. The occurrence of any of these events could have a material adverse effect on our business, financial condition,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35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32" w:name="page33"/>
    <w:bookmarkEnd w:id="32"/>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4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60"/>
        <w:spacing w:after="0" w:line="250" w:lineRule="auto"/>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Amended and Restated Certificate of Incorporation (incorporated by reference to Exhibit 3.1 to the Company’s Current Report on Form 8-</w:t>
        </w:r>
      </w:hyperlink>
      <w:hyperlink r:id="rId45">
        <w:r>
          <w:rPr>
            <w:rFonts w:ascii="Times New Roman" w:cs="Times New Roman" w:eastAsia="Times New Roman" w:hAnsi="Times New Roman"/>
            <w:sz w:val="18"/>
            <w:szCs w:val="18"/>
            <w:u w:val="single" w:color="auto"/>
            <w:color w:val="0000FF"/>
          </w:rPr>
          <w:t>K, filed November 9, 2016).</w:t>
        </w:r>
      </w:hyperlink>
    </w:p>
    <w:p>
      <w:pPr>
        <w:spacing w:after="0" w:line="122" w:lineRule="exact"/>
        <w:rPr>
          <w:sz w:val="20"/>
          <w:szCs w:val="20"/>
          <w:color w:val="auto"/>
        </w:rPr>
      </w:pPr>
    </w:p>
    <w:p>
      <w:pPr>
        <w:ind w:right="140"/>
        <w:spacing w:after="0" w:line="250" w:lineRule="auto"/>
        <w:rPr>
          <w:rFonts w:ascii="Times New Roman" w:cs="Times New Roman" w:eastAsia="Times New Roman" w:hAnsi="Times New Roman"/>
          <w:sz w:val="18"/>
          <w:szCs w:val="18"/>
          <w:u w:val="single" w:color="auto"/>
          <w:color w:val="0000FF"/>
        </w:rPr>
      </w:pPr>
      <w:hyperlink r:id="rId46">
        <w:r>
          <w:rPr>
            <w:rFonts w:ascii="Times New Roman" w:cs="Times New Roman" w:eastAsia="Times New Roman" w:hAnsi="Times New Roman"/>
            <w:sz w:val="18"/>
            <w:szCs w:val="18"/>
            <w:u w:val="single" w:color="auto"/>
            <w:color w:val="0000FF"/>
          </w:rPr>
          <w:t>Amended and Restated Bylaws (incorporated by reference to Exhibit 3.2 to the Company’s Current Report on Form 8-K, filed November</w:t>
        </w:r>
      </w:hyperlink>
      <w:r>
        <w:rPr>
          <w:rFonts w:ascii="Times New Roman" w:cs="Times New Roman" w:eastAsia="Times New Roman" w:hAnsi="Times New Roman"/>
          <w:sz w:val="18"/>
          <w:szCs w:val="18"/>
          <w:u w:val="single" w:color="auto"/>
          <w:color w:val="0000FF"/>
        </w:rPr>
        <w:t xml:space="preserve"> </w:t>
      </w:r>
      <w:hyperlink r:id="rId46">
        <w:r>
          <w:rPr>
            <w:rFonts w:ascii="Times New Roman" w:cs="Times New Roman" w:eastAsia="Times New Roman" w:hAnsi="Times New Roman"/>
            <w:sz w:val="18"/>
            <w:szCs w:val="18"/>
            <w:u w:val="single" w:color="auto"/>
            <w:color w:val="0000FF"/>
          </w:rPr>
          <w:t>9, 2016).</w:t>
        </w:r>
      </w:hyperlink>
    </w:p>
    <w:p>
      <w:pPr>
        <w:spacing w:after="0" w:line="68" w:lineRule="exact"/>
        <w:rPr>
          <w:sz w:val="20"/>
          <w:szCs w:val="20"/>
          <w:color w:val="auto"/>
        </w:rPr>
      </w:pPr>
    </w:p>
    <w:p>
      <w:pPr>
        <w:jc w:val="both"/>
        <w:ind w:right="300"/>
        <w:spacing w:after="0" w:line="226" w:lineRule="auto"/>
        <w:rPr>
          <w:rFonts w:ascii="Times New Roman" w:cs="Times New Roman" w:eastAsia="Times New Roman" w:hAnsi="Times New Roman"/>
          <w:sz w:val="18"/>
          <w:szCs w:val="18"/>
          <w:u w:val="single" w:color="auto"/>
          <w:color w:val="0000FF"/>
        </w:rPr>
      </w:pPr>
      <w:hyperlink r:id="rId47">
        <w:r>
          <w:rPr>
            <w:rFonts w:ascii="Times New Roman" w:cs="Times New Roman" w:eastAsia="Times New Roman" w:hAnsi="Times New Roman"/>
            <w:sz w:val="18"/>
            <w:szCs w:val="18"/>
            <w:u w:val="single" w:color="auto"/>
            <w:color w:val="0000FF"/>
          </w:rPr>
          <w:t>Certificate of Designation of Series E Fixed-Rate Cumulative Perpetual Preferred Stock filed with the Secretary of State of the State of</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Delaware on August 8, 2019 (incorporated by reference to Exhibit 3.1 to the Company’s Current Report on Form 8-K, filed August 13,</w:t>
        </w:r>
      </w:hyperlink>
      <w:r>
        <w:rPr>
          <w:rFonts w:ascii="Times New Roman" w:cs="Times New Roman" w:eastAsia="Times New Roman" w:hAnsi="Times New Roman"/>
          <w:sz w:val="18"/>
          <w:szCs w:val="18"/>
          <w:u w:val="single" w:color="auto"/>
          <w:color w:val="0000FF"/>
        </w:rPr>
        <w:t xml:space="preserve"> </w:t>
      </w:r>
      <w:hyperlink r:id="rId47">
        <w:r>
          <w:rPr>
            <w:rFonts w:ascii="Times New Roman" w:cs="Times New Roman" w:eastAsia="Times New Roman" w:hAnsi="Times New Roman"/>
            <w:sz w:val="18"/>
            <w:szCs w:val="18"/>
            <w:u w:val="single" w:color="auto"/>
            <w:color w:val="0000FF"/>
          </w:rPr>
          <w:t>2019).</w:t>
        </w:r>
      </w:hyperlink>
    </w:p>
    <w:p>
      <w:pPr>
        <w:spacing w:after="0" w:line="9" w:lineRule="exact"/>
        <w:rPr>
          <w:rFonts w:ascii="Times New Roman" w:cs="Times New Roman" w:eastAsia="Times New Roman" w:hAnsi="Times New Roman"/>
          <w:sz w:val="18"/>
          <w:szCs w:val="18"/>
          <w:u w:val="single" w:color="auto"/>
          <w:color w:val="0000FF"/>
        </w:rPr>
      </w:pPr>
    </w:p>
    <w:p>
      <w:pPr>
        <w:ind w:right="340"/>
        <w:spacing w:after="0" w:line="237" w:lineRule="auto"/>
        <w:rPr>
          <w:rFonts w:ascii="Times New Roman" w:cs="Times New Roman" w:eastAsia="Times New Roman" w:hAnsi="Times New Roman"/>
          <w:sz w:val="18"/>
          <w:szCs w:val="18"/>
          <w:u w:val="single" w:color="auto"/>
          <w:color w:val="0000FF"/>
        </w:rPr>
      </w:pPr>
      <w:hyperlink r:id="rId48">
        <w:r>
          <w:rPr>
            <w:rFonts w:ascii="Times New Roman" w:cs="Times New Roman" w:eastAsia="Times New Roman" w:hAnsi="Times New Roman"/>
            <w:sz w:val="18"/>
            <w:szCs w:val="18"/>
            <w:u w:val="single" w:color="auto"/>
            <w:color w:val="0000FF"/>
          </w:rPr>
          <w:t>Certificate of Amendment to Certificate of Designation of Series E Fixed-Rate Cumulative Perpetual Preferred Stock (incorporated by</w:t>
        </w:r>
      </w:hyperlink>
      <w:r>
        <w:rPr>
          <w:rFonts w:ascii="Times New Roman" w:cs="Times New Roman" w:eastAsia="Times New Roman" w:hAnsi="Times New Roman"/>
          <w:sz w:val="18"/>
          <w:szCs w:val="18"/>
          <w:u w:val="single" w:color="auto"/>
          <w:color w:val="0000FF"/>
        </w:rPr>
        <w:t xml:space="preserve"> </w:t>
      </w:r>
      <w:hyperlink r:id="rId48">
        <w:r>
          <w:rPr>
            <w:rFonts w:ascii="Times New Roman" w:cs="Times New Roman" w:eastAsia="Times New Roman" w:hAnsi="Times New Roman"/>
            <w:sz w:val="18"/>
            <w:szCs w:val="18"/>
            <w:u w:val="single" w:color="auto"/>
            <w:color w:val="0000FF"/>
          </w:rPr>
          <w:t>reference to Exhibit 3.1 to the Company’s Current Report on Form 8-K, filed March 10, 2020).</w:t>
        </w:r>
      </w:hyperlink>
    </w:p>
    <w:p>
      <w:pPr>
        <w:spacing w:after="0" w:line="1" w:lineRule="exact"/>
        <w:rPr>
          <w:sz w:val="20"/>
          <w:szCs w:val="20"/>
          <w:color w:val="auto"/>
        </w:rPr>
      </w:pPr>
    </w:p>
    <w:p>
      <w:pPr>
        <w:sectPr>
          <w:pgSz w:w="11900" w:h="16838" w:orient="portrait"/>
          <w:cols w:equalWidth="0" w:num="2">
            <w:col w:w="420" w:space="720"/>
            <w:col w:w="10020"/>
          </w:cols>
          <w:pgMar w:left="320" w:top="887" w:right="419" w:bottom="1440" w:gutter="0" w:footer="0" w:header="0"/>
          <w:type w:val="continuous"/>
        </w:sectPr>
      </w:pPr>
    </w:p>
    <w:tbl>
      <w:tblPr>
        <w:tblLayout w:type="fixed"/>
        <w:tblInd w:w="20" w:type="dxa"/>
        <w:tblCellMar>
          <w:top w:w="0" w:type="dxa"/>
          <w:left w:w="0" w:type="dxa"/>
          <w:bottom w:w="0" w:type="dxa"/>
          <w:right w:w="0" w:type="dxa"/>
        </w:tblCellMar>
      </w:tblPr>
      <w:tr>
        <w:trPr>
          <w:trHeight w:val="204"/>
        </w:trPr>
        <w:tc>
          <w:tcPr>
            <w:tcW w:w="11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10.1</w:t>
            </w:r>
          </w:p>
        </w:tc>
        <w:tc>
          <w:tcPr>
            <w:tcW w:w="10020" w:type="dxa"/>
            <w:vAlign w:val="bottom"/>
            <w:gridSpan w:val="16"/>
          </w:tcPr>
          <w:p>
            <w:pPr>
              <w:spacing w:after="0" w:line="204"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Form of Repurchase Agreement dated June 28, 2024 between Inseego Corp. and certain entities managed by Highbridge Capital</w:t>
              </w:r>
            </w:hyperlink>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120" w:type="dxa"/>
            <w:vAlign w:val="bottom"/>
          </w:tcPr>
          <w:p>
            <w:pPr>
              <w:spacing w:after="0"/>
              <w:rPr>
                <w:sz w:val="13"/>
                <w:szCs w:val="13"/>
                <w:color w:val="auto"/>
              </w:rPr>
            </w:pPr>
          </w:p>
        </w:tc>
        <w:tc>
          <w:tcPr>
            <w:tcW w:w="9500" w:type="dxa"/>
            <w:vAlign w:val="bottom"/>
            <w:tcBorders>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Management, LLC (incorporated by reference to Exhibit 10.1 to the Company’s Current Report on Form 8-K filed on July 1, 2024).</w:t>
              </w:r>
            </w:hyperlink>
          </w:p>
        </w:tc>
        <w:tc>
          <w:tcPr>
            <w:tcW w:w="520" w:type="dxa"/>
            <w:vAlign w:val="bottom"/>
            <w:gridSpan w:val="8"/>
          </w:tcPr>
          <w:p>
            <w:pPr>
              <w:spacing w:after="0"/>
              <w:rPr>
                <w:sz w:val="13"/>
                <w:szCs w:val="13"/>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20" w:type="dxa"/>
            <w:vAlign w:val="bottom"/>
            <w:gridSpan w:val="16"/>
          </w:tcPr>
          <w:p>
            <w:pPr>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Loan and Security Agreement dated June 28, 2024 among South Ocean Funding, LLC, as lender, certain participant lenders, Inseego</w:t>
              </w:r>
            </w:hyperlink>
          </w:p>
        </w:tc>
      </w:tr>
      <w:tr>
        <w:trPr>
          <w:trHeight w:val="156"/>
        </w:trPr>
        <w:tc>
          <w:tcPr>
            <w:tcW w:w="1120" w:type="dxa"/>
            <w:vAlign w:val="bottom"/>
          </w:tcPr>
          <w:p>
            <w:pPr>
              <w:spacing w:after="0"/>
              <w:rPr>
                <w:sz w:val="13"/>
                <w:szCs w:val="13"/>
                <w:color w:val="auto"/>
              </w:rPr>
            </w:pPr>
          </w:p>
        </w:tc>
        <w:tc>
          <w:tcPr>
            <w:tcW w:w="95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Corp., as borrower, and Inseego Wireless, Inc. and Inseego North America LLC, as guarantors (incorporated by reference to Exhibit</w:t>
              </w:r>
            </w:hyperlink>
          </w:p>
        </w:tc>
        <w:tc>
          <w:tcPr>
            <w:tcW w:w="360" w:type="dxa"/>
            <w:vAlign w:val="bottom"/>
            <w:gridSpan w:val="3"/>
          </w:tcPr>
          <w:p>
            <w:pPr>
              <w:jc w:val="right"/>
              <w:ind w:right="60"/>
              <w:spacing w:after="0" w:line="156" w:lineRule="exact"/>
              <w:rPr>
                <w:rFonts w:ascii="Times New Roman" w:cs="Times New Roman" w:eastAsia="Times New Roman" w:hAnsi="Times New Roman"/>
                <w:sz w:val="18"/>
                <w:szCs w:val="18"/>
                <w:color w:val="0000FF"/>
                <w:w w:val="88"/>
              </w:rPr>
            </w:pPr>
            <w:hyperlink r:id="rId50">
              <w:r>
                <w:rPr>
                  <w:rFonts w:ascii="Times New Roman" w:cs="Times New Roman" w:eastAsia="Times New Roman" w:hAnsi="Times New Roman"/>
                  <w:sz w:val="18"/>
                  <w:szCs w:val="18"/>
                  <w:color w:val="0000FF"/>
                  <w:w w:val="88"/>
                </w:rPr>
                <w:t>10.2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112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to the Company’s Current Report on Form 8-K filed on July 1, 2024).</w:t>
              </w:r>
            </w:hyperlink>
          </w:p>
        </w:tc>
        <w:tc>
          <w:tcPr>
            <w:tcW w:w="484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20" w:type="dxa"/>
            <w:vAlign w:val="bottom"/>
            <w:gridSpan w:val="16"/>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Form of Common Stock Purchase Warrant (incorporated by reference to Exhibit 10.3 to the Company’s Current Report on Form 8-K filed</w:t>
              </w:r>
            </w:hyperlink>
          </w:p>
        </w:tc>
      </w:tr>
      <w:tr>
        <w:trPr>
          <w:trHeight w:val="156"/>
        </w:trPr>
        <w:tc>
          <w:tcPr>
            <w:tcW w:w="1120" w:type="dxa"/>
            <w:vAlign w:val="bottom"/>
          </w:tcPr>
          <w:p>
            <w:pPr>
              <w:spacing w:after="0"/>
              <w:rPr>
                <w:sz w:val="13"/>
                <w:szCs w:val="13"/>
                <w:color w:val="auto"/>
              </w:rPr>
            </w:pPr>
          </w:p>
        </w:tc>
        <w:tc>
          <w:tcPr>
            <w:tcW w:w="9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on July 1, 2024).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20" w:type="dxa"/>
            <w:vAlign w:val="bottom"/>
            <w:gridSpan w:val="16"/>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Exchange Term Sheet dated June 28, 2024 between Inseego Corp. and North Sound Partners (incorporated by reference to Exhibit 10.4 to</w:t>
              </w:r>
            </w:hyperlink>
          </w:p>
        </w:tc>
      </w:tr>
      <w:tr>
        <w:trPr>
          <w:trHeight w:val="156"/>
        </w:trPr>
        <w:tc>
          <w:tcPr>
            <w:tcW w:w="1120" w:type="dxa"/>
            <w:vAlign w:val="bottom"/>
          </w:tcPr>
          <w:p>
            <w:pPr>
              <w:spacing w:after="0"/>
              <w:rPr>
                <w:sz w:val="13"/>
                <w:szCs w:val="13"/>
                <w:color w:val="auto"/>
              </w:rPr>
            </w:pPr>
          </w:p>
        </w:tc>
        <w:tc>
          <w:tcPr>
            <w:tcW w:w="99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the Company’s Current Report on Form 8-K filed on July 1, 2024).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20" w:type="dxa"/>
            <w:vAlign w:val="bottom"/>
            <w:gridSpan w:val="16"/>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Exchange Term Sheet dated June 28, 2024 between Inseego Corp. and Golden Harbor Ltd. (incorporated by reference to Exhibit 10.5 to</w:t>
              </w:r>
            </w:hyperlink>
          </w:p>
        </w:tc>
      </w:tr>
      <w:tr>
        <w:trPr>
          <w:trHeight w:val="155"/>
        </w:trPr>
        <w:tc>
          <w:tcPr>
            <w:tcW w:w="1120" w:type="dxa"/>
            <w:vAlign w:val="bottom"/>
          </w:tcPr>
          <w:p>
            <w:pPr>
              <w:spacing w:after="0"/>
              <w:rPr>
                <w:sz w:val="13"/>
                <w:szCs w:val="13"/>
                <w:color w:val="auto"/>
              </w:rPr>
            </w:pPr>
          </w:p>
        </w:tc>
        <w:tc>
          <w:tcPr>
            <w:tcW w:w="97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the Company’s Current Report on Form 8-K filed on July 1, 2024).</w:t>
              </w:r>
            </w:hyperlink>
          </w:p>
        </w:tc>
        <w:tc>
          <w:tcPr>
            <w:tcW w:w="1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920" w:type="dxa"/>
            <w:vAlign w:val="bottom"/>
            <w:gridSpan w:val="2"/>
            <w:shd w:val="clear" w:color="auto" w:fill="0000FF"/>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our Principal Executive Officer adopted pursuant to Section 302 of the Sarbanes-Oxley Act of 2002.</w:t>
            </w:r>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our Principal Financial Officer adopted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660" w:type="dxa"/>
            <w:vAlign w:val="bottom"/>
            <w:gridSpan w:val="10"/>
          </w:tcPr>
          <w:p>
            <w:pPr>
              <w:spacing w:after="0"/>
              <w:rPr>
                <w:sz w:val="24"/>
                <w:szCs w:val="24"/>
                <w:color w:val="auto"/>
              </w:rPr>
            </w:pPr>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83"/>
        </w:trPr>
        <w:tc>
          <w:tcPr>
            <w:tcW w:w="11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9080" w:type="dxa"/>
            <w:vAlign w:val="bottom"/>
            <w:tcBorders>
              <w:top w:val="single" w:sz="8" w:color="0000FF"/>
            </w:tcBorders>
            <w:gridSpan w:val="14"/>
          </w:tcPr>
          <w:p>
            <w:pPr>
              <w:spacing w:after="0"/>
              <w:rPr>
                <w:sz w:val="15"/>
                <w:szCs w:val="15"/>
                <w:color w:val="auto"/>
              </w:rPr>
            </w:pPr>
          </w:p>
        </w:tc>
        <w:tc>
          <w:tcPr>
            <w:tcW w:w="40" w:type="dxa"/>
            <w:vAlign w:val="bottom"/>
          </w:tcPr>
          <w:p>
            <w:pPr>
              <w:spacing w:after="0"/>
              <w:rPr>
                <w:sz w:val="15"/>
                <w:szCs w:val="15"/>
                <w:color w:val="auto"/>
              </w:rPr>
            </w:pPr>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183"/>
        </w:trPr>
        <w:tc>
          <w:tcPr>
            <w:tcW w:w="11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9040" w:type="dxa"/>
            <w:vAlign w:val="bottom"/>
            <w:tcBorders>
              <w:top w:val="single" w:sz="8" w:color="0000FF"/>
            </w:tcBorders>
            <w:gridSpan w:val="12"/>
          </w:tcPr>
          <w:p>
            <w:pPr>
              <w:spacing w:after="0"/>
              <w:rPr>
                <w:sz w:val="15"/>
                <w:szCs w:val="15"/>
                <w:color w:val="auto"/>
              </w:rPr>
            </w:pPr>
          </w:p>
        </w:tc>
        <w:tc>
          <w:tcPr>
            <w:tcW w:w="80" w:type="dxa"/>
            <w:vAlign w:val="bottom"/>
            <w:gridSpan w:val="3"/>
          </w:tcPr>
          <w:p>
            <w:pPr>
              <w:spacing w:after="0"/>
              <w:rPr>
                <w:sz w:val="15"/>
                <w:szCs w:val="15"/>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120" w:type="dxa"/>
            <w:vAlign w:val="bottom"/>
          </w:tcPr>
          <w:p>
            <w:pPr>
              <w:spacing w:after="0"/>
              <w:rPr>
                <w:sz w:val="20"/>
                <w:szCs w:val="20"/>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9" w:lineRule="exact"/>
        <w:rPr>
          <w:sz w:val="20"/>
          <w:szCs w:val="20"/>
          <w:color w:val="auto"/>
        </w:rPr>
      </w:pPr>
    </w:p>
    <w:p>
      <w:pPr>
        <w:ind w:left="1140" w:hanging="111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04" w:lineRule="exact"/>
        <w:rPr>
          <w:sz w:val="20"/>
          <w:szCs w:val="20"/>
          <w:color w:val="auto"/>
        </w:rPr>
      </w:pPr>
    </w:p>
    <w:p>
      <w:pPr>
        <w:ind w:left="1140" w:hanging="111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2024</w:t>
            </w:r>
          </w:p>
        </w:tc>
        <w:tc>
          <w:tcPr>
            <w:tcW w:w="396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rPr>
              <w:t>Inseego Corp.</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4040" w:type="dxa"/>
            <w:vAlign w:val="bottom"/>
          </w:tcPr>
          <w:p>
            <w:pPr>
              <w:spacing w:after="0"/>
              <w:rPr>
                <w:sz w:val="24"/>
                <w:szCs w:val="24"/>
                <w:color w:val="auto"/>
              </w:rPr>
            </w:pPr>
          </w:p>
        </w:tc>
        <w:tc>
          <w:tcPr>
            <w:tcW w:w="3960" w:type="dxa"/>
            <w:vAlign w:val="bottom"/>
            <w:gridSpan w:val="3"/>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2"/>
              </w:rPr>
              <w:t>/s/</w:t>
            </w: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PHILIP BRACE</w:t>
            </w:r>
          </w:p>
        </w:tc>
      </w:tr>
      <w:tr>
        <w:trPr>
          <w:trHeight w:val="184"/>
        </w:trPr>
        <w:tc>
          <w:tcPr>
            <w:tcW w:w="40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2"/>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Philip Brace</w:t>
            </w:r>
          </w:p>
        </w:tc>
      </w:tr>
      <w:tr>
        <w:trPr>
          <w:trHeight w:val="191"/>
        </w:trPr>
        <w:tc>
          <w:tcPr>
            <w:tcW w:w="40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Executive Chairman</w:t>
            </w:r>
          </w:p>
        </w:tc>
      </w:tr>
      <w:tr>
        <w:trPr>
          <w:trHeight w:val="658"/>
        </w:trPr>
        <w:tc>
          <w:tcPr>
            <w:tcW w:w="4040" w:type="dxa"/>
            <w:vAlign w:val="bottom"/>
          </w:tcPr>
          <w:p>
            <w:pPr>
              <w:spacing w:after="0"/>
              <w:rPr>
                <w:sz w:val="24"/>
                <w:szCs w:val="24"/>
                <w:color w:val="auto"/>
              </w:rPr>
            </w:pPr>
          </w:p>
        </w:tc>
        <w:tc>
          <w:tcPr>
            <w:tcW w:w="3960" w:type="dxa"/>
            <w:vAlign w:val="bottom"/>
            <w:gridSpan w:val="3"/>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STEVEN GATOFF</w:t>
            </w:r>
          </w:p>
        </w:tc>
      </w:tr>
      <w:tr>
        <w:trPr>
          <w:trHeight w:val="184"/>
        </w:trPr>
        <w:tc>
          <w:tcPr>
            <w:tcW w:w="40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tcPr>
          <w:p>
            <w:pPr>
              <w:jc w:val="right"/>
              <w:ind w:right="1504"/>
              <w:spacing w:after="0"/>
              <w:rPr>
                <w:sz w:val="20"/>
                <w:szCs w:val="20"/>
                <w:color w:val="auto"/>
              </w:rPr>
            </w:pPr>
            <w:r>
              <w:rPr>
                <w:rFonts w:ascii="Times New Roman" w:cs="Times New Roman" w:eastAsia="Times New Roman" w:hAnsi="Times New Roman"/>
                <w:sz w:val="14"/>
                <w:szCs w:val="14"/>
                <w:b w:val="1"/>
                <w:bCs w:val="1"/>
                <w:color w:val="auto"/>
              </w:rPr>
              <w:t>Steven Gatoff</w:t>
            </w:r>
          </w:p>
        </w:tc>
        <w:tc>
          <w:tcPr>
            <w:tcW w:w="40" w:type="dxa"/>
            <w:vAlign w:val="bottom"/>
          </w:tcPr>
          <w:p>
            <w:pPr>
              <w:spacing w:after="0"/>
              <w:rPr>
                <w:sz w:val="15"/>
                <w:szCs w:val="15"/>
                <w:color w:val="auto"/>
              </w:rPr>
            </w:pPr>
          </w:p>
        </w:tc>
      </w:tr>
      <w:tr>
        <w:trPr>
          <w:trHeight w:val="191"/>
        </w:trPr>
        <w:tc>
          <w:tcPr>
            <w:tcW w:w="40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Brace, certify that:</w:t>
      </w:r>
    </w:p>
    <w:p>
      <w:pPr>
        <w:spacing w:after="0" w:line="171" w:lineRule="exact"/>
        <w:rPr>
          <w:sz w:val="20"/>
          <w:szCs w:val="20"/>
          <w:color w:val="auto"/>
        </w:rPr>
      </w:pPr>
    </w:p>
    <w:p>
      <w:pPr>
        <w:ind w:left="680" w:hanging="18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060" w:right="160" w:hanging="230"/>
        <w:spacing w:after="0" w:line="231"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1060" w:right="280" w:hanging="240"/>
        <w:spacing w:after="0" w:line="231"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31"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60" w:right="700" w:hanging="230"/>
        <w:spacing w:after="0" w:line="237"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60" w:right="380" w:hanging="240"/>
        <w:spacing w:after="0" w:line="237"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tab/>
        <w:t>Philip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Philip Brace</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certify that:</w:t>
      </w:r>
    </w:p>
    <w:p>
      <w:pPr>
        <w:spacing w:after="0" w:line="171" w:lineRule="exact"/>
        <w:rPr>
          <w:sz w:val="20"/>
          <w:szCs w:val="20"/>
          <w:color w:val="auto"/>
        </w:rPr>
      </w:pPr>
    </w:p>
    <w:p>
      <w:pPr>
        <w:ind w:left="680" w:hanging="186"/>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060" w:right="160" w:hanging="230"/>
        <w:spacing w:after="0" w:line="22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8"/>
          <w:szCs w:val="18"/>
          <w:color w:val="auto"/>
        </w:rPr>
      </w:pPr>
    </w:p>
    <w:p>
      <w:pPr>
        <w:ind w:left="1060" w:right="280" w:hanging="240"/>
        <w:spacing w:after="0" w:line="22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2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60" w:right="700" w:hanging="230"/>
        <w:spacing w:after="0" w:line="250"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1060" w:right="380" w:hanging="240"/>
        <w:spacing w:after="0" w:line="250"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68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Brace, Executive Chairman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500" w:right="600" w:hanging="833"/>
        <w:spacing w:after="0" w:line="237"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2024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500" w:right="140" w:hanging="833"/>
        <w:spacing w:after="0" w:line="237"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tab/>
        <w:t>Philip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Philip Brace</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68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Chief Financial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320" w:right="760" w:hanging="822"/>
        <w:spacing w:after="0" w:line="237"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2024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320" w:right="320" w:hanging="822"/>
        <w:spacing w:after="0" w:line="237"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2024</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45" Type="http://schemas.openxmlformats.org/officeDocument/2006/relationships/hyperlink" Target="https://www.sec.gov/Archives/edgar/data/1022652/000119312516763609/d261554dex31.htm" TargetMode="External"/><Relationship Id="rId46" Type="http://schemas.openxmlformats.org/officeDocument/2006/relationships/hyperlink" Target="https://www.sec.gov/Archives/edgar/data/1022652/000119312516763609/d261554dex32.htm" TargetMode="External"/><Relationship Id="rId47" Type="http://schemas.openxmlformats.org/officeDocument/2006/relationships/hyperlink" Target="https://www.sec.gov/Archives/edgar/data/1022652/000119312519219943/d792529dex31.htm" TargetMode="External"/><Relationship Id="rId48" Type="http://schemas.openxmlformats.org/officeDocument/2006/relationships/hyperlink" Target="https://www.sec.gov/Archives/edgar/data/1022652/000119312520067668/d824727dex31.htm" TargetMode="External"/><Relationship Id="rId49" Type="http://schemas.openxmlformats.org/officeDocument/2006/relationships/hyperlink" Target="https://www.sec.gov/ix?doc=/Archives/edgar/data/1022652/000168316824004550/inseego_8k.htm" TargetMode="External"/><Relationship Id="rId50" Type="http://schemas.openxmlformats.org/officeDocument/2006/relationships/hyperlink" Target="https://www.sec.gov/Archives/edgar/data/1022652/000168316824004550/inseego_ex1002.htm" TargetMode="External"/><Relationship Id="rId51" Type="http://schemas.openxmlformats.org/officeDocument/2006/relationships/hyperlink" Target="https://www.sec.gov/Archives/edgar/data/1022652/000168316824004550/inseego_ex1003.htm" TargetMode="External"/><Relationship Id="rId52" Type="http://schemas.openxmlformats.org/officeDocument/2006/relationships/hyperlink" Target="https://www.sec.gov/Archives/edgar/data/1022652/000168316824004550/inseego_ex1004.htm" TargetMode="External"/><Relationship Id="rId53" Type="http://schemas.openxmlformats.org/officeDocument/2006/relationships/hyperlink" Target="https://www.sec.gov/Archives/edgar/data/1022652/000168316824004550/inseego_ex10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2024-08-08T05:36:10Z</dcterms:created>
  <dcterms:modified xsi:type="dcterms:W3CDTF">2024-08-08T05:36:10Z</dcterms:modified>
</cp:coreProperties>
</file>