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fiscal year ended December 31, 2017</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8" w:lineRule="exact"/>
        <w:rPr>
          <w:sz w:val="24"/>
          <w:szCs w:val="24"/>
          <w:color w:val="auto"/>
        </w:rPr>
      </w:pPr>
    </w:p>
    <w:p>
      <w:pPr>
        <w:ind w:left="35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32"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Commission file number: 000-31659</w:t>
      </w:r>
    </w:p>
    <w:p>
      <w:pPr>
        <w:spacing w:after="0" w:line="26" w:lineRule="exact"/>
        <w:rPr>
          <w:sz w:val="24"/>
          <w:szCs w:val="24"/>
          <w:color w:val="auto"/>
        </w:rPr>
      </w:pPr>
    </w:p>
    <w:tbl>
      <w:tblPr>
        <w:tblLayout w:type="fixed"/>
        <w:tblInd w:w="1580" w:type="dxa"/>
        <w:tblCellMar>
          <w:top w:w="0" w:type="dxa"/>
          <w:left w:w="0" w:type="dxa"/>
          <w:bottom w:w="0" w:type="dxa"/>
          <w:right w:w="0" w:type="dxa"/>
        </w:tblCellMar>
      </w:tblPr>
      <w:tr>
        <w:trPr>
          <w:trHeight w:val="429"/>
        </w:trPr>
        <w:tc>
          <w:tcPr>
            <w:tcW w:w="2500" w:type="dxa"/>
            <w:vAlign w:val="bottom"/>
          </w:tcPr>
          <w:p>
            <w:pPr>
              <w:spacing w:after="0"/>
              <w:rPr>
                <w:sz w:val="24"/>
                <w:szCs w:val="24"/>
                <w:color w:val="auto"/>
              </w:rPr>
            </w:pPr>
          </w:p>
        </w:tc>
        <w:tc>
          <w:tcPr>
            <w:tcW w:w="5220" w:type="dxa"/>
            <w:vAlign w:val="bottom"/>
          </w:tcPr>
          <w:p>
            <w:pPr>
              <w:jc w:val="center"/>
              <w:ind w:right="1847"/>
              <w:spacing w:after="0"/>
              <w:rPr>
                <w:sz w:val="20"/>
                <w:szCs w:val="20"/>
                <w:color w:val="auto"/>
              </w:rPr>
            </w:pPr>
            <w:r>
              <w:rPr>
                <w:rFonts w:ascii="Arial" w:cs="Arial" w:eastAsia="Arial" w:hAnsi="Arial"/>
                <w:sz w:val="36"/>
                <w:szCs w:val="36"/>
                <w:b w:val="1"/>
                <w:bCs w:val="1"/>
                <w:color w:val="auto"/>
                <w:w w:val="97"/>
              </w:rPr>
              <w:t>INSEEGO CORP.</w:t>
            </w:r>
          </w:p>
        </w:tc>
      </w:tr>
      <w:tr>
        <w:trPr>
          <w:trHeight w:val="186"/>
        </w:trPr>
        <w:tc>
          <w:tcPr>
            <w:tcW w:w="2500" w:type="dxa"/>
            <w:vAlign w:val="bottom"/>
          </w:tcPr>
          <w:p>
            <w:pPr>
              <w:spacing w:after="0"/>
              <w:rPr>
                <w:sz w:val="16"/>
                <w:szCs w:val="16"/>
                <w:color w:val="auto"/>
              </w:rPr>
            </w:pPr>
          </w:p>
        </w:tc>
        <w:tc>
          <w:tcPr>
            <w:tcW w:w="5220" w:type="dxa"/>
            <w:vAlign w:val="bottom"/>
          </w:tcPr>
          <w:p>
            <w:pPr>
              <w:jc w:val="center"/>
              <w:ind w:right="186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77"/>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20" w:type="dxa"/>
            <w:vAlign w:val="bottom"/>
          </w:tcPr>
          <w:p>
            <w:pPr>
              <w:jc w:val="right"/>
              <w:ind w:right="27"/>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w:t>
            </w:r>
          </w:p>
        </w:tc>
        <w:tc>
          <w:tcPr>
            <w:tcW w:w="5220" w:type="dxa"/>
            <w:vAlign w:val="bottom"/>
          </w:tcPr>
          <w:p>
            <w:pPr>
              <w:jc w:val="center"/>
              <w:ind w:left="4007"/>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of Incorporation or Organization)</w:t>
            </w:r>
          </w:p>
        </w:tc>
        <w:tc>
          <w:tcPr>
            <w:tcW w:w="5220" w:type="dxa"/>
            <w:vAlign w:val="bottom"/>
          </w:tcPr>
          <w:p>
            <w:pPr>
              <w:jc w:val="center"/>
              <w:ind w:left="4007"/>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9605 Scranton Road, Suite 300</w:t>
            </w:r>
          </w:p>
        </w:tc>
        <w:tc>
          <w:tcPr>
            <w:tcW w:w="5220" w:type="dxa"/>
            <w:vAlign w:val="bottom"/>
          </w:tcPr>
          <w:p>
            <w:pPr>
              <w:spacing w:after="0"/>
              <w:rPr>
                <w:sz w:val="24"/>
                <w:szCs w:val="24"/>
                <w:color w:val="auto"/>
              </w:rPr>
            </w:pPr>
          </w:p>
        </w:tc>
      </w:tr>
      <w:tr>
        <w:trPr>
          <w:trHeight w:val="234"/>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1"/>
              </w:rPr>
              <w:t>San Diego, California</w:t>
            </w:r>
          </w:p>
        </w:tc>
        <w:tc>
          <w:tcPr>
            <w:tcW w:w="5220" w:type="dxa"/>
            <w:vAlign w:val="bottom"/>
          </w:tcPr>
          <w:p>
            <w:pPr>
              <w:jc w:val="right"/>
              <w:ind w:right="247"/>
              <w:spacing w:after="0"/>
              <w:rPr>
                <w:sz w:val="20"/>
                <w:szCs w:val="20"/>
                <w:color w:val="auto"/>
              </w:rPr>
            </w:pPr>
            <w:r>
              <w:rPr>
                <w:rFonts w:ascii="Arial" w:cs="Arial" w:eastAsia="Arial" w:hAnsi="Arial"/>
                <w:sz w:val="18"/>
                <w:szCs w:val="18"/>
                <w:b w:val="1"/>
                <w:bCs w:val="1"/>
                <w:color w:val="auto"/>
              </w:rPr>
              <w:t>92121</w:t>
            </w:r>
          </w:p>
        </w:tc>
      </w:tr>
      <w:tr>
        <w:trPr>
          <w:trHeight w:val="218"/>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220" w:type="dxa"/>
            <w:vAlign w:val="bottom"/>
          </w:tcPr>
          <w:p>
            <w:pPr>
              <w:jc w:val="center"/>
              <w:ind w:left="4007"/>
              <w:spacing w:after="0"/>
              <w:rPr>
                <w:sz w:val="20"/>
                <w:szCs w:val="20"/>
                <w:color w:val="auto"/>
              </w:rPr>
            </w:pPr>
            <w:r>
              <w:rPr>
                <w:rFonts w:ascii="Arial" w:cs="Arial" w:eastAsia="Arial" w:hAnsi="Arial"/>
                <w:sz w:val="14"/>
                <w:szCs w:val="14"/>
                <w:b w:val="1"/>
                <w:bCs w:val="1"/>
                <w:color w:val="auto"/>
                <w:w w:val="98"/>
              </w:rPr>
              <w:t>(Zip Code)</w:t>
            </w:r>
          </w:p>
        </w:tc>
      </w:tr>
    </w:tbl>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9" w:lineRule="exact"/>
        <w:rPr>
          <w:sz w:val="24"/>
          <w:szCs w:val="24"/>
          <w:color w:val="auto"/>
        </w:rPr>
      </w:pPr>
    </w:p>
    <w:tbl>
      <w:tblPr>
        <w:tblLayout w:type="fixed"/>
        <w:tblInd w:w="34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2600" w:type="dxa"/>
            <w:vAlign w:val="bottom"/>
            <w:gridSpan w:val="2"/>
          </w:tcPr>
          <w:p>
            <w:pPr>
              <w:jc w:val="center"/>
              <w:ind w:right="1299"/>
              <w:spacing w:after="0"/>
              <w:rPr>
                <w:sz w:val="20"/>
                <w:szCs w:val="20"/>
                <w:color w:val="auto"/>
              </w:rPr>
            </w:pPr>
            <w:r>
              <w:rPr>
                <w:rFonts w:ascii="Arial" w:cs="Arial" w:eastAsia="Arial" w:hAnsi="Arial"/>
                <w:sz w:val="16"/>
                <w:szCs w:val="16"/>
                <w:b w:val="1"/>
                <w:bCs w:val="1"/>
                <w:color w:val="auto"/>
                <w:w w:val="88"/>
              </w:rPr>
              <w:t>Title of each class</w:t>
            </w:r>
          </w:p>
        </w:tc>
        <w:tc>
          <w:tcPr>
            <w:tcW w:w="5000" w:type="dxa"/>
            <w:vAlign w:val="bottom"/>
            <w:gridSpan w:val="3"/>
          </w:tcPr>
          <w:p>
            <w:pPr>
              <w:jc w:val="center"/>
              <w:ind w:left="189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2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271"/>
        </w:trPr>
        <w:tc>
          <w:tcPr>
            <w:tcW w:w="468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1980" w:type="dxa"/>
            <w:vAlign w:val="bottom"/>
          </w:tcPr>
          <w:p>
            <w:pPr>
              <w:spacing w:after="0"/>
              <w:rPr>
                <w:sz w:val="23"/>
                <w:szCs w:val="23"/>
                <w:color w:val="auto"/>
              </w:rPr>
            </w:pPr>
          </w:p>
        </w:tc>
        <w:tc>
          <w:tcPr>
            <w:tcW w:w="3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The Nasdaq Global Select Market</w:t>
            </w:r>
          </w:p>
        </w:tc>
      </w:tr>
      <w:tr>
        <w:trPr>
          <w:trHeight w:val="257"/>
        </w:trPr>
        <w:tc>
          <w:tcPr>
            <w:tcW w:w="468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90"/>
              </w:rPr>
              <w:t>Preferred Stock Purchase Rights</w:t>
            </w:r>
          </w:p>
        </w:tc>
        <w:tc>
          <w:tcPr>
            <w:tcW w:w="1980" w:type="dxa"/>
            <w:vAlign w:val="bottom"/>
          </w:tcPr>
          <w:p>
            <w:pPr>
              <w:spacing w:after="0"/>
              <w:rPr>
                <w:sz w:val="22"/>
                <w:szCs w:val="22"/>
                <w:color w:val="auto"/>
              </w:rPr>
            </w:pPr>
          </w:p>
        </w:tc>
        <w:tc>
          <w:tcPr>
            <w:tcW w:w="3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The Nasdaq Global Select Market</w:t>
            </w:r>
          </w:p>
        </w:tc>
      </w:tr>
      <w:tr>
        <w:trPr>
          <w:trHeight w:val="338"/>
        </w:trPr>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60" w:type="dxa"/>
            <w:vAlign w:val="bottom"/>
            <w:gridSpan w:val="3"/>
          </w:tcPr>
          <w:p>
            <w:pPr>
              <w:jc w:val="center"/>
              <w:ind w:right="71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42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80" w:type="dxa"/>
            <w:vAlign w:val="bottom"/>
            <w:gridSpan w:val="2"/>
          </w:tcPr>
          <w:p>
            <w:pPr>
              <w:jc w:val="center"/>
              <w:ind w:right="2099"/>
              <w:spacing w:after="0"/>
              <w:rPr>
                <w:sz w:val="20"/>
                <w:szCs w:val="20"/>
                <w:color w:val="auto"/>
              </w:rPr>
            </w:pPr>
            <w:r>
              <w:rPr>
                <w:rFonts w:ascii="Arial" w:cs="Arial" w:eastAsia="Arial" w:hAnsi="Arial"/>
                <w:sz w:val="16"/>
                <w:szCs w:val="16"/>
                <w:b w:val="1"/>
                <w:bCs w:val="1"/>
                <w:color w:val="auto"/>
                <w:w w:val="89"/>
              </w:rPr>
              <w:t>None</w:t>
            </w:r>
          </w:p>
        </w:tc>
        <w:tc>
          <w:tcPr>
            <w:tcW w:w="1420" w:type="dxa"/>
            <w:vAlign w:val="bottom"/>
          </w:tcPr>
          <w:p>
            <w:pPr>
              <w:spacing w:after="0"/>
              <w:rPr>
                <w:sz w:val="18"/>
                <w:szCs w:val="18"/>
                <w:color w:val="auto"/>
              </w:rPr>
            </w:pPr>
          </w:p>
        </w:tc>
      </w:tr>
      <w:tr>
        <w:trPr>
          <w:trHeight w:val="275"/>
        </w:trPr>
        <w:tc>
          <w:tcPr>
            <w:tcW w:w="826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1420" w:type="dxa"/>
            <w:vAlign w:val="bottom"/>
          </w:tcPr>
          <w:p>
            <w:pPr>
              <w:spacing w:after="0"/>
              <w:rPr>
                <w:sz w:val="20"/>
                <w:szCs w:val="20"/>
                <w:color w:val="auto"/>
              </w:rPr>
            </w:pPr>
            <w:r>
              <w:rPr>
                <w:rFonts w:ascii="Arial" w:cs="Arial" w:eastAsia="Arial" w:hAnsi="Arial"/>
                <w:sz w:val="16"/>
                <w:szCs w:val="16"/>
                <w:color w:val="auto"/>
              </w:rPr>
              <w:t>No x</w:t>
            </w:r>
          </w:p>
        </w:tc>
      </w:tr>
      <w:tr>
        <w:trPr>
          <w:trHeight w:val="257"/>
        </w:trPr>
        <w:tc>
          <w:tcPr>
            <w:tcW w:w="8260" w:type="dxa"/>
            <w:vAlign w:val="bottom"/>
            <w:gridSpan w:val="5"/>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2"/>
              </w:rPr>
              <w:t>☐</w:t>
            </w:r>
          </w:p>
        </w:tc>
        <w:tc>
          <w:tcPr>
            <w:tcW w:w="1420" w:type="dxa"/>
            <w:vAlign w:val="bottom"/>
          </w:tcPr>
          <w:p>
            <w:pPr>
              <w:ind w:left="160"/>
              <w:spacing w:after="0"/>
              <w:rPr>
                <w:sz w:val="20"/>
                <w:szCs w:val="20"/>
                <w:color w:val="auto"/>
              </w:rPr>
            </w:pPr>
            <w:r>
              <w:rPr>
                <w:rFonts w:ascii="Arial" w:cs="Arial" w:eastAsia="Arial" w:hAnsi="Arial"/>
                <w:sz w:val="16"/>
                <w:szCs w:val="16"/>
                <w:color w:val="auto"/>
              </w:rPr>
              <w:t>No x</w:t>
            </w:r>
          </w:p>
        </w:tc>
      </w:tr>
    </w:tbl>
    <w:p>
      <w:pPr>
        <w:spacing w:after="0" w:line="32" w:lineRule="exact"/>
        <w:rPr>
          <w:sz w:val="24"/>
          <w:szCs w:val="24"/>
          <w:color w:val="auto"/>
        </w:rPr>
      </w:pPr>
    </w:p>
    <w:p>
      <w:pPr>
        <w:jc w:val="both"/>
        <w:ind w:right="5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324"/>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s>
        <w:rPr>
          <w:sz w:val="20"/>
          <w:szCs w:val="20"/>
          <w:color w:val="auto"/>
        </w:rPr>
      </w:pPr>
      <w:r>
        <w:rPr>
          <w:rFonts w:ascii="Arial" w:cs="Arial" w:eastAsia="Arial" w:hAnsi="Arial"/>
          <w:sz w:val="16"/>
          <w:szCs w:val="16"/>
          <w:color w:val="auto"/>
        </w:rPr>
        <w:t>files).</w:t>
        <w:tab/>
        <w:t xml:space="preserve">Yes x  No </w:t>
      </w:r>
      <w:r>
        <w:rPr>
          <w:rFonts w:ascii="MS PGothic" w:cs="MS PGothic" w:eastAsia="MS PGothic" w:hAnsi="MS PGothic"/>
          <w:sz w:val="16"/>
          <w:szCs w:val="16"/>
          <w:color w:val="auto"/>
        </w:rPr>
        <w:t>☐</w:t>
      </w:r>
    </w:p>
    <w:p>
      <w:pPr>
        <w:spacing w:after="0" w:line="78" w:lineRule="exact"/>
        <w:rPr>
          <w:sz w:val="24"/>
          <w:szCs w:val="24"/>
          <w:color w:val="auto"/>
        </w:rPr>
      </w:pPr>
    </w:p>
    <w:p>
      <w:pPr>
        <w:ind w:right="580" w:firstLine="324"/>
        <w:spacing w:after="0" w:line="314" w:lineRule="auto"/>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w:t>
      </w:r>
      <w:r>
        <w:rPr>
          <w:rFonts w:ascii="Arial" w:cs="Arial" w:eastAsia="Arial" w:hAnsi="Arial"/>
          <w:sz w:val="17"/>
          <w:szCs w:val="17"/>
          <w:color w:val="auto"/>
        </w:rPr>
        <w:t>proxy</w:t>
      </w:r>
      <w:r>
        <w:rPr>
          <w:rFonts w:ascii="Arial" w:cs="Arial" w:eastAsia="Arial" w:hAnsi="Arial"/>
          <w:sz w:val="15"/>
          <w:szCs w:val="15"/>
          <w:color w:val="auto"/>
        </w:rPr>
        <w:t xml:space="preserve"> or information statements incorporated by reference in Part III of this Form 10-K or any amendment to this Form 10-K. o</w:t>
      </w:r>
    </w:p>
    <w:p>
      <w:pPr>
        <w:spacing w:after="0" w:line="5" w:lineRule="exact"/>
        <w:rPr>
          <w:sz w:val="24"/>
          <w:szCs w:val="24"/>
          <w:color w:val="auto"/>
        </w:rPr>
      </w:pPr>
    </w:p>
    <w:p>
      <w:pPr>
        <w:ind w:right="10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80" w:type="dxa"/>
        <w:tblCellMar>
          <w:top w:w="0" w:type="dxa"/>
          <w:left w:w="0" w:type="dxa"/>
          <w:bottom w:w="0" w:type="dxa"/>
          <w:right w:w="0" w:type="dxa"/>
        </w:tblCellMar>
      </w:tblPr>
      <w:tr>
        <w:trPr>
          <w:trHeight w:val="206"/>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4240" w:type="dxa"/>
            <w:vAlign w:val="bottom"/>
          </w:tcPr>
          <w:p>
            <w:pPr>
              <w:ind w:left="140"/>
              <w:spacing w:after="0"/>
              <w:rPr>
                <w:sz w:val="20"/>
                <w:szCs w:val="20"/>
                <w:color w:val="auto"/>
              </w:rPr>
            </w:pPr>
            <w:r>
              <w:rPr>
                <w:rFonts w:ascii="Arial" w:cs="Arial" w:eastAsia="Arial" w:hAnsi="Arial"/>
                <w:sz w:val="16"/>
                <w:szCs w:val="16"/>
                <w:color w:val="auto"/>
              </w:rPr>
              <w:t>o</w:t>
            </w:r>
          </w:p>
        </w:tc>
        <w:tc>
          <w:tcPr>
            <w:tcW w:w="2920" w:type="dxa"/>
            <w:vAlign w:val="bottom"/>
          </w:tcPr>
          <w:p>
            <w:pPr>
              <w:ind w:left="980"/>
              <w:spacing w:after="0"/>
              <w:rPr>
                <w:sz w:val="20"/>
                <w:szCs w:val="20"/>
                <w:color w:val="auto"/>
              </w:rPr>
            </w:pPr>
            <w:r>
              <w:rPr>
                <w:rFonts w:ascii="Arial" w:cs="Arial" w:eastAsia="Arial" w:hAnsi="Arial"/>
                <w:sz w:val="16"/>
                <w:szCs w:val="16"/>
                <w:color w:val="auto"/>
              </w:rPr>
              <w:t>Accelerated filer</w:t>
            </w:r>
          </w:p>
        </w:tc>
        <w:tc>
          <w:tcPr>
            <w:tcW w:w="240" w:type="dxa"/>
            <w:vAlign w:val="bottom"/>
          </w:tcPr>
          <w:p>
            <w:pPr>
              <w:ind w:left="160"/>
              <w:spacing w:after="0"/>
              <w:rPr>
                <w:sz w:val="20"/>
                <w:szCs w:val="20"/>
                <w:color w:val="auto"/>
              </w:rPr>
            </w:pPr>
            <w:r>
              <w:rPr>
                <w:rFonts w:ascii="Arial" w:cs="Arial" w:eastAsia="Arial" w:hAnsi="Arial"/>
                <w:sz w:val="16"/>
                <w:szCs w:val="16"/>
                <w:color w:val="auto"/>
                <w:w w:val="74"/>
              </w:rPr>
              <w:t>x</w:t>
            </w:r>
          </w:p>
        </w:tc>
      </w:tr>
      <w:tr>
        <w:trPr>
          <w:trHeight w:val="257"/>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4240" w:type="dxa"/>
            <w:vAlign w:val="bottom"/>
          </w:tcPr>
          <w:p>
            <w:pPr>
              <w:ind w:left="140"/>
              <w:spacing w:after="0"/>
              <w:rPr>
                <w:sz w:val="20"/>
                <w:szCs w:val="20"/>
                <w:color w:val="auto"/>
              </w:rPr>
            </w:pPr>
            <w:r>
              <w:rPr>
                <w:rFonts w:ascii="Arial" w:cs="Arial" w:eastAsia="Arial" w:hAnsi="Arial"/>
                <w:sz w:val="16"/>
                <w:szCs w:val="16"/>
                <w:color w:val="auto"/>
              </w:rPr>
              <w:t>o (Do not check if a smaller reporting company)</w:t>
            </w:r>
          </w:p>
        </w:tc>
        <w:tc>
          <w:tcPr>
            <w:tcW w:w="2920" w:type="dxa"/>
            <w:vAlign w:val="bottom"/>
          </w:tcPr>
          <w:p>
            <w:pPr>
              <w:ind w:left="980"/>
              <w:spacing w:after="0"/>
              <w:rPr>
                <w:sz w:val="20"/>
                <w:szCs w:val="20"/>
                <w:color w:val="auto"/>
              </w:rPr>
            </w:pPr>
            <w:r>
              <w:rPr>
                <w:rFonts w:ascii="Arial" w:cs="Arial" w:eastAsia="Arial" w:hAnsi="Arial"/>
                <w:sz w:val="16"/>
                <w:szCs w:val="16"/>
                <w:color w:val="auto"/>
              </w:rPr>
              <w:t>Smaller reporting company</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o</w:t>
            </w:r>
          </w:p>
        </w:tc>
      </w:tr>
      <w:tr>
        <w:trPr>
          <w:trHeight w:val="270"/>
        </w:trPr>
        <w:tc>
          <w:tcPr>
            <w:tcW w:w="160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920" w:type="dxa"/>
            <w:vAlign w:val="bottom"/>
          </w:tcPr>
          <w:p>
            <w:pPr>
              <w:ind w:left="980"/>
              <w:spacing w:after="0"/>
              <w:rPr>
                <w:sz w:val="20"/>
                <w:szCs w:val="20"/>
                <w:color w:val="auto"/>
              </w:rPr>
            </w:pPr>
            <w:r>
              <w:rPr>
                <w:rFonts w:ascii="Arial" w:cs="Arial" w:eastAsia="Arial" w:hAnsi="Arial"/>
                <w:sz w:val="16"/>
                <w:szCs w:val="16"/>
                <w:color w:val="auto"/>
              </w:rPr>
              <w:t>Emerging growth company</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o</w:t>
            </w:r>
          </w:p>
        </w:tc>
      </w:tr>
    </w:tbl>
    <w:p>
      <w:pPr>
        <w:spacing w:after="0" w:line="91" w:lineRule="exact"/>
        <w:rPr>
          <w:sz w:val="24"/>
          <w:szCs w:val="24"/>
          <w:color w:val="auto"/>
        </w:rPr>
      </w:pPr>
    </w:p>
    <w:p>
      <w:pPr>
        <w:ind w:right="44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340"/>
        <w:spacing w:after="0" w:line="184" w:lineRule="exact"/>
        <w:tabs>
          <w:tab w:leader="none" w:pos="834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No x</w:t>
      </w:r>
    </w:p>
    <w:p>
      <w:pPr>
        <w:spacing w:after="0" w:line="103" w:lineRule="exact"/>
        <w:rPr>
          <w:sz w:val="24"/>
          <w:szCs w:val="24"/>
          <w:color w:val="auto"/>
        </w:rPr>
      </w:pPr>
    </w:p>
    <w:p>
      <w:pPr>
        <w:ind w:firstLine="324"/>
        <w:spacing w:after="0" w:line="256"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2017, as reported by The Nasdaq Global Select Market, was approximately $55.4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spacing w:after="0" w:line="3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the registrant’s common stock outstanding as of March 8, 2018 was 58,830,682.</w:t>
      </w:r>
    </w:p>
    <w:p>
      <w:pPr>
        <w:spacing w:after="0" w:line="163"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right="120" w:firstLine="324"/>
        <w:spacing w:after="0" w:line="275" w:lineRule="auto"/>
        <w:rPr>
          <w:sz w:val="20"/>
          <w:szCs w:val="20"/>
          <w:color w:val="auto"/>
        </w:rPr>
      </w:pPr>
      <w:r>
        <w:rPr>
          <w:rFonts w:ascii="Arial" w:cs="Arial" w:eastAsia="Arial" w:hAnsi="Arial"/>
          <w:sz w:val="16"/>
          <w:szCs w:val="16"/>
          <w:color w:val="auto"/>
        </w:rPr>
        <w:t>Portions of the registrant’s definitive proxy statement for the 2018 Annual Meeting of Stockholders to be filed with the Securities and Exchange Commission pursuant to Regulation 14A are incorporated by reference into Part III of this Form 10-K to the extent stated herein.</w:t>
      </w:r>
    </w:p>
    <w:p>
      <w:pPr>
        <w:sectPr>
          <w:pgSz w:w="11900" w:h="16838" w:orient="portrait"/>
          <w:cols w:equalWidth="0" w:num="1">
            <w:col w:w="11420"/>
          </w:cols>
          <w:pgMar w:left="240" w:top="24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04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520"/>
        </w:trPr>
        <w:tc>
          <w:tcPr>
            <w:tcW w:w="78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PART I</w:t>
            </w:r>
          </w:p>
        </w:tc>
        <w:tc>
          <w:tcPr>
            <w:tcW w:w="10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4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10040" w:type="dxa"/>
            <w:vAlign w:val="bottom"/>
          </w:tcPr>
          <w:p>
            <w:pPr>
              <w:ind w:left="140"/>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56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tcPr>
          <w:p>
            <w:pPr>
              <w:ind w:left="140"/>
              <w:spacing w:after="0"/>
              <w:rPr>
                <w:rFonts w:ascii="Arial" w:cs="Arial" w:eastAsia="Arial" w:hAnsi="Arial"/>
                <w:sz w:val="18"/>
                <w:szCs w:val="18"/>
                <w:color w:val="auto"/>
              </w:rPr>
            </w:pPr>
            <w:hyperlink w:anchor="page29">
              <w:r>
                <w:rPr>
                  <w:rFonts w:ascii="Arial" w:cs="Arial" w:eastAsia="Arial" w:hAnsi="Arial"/>
                  <w:sz w:val="18"/>
                  <w:szCs w:val="18"/>
                  <w:color w:val="auto"/>
                </w:rPr>
                <w:t>Unresolved Staff Comments</w:t>
              </w:r>
            </w:hyperlink>
          </w:p>
        </w:tc>
        <w:tc>
          <w:tcPr>
            <w:tcW w:w="56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40" w:type="dxa"/>
            <w:vAlign w:val="bottom"/>
          </w:tcPr>
          <w:p>
            <w:pPr>
              <w:ind w:left="140"/>
              <w:spacing w:after="0"/>
              <w:rPr>
                <w:rFonts w:ascii="Arial" w:cs="Arial" w:eastAsia="Arial" w:hAnsi="Arial"/>
                <w:sz w:val="18"/>
                <w:szCs w:val="18"/>
                <w:color w:val="auto"/>
              </w:rPr>
            </w:pPr>
            <w:hyperlink w:anchor="page29">
              <w:r>
                <w:rPr>
                  <w:rFonts w:ascii="Arial" w:cs="Arial" w:eastAsia="Arial" w:hAnsi="Arial"/>
                  <w:sz w:val="18"/>
                  <w:szCs w:val="18"/>
                  <w:color w:val="auto"/>
                </w:rPr>
                <w:t>Properties</w:t>
              </w:r>
            </w:hyperlink>
          </w:p>
        </w:tc>
        <w:tc>
          <w:tcPr>
            <w:tcW w:w="56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tcPr>
          <w:p>
            <w:pPr>
              <w:ind w:left="140"/>
              <w:spacing w:after="0"/>
              <w:rPr>
                <w:rFonts w:ascii="Arial" w:cs="Arial" w:eastAsia="Arial" w:hAnsi="Arial"/>
                <w:sz w:val="18"/>
                <w:szCs w:val="18"/>
                <w:color w:val="auto"/>
              </w:rPr>
            </w:pPr>
            <w:hyperlink w:anchor="page29">
              <w:r>
                <w:rPr>
                  <w:rFonts w:ascii="Arial" w:cs="Arial" w:eastAsia="Arial" w:hAnsi="Arial"/>
                  <w:sz w:val="18"/>
                  <w:szCs w:val="18"/>
                  <w:color w:val="auto"/>
                </w:rPr>
                <w:t>Legal Proceedings</w:t>
              </w:r>
            </w:hyperlink>
          </w:p>
        </w:tc>
        <w:tc>
          <w:tcPr>
            <w:tcW w:w="56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Mine Safety Disclosures</w:t>
              </w:r>
            </w:hyperlink>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II</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Market for Registrant’s Common Equity, Related Stockholder Matters and Issuer Purchases of Equity Securities</w:t>
              </w:r>
            </w:hyperlink>
          </w:p>
        </w:tc>
        <w:tc>
          <w:tcPr>
            <w:tcW w:w="5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004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Selected Financial Data</w:t>
              </w:r>
            </w:hyperlink>
          </w:p>
        </w:tc>
        <w:tc>
          <w:tcPr>
            <w:tcW w:w="5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1004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10040" w:type="dxa"/>
            <w:vAlign w:val="bottom"/>
          </w:tcPr>
          <w:p>
            <w:pPr>
              <w:ind w:left="140"/>
              <w:spacing w:after="0"/>
              <w:rPr>
                <w:rFonts w:ascii="Arial" w:cs="Arial" w:eastAsia="Arial" w:hAnsi="Arial"/>
                <w:sz w:val="18"/>
                <w:szCs w:val="18"/>
                <w:color w:val="auto"/>
              </w:rPr>
            </w:pPr>
            <w:hyperlink w:anchor="page52">
              <w:r>
                <w:rPr>
                  <w:rFonts w:ascii="Arial" w:cs="Arial" w:eastAsia="Arial" w:hAnsi="Arial"/>
                  <w:sz w:val="18"/>
                  <w:szCs w:val="18"/>
                  <w:color w:val="auto"/>
                </w:rPr>
                <w:t>Financial Statements and Supplementary Data</w:t>
              </w:r>
            </w:hyperlink>
          </w:p>
        </w:tc>
        <w:tc>
          <w:tcPr>
            <w:tcW w:w="560" w:type="dxa"/>
            <w:vAlign w:val="bottom"/>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tcPr>
          <w:p>
            <w:pPr>
              <w:ind w:left="140"/>
              <w:spacing w:after="0"/>
              <w:rPr>
                <w:rFonts w:ascii="Arial" w:cs="Arial" w:eastAsia="Arial" w:hAnsi="Arial"/>
                <w:sz w:val="18"/>
                <w:szCs w:val="18"/>
                <w:color w:val="auto"/>
              </w:rPr>
            </w:pPr>
            <w:hyperlink w:anchor="page52">
              <w:r>
                <w:rPr>
                  <w:rFonts w:ascii="Arial" w:cs="Arial" w:eastAsia="Arial" w:hAnsi="Arial"/>
                  <w:sz w:val="18"/>
                  <w:szCs w:val="18"/>
                  <w:color w:val="auto"/>
                </w:rPr>
                <w:t>Changes in and Disagreements With Accountants on Accounting and Financial Disclosure</w:t>
              </w:r>
            </w:hyperlink>
          </w:p>
        </w:tc>
        <w:tc>
          <w:tcPr>
            <w:tcW w:w="560" w:type="dxa"/>
            <w:vAlign w:val="bottom"/>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10040" w:type="dxa"/>
            <w:vAlign w:val="bottom"/>
          </w:tcPr>
          <w:p>
            <w:pPr>
              <w:ind w:left="140"/>
              <w:spacing w:after="0"/>
              <w:rPr>
                <w:rFonts w:ascii="Arial" w:cs="Arial" w:eastAsia="Arial" w:hAnsi="Arial"/>
                <w:sz w:val="18"/>
                <w:szCs w:val="18"/>
                <w:color w:val="auto"/>
              </w:rPr>
            </w:pPr>
            <w:hyperlink w:anchor="page52">
              <w:r>
                <w:rPr>
                  <w:rFonts w:ascii="Arial" w:cs="Arial" w:eastAsia="Arial" w:hAnsi="Arial"/>
                  <w:sz w:val="18"/>
                  <w:szCs w:val="18"/>
                  <w:color w:val="auto"/>
                </w:rPr>
                <w:t>Controls and Procedures</w:t>
              </w:r>
            </w:hyperlink>
          </w:p>
        </w:tc>
        <w:tc>
          <w:tcPr>
            <w:tcW w:w="560" w:type="dxa"/>
            <w:vAlign w:val="bottom"/>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tcPr>
          <w:p>
            <w:pPr>
              <w:ind w:left="140"/>
              <w:spacing w:after="0"/>
              <w:rPr>
                <w:rFonts w:ascii="Arial" w:cs="Arial" w:eastAsia="Arial" w:hAnsi="Arial"/>
                <w:sz w:val="18"/>
                <w:szCs w:val="18"/>
                <w:color w:val="auto"/>
              </w:rPr>
            </w:pPr>
            <w:hyperlink w:anchor="page53">
              <w:r>
                <w:rPr>
                  <w:rFonts w:ascii="Arial" w:cs="Arial" w:eastAsia="Arial" w:hAnsi="Arial"/>
                  <w:sz w:val="18"/>
                  <w:szCs w:val="18"/>
                  <w:color w:val="auto"/>
                </w:rPr>
                <w:t>Other Information</w:t>
              </w:r>
            </w:hyperlink>
          </w:p>
        </w:tc>
        <w:tc>
          <w:tcPr>
            <w:tcW w:w="560" w:type="dxa"/>
            <w:vAlign w:val="bottom"/>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III</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tcPr>
          <w:p>
            <w:pPr>
              <w:ind w:left="140"/>
              <w:spacing w:after="0"/>
              <w:rPr>
                <w:rFonts w:ascii="Arial" w:cs="Arial" w:eastAsia="Arial" w:hAnsi="Arial"/>
                <w:sz w:val="18"/>
                <w:szCs w:val="18"/>
                <w:color w:val="auto"/>
              </w:rPr>
            </w:pPr>
            <w:hyperlink w:anchor="page54">
              <w:r>
                <w:rPr>
                  <w:rFonts w:ascii="Arial" w:cs="Arial" w:eastAsia="Arial" w:hAnsi="Arial"/>
                  <w:sz w:val="18"/>
                  <w:szCs w:val="18"/>
                  <w:color w:val="auto"/>
                </w:rPr>
                <w:t>Directors, Executive Officers and Corporate Governance</w:t>
              </w:r>
            </w:hyperlink>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1004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1004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1004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IV</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10040" w:type="dxa"/>
            <w:vAlign w:val="bottom"/>
          </w:tcPr>
          <w:p>
            <w:pPr>
              <w:ind w:left="140"/>
              <w:spacing w:after="0"/>
              <w:rPr>
                <w:rFonts w:ascii="Arial" w:cs="Arial" w:eastAsia="Arial" w:hAnsi="Arial"/>
                <w:sz w:val="18"/>
                <w:szCs w:val="18"/>
                <w:color w:val="auto"/>
              </w:rPr>
            </w:pPr>
            <w:hyperlink w:anchor="page54">
              <w:r>
                <w:rPr>
                  <w:rFonts w:ascii="Arial" w:cs="Arial" w:eastAsia="Arial" w:hAnsi="Arial"/>
                  <w:sz w:val="18"/>
                  <w:szCs w:val="18"/>
                  <w:color w:val="auto"/>
                </w:rPr>
                <w:t>Exhibits and Financial Statement Schedules</w:t>
              </w:r>
            </w:hyperlink>
          </w:p>
        </w:tc>
        <w:tc>
          <w:tcPr>
            <w:tcW w:w="5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16.</w:t>
            </w:r>
          </w:p>
        </w:tc>
        <w:tc>
          <w:tcPr>
            <w:tcW w:w="10040" w:type="dxa"/>
            <w:vAlign w:val="bottom"/>
          </w:tcPr>
          <w:p>
            <w:pPr>
              <w:ind w:left="140"/>
              <w:spacing w:after="0"/>
              <w:rPr>
                <w:sz w:val="20"/>
                <w:szCs w:val="20"/>
                <w:color w:val="auto"/>
              </w:rPr>
            </w:pPr>
            <w:r>
              <w:rPr>
                <w:rFonts w:ascii="Arial" w:cs="Arial" w:eastAsia="Arial" w:hAnsi="Arial"/>
                <w:sz w:val="18"/>
                <w:szCs w:val="18"/>
                <w:color w:val="auto"/>
              </w:rPr>
              <w:t>Form 10-K Summary</w:t>
            </w:r>
          </w:p>
        </w:tc>
        <w:tc>
          <w:tcPr>
            <w:tcW w:w="5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392"/>
        </w:trPr>
        <w:tc>
          <w:tcPr>
            <w:tcW w:w="1082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SIGNATURES</w:t>
              </w:r>
            </w:hyperlink>
          </w:p>
        </w:tc>
        <w:tc>
          <w:tcPr>
            <w:tcW w:w="56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392"/>
        </w:trPr>
        <w:tc>
          <w:tcPr>
            <w:tcW w:w="10820" w:type="dxa"/>
            <w:vAlign w:val="bottom"/>
            <w:gridSpan w:val="2"/>
          </w:tcPr>
          <w:p>
            <w:pPr>
              <w:spacing w:after="0"/>
              <w:rPr>
                <w:rFonts w:ascii="Arial" w:cs="Arial" w:eastAsia="Arial" w:hAnsi="Arial"/>
                <w:sz w:val="18"/>
                <w:szCs w:val="18"/>
                <w:color w:val="auto"/>
              </w:rPr>
            </w:pPr>
            <w:hyperlink w:anchor="page59">
              <w:r>
                <w:rPr>
                  <w:rFonts w:ascii="Arial" w:cs="Arial" w:eastAsia="Arial" w:hAnsi="Arial"/>
                  <w:sz w:val="18"/>
                  <w:szCs w:val="18"/>
                  <w:color w:val="auto"/>
                </w:rPr>
                <w:t>INDEX TO CONSOLIDATED FINANCIAL STATEMENTS</w:t>
              </w:r>
            </w:hyperlink>
          </w:p>
        </w:tc>
        <w:tc>
          <w:tcPr>
            <w:tcW w:w="5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F-1</w:t>
              </w:r>
            </w:hyperlink>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65" w:lineRule="exact"/>
        <w:rPr>
          <w:sz w:val="20"/>
          <w:szCs w:val="20"/>
          <w:color w:val="auto"/>
        </w:rPr>
      </w:pPr>
    </w:p>
    <w:p>
      <w:pPr>
        <w:ind w:left="620" w:right="42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and services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benefits of our recent reorganization transactions;</w:t>
      </w:r>
    </w:p>
    <w:p>
      <w:pPr>
        <w:spacing w:after="0" w:line="225" w:lineRule="exact"/>
        <w:rPr>
          <w:rFonts w:ascii="Arial" w:cs="Arial" w:eastAsia="Arial" w:hAnsi="Arial"/>
          <w:sz w:val="18"/>
          <w:szCs w:val="18"/>
          <w:color w:val="auto"/>
        </w:rPr>
      </w:pPr>
    </w:p>
    <w:p>
      <w:pPr>
        <w:ind w:left="620" w:right="52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benefits of recent restructuring activities and cost-reduction initiatives including reductions-in-force, reorganization of executive level management and the consolidation of certain of our facilities;</w:t>
      </w:r>
    </w:p>
    <w:p>
      <w:pPr>
        <w:spacing w:after="0" w:line="62" w:lineRule="exact"/>
        <w:rPr>
          <w:rFonts w:ascii="Arial" w:cs="Arial" w:eastAsia="Arial" w:hAnsi="Arial"/>
          <w:sz w:val="18"/>
          <w:szCs w:val="18"/>
          <w:color w:val="auto"/>
        </w:rPr>
      </w:pPr>
    </w:p>
    <w:p>
      <w:pPr>
        <w:ind w:left="620" w:right="76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62"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50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meet the product performance needs of our customers in wireless broadband data access in Internet of Things (“IoT”) markets;</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ectPr>
          <w:pgSz w:w="11900" w:h="16838" w:orient="portrait"/>
          <w:cols w:equalWidth="0" w:num="1">
            <w:col w:w="11420"/>
          </w:cols>
          <w:pgMar w:left="240" w:top="445" w:right="239" w:bottom="1440" w:gutter="0" w:footer="0" w:header="0"/>
        </w:sectPr>
      </w:pPr>
    </w:p>
    <w:bookmarkStart w:id="3" w:name="page4"/>
    <w:bookmarkEnd w:id="3"/>
    <w:p>
      <w:pPr>
        <w:ind w:firstLine="432"/>
        <w:spacing w:after="0" w:line="276"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“Inseego” and the Inseego logo are trademarks or registered trademarks of Inseego. “Novatel Wireless”, the Novatel Wireless logo, “MiFi”, “MiFi Intelligent Mobile Hotspot” and “MiFi Freedom. My Way.” are trademarks or registered trademarks of Novatel Wireless, Inc. (“Novatel Wireless”). “DigiCore”, “Ctrack” and the Ctrack logo are trademarks or registered trademarks of DigiCore Holdings Limited (“DigiCore” or “Ctrack”). “Inseego North America”, “Skyus” and “Crossroads” are trademarks or registered trademarks of Inseego North America, LLC.</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trademarks, trade names or service marks used in this report are the property of their respective owners.</w:t>
      </w:r>
    </w:p>
    <w:p>
      <w:pPr>
        <w:sectPr>
          <w:pgSz w:w="11900" w:h="16838" w:orient="portrait"/>
          <w:cols w:equalWidth="0" w:num="1">
            <w:col w:w="11400"/>
          </w:cols>
          <w:pgMar w:left="240" w:top="530"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Inseego Corp. is a Delaware corporation formed in 2016 and is the successor to Novatel Wireless, a Delaware corporation formed in 1996, resulting from an internal reorganization that was completed in November 2016. Our principal offices are located at 9605 Scranton Road, Suite 300, San Diego CA 92121. Our sales and engineering offices are located throughout the world. Inseego’s common stock trades on The NASDAQ Global Select Market under the trading symbol “INSG”.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Inseego Corp. is a leader in the design and development of products and solutions that enable high performance mobile applications for large enterprise verticals, service providers and small and medium-sized businesses around the globe. Our product portfolio consists of enterprise SaaS solutions and IoT and mobile solutions, which together form the backbone of compelling, intelligent, reliable and secure IoT services with deep business intelligence. Inseego’s products and solutions power mission critical applications with a “zero unscheduled downtime” mandate, such as asset tracking, fleet management, industrial IoT, SD WAN failover management and mobile broadband services. Our solutions are powered by our key innovations in purpose built SaaS cloud platforms, IoT and mobile technologies, including the newly emerging 5G technology.</w:t>
      </w:r>
    </w:p>
    <w:p>
      <w:pPr>
        <w:spacing w:after="0" w:line="2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and commitment to quality and innovation that makes us a preferred global partner of service providers, distributors, value-added resellers, system integrators, enterprises, small and medium-sized businesses and consumers.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337"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mobile industry has experienced tremendous growth for more than 20 years. As the largest technology platform in the world, mobile connectivity has changed the way we work, the way we live and the way we connect with each other. The scale and pace of innovation in mobile technology, especially around connectivity and computing capabilities, is also impacting industries beyond wireless.</w:t>
      </w:r>
    </w:p>
    <w:p>
      <w:pPr>
        <w:spacing w:after="0" w:line="28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Looking ahead, Inseego is working with other leaders in the wireless industry to develop 5G technology, which is the next generation of wireless technology. With the newly defined 5G New Radio (“5G NR”) standard, 5G is being designed to support faster data rates, lower network latency and wider bandwidths of spectrum. Incorporating many of the innovations developed for 4G, 5G is also expected to be scalable and adaptable across a variety of use cases, which include, among others: empowering new industries and services, such as autonomous vehicles and industrial applications, through ultra-reliable, ultra-low latency communication links; and connecting a significant number of IoT service and devices, including the connected home and smart cities devices, with connectivity designed to meet ultra-low power, complexity and cost requirements. 5G is also expected to enhance mobile broadband services, including ultra-high definition (4K) video streaming and augmented and virtual reality, with multi-gigabit speeds.</w:t>
      </w:r>
    </w:p>
    <w:p>
      <w:pPr>
        <w:spacing w:after="0" w:line="28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Most 5G devices are expected to include multimode support for 3G, 4G and Wi-Fi, enabling service continuity where 5G has yet to be deployed and simultaneous connectivity across 4G and Wi-Fi technologies, while also allowing mobile operators to utilize current network deployments. At the same time, 4G is expected to continue to evolve in parallel with the development of 5G and become fundamental to many of the key 5G technologies, such as support for unlicensed spectrum, gigabit LTE user data rates and LTE IoT with connectivity designed to meet the needs of ultra-low power, complexity and cost applications. The first phase of 5G networks are expected to support mobile broadband services in lower spectrum bands below 6 GHz as well as higher bands above 6 GHz, including millimeter wave (mmWave).</w:t>
      </w:r>
    </w:p>
    <w:p>
      <w:pPr>
        <w:spacing w:after="0" w:line="30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According to the Global 5G Market Report issued in January 2018 by Netscribes, Inc. (“Netscribes”), 5G technology is projected to service business frameworks required into 2020 and beyond. Due to socioeconomic transformations brought about by advancements in smart/connected city applications, mobile 5G is projected to be the “next big thing” in connected asset evolution. While mobile 4G LTE will continue to drive substantial volumes over the next decade, Netscribes predicts that the global 5G market will grow at a rate in excess of 95 percent, to greater than $250 billion by 2025. 5G technology is expected to address the rising demands for advanced applications, continued adoption of IoT devices and applications, and the rising bandwidth demands associated with said applications.</w:t>
      </w:r>
    </w:p>
    <w:p>
      <w:pPr>
        <w:spacing w:after="0" w:line="30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continue to work closely with mobile operators, chipset suppliers and infrastructure companies around the world on 5G developments and trials in preparation for commercial network launches.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4" w:right="259" w:bottom="1440" w:gutter="0" w:footer="0" w:header="0"/>
        </w:sectPr>
      </w:pPr>
    </w:p>
    <w:bookmarkStart w:id="5" w:name="page6"/>
    <w:bookmarkEnd w:id="5"/>
    <w:p>
      <w:pPr>
        <w:ind w:firstLine="405"/>
        <w:spacing w:after="0" w:line="293" w:lineRule="auto"/>
        <w:rPr>
          <w:sz w:val="20"/>
          <w:szCs w:val="20"/>
          <w:color w:val="auto"/>
        </w:rPr>
      </w:pPr>
      <w:r>
        <w:rPr>
          <w:rFonts w:ascii="Arial" w:cs="Arial" w:eastAsia="Arial" w:hAnsi="Arial"/>
          <w:sz w:val="16"/>
          <w:szCs w:val="16"/>
          <w:color w:val="auto"/>
        </w:rPr>
        <w:t>The adoption of IoT technology continues to grow as companies across a wide range of industries are leveraging IoT technologies to increase efficiency, gain better customer insights, facilitate compliance and build new business models. IoT growth is expanding broadly, and adoption is particularly strong in the telematics and transportation industries and in industrial IoT markets such as smart city infrastructure, utilities and energy management. We are building IoT capabilities by leveraging business models that monetize usage on most major carrier networks. We have developed IoT solutions that address key market needs for asset tracking applications, telematics, SD WAN failover management and various other industrial applications. In addition, our IoT customers can turn the data that our solutions provide into actionable insights to develop new services and create revenue growth.</w:t>
      </w:r>
    </w:p>
    <w:p>
      <w:pPr>
        <w:spacing w:after="0" w:line="273"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Our IoT solutions enable applications for various vertical markets, such as fleet and asset tracking and telematics, smart city applications to improve public safety, traffic management and energy management. Our telematics business offers a full array of solutions to both businesses and consumers that combine location-based software, services and data intelligence. We enable our customers to track, safeguard and optimize their most prized assets: people, vehicles, equipment and data. Inseego telematics, sold under the Ctrack brand, is a top commercial telematics provider globally. We serve both the enterprise and small and medium-sized business market segments with advanced solutions and scale in distribution, research and development, and customer support. Additionally, we have made significant strides into the burgeoning aviation vertical.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Realignment</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September 21, 2016, we entered into a Stock Purchase Agreement (the “Purchase Agreement”), by and among Inseego and Novatel Wireless, on the one hand, and T.C.L. Industries Holdings (H.K.) Limited and Jade Ocean Global Limited (collectively, the “Purchasers”) on the other hand. The Purchase Agreement related to the proposed sale of our subsidiary, Novatel Wireless, which included the Company’s MiFi branded hotspots and USB modem product lines (the “MiFi Business”), to the Purchasers for $50.0 million in cash, subject to potential adjustment for Novatel Wireless’s working capital as of the closing date.</w:t>
      </w:r>
    </w:p>
    <w:p>
      <w:pPr>
        <w:spacing w:after="0" w:line="24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June 2017, we terminated the Purchase Agreement due to delays and uncertainty in securing approval of the transactions contemplated by the Purchase Agreement from the Committee on Foreign Investment in the United States (“CFIUS”) and announced key leadership changes and a Company-wide restructuring designed to improve execution, enhance financial performance and drive profitable growth as we worked to create sustainable long-term value for shareholders. As part of the restructuring plan, among other actions, we implemented cost reduction measures which included a series of targeted reductions across our businesses and geographies, and rationalization of our businesses. As a result of the termination of the transaction described above and the institution of certain restructuring initiatives, we retained our ownership interest in Novatel Wireless and the MiFi Business.</w:t>
      </w:r>
    </w:p>
    <w:p>
      <w:pPr>
        <w:spacing w:after="0" w:line="11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One of the many benefits associated with the retention of the MiFi Business is the retention of know-how and intellectual property essential to the development of advanced wireless technologies, such as the newly emerging 5G NR standard.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337" w:lineRule="exact"/>
        <w:rPr>
          <w:sz w:val="20"/>
          <w:szCs w:val="20"/>
          <w:color w:val="auto"/>
        </w:rPr>
      </w:pPr>
    </w:p>
    <w:p>
      <w:pPr>
        <w:ind w:right="320" w:firstLine="405"/>
        <w:spacing w:after="0" w:line="276" w:lineRule="auto"/>
        <w:rPr>
          <w:sz w:val="20"/>
          <w:szCs w:val="20"/>
          <w:color w:val="auto"/>
        </w:rPr>
      </w:pPr>
      <w:r>
        <w:rPr>
          <w:rFonts w:ascii="Arial" w:cs="Arial" w:eastAsia="Arial" w:hAnsi="Arial"/>
          <w:sz w:val="17"/>
          <w:szCs w:val="17"/>
          <w:color w:val="auto"/>
        </w:rPr>
        <w:t>Our objective is to be a leader in high performance mobile applications for large enterprise verticals, service providers and small and medium-sized businesses around the globe. We will meet this objective through innovation we are driving in IoT, mobile and SaaS technologies. In furtherance of that objective, we will continue to focus on mission critical enterprise applications with a “zero unscheduled downtime” mandate, such as asset tracking, fleet management, industrial IoT, SD WAN failover management and mobile broadband services. Our solutions will be powered by our key innovations in IoT, purpose-built SaaS platforms and mobile technologies, including the newly emerging 5G technologies.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elements of our strategy are to:</w:t>
      </w:r>
    </w:p>
    <w:p>
      <w:pPr>
        <w:spacing w:after="0" w:line="225" w:lineRule="exact"/>
        <w:rPr>
          <w:sz w:val="20"/>
          <w:szCs w:val="20"/>
          <w:color w:val="auto"/>
        </w:rPr>
      </w:pPr>
    </w:p>
    <w:p>
      <w:pPr>
        <w:ind w:left="980" w:right="2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Improve SaaS solution penetration</w:t>
      </w:r>
      <w:r>
        <w:rPr>
          <w:rFonts w:ascii="Arial" w:cs="Arial" w:eastAsia="Arial" w:hAnsi="Arial"/>
          <w:sz w:val="18"/>
          <w:szCs w:val="18"/>
          <w:color w:val="auto"/>
        </w:rPr>
        <w:t>. Through our Ctrack telematics and asset tracking platform and subscription management solutions,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customers around the world with actionable insights, workflow efficiencies and high security from our cutting-edge cloud platforms. We will continue to expand these solutions into new markets such as the aviation vertical.</w:t>
      </w:r>
    </w:p>
    <w:p>
      <w:pPr>
        <w:spacing w:after="0" w:line="73"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Expand our IoT solutions portfolio and develop key core mobile technologies within our mobile portfolio. </w:t>
      </w:r>
      <w:r>
        <w:rPr>
          <w:rFonts w:ascii="Arial" w:cs="Arial" w:eastAsia="Arial" w:hAnsi="Arial"/>
          <w:sz w:val="16"/>
          <w:szCs w:val="16"/>
          <w:color w:val="auto"/>
        </w:rPr>
        <w:t>We intend to expand our IoT device</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and develop newly emerging 5G technologies, leveraging our modem technologies, intellectual property, and supplier ecosystem.</w:t>
      </w:r>
    </w:p>
    <w:p>
      <w:pPr>
        <w:spacing w:after="0" w:line="15" w:lineRule="exact"/>
        <w:rPr>
          <w:rFonts w:ascii="Arial" w:cs="Arial" w:eastAsia="Arial" w:hAnsi="Arial"/>
          <w:sz w:val="16"/>
          <w:szCs w:val="16"/>
          <w:color w:val="auto"/>
        </w:rPr>
      </w:pPr>
    </w:p>
    <w:p>
      <w:pPr>
        <w:ind w:left="980" w:right="40" w:hanging="324"/>
        <w:spacing w:after="0" w:line="264"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Capitalize on our direct relationships with wireless operators, original equipment manufacturers (“OEMs”) and component suppliers.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continue to capitalize on our direct and long-standing relationships with wireless operators, OEMs and component suppliers in order to strengthen our worldwide market position.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6" w:name="page7"/>
    <w:bookmarkEnd w:id="6"/>
    <w:p>
      <w:pPr>
        <w:ind w:left="980" w:right="260" w:hanging="324"/>
        <w:spacing w:after="0" w:line="308" w:lineRule="auto"/>
        <w:tabs>
          <w:tab w:leader="none" w:pos="9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Aggressively expand go-to-market offerings through sales resource expansion, channel development and strategic partnerships</w:t>
      </w:r>
      <w:r>
        <w:rPr>
          <w:rFonts w:ascii="Arial" w:cs="Arial" w:eastAsia="Arial" w:hAnsi="Arial"/>
          <w:sz w:val="17"/>
          <w:szCs w:val="17"/>
          <w:color w:val="auto"/>
        </w:rPr>
        <w:t>. We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expand our go-to-market resources and channels internationally for our IoT, mobile and cloud solutions.</w:t>
      </w:r>
    </w:p>
    <w:p>
      <w:pPr>
        <w:spacing w:after="0" w:line="146" w:lineRule="exact"/>
        <w:rPr>
          <w:rFonts w:ascii="Arial" w:cs="Arial" w:eastAsia="Arial" w:hAnsi="Arial"/>
          <w:sz w:val="17"/>
          <w:szCs w:val="17"/>
          <w:i w:val="1"/>
          <w:iCs w:val="1"/>
          <w:color w:val="auto"/>
        </w:rPr>
      </w:pPr>
    </w:p>
    <w:p>
      <w:pPr>
        <w:ind w:left="980" w:right="80" w:hanging="324"/>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Increase the value of our offerings. </w:t>
      </w:r>
      <w:r>
        <w:rPr>
          <w:rFonts w:ascii="Arial" w:cs="Arial" w:eastAsia="Arial" w:hAnsi="Arial"/>
          <w:sz w:val="18"/>
          <w:szCs w:val="18"/>
          <w:color w:val="auto"/>
        </w:rPr>
        <w:t>As we seek to capitalize on potential growth opportunities, we continue to develop cutting edge IoT,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and cloud solutions, with specific focus on end-to-end solutions that enable the best IoT and mobile experience for our customers. For instance, in the Ctrack cloud aviation solution, we allow Ground Support Equipment (“GSEs”) providers to achieve maximum utilization levels, maximum efficiency gains, and eliminate downtime for business-critical ground support equipment. In addition, further emerging 5G developments with anchor customers leveraging our existing modem technologies opens us up to larger worldwide potential markets. Finally, continued investment within both device and platform solutions in predictive analytics, machine learning, and edge intelligence should expand our market opportunities.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33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Inseego sells SaaS, software and services solutions across multiple mobile and industrial IoT vertical markets, including fleet management, vehicle telematics, aviation (ground service) telematics, usage-based insurance, stolen vehicle recovery, asset tracking, monitoring, business connectivity and subscription management. Our SaaS platforms are device-agnostic and provide a standardized, scalable way to order, connect and manage remote assets and improve business operations. The platforms are flexible and support both on-premise server or cloud-based deployments and are the basis for the delivery of a wide range of IoT services in multiple industries.</w:t>
      </w:r>
    </w:p>
    <w:p>
      <w:pPr>
        <w:spacing w:after="0" w:line="29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Solutions (“DMS”), a hosted SaaS platform that helps organizations manage the selection, deployment and spend of their wireless assets by helping them to save money on personnel and telecom expenses.</w:t>
      </w:r>
    </w:p>
    <w:p>
      <w:pPr>
        <w:spacing w:after="0" w:line="28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provide intelligent wireless hardware products for the worldwide mobile communications and industrial IoT markets. Our hardware products address multiple vertical markets including fleet and commercial telematics, after-market telematics, smart city infrastructure management, remote monitoring and control, security and connected home and wireless surveillance systems. Our broad range of products principally includes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 remotely. Our products currently operate on every major cellular wireless technology platform. Our mobile hotspots, sold under the MiFi brand, are actively used by millions of customers to provide subscribers with secure and convenient high-speed access to corporate, public and personal information through the Internet and enterprise networks. Our wireless routers and USB modems serve as gateways to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286"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We sell our intelligent mobile hotspots primarily to wireless operators either directly or through strategic relationships. Our mobile-hotspot customer base is comprised of wireless operators, including Verizon Wireless in the United States, as well as distributors and various companies in other vertical markets and geographies.</w:t>
      </w:r>
    </w:p>
    <w:p>
      <w:pPr>
        <w:spacing w:after="0" w:line="28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sell our wireless routers for industrial IoT, integrated telematics and mobile tracking hardware devices through our direct sales force and through distributors. The customer base for our wireless router products is comprised of transportation companies, industrial enterprises, manufacturers, application service providers, system integrators and distributors in various industries, including fleet and vehicle transportation, aviation, energy and industrial automation, security and safety, medical monitoring and government. Integrated telematics devices are also sold by Ctrack and provided as part of the integrated Ctrack SaaS solution.</w:t>
      </w:r>
    </w:p>
    <w:p>
      <w:pPr>
        <w:spacing w:after="0" w:line="29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For the years ended December 31, 2017, 2016 and 2015, the Company’s total net revenues were $219.3 million, $243.6 million and $220.9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Telematics and Asset Tracking Business</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Inseego entered the telematics software and services industry through the acquisition of Ctrack in October 2015. Ctrack was founded in South Africa in 1985, and today Ctrack operations span over 50 countries on six continents. Through successful global acquisitions, the Ctrack group broadened its international reach by expanding into the United Kingdom, Europe,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7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Australia and the United States, and using distributors in emerging markets such as Asia and the balance of the African continent.</w:t>
      </w:r>
    </w:p>
    <w:p>
      <w:pPr>
        <w:spacing w:after="0" w:line="333" w:lineRule="exact"/>
        <w:rPr>
          <w:sz w:val="20"/>
          <w:szCs w:val="20"/>
          <w:color w:val="auto"/>
        </w:rPr>
      </w:pPr>
    </w:p>
    <w:p>
      <w:pPr>
        <w:jc w:val="both"/>
        <w:ind w:right="420" w:firstLine="405"/>
        <w:spacing w:after="0" w:line="279" w:lineRule="auto"/>
        <w:rPr>
          <w:sz w:val="20"/>
          <w:szCs w:val="20"/>
          <w:color w:val="auto"/>
        </w:rPr>
      </w:pPr>
      <w:r>
        <w:rPr>
          <w:rFonts w:ascii="Arial" w:cs="Arial" w:eastAsia="Arial" w:hAnsi="Arial"/>
          <w:sz w:val="17"/>
          <w:szCs w:val="17"/>
          <w:color w:val="auto"/>
        </w:rPr>
        <w:t>With more than 30 years of experience, we are recognized as a leading global provider of advanced fleet management telematics solutions that add value to a global base of customers. We design and develop a robust range of asset management and monitoring systems using GPS satellite positioning, advanced cellular communications and advanced sensory technologies. The result is innovative solutions ranging from basic track-and-trace, with stolen vehicle response services, to complete integrated enterprise-level solutions for large fleet owners across the globe.</w:t>
      </w:r>
    </w:p>
    <w:p>
      <w:pPr>
        <w:spacing w:after="0" w:line="280"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Our continued emphasis on research and development of next-generation products keeps Ctrack ahead of the market, meeting demands for value-added, flexible, feature-rich and cost-effective technology across multiple market verticals. Our solutions, coupled with a proven track record in the successful implementation and support of projects of all sizes worldwide, provide Ctrack with a competitive edge with respect to attracting and retaining customers.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Key market verticals supported by our telematics and asset tracking platforms include:</w:t>
      </w:r>
    </w:p>
    <w:p>
      <w:pPr>
        <w:sectPr>
          <w:pgSz w:w="11900" w:h="16838" w:orient="portrait"/>
          <w:cols w:equalWidth="0" w:num="1">
            <w:col w:w="11420"/>
          </w:cols>
          <w:pgMar w:left="240" w:top="530" w:right="239" w:bottom="1440" w:gutter="0" w:footer="0" w:header="0"/>
        </w:sectPr>
      </w:pPr>
    </w:p>
    <w:p>
      <w:pPr>
        <w:spacing w:after="0" w:line="286"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Fleet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Aviation/Airport Asset Tracking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Municipality Asset Tracking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Workforce Tracking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Vehicle Tracking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Advanced Data Analytics and Lifecycle Asset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Insurance Telematics</w:t>
      </w:r>
    </w:p>
    <w:p>
      <w:pPr>
        <w:spacing w:after="0" w:line="200" w:lineRule="exact"/>
        <w:rPr>
          <w:sz w:val="20"/>
          <w:szCs w:val="20"/>
          <w:color w:val="auto"/>
        </w:rPr>
      </w:pPr>
    </w:p>
    <w:p>
      <w:pPr>
        <w:sectPr>
          <w:pgSz w:w="11900" w:h="16838" w:orient="portrait"/>
          <w:cols w:equalWidth="0" w:num="2">
            <w:col w:w="800" w:space="160"/>
            <w:col w:w="10460"/>
          </w:cols>
          <w:pgMar w:left="240" w:top="530" w:right="2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Industry-Specific Solutions</w:t>
      </w:r>
    </w:p>
    <w:p>
      <w:pPr>
        <w:spacing w:after="0" w:line="279"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Ctrack is also working closely with a number of industries to understand their unique challenges and requirements, and to increase our competitive advantage. Sectors currently supported include:</w:t>
      </w:r>
    </w:p>
    <w:p>
      <w:pPr>
        <w:sectPr>
          <w:pgSz w:w="11900" w:h="16838" w:orient="portrait"/>
          <w:cols w:equalWidth="0" w:num="1">
            <w:col w:w="11420"/>
          </w:cols>
          <w:pgMar w:left="240" w:top="530" w:right="239" w:bottom="1440" w:gutter="0" w:footer="0" w:header="0"/>
          <w:type w:val="continuous"/>
        </w:sectPr>
      </w:pPr>
    </w:p>
    <w:p>
      <w:pPr>
        <w:spacing w:after="0" w:line="232"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4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Service and installation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Light delivery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Long-haul trucking and trailers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Utilities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Fuel and chemical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Fleet maintenance 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Police and security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Construction</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Government, local authorities and municipalities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Industrial vehicles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OEMs and dealers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Professional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Agriculture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Transport and car rental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Containers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Refrigeration</w:t>
      </w:r>
    </w:p>
    <w:p>
      <w:pPr>
        <w:spacing w:after="0" w:line="578" w:lineRule="exact"/>
        <w:rPr>
          <w:sz w:val="20"/>
          <w:szCs w:val="20"/>
          <w:color w:val="auto"/>
        </w:rPr>
      </w:pPr>
    </w:p>
    <w:p>
      <w:pPr>
        <w:sectPr>
          <w:pgSz w:w="11900" w:h="16838" w:orient="portrait"/>
          <w:cols w:equalWidth="0" w:num="4">
            <w:col w:w="760" w:space="100"/>
            <w:col w:w="3140" w:space="720"/>
            <w:col w:w="20" w:space="140"/>
            <w:col w:w="6540"/>
          </w:cols>
          <w:pgMar w:left="240" w:top="530"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IoT and Mobile Business</w:t>
      </w:r>
    </w:p>
    <w:p>
      <w:pPr>
        <w:spacing w:after="0" w:line="33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IoT business focuses on addressing applications for a variety of markets including large enterprise verticals and industrial IoT markets. These applications range from smart city infrastructure management, remote monitoring and control, SD WAN failover, enterprise connectivity, etc. Our Skyus branded wireless gateways, routers and modems serve as connectivity solutions for the rapidly growing and underpenetrated IoT market segments. Worldwide IoT spending is expected to increase at a 14% compound annual growth rate, surpassing $1 trillion in 2020 (International Data Corporation, 2017). With many customers using our solutions, we believe that we already have a solid footing in this market. We are continuing to invest and grow this portfolio to realize the opportunities in the growing IoT market.</w:t>
      </w:r>
    </w:p>
    <w:p>
      <w:pPr>
        <w:spacing w:after="0" w:line="301" w:lineRule="exact"/>
        <w:rPr>
          <w:sz w:val="20"/>
          <w:szCs w:val="20"/>
          <w:color w:val="auto"/>
        </w:rPr>
      </w:pPr>
    </w:p>
    <w:p>
      <w:pPr>
        <w:ind w:right="340" w:firstLine="405"/>
        <w:spacing w:after="0" w:line="273" w:lineRule="auto"/>
        <w:rPr>
          <w:sz w:val="20"/>
          <w:szCs w:val="20"/>
          <w:color w:val="auto"/>
        </w:rPr>
      </w:pPr>
      <w:r>
        <w:rPr>
          <w:rFonts w:ascii="Arial" w:cs="Arial" w:eastAsia="Arial" w:hAnsi="Arial"/>
          <w:sz w:val="17"/>
          <w:szCs w:val="17"/>
          <w:color w:val="auto"/>
        </w:rPr>
        <w:t>Our mobile business has been driving advanced mobile technologies for a multitude of consumer and enterprise applications for over 20 years. This portfolio consists of intelligent mobile broadband solutions, HD quality voice VoLTE products, residential 4G routers and an advanced 5G portfolio of products under development. Our mobile broadband solutions, sold under the MiFi brand, are actively used by millions of customers annually to provide subscribers with secure and convenient high-speed access to corporate, public and personal information through the Internet and enterprise networks. The introduction of 5G technology is rapidly expanding new enterprise and consumer market use cases and opportunities, including residential broadband gateways, industrial automation, massive machine connectivity and autonomous vehicles. We believe we</w:t>
      </w:r>
    </w:p>
    <w:p>
      <w:pPr>
        <w:sectPr>
          <w:pgSz w:w="11900" w:h="16838" w:orient="portrait"/>
          <w:cols w:equalWidth="0" w:num="1">
            <w:col w:w="11420"/>
          </w:cols>
          <w:pgMar w:left="240" w:top="530" w:right="239" w:bottom="1440" w:gutter="0" w:footer="0" w:header="0"/>
          <w:type w:val="continuous"/>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30" w:right="239" w:bottom="1440" w:gutter="0" w:footer="0" w:header="0"/>
          <w:type w:val="continuous"/>
        </w:sectPr>
      </w:pPr>
    </w:p>
    <w:bookmarkStart w:id="8" w:name="page9"/>
    <w:bookmarkEnd w:id="8"/>
    <w:p>
      <w:pPr>
        <w:ind w:right="100"/>
        <w:spacing w:after="0" w:line="277" w:lineRule="auto"/>
        <w:rPr>
          <w:sz w:val="20"/>
          <w:szCs w:val="20"/>
          <w:color w:val="auto"/>
        </w:rPr>
      </w:pPr>
      <w:r>
        <w:rPr>
          <w:rFonts w:ascii="Arial" w:cs="Arial" w:eastAsia="Arial" w:hAnsi="Arial"/>
          <w:sz w:val="18"/>
          <w:szCs w:val="18"/>
          <w:color w:val="auto"/>
        </w:rPr>
        <w:t>are strategically well placed to realize the opportunity for 5G and we are focused on developing a portfolio of 5G products that we will bring to the market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We sell our IoT, mobile and telematics solutions and services primarily to enterprises and tier-one service providers in the following industries: transportation, aviation ground services, government and local municipalities, mining, agriculture, construction, professional services, finance and insurance, energy and industrial automation, and security and safety. These products and solutions are sold by our direct sales force and through distributors.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engage in a wide variety of sales and marketing activities, driving market leadership and global demand through integrated marketing campaigns.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product marketing, corporate communications, brand marketing and demand generation.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 and Concentrations of Risk</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geographic concentration of our assets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65,208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71,564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112,424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68,186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63,693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60,580</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24,813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23,459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25,749</w:t>
            </w:r>
          </w:p>
        </w:tc>
      </w:tr>
      <w:tr>
        <w:trPr>
          <w:trHeight w:val="217"/>
        </w:trPr>
        <w:tc>
          <w:tcPr>
            <w:tcW w:w="744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158,207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158,716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198,753</w:t>
            </w: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 xml:space="preserve">A substantial majority of our revenue during the year ended December 31, 2017 was derived from sales in the United States. See Note 13, </w:t>
      </w:r>
      <w:r>
        <w:rPr>
          <w:rFonts w:ascii="Arial" w:cs="Arial" w:eastAsia="Arial" w:hAnsi="Arial"/>
          <w:sz w:val="17"/>
          <w:szCs w:val="17"/>
          <w:i w:val="1"/>
          <w:iCs w:val="1"/>
          <w:color w:val="auto"/>
        </w:rPr>
        <w:t>Geographic</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and Concentrations of Risk</w:t>
      </w:r>
      <w:r>
        <w:rPr>
          <w:rFonts w:ascii="Arial" w:cs="Arial" w:eastAsia="Arial" w:hAnsi="Arial"/>
          <w:sz w:val="17"/>
          <w:szCs w:val="17"/>
          <w:color w:val="auto"/>
        </w:rPr>
        <w:t>, to our consolidated financial statements for a discussion of our revenue by geographic location. For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risks related to our foreign operations, see the information in “Item 1A. Risk Factors” in Part 1 of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do not believe that backlog is currently a meaningful indicator of our future business prospects due to many variables, some of which are outside of our control, which could cause the actual volume of our product shipments to differ from those that comprise our backlog. Additionally, we sometimes have relatively short lead times between receipt of customer purchase orders and shipment of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market for our mobile, IoT and asset tracking/telematics services and solutions is rapidly evolving and highly competitive. It is likely to continue to be affected by new product introductions and industry participants.</w:t>
      </w:r>
    </w:p>
    <w:p>
      <w:pPr>
        <w:spacing w:after="0" w:line="116"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products compete with a variety of telematics solutions providers and IoT solutions suppliers. Our current competitors include:</w:t>
      </w:r>
    </w:p>
    <w:p>
      <w:pPr>
        <w:spacing w:after="0" w:line="6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Fleet management SaaS and services providers, such as Fleetmatics, Masternaut, TomTom, Telogis, MiX Telematics and Cartrack;</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hotspots providers, such as Netgear and Franklin Wireless;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2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We believe that we have advantages over our primary competitors due in varying measure to the broad range of customized solutions that we offer, the ease-of-use of our products, and our ability to adapt our products to specific customer needs. As the market for our solutions and services expands, other entrants may seek to compete with us either directly or indirectly.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640" w:firstLine="432"/>
        <w:spacing w:after="0" w:line="259" w:lineRule="auto"/>
        <w:rPr>
          <w:sz w:val="20"/>
          <w:szCs w:val="20"/>
          <w:color w:val="auto"/>
        </w:rPr>
      </w:pPr>
      <w:r>
        <w:rPr>
          <w:rFonts w:ascii="Arial" w:cs="Arial" w:eastAsia="Arial" w:hAnsi="Arial"/>
          <w:sz w:val="18"/>
          <w:szCs w:val="18"/>
          <w:color w:val="auto"/>
        </w:rPr>
        <w:t>Our research and development efforts are focused on developing innovative mobile devices, including IoT and advanced routing platforms, and telematics solutions and services, and improving the functionality, design and performance of our current products and solutions. Our research and development expenses for the years ended December 31, 2017, 2016 and 2015 were approximately $21.4 million, $30.7 million and $35.4 million, respectively.</w:t>
      </w:r>
    </w:p>
    <w:p>
      <w:pPr>
        <w:spacing w:after="0" w:line="13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intend to continue to identify and respond to our customers’ needs by introducing new SaaS, IoT and mobile solutions and product designs that meet the needs of the market and our customers, with an emphasis on creating next generation wireless product platforms targeting mass market initiatives in high growth verticals and technologies such as 5G NR and easy-to-use products and services that enable customers to connect, track, and manage their business systems and assets.</w:t>
      </w:r>
    </w:p>
    <w:p>
      <w:pPr>
        <w:spacing w:after="0" w:line="29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manage our research and development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Our solutions rely on and benefit from our portfolio of intellectual property, including patents and trademarks. We currently own 42 United States patents and 35 foreign patents. In addition, we currently have 26 patent applications pending. The patents that we currently own expire at various times between 2021 and 2035.</w:t>
      </w:r>
    </w:p>
    <w:p>
      <w:pPr>
        <w:spacing w:after="0" w:line="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along with our subsidiaries, also hold a number of trademarks or registered trademarks including “Inseego”, “Inseego North America”, the Inseego logo, “DigiCore”, “Ctrack”, the Ctrack logo, “Crossroads”, “Skyus”, “Novatel Wireless”, the Novatel Wireless logo, “MiFi”, “MiFi Intelligent Mobile Hotspot” and “MiFi Freedom. My Way.”</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Partners and Customers</w:t>
      </w:r>
    </w:p>
    <w:p>
      <w:pPr>
        <w:spacing w:after="0" w:line="28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telecom groups and installation partners which allows us to offer customers integrated and holistic solutions. Ctrack uses leading cellular providers such as AT&amp;T, Sprint, T-Mobile, Vodafone, MTN, Telstra and Optus to ensure the optimal real-time visibility of tracked vehicles and systems, supported by accurate and sophisticated mapping services such as the HERE Open Location Platform.</w:t>
      </w:r>
    </w:p>
    <w:p>
      <w:pPr>
        <w:spacing w:after="0" w:line="296" w:lineRule="exact"/>
        <w:rPr>
          <w:sz w:val="20"/>
          <w:szCs w:val="20"/>
          <w:color w:val="auto"/>
        </w:rPr>
      </w:pPr>
    </w:p>
    <w:p>
      <w:pPr>
        <w:ind w:right="440" w:firstLine="405"/>
        <w:spacing w:after="0" w:line="286" w:lineRule="auto"/>
        <w:rPr>
          <w:sz w:val="20"/>
          <w:szCs w:val="20"/>
          <w:color w:val="auto"/>
        </w:rPr>
      </w:pPr>
      <w:r>
        <w:rPr>
          <w:rFonts w:ascii="Arial" w:cs="Arial" w:eastAsia="Arial" w:hAnsi="Arial"/>
          <w:sz w:val="17"/>
          <w:szCs w:val="17"/>
          <w:color w:val="auto"/>
        </w:rPr>
        <w:t>Customers for our products include transportation companies, industrial companies, governmental agencies, manufacturers, application service providers, system integrators and distributors, and enterprises in various industries, including fleet and vehicle transportation, finance, accounting, legal, insurance, energy and industrial automation, security and safety, medical monitoring and government.</w:t>
      </w:r>
    </w:p>
    <w:p>
      <w:pPr>
        <w:spacing w:after="0" w:line="27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telematics customer base is comprised of wireless operators, distributors, OEMs and various companies in other vertical markets. Fleet management customers include global enterprises such as BHP Billiton, Super Group, Mammoet and Australia Post. Customers of our government, local council and municipality asset management platforms include Thames Water and the City of Ekurhuleni. Airport asset tracking customers include KLM Equipment Services and Hanover Airport. Usage-based insurance customers include Discovery Insure and Cross Country Insurance Consultants. Our largest vehicle tracking customer is the South African Police Service (SAPS).</w:t>
      </w:r>
    </w:p>
    <w:p>
      <w:pPr>
        <w:spacing w:after="0" w:line="296"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Our customers for our business connectivity products include EnerNOC, Creative Mobile Technologies, Fastenal, T-Mobile, Sprint and Verizon Wireless. Our customers for our device management solutions include T-Mobile and Sprint.</w:t>
      </w:r>
    </w:p>
    <w:p>
      <w:pPr>
        <w:spacing w:after="0" w:line="279" w:lineRule="exact"/>
        <w:rPr>
          <w:sz w:val="20"/>
          <w:szCs w:val="20"/>
          <w:color w:val="auto"/>
        </w:rPr>
      </w:pPr>
    </w:p>
    <w:p>
      <w:pPr>
        <w:ind w:right="800" w:firstLine="405"/>
        <w:spacing w:after="0" w:line="342" w:lineRule="auto"/>
        <w:rPr>
          <w:sz w:val="20"/>
          <w:szCs w:val="20"/>
          <w:color w:val="auto"/>
        </w:rPr>
      </w:pPr>
      <w:r>
        <w:rPr>
          <w:rFonts w:ascii="Arial" w:cs="Arial" w:eastAsia="Arial" w:hAnsi="Arial"/>
          <w:sz w:val="16"/>
          <w:szCs w:val="16"/>
          <w:color w:val="auto"/>
        </w:rPr>
        <w:t>A significant portion of our revenue during the year ended December 31, 2017 came from one customer, Verizon Wireless, which represented approximately 51% of our total revenues for the year ended December 31, 2017. It is our intention to diversify our customer base.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83"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hardware used in our solutions is produced by contract manufacturers. Our current contract manufacturers include AsiaTelco Technologies Co. and Inventec Appliances Corporation. In the fourth quarter of 2017, we made a transition to make AsiaTelco Technologies Co. our primary contract manufacturer. Under our manufacturing agreements, such contract manufacturers provide us with services including component procurement, product manufacturing, final assembly, testing, quality control and fulfillment. These contract manufacturers are located in China and South Africa and are able to produce our products using modern state-of-the-art equipment and facilities with relatively low-cost labor.</w:t>
      </w:r>
    </w:p>
    <w:p>
      <w:pPr>
        <w:sectPr>
          <w:pgSz w:w="11900" w:h="16838" w:orient="portrait"/>
          <w:cols w:equalWidth="0" w:num="1">
            <w:col w:w="11420"/>
          </w:cols>
          <w:pgMar w:left="240" w:top="526"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26" w:right="239" w:bottom="1440" w:gutter="0" w:footer="0" w:header="0"/>
          <w:type w:val="continuous"/>
        </w:sectPr>
      </w:pPr>
    </w:p>
    <w:bookmarkStart w:id="10" w:name="page11"/>
    <w:bookmarkEnd w:id="10"/>
    <w:p>
      <w:pPr>
        <w:ind w:left="440"/>
        <w:spacing w:after="0"/>
        <w:rPr>
          <w:sz w:val="20"/>
          <w:szCs w:val="20"/>
          <w:color w:val="auto"/>
        </w:rPr>
      </w:pPr>
      <w:r>
        <w:rPr>
          <w:rFonts w:ascii="Arial" w:cs="Arial" w:eastAsia="Arial" w:hAnsi="Arial"/>
          <w:sz w:val="18"/>
          <w:szCs w:val="18"/>
          <w:color w:val="auto"/>
        </w:rPr>
        <w:t>We outsource our higher volume manufacturing in an effort to:</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At December 31, 2017, we had 927 employees. We also use the services of consultants and temporary workers from time to time. Our employees are not represented by any collective bargaining unit and we consider our relationship with our employees to be good.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3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 RELATING TO OUR BUSINESS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fluctuate in the future, which could cause declines or volatility in the price of our common stock.</w:t>
      </w:r>
    </w:p>
    <w:p>
      <w:pPr>
        <w:spacing w:after="0" w:line="1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spacing w:after="0" w:line="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accurately predict changes in customer demand due to matters beyond our control;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introduce new features, including integration of our existing solutions with third-party software and devices;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actions of our competitors, including consolidation within the industry, pricing changes or the introduction of new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successfully manage and realize the anticipated benefits of any future acquisitions of businesses, solutions, or technologies;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launch new services or solutions or sell existing services or solutions into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6" w:right="239" w:bottom="1440" w:gutter="0" w:footer="0" w:header="0"/>
        </w:sectPr>
      </w:pPr>
    </w:p>
    <w:bookmarkStart w:id="11" w:name="page12"/>
    <w:bookmarkEnd w:id="11"/>
    <w:p>
      <w:pPr>
        <w:ind w:left="980"/>
        <w:spacing w:after="0"/>
        <w:rPr>
          <w:sz w:val="20"/>
          <w:szCs w:val="20"/>
          <w:color w:val="auto"/>
        </w:rPr>
      </w:pPr>
      <w:r>
        <w:rPr>
          <w:rFonts w:ascii="Arial" w:cs="Arial" w:eastAsia="Arial" w:hAnsi="Arial"/>
          <w:sz w:val="18"/>
          <w:szCs w:val="18"/>
          <w:color w:val="auto"/>
        </w:rPr>
        <w:t>additional geographies or vertical markets;</w:t>
      </w:r>
    </w:p>
    <w:p>
      <w:pPr>
        <w:spacing w:after="0" w:line="7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 of developing or acquiring technologies, services, or businesses;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operating costs, and capital expenditures related to the operation, maintenance, and expansion of our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outages or security breaches and any related occurrences which could impact our reputation;</w:t>
      </w:r>
    </w:p>
    <w:p>
      <w:pPr>
        <w:spacing w:after="0" w:line="63" w:lineRule="exact"/>
        <w:rPr>
          <w:rFonts w:ascii="Arial" w:cs="Arial" w:eastAsia="Arial" w:hAnsi="Arial"/>
          <w:sz w:val="18"/>
          <w:szCs w:val="18"/>
          <w:color w:val="auto"/>
        </w:rPr>
      </w:pPr>
    </w:p>
    <w:p>
      <w:pPr>
        <w:ind w:left="980" w:right="460" w:hanging="324"/>
        <w:spacing w:after="0" w:line="29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worldwide economic, industry, and market conditions, including disruptions in financial markets and the deterioration of the underlying economic conditions in some countries, and those conditions specific to Internet usage and online businesses;</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South African Rand to U.S. Dollar exchange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and regulations affecting our business; and</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 of fleet management solutions or asset management solutions from cellular carrier-controlled or OEM-controlled channels from which Inseego may be excluded.</w:t>
      </w:r>
    </w:p>
    <w:p>
      <w:pPr>
        <w:spacing w:after="0" w:line="11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an accumulated deficit and may not be able to achieve or sustain profitability, which may negatively impact our ability to achieve our business objectives.</w:t>
      </w:r>
    </w:p>
    <w:p>
      <w:pPr>
        <w:spacing w:after="0" w:line="6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have reported net losses in each of the last three fiscal years, and we cannot predict when we will become profitable or if such profitability can be sustained. We expect to continue making significant expenditures to develop and expand our business. Any growth in our revenue or customer base may not be sustainable, and we may not generate sufficient revenue to become profitable. We may incur significant losses in the future for a number of reasons, including the other risks described in this section, and we may encounter unforeseen expenses, difficulties, complications and delays and other unknown events. Accordingly, we may not be able to achieve or sustain profitability, and the failure to fund our capital requirements may negatively impact our ability to achieve our business objectives.</w:t>
      </w:r>
    </w:p>
    <w:p>
      <w:pPr>
        <w:spacing w:after="0" w:line="301"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The reorganized company resulting from the acquisitions of R.E.R. Enterprises, Inc. (“RER”) (and its wholly-owned subsidiary and principal operating asset, Feeney Wireless, LLC (which has been renamed Inseego North America, LLC) (“FW” or “INA”)) and Ctrack and the recent divestiture of our Modules Business (as defined below) may not perform as we or the market expects, which could have an adverse effect on the price of our common stock.</w:t>
      </w:r>
    </w:p>
    <w:p>
      <w:pPr>
        <w:spacing w:after="0" w:line="23" w:lineRule="exact"/>
        <w:rPr>
          <w:sz w:val="20"/>
          <w:szCs w:val="20"/>
          <w:color w:val="auto"/>
        </w:rPr>
      </w:pPr>
    </w:p>
    <w:p>
      <w:pPr>
        <w:ind w:right="200" w:firstLine="392"/>
        <w:spacing w:after="0" w:line="342" w:lineRule="auto"/>
        <w:rPr>
          <w:sz w:val="20"/>
          <w:szCs w:val="20"/>
          <w:color w:val="auto"/>
        </w:rPr>
      </w:pPr>
      <w:r>
        <w:rPr>
          <w:rFonts w:ascii="Arial" w:cs="Arial" w:eastAsia="Arial" w:hAnsi="Arial"/>
          <w:sz w:val="16"/>
          <w:szCs w:val="16"/>
          <w:color w:val="auto"/>
        </w:rPr>
        <w:t>The reorganized company resulting from the acquisitions of FW and Ctrack in 2015 and the divestiture of our Modules Business in 2016 may not perform as we or the market expects. Risks associated with the reorganized company following these acquisitions and the divestiture include the following:</w:t>
      </w:r>
    </w:p>
    <w:p>
      <w:pPr>
        <w:spacing w:after="0" w:line="43" w:lineRule="exact"/>
        <w:rPr>
          <w:sz w:val="20"/>
          <w:szCs w:val="20"/>
          <w:color w:val="auto"/>
        </w:rPr>
      </w:pPr>
    </w:p>
    <w:p>
      <w:pPr>
        <w:ind w:left="980" w:right="480" w:hanging="324"/>
        <w:spacing w:after="0" w:line="29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integrating new business acquisitions and divesting existing lines of business is a difficult, expensive and time-consuming process and the failure to successfully manage such transitions could adversely affect our financial condition and results of operations;</w:t>
      </w:r>
    </w:p>
    <w:p>
      <w:pPr>
        <w:jc w:val="both"/>
        <w:ind w:left="980" w:right="6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acquisitions of FW and Ctrack changed the nature of the business in which we historically operated from primarily selling communications-related hardware to a solutions and software business in the emerging IoT market; if we are not able to effectively adjust to these changes in the fundamental nature of our business, our financial condition and results of operations may be adversely affected;</w:t>
      </w:r>
    </w:p>
    <w:p>
      <w:pPr>
        <w:spacing w:after="0" w:line="3" w:lineRule="exact"/>
        <w:rPr>
          <w:rFonts w:ascii="Arial" w:cs="Arial" w:eastAsia="Arial" w:hAnsi="Arial"/>
          <w:sz w:val="17"/>
          <w:szCs w:val="17"/>
          <w:color w:val="auto"/>
        </w:rPr>
      </w:pPr>
    </w:p>
    <w:p>
      <w:pPr>
        <w:ind w:left="980" w:right="60" w:hanging="324"/>
        <w:spacing w:after="0" w:line="29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it is possible that our key employees might decide not to remain with us as a result of these changes in our business or for other reasons, and the loss of such personnel could have a material adverse effect on our financial condition, results of operations and growth prospects;</w:t>
      </w:r>
    </w:p>
    <w:p>
      <w:pPr>
        <w:ind w:left="980" w:right="12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relationships with third parties, including key vendors and customers, may be affected by changes in our business resulting from these acquisitions and divestitures; any adverse changes in these third party relationships could adversely affect our business, financial condition and results of operations; and</w:t>
      </w:r>
    </w:p>
    <w:p>
      <w:pPr>
        <w:spacing w:after="0" w:line="19"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of our common stock may be affected by factors different from those that affected the price of our common stock prior to these acquisitions and/or divestitures.</w:t>
      </w:r>
    </w:p>
    <w:p>
      <w:pPr>
        <w:spacing w:after="0" w:line="116" w:lineRule="exact"/>
        <w:rPr>
          <w:sz w:val="20"/>
          <w:szCs w:val="20"/>
          <w:color w:val="auto"/>
        </w:rPr>
      </w:pPr>
    </w:p>
    <w:p>
      <w:pPr>
        <w:ind w:right="40" w:firstLine="392"/>
        <w:spacing w:after="0" w:line="277" w:lineRule="auto"/>
        <w:rPr>
          <w:sz w:val="20"/>
          <w:szCs w:val="20"/>
          <w:color w:val="auto"/>
        </w:rPr>
      </w:pPr>
      <w:r>
        <w:rPr>
          <w:rFonts w:ascii="Arial" w:cs="Arial" w:eastAsia="Arial" w:hAnsi="Arial"/>
          <w:sz w:val="18"/>
          <w:szCs w:val="18"/>
          <w:color w:val="auto"/>
        </w:rPr>
        <w:t>We cannot provide any assurances with respect to the accuracy of our assumptions with respect to future revenues or revenue growth rates, if any, of the reorganized company, and we cannot provide assurances with respect to our ability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4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realize any expected operating synergies or cost savings from the acquisition of FW and Ctrack and the divestiture of our Modules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5G market may take longer to materialize than we expect or, if it does materialize rapidly, we may not be able to meet the development schedule.</w:t>
      </w:r>
    </w:p>
    <w:p>
      <w:pPr>
        <w:spacing w:after="0" w:line="24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5G market, including the newly defined 5G NR standard, is accelerating and we believe that we are at the forefront of this newly emerging standard. However, this market may take longer to materialize than we expect which could delay important commercial network launches. Even if the market does materialize at the rapid pace that we are expecting, we may have difficulties meeting the aggressive time lines and getting our target products to market on time to meet the demands of our target customers. The 5G market requires us to design routers and antennas that meet certain technical specifications. We may have difficulties meeting the market and technical specifications and time lines. Additionally, our target customers have no guaranty that the configurations of their respective target products will be successful or that they can reach the appropriate target client base to make our research and development investment worthwhile. Failure to manage these challenges could have a material adverse effect on our financial condition and results of operations.</w:t>
      </w:r>
    </w:p>
    <w:p>
      <w:pPr>
        <w:spacing w:after="0" w:line="2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17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development of new solutions for mobile broadband data, vehicle tracking, asset management, fleet management and telemetry applications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 both in the United States and international markets.</w:t>
      </w:r>
    </w:p>
    <w:p>
      <w:pPr>
        <w:spacing w:after="0" w:line="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spacing w:after="0" w:line="7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 consuming litigation or expensive licenses and our business could be harmed.</w:t>
      </w:r>
    </w:p>
    <w:p>
      <w:pPr>
        <w:spacing w:after="0" w:line="1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technology industries involving mobile data communications, IoT devices,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For example, one such entity, Carucel Investments, L.P. (“Carucel”) filed a claim seeking approximately $43.0 million in royalties and damages related to past sales of MiFi mobile hotspots. After a trial in April 2017, a jury found that our products did not infringe Carucel’s patents, but Carucel is appealing the verdict and there can be no assurances as to the ultimate outcome of this litigation. Moreover, this is just one of several patent infringement lawsuits from non-practicing entities that are brought against us or our subsidiaries each year in the ordinary course of business.</w:t>
      </w:r>
    </w:p>
    <w:p>
      <w:pPr>
        <w:spacing w:after="0" w:line="300"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as is the case in the Carucel litigation for which Novatel Wireless may be obligated to indemnify its customer, Verizon Wireless if Carucel’s infringement claim ultimately results in any liability.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technology might not be successful and, in any case, might substantially increase our costs and harm our business, financial condition and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Withdrawal of any of our products or solutions from the market could harm our business, financial condition and operating results.</w:t>
      </w:r>
    </w:p>
    <w:p>
      <w:pPr>
        <w:spacing w:after="0" w:line="15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and proprietary rights, our competitive position and our business could be harmed.</w:t>
      </w:r>
    </w:p>
    <w:p>
      <w:pPr>
        <w:spacing w:after="0" w:line="23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rely on a combination of patent laws, trademark laws, copyright laws, trade secrets, confidentiality procedures and contractual provisions to protect our intellectual property and proprietary rights. However, our issued patents and any future patents that may issue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are held in the form of trade secrets which are not protected by patents.</w:t>
      </w:r>
    </w:p>
    <w:p>
      <w:pPr>
        <w:spacing w:after="0" w:line="119"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currently engaged in litigation that could be costly to maintain, distracting to management and could, if decided adversely, have a material adverse effect on our financial condition and operating results.</w:t>
      </w:r>
    </w:p>
    <w:p>
      <w:pPr>
        <w:spacing w:after="0" w:line="17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On May 11, 2017, the Company initiated a lawsuit against the former stockholders of RER in connection with the Company’s acquisition of FW, seeking recovery of damages for civil conspiracy, fraud in the inducement, unjust enrichment and breach of fiduciary duty. The Company has suspended payments owed to the former stockholders of RER under an earn-out arrangement, pursuant to which the Company would have been required to pay an additional $15.8 million in cash and 1.9 million shares of the Company’s common stock pending the outcome of this litigation. There can be no assurance as to the ultimate outcome of this case. If there is an adverse judgment against the Company, in addition to costs associated with maintaining this lawsuit, it could result in the Company being required to make the suspended payments and could have a material adverse effect on our financial condition and operating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acquisition depends in part on our retention and integration of key personnel from the acquired company or business.</w:t>
      </w:r>
    </w:p>
    <w:p>
      <w:pPr>
        <w:spacing w:after="0" w:line="13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4" w:name="page15"/>
    <w:bookmarkEnd w:id="14"/>
    <w:p>
      <w:pPr>
        <w:ind w:right="220"/>
        <w:spacing w:after="0" w:line="277" w:lineRule="auto"/>
        <w:rPr>
          <w:sz w:val="20"/>
          <w:szCs w:val="20"/>
          <w:color w:val="auto"/>
        </w:rPr>
      </w:pPr>
      <w:r>
        <w:rPr>
          <w:rFonts w:ascii="Arial" w:cs="Arial" w:eastAsia="Arial" w:hAnsi="Arial"/>
          <w:sz w:val="18"/>
          <w:szCs w:val="18"/>
          <w:b w:val="1"/>
          <w:bCs w:val="1"/>
          <w:i w:val="1"/>
          <w:iCs w:val="1"/>
          <w:color w:val="auto"/>
        </w:rPr>
        <w:t>Our decision to terminate the Purchase Agreement governing the proposed sale of our MiFi Business and retain ownership of that business could have adverse effects on our business, results of operations and the trading price of our common stock.</w:t>
      </w:r>
    </w:p>
    <w:p>
      <w:pPr>
        <w:spacing w:after="0" w:line="224"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In June 2017, we terminated the Purchase Agreement governing the proposed sale of our MiFi Business due to delays and uncertainty in securing approval of the transactions contemplated by the Purchase Agreement from CFIUS. As a result of such termination, we retained our ownership interest in Novatel Wireless and the MiFi Business. While we believe that market opportunities and the underlying business fundamentals of the mobile hotspot business have improved since we decided to seek the sale of the business in early 2016 we expect to face significant challenges as we drive that business toward profitability.</w:t>
      </w:r>
    </w:p>
    <w:p>
      <w:pPr>
        <w:spacing w:after="0" w:line="134" w:lineRule="exact"/>
        <w:rPr>
          <w:sz w:val="20"/>
          <w:szCs w:val="20"/>
          <w:color w:val="auto"/>
        </w:rPr>
      </w:pPr>
    </w:p>
    <w:p>
      <w:pPr>
        <w:ind w:right="140" w:firstLine="392"/>
        <w:spacing w:after="0" w:line="290" w:lineRule="auto"/>
        <w:rPr>
          <w:sz w:val="20"/>
          <w:szCs w:val="20"/>
          <w:color w:val="auto"/>
        </w:rPr>
      </w:pPr>
      <w:r>
        <w:rPr>
          <w:rFonts w:ascii="Arial" w:cs="Arial" w:eastAsia="Arial" w:hAnsi="Arial"/>
          <w:sz w:val="16"/>
          <w:szCs w:val="16"/>
          <w:color w:val="auto"/>
        </w:rPr>
        <w:t>The mobile hotspot business has relatively low gross margins and operates in a very competitive market environment. While our mobile hotspot products tend to have advanced features which often enable them to be sold at premium prices when they are first introduced, we also have higher costs than most of our competitors due to our small scale and heavy use of U.S. based engineers in product development. Many of our competitors have substantially greater resources and scale, as would be expected in the relatively mature, consumer electronics product categories which comprise our mobile hotspot business. Our wireless data modem and mobile hotspots, for example, compete against similar products offered by Huawei, ZTE, Sierra Wireless, TCL, Franklin Wireless and NetGear. More broadly, those products also compete against wireless handset manufacturers such as HTC, Apple, LG and Samsung, which all offer mobile hotspot capability as a feature of their cellular smartphones. Failure to manage these challenges, or failure of our hotspot product or service offerings to be successful and profitable, could have a material adverse effect on our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140" w:lineRule="exact"/>
        <w:rPr>
          <w:sz w:val="20"/>
          <w:szCs w:val="20"/>
          <w:color w:val="auto"/>
        </w:rPr>
      </w:pPr>
    </w:p>
    <w:p>
      <w:pPr>
        <w:ind w:right="100" w:firstLine="392"/>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including the Term Loan under the Credit Agreement (each as defined below) and the Convertible Notes (as defined below),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capital markets and our financial condition at such time. We may not be able to engage in any of these activities or engage in these activities on favorable terms, which could result in a default on our debt obligations.</w:t>
      </w:r>
    </w:p>
    <w:p>
      <w:pPr>
        <w:spacing w:after="0" w:line="221"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Interest rates on our Term Loan are tied to the LIBOR plus a fixed percentage. Increases in the prime interest rate (LIBOR) will increase our debt service costs/interest payments.</w:t>
      </w:r>
    </w:p>
    <w:p>
      <w:pPr>
        <w:spacing w:after="0" w:line="224"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or if we fail to comply with the various requirements of our existing indebtedness or any other indebtedness which we may incur in the future, we would be in default, which could permit the holders of our indebtedness, including the Convertible Notes, to accelerate the maturity of such indebtedness. Any default under such indebtedness could have a material adverse effect on our business,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current consolidated debt levels, we may incur additional debt in compliance with our existing obligations.</w:t>
      </w:r>
    </w:p>
    <w:p>
      <w:pPr>
        <w:spacing w:after="0" w:line="225" w:lineRule="exact"/>
        <w:rPr>
          <w:sz w:val="20"/>
          <w:szCs w:val="20"/>
          <w:color w:val="auto"/>
        </w:rPr>
      </w:pPr>
    </w:p>
    <w:p>
      <w:pPr>
        <w:ind w:right="60" w:firstLine="392"/>
        <w:spacing w:after="0" w:line="276" w:lineRule="auto"/>
        <w:rPr>
          <w:sz w:val="20"/>
          <w:szCs w:val="20"/>
          <w:color w:val="auto"/>
        </w:rPr>
      </w:pPr>
      <w:r>
        <w:rPr>
          <w:rFonts w:ascii="Arial" w:cs="Arial" w:eastAsia="Arial" w:hAnsi="Arial"/>
          <w:sz w:val="17"/>
          <w:szCs w:val="17"/>
          <w:color w:val="auto"/>
        </w:rPr>
        <w:t>Despite our current consolidated debt levels, we and our subsidiaries may be able to incur additional debt in the future, including secured debt. The Inseego Indenture contains covenants, that are effective until June 15, 2020, limiting our and our subsidiaries’ ability to incur additional secured indebtedness in the future, but it will not completely prohibit the incurrence of such secured debt. Although the terms of the Inseego Indenture contain restrictions on the incurrence of additional indebtedness, those restrictions are subject to a number of significant qualifications and exceptions and the amount of capital indebtedness that could be incurred in connection with those exceptions could be substantial.</w:t>
      </w:r>
    </w:p>
    <w:p>
      <w:pPr>
        <w:spacing w:after="0" w:line="2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Credit Agreement relating to our Term Loan contains customary operational covenants, our failure to comply with which could result in a default under the Credit Agreement as well as a cross-default under the Inseego Indenture.</w:t>
      </w:r>
    </w:p>
    <w:p>
      <w:pPr>
        <w:spacing w:after="0" w:line="224"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credit agreement, dated August 23, 2017, by and among the Company and certain of our direct and indirect subsidiaries (the “Guarantors”), Cantor Fitzgerald Securities, as administrative agent and collateral agent (the “Agent”), and certain funds managed by Highbridge Capital Management, LLC, as lenders (the “Lenders”) (the “Credit Agreement”) which governs our Term Loan contains usual and customary restrictive covenants relating to the management and operation of our business, and it is likely that any future debt arrangements we may enter into would contain similar covenants. Failure to comply with any of the covenants under the Credit Agreement or any other debt agreement could result in a default under such an agreement and a cross-default under the Inseego Indenture (as defined below), which could permit the holders of the Inseego</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Notes (as defined below) to accelerate the maturity of such indebtedness. Any default or cross-default under such indebtedness could have a material adverse effect on our business, results of operations and financial results.</w:t>
      </w:r>
    </w:p>
    <w:p>
      <w:pPr>
        <w:spacing w:after="0" w:line="2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indebtedness under our Credit Agreement is secured by certain of our assets, including the equity interests of certain of our direct and indirect subsidiaries. As a result of this security interest, such assets would only be available to satisfy claims of our general creditors or to holders of our equity securities if we were to become insolvent to the extent that the value of such assets exceeded the amount of our indebtedness and other obligations under the Credit Agreement.</w:t>
      </w:r>
    </w:p>
    <w:p>
      <w:pPr>
        <w:spacing w:after="0" w:line="24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Indebtedness under our Credit Agreement is secured by a lien on certain of our assets, including the equity interests of certain of our direct and indirect subsidiaries. Accordingly, if an event of default were to occur under the Credit Agreement, such as a bankruptcy, insolvency, liquidation or other reorganization, the Lenders would have a priority right to such assets, to the exclusion of our general creditors. In that event, such assets would first be used to repay in full all indebtedness and other obligations under the Credit Agreement, resulting in all or a portion of such assets being unavailable to satisfy the claims of our unsecured creditors. Only after satisfying the claims of our unsecured creditors and our subsidiaries’ unsecured creditors would any amount be available for distribution to holders of our equity securities.</w:t>
      </w:r>
    </w:p>
    <w:p>
      <w:pPr>
        <w:spacing w:after="0" w:line="2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reorganization and restructuring activities fail to achieve targeted cost and expense reductions our business and financial performance may be adversely affected.</w:t>
      </w:r>
    </w:p>
    <w:p>
      <w:pPr>
        <w:spacing w:after="0" w:line="22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June 2017, we announced a restructuring plan aimed at reducing our cost of revenues and operating expenses. This restructuring plan was designed to improve our strategic focus on our most profitable business lines and consolidate operations of certain of our subsidiaries with those of the Company, including reductions-in-force, further reorganization of executive level management and the consolidation of certain of our facilities. During the period covered by this Annual Report on Form 10-K, we incurred approximately $5.2 million of restructuring charges and decreased other operating expenses by approximately $35.0 million. While we expect to continue with our cost reductions, we face a variety of risks and uncertainties relating to the effectiveness of such activities. Any delays in the implementation of our restructuring plan or unforeseen expenses related to such activities could have a material adverse effect on our business,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reorganization and restructuring announced in June 2017 may not yield the expected results, or may result in additional expenditures.</w:t>
      </w:r>
    </w:p>
    <w:p>
      <w:pPr>
        <w:spacing w:after="0" w:line="29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reorganization and restructuring announced in June 2017 may fail to reduce the Company’s expenditure rate to the correct level. In addition, we may incur additional expenditures or other adverse effects as a result of the reorganization and restructuring which may:</w:t>
      </w:r>
    </w:p>
    <w:p>
      <w:pPr>
        <w:spacing w:after="0" w:line="11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us to further reduce the expenditure rate, which may include planned research and development activities or other operating expenses;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difficult to retain key personnel as a result of the restructuring;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prevent us from growing sales/revenue with existing customers or adding new customers.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ability to transition to more profitable operations is dependent upon the Company achieving a level of revenue adequate to support our evolving cost structure. If events or circumstances occur such that we do not meet our operating plan as expected, or if we become obligated to pay unforeseen expenditures as a result of our reorganization and restructuring activities, we may never achieve our intended business objectives, which could have a material adverse effect on our business,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relating to recent changes in our management team may adversely affect our operations.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Over the last two years, we have experienced significant turnover in our senior management. While we expect to engage in an orderly transition process as we integrate newly appointed officers and managers, we face a variety of risks and uncertainties relating to the lack of management continuity, including diversion of management attention from business concerns, failure to retain other key personnel or inability to hire new key personnel. These risks and uncertainties could result in operational and administrative inefficiencies and added costs, which could adversely impact our results of operations, stock price and customer relationships.</w:t>
      </w:r>
    </w:p>
    <w:p>
      <w:pPr>
        <w:spacing w:after="0" w:line="24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Company has entered into a Rights Agreement, and if the holders exercise their share purchase rights under such agreement, it could materially adversely affect the price of our common stock and cause dilution to our existing stockholders.</w:t>
      </w:r>
    </w:p>
    <w:p>
      <w:pPr>
        <w:spacing w:after="0" w:line="22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entered into a rights agreement on January 22, 2018, with Computershare Trust Company, N.A., a federally chartered trust company, as Rights Agent (the “Rights Agreement”). The Rights Agreement is intended to discourage acquisitions of our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6" w:name="page17"/>
    <w:bookmarkEnd w:id="16"/>
    <w:p>
      <w:pPr>
        <w:ind w:right="60"/>
        <w:spacing w:after="0" w:line="253" w:lineRule="auto"/>
        <w:rPr>
          <w:sz w:val="20"/>
          <w:szCs w:val="20"/>
          <w:color w:val="auto"/>
        </w:rPr>
      </w:pPr>
      <w:r>
        <w:rPr>
          <w:rFonts w:ascii="Arial" w:cs="Arial" w:eastAsia="Arial" w:hAnsi="Arial"/>
          <w:sz w:val="18"/>
          <w:szCs w:val="18"/>
          <w:color w:val="auto"/>
        </w:rPr>
        <w:t>common stock which could result in a cumulative change in ownership of more than 50% within a rolling three-year period, thereby preserving our current ability to utilize net operating loss carryforwards to offset future income tax obligations, which would become subject to limitations if we were to experience an “ownership change,” as defined under Section 382 of the Internal Revenue Code of 1986, as amended. While this Rights Agreement is intended to preserve our current ability to utilize net operating loss carryforwards, it effectively deters current and future purchasers from accumulating more than 4.9% of our common stock, which could delay or discourage takeover attempts that stockholders may consider favorable. In addition, if the share purchase rights under the Rights Agreement are exercised, additional shares of our common stock will be issued, which could cause dilution to our current stockholders. Moreover, sales in the public market of any shares of our common stock issuable upon such exercise, or the perception that such sales may occur, could adversely affect the prevailing market price of our common stock. These issuances would also cause our per share net income, if any, to decrease in future periods.</w:t>
      </w:r>
    </w:p>
    <w:p>
      <w:pPr>
        <w:spacing w:after="0" w:line="25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If the Rights Agreement has not been approved or ratified by the stockholders prior to the close of business on the date of the Company’s 2018 Annual Meeting, the preferred stock purchase rights issued pursuant to the Rights Agreement will expire, which could make an acquisition of our common stock that would trigger a limitation on our ability to utilize our net operating loss carryforwards more likely to occur.</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CORPORATE DEVELOPMENT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6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Various risks arise if companies and industries quickly grow or evolve. If our business or industry develops more quickly than our ability to respond, our ability to meet customer demand in a timely and efficient manner could be challenged. We may also experience development, certification or production delays as we seek to meet demand for our products or unanticipated product requirements. Our failure to properly manage the developments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development activities could disrupt our business and harm our financial condition and results of operations.</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As part of our business strategy, we may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8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the percentage ownership of existing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Acquired businesses may have liabilities or adverse operating issues that we fail to discover through due diligence prior to the acquisition, such as:</w:t>
      </w:r>
    </w:p>
    <w:p>
      <w:pPr>
        <w:spacing w:after="0" w:line="19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previous management to comply with applicable laws or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inaccurate representations;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unfulfilled contractual obligations to customers or vendors.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risks of engaging in acquisitions include:</w:t>
      </w:r>
    </w:p>
    <w:p>
      <w:pPr>
        <w:spacing w:after="0" w:line="11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assimilating acquired operations, products, technologies and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existing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of entering markets in which we have limited or no prior experience;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from either our existing business or the acquired organization.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76" w:right="27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There are also risks associated with divested businesses or businesses planned to be sold, such as:</w:t>
      </w:r>
    </w:p>
    <w:p>
      <w:pPr>
        <w:spacing w:after="0" w:line="21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separating divested operations from ongoing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sales, marketing and operating synergies;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key employees and know-how related to the on-going portions of the business;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existing operations;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25"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As a result, if we fail to properly evaluate or implement acquisitions or divestitures, we may not achieve the anticipated benefits of any such transactions, and we may incur unanticipated costs, either of which could harm our business and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for the products and services that we offer is rapidly evolving and highly competitive. We may be unable to compete effectively.</w:t>
      </w:r>
    </w:p>
    <w:p>
      <w:pPr>
        <w:spacing w:after="0" w:line="102"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market for the products and services that we offer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manufacture, promotion, sale, and post-sale support of their respective products and services.</w:t>
      </w:r>
    </w:p>
    <w:p>
      <w:pPr>
        <w:spacing w:after="0" w:line="11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1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IoT wireless solutions. Our current competitors include:</w:t>
      </w:r>
    </w:p>
    <w:p>
      <w:pPr>
        <w:spacing w:after="0" w:line="6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fleet management SaaS and services providers, such as Fleetmatics, Masternaut, TomTom, Telogis, MiX Telematics and Cartrack;</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mobile hotspots providers, such as Netgear and Franklin Wireless;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spacing w:after="0" w:line="2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The market for asset management and fleet management solutions and the markets for telemetry and tracking solutions are all highly fragmented and competitive, with low barriers to entry. If we do not compete effectively, our operating results may be harmed.</w:t>
      </w:r>
    </w:p>
    <w:p>
      <w:pPr>
        <w:spacing w:after="0" w:line="3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market for asset management and fleet management solutions and the markets for telemetry and tracking solutions are all highly fragmented, consisting of a large number of vendors, competitive and rapidly changing product and service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530" w:right="299" w:bottom="1440" w:gutter="0" w:footer="0" w:header="0"/>
        </w:sectPr>
      </w:pPr>
    </w:p>
    <w:bookmarkStart w:id="18" w:name="page19"/>
    <w:bookmarkEnd w:id="18"/>
    <w:p>
      <w:pPr>
        <w:spacing w:after="0" w:line="288" w:lineRule="auto"/>
        <w:rPr>
          <w:sz w:val="20"/>
          <w:szCs w:val="20"/>
          <w:color w:val="auto"/>
        </w:rPr>
      </w:pPr>
      <w:r>
        <w:rPr>
          <w:rFonts w:ascii="Arial" w:cs="Arial" w:eastAsia="Arial" w:hAnsi="Arial"/>
          <w:sz w:val="16"/>
          <w:szCs w:val="16"/>
          <w:color w:val="auto"/>
        </w:rPr>
        <w:t>offerings, with relatively low barriers to entry. Competition in all these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to intensify in the future with the introduction of new technologies and market entrants. For example, in the telematics market, mobile service and software providers, such as Google and makers of GPS navigation devices, such as Garmin, provide limited services at lower prices or at no charge, such as basic GPS- based mapping, tracking and turn-by-turn directions that could be expanded or further developed to more directly compete with our fleet management solutions. In addition, wireless carriers, such as Verizon Wireless, have begun to offer fleet management solutions that benefit from the carrier’s scale and cost advantages which we are unable to match. Similarly, vehicle OEMs may provide factory-installed devices and effectively compete against us directly or indirectly by partnering with other fleet management suppliers. We can provide no assurances that we will be able to compete effectively as this ecosystem as the competitive landscape continues to develop. Competition could result in reduced operating margins, increased sales and marketing expenses and the loss of market share, any of which would likely cause serious harm to our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consolidation may result in increased competition, which could result in a loss of customers or a reduction in revenue.</w:t>
      </w:r>
    </w:p>
    <w:p>
      <w:pPr>
        <w:spacing w:after="0" w:line="171" w:lineRule="exact"/>
        <w:rPr>
          <w:sz w:val="20"/>
          <w:szCs w:val="20"/>
          <w:color w:val="auto"/>
        </w:rPr>
      </w:pPr>
    </w:p>
    <w:p>
      <w:pPr>
        <w:ind w:right="300" w:firstLine="392"/>
        <w:spacing w:after="0" w:line="293" w:lineRule="auto"/>
        <w:rPr>
          <w:sz w:val="20"/>
          <w:szCs w:val="20"/>
          <w:color w:val="auto"/>
        </w:rPr>
      </w:pPr>
      <w:r>
        <w:rPr>
          <w:rFonts w:ascii="Arial" w:cs="Arial" w:eastAsia="Arial" w:hAnsi="Arial"/>
          <w:sz w:val="16"/>
          <w:szCs w:val="16"/>
          <w:color w:val="auto"/>
        </w:rPr>
        <w:t>Some of our competitors have made or may make acquisitions or may enter into partnerships or other strategic relationships to offer more comprehensive services than they individually had offered or achieve greater economies of scale. In addition, new entrants not currently considered to be competitors may enter our market through acquisitions, partnerships or strategic relationships. We expect these trends to continue as companies attempt to strengthen or maintain their market positions. Many of the potential entrants may have competitive advantages over us, such as greater name recognition, longer operating histories, more varied services and larger marketing budgets, as well as greater financial, technical and other resources. These pressures could result in a substantial loss of our customers, a reduction in our revenue or increased costs as we seek ways to become more competitive.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CUSTOMERS AND DEMAND FOR OUR SOLUTIONS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inability to adapt to rapid technological change in our markets could impair our ability to remain competitive and adversely affect our results of operations.</w:t>
      </w:r>
    </w:p>
    <w:p>
      <w:pPr>
        <w:spacing w:after="0" w:line="143" w:lineRule="exact"/>
        <w:rPr>
          <w:sz w:val="20"/>
          <w:szCs w:val="20"/>
          <w:color w:val="auto"/>
        </w:rPr>
      </w:pPr>
    </w:p>
    <w:p>
      <w:pPr>
        <w:ind w:right="60" w:firstLine="392"/>
        <w:spacing w:after="0" w:line="293" w:lineRule="auto"/>
        <w:rPr>
          <w:sz w:val="20"/>
          <w:szCs w:val="20"/>
          <w:color w:val="auto"/>
        </w:rPr>
      </w:pPr>
      <w:r>
        <w:rPr>
          <w:rFonts w:ascii="Arial" w:cs="Arial" w:eastAsia="Arial" w:hAnsi="Arial"/>
          <w:sz w:val="16"/>
          <w:szCs w:val="16"/>
          <w:color w:val="auto"/>
        </w:rPr>
        <w:t>All of the markets in which we operate are characterized by rapid technological change, frequent introductions of new products, services and solutions and evolving customer demands. In addition, we are affected by changes in the many industries related to the products or services we offer, including the aviation, automotive, telematics, wireless telemetry, GPS navigation device and work flow software industries. As the technologies used in each of these industries evolves, we will face new integration and competition challenges. For example, as automobile manufacturers evolve in-vehicle technology, GPS tracking devices may become standard equipment in new vehicles and compete against some segments of our telematics or asset tracking service offerings. If we are unable to adapt to rapid technological change, it could adversely affect our results of operations and our ability to remain competitive.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 key element of our business strategy is to penetrate new markets by developing new service offerings through strategic relationships with industry participants.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with us.</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decision to retain the MiFi Business means that we will continue to depend upon Verizon Wireless for a substantial portion of our revenues, and our business would be negatively affected by an adverse change in our dealings with this customer.</w:t>
      </w:r>
    </w:p>
    <w:p>
      <w:pPr>
        <w:spacing w:after="0" w:line="62"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Historically, as a result of the significant revenues associated with our MiFi Business, sales to Verizon Wireless accounted for 51%, 54% and 54% of our consolidated net revenues for the years ended December 31, 2017, 2016 and 2015, respectively. While we have accelerated our engagements with prospective new MiFi customers and continue to focus on growing revenue in other parts of our business, we expect that Verizon Wireless will continue to account for a substantial portion of our net revenues, and any impairment of our relationship with Verizon Wireless would adversely affect our business. Additionally, any change in the forecasted or actual product sell through of Verizon Wireless could have a detrimental impact on our revenue, bottom line and cash position.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may not be able to retain and increase sales to our existing customers, which could negatively impact our financial results.</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generally seek to license our solutions pursuant to customer agreements with multi-year terms and subscriptions. However, our customers have no obligation to renew these agreements after their initial term expires.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spacing w:after="0" w:line="24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 part of our growth strategy is to sell additional new features and solutions to our existing customers. Our ability to sell new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 mandated by federal agencies or state-mandated or foreign government regulations as they pertain to our customers.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implements new technologies before we are able to implement them or better anticipates the innovation and integration opportunities in related industries, those competitors may be able to provide more effective or cheaper solutions than ours.</w:t>
      </w:r>
    </w:p>
    <w:p>
      <w:pPr>
        <w:spacing w:after="0" w:line="232"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Another part of our growth strategy is to sell additional subscriptions to existing customers as their fleet sizes increase. We cannot be assured that our customers’ fleet sizes will continue to increase. A significant decrease in our ability to sell existing customers additional functionality or subscriptions could have an adverse effect on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Loss of, or a significant reduction in business from, one or more enterprise or government customers could adversely affect our revenue and profitability.</w:t>
      </w:r>
    </w:p>
    <w:p>
      <w:pPr>
        <w:spacing w:after="0" w:line="1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Loss of one or more of our large enterprise or government customers could result in a meaningful decrease in revenue and profitability, as well as a material increase in our customer churn rate. Because of the variability of industries in which our enterprise and government customers operate and the unpredictability of economic conditions in any particular industry which comprises a significant number of our enterprise or government customers, the composition of, and the volume of business from, our enterprise and government customers is likely to change over time. If we lose one or more large enterprise or government customers, or if we experience a significant reduction in business from one or more large enterprise or government customers, there is no assurance that we would be able to replace those customers to generate comparable revenue over a short time period, which could harm our operating results and profitability.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Adverse economic conditions or reduced spending on information technology solutions may adversely impact our revenue and profitability.</w:t>
      </w:r>
    </w:p>
    <w:p>
      <w:pPr>
        <w:spacing w:after="0" w:line="12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IoT hardware products and solutions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30" w:right="27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expansion of their wireless networks and services, fail to offer and maintain reliable wireless network services or fail to market their services effectively.</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practices of insurance companies in the markets in which we provide our solutions could materially and adversely affect demand for products and services.</w:t>
      </w:r>
    </w:p>
    <w:p>
      <w:pPr>
        <w:spacing w:after="0" w:line="62"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We depend in part on the practices of insurance companies in some of our markets to support demand for certain of our products and services. For example, in South Africa, which is currently the largest market for our Ctrack products and services,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spacing w:after="0" w:line="13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accepting mobile asset location technologies such as ours as a preferred security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premium discounts for using location and recovery products and services such as ours;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mandating the use of our products and services, or similar products and services, for certain vehicles.</w:t>
      </w:r>
    </w:p>
    <w:p>
      <w:pPr>
        <w:spacing w:after="0" w:line="27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If any of these policies or practices change, revenues from sale of our products and services could decline, which would materially and adversely affect our business, results of operations and financial condition.</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Reduction in regulation in certain markets may adversely impact demand for certain of our solutions by reducing the necessity for, or desirability of, our solutions.</w:t>
      </w:r>
    </w:p>
    <w:p>
      <w:pPr>
        <w:spacing w:after="0" w:line="22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Regulatory compliance and reporting is driven by legislation and requirements, which are often subject to change, from regulatory authorities in nearly every jurisdiction globally. For example, in the United States, fleet operators can face numerous complex regulatory requirements, including mandatory Compliance, Safety and Accountability driver safety scoring, hours of service, compliance and fuel tax reporting. The reduction in regulation in certain markets may adversely impact demand for certain of our solutions, which could materially and adversely affect our business, financial condition and results of operations.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DEVELOPING, MANUFACTURING AND DELIVERING OUR SOLUTIONS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many of our products, which exposes us to a number of risks and uncertainties outside our control.</w:t>
      </w:r>
    </w:p>
    <w:p>
      <w:pPr>
        <w:spacing w:after="0" w:line="62"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currently outsource the manufacturing of many of our products to companies including AsiaTelco Technologies Co. and Inventec Appliances Corporation. In addition, in 2016 we sold portions of our IoT modules business to Telit (as defined below), and we now rely on Telit to supply us with modules that are critical to the functionality of some of our telematics hardware devices, including devices sold or deployed by Ctrack. If one of these third-party manufacturers were to 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 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spacing w:after="0" w:line="11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2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49" w:right="279" w:bottom="1440" w:gutter="0" w:footer="0" w:header="0"/>
        </w:sectPr>
      </w:pPr>
    </w:p>
    <w:bookmarkStart w:id="21" w:name="page22"/>
    <w:bookmarkEnd w:id="21"/>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22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0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spacing w:after="0" w:line="12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services use hardware and software from various third parties, some of which are procured from single suppliers. For example, some of our vehicle tracking and fleet management solutions rely on telecommunications modules procured from Telit and our MiFi mobile hotspots rely substantially on chipsets from Qualcomm. From time to time, certain components used in our products or certain products used in our solutions have been in short supply or their anticipated commercial introduction has been delayed or their availability has been subsequently interrupted for reasons outside our control. If there is a shortage or interruption in the availability to us of any such components or products and we cannot timely obtain a commercially and technologically suitable substitute or make sufficient and timely design or other modifications to permit the use of such a substitute component or product,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product replacement, or recall costs could adversely affect our business and financial performance.</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rely on third-party software and other intellectual property to develop and provide our solutions and significant increases in licensing costs or defects in third-party software could harm our business.</w:t>
      </w:r>
    </w:p>
    <w:p>
      <w:pPr>
        <w:spacing w:after="0" w:line="62"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We rely on software and other intellectual property licensed from third parties to develop and offer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2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62"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22" w:right="259" w:bottom="1440" w:gutter="0" w:footer="0" w:header="0"/>
        </w:sectPr>
      </w:pPr>
    </w:p>
    <w:bookmarkStart w:id="22" w:name="page23"/>
    <w:bookmarkEnd w:id="22"/>
    <w:p>
      <w:pPr>
        <w:ind w:right="560"/>
        <w:spacing w:after="0" w:line="277" w:lineRule="auto"/>
        <w:rPr>
          <w:sz w:val="20"/>
          <w:szCs w:val="20"/>
          <w:color w:val="auto"/>
        </w:rPr>
      </w:pPr>
      <w:r>
        <w:rPr>
          <w:rFonts w:ascii="Arial" w:cs="Arial" w:eastAsia="Arial" w:hAnsi="Arial"/>
          <w:sz w:val="18"/>
          <w:szCs w:val="18"/>
          <w:color w:val="auto"/>
        </w:rPr>
        <w:t>software releases or updates to our products until such issues have been resolved, which could have a material adverse effect on our business, financial condition, results of operations, cash flows and future prospects and could damage our reputation.</w:t>
      </w:r>
    </w:p>
    <w:p>
      <w:pPr>
        <w:spacing w:after="0" w:line="1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16"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spacing w:after="0" w:line="12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solutions rely on cellular and GPS networks and any disruption, failure or increase in costs could impede our profitability and harm our financial results.</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Two critical links in our current solutions are between in-vehicle devices and GPS satellites and between in-vehicle devices or customer premise equipment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in-vehicle devices or customer premise equipment, requiring retrofitting of our devices could increase our costs and impact our profitability. In addition, technologies that rely on GPS depend on the use of radio frequency bands and any modification of the permitted uses of these bands may adversely affect the functionality of GPS and, in turn, our solutions.</w:t>
      </w:r>
    </w:p>
    <w:p>
      <w:pPr>
        <w:spacing w:after="0" w:line="85" w:lineRule="exact"/>
        <w:rPr>
          <w:sz w:val="20"/>
          <w:szCs w:val="20"/>
          <w:color w:val="auto"/>
        </w:rPr>
      </w:pPr>
    </w:p>
    <w:p>
      <w:pPr>
        <w:ind w:right="280" w:firstLine="392"/>
        <w:spacing w:after="0" w:line="277" w:lineRule="auto"/>
        <w:rPr>
          <w:sz w:val="20"/>
          <w:szCs w:val="20"/>
          <w:color w:val="auto"/>
        </w:rPr>
      </w:pPr>
      <w:r>
        <w:rPr>
          <w:rFonts w:ascii="Arial" w:cs="Arial" w:eastAsia="Arial" w:hAnsi="Arial"/>
          <w:sz w:val="18"/>
          <w:szCs w:val="18"/>
          <w:color w:val="auto"/>
        </w:rPr>
        <w:t>The mobile carriers can and will discontinue radio frequency technologies as they become obsolete. If we are unable to design our solutions into new technologies such as 4G, 4G LTE and 5G or 5G NR, our future prospects and revenues could be limited.</w:t>
      </w:r>
    </w:p>
    <w:p>
      <w:pPr>
        <w:spacing w:after="0" w:line="2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Any significant disruption in service on our websites or in our computer systems could damage our reputation and result in a loss of customers, which would harm our business and operating results.</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brand, reputation, and ability to attract, retain, and serve our customers are dependent upon the reliable performance of our services and our customers’ ability to access our solutions at all times. Our customers rely on our solutions to make operating decisions related to their businesses,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operating results, including reducing our revenue, causing us to issue credits to customers, subjecting us to potential liability, harming our churn rates, or increasing our cost of acquiring new customers.</w:t>
      </w:r>
    </w:p>
    <w:p>
      <w:pPr>
        <w:spacing w:after="0" w:line="23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host our solutions and serve our South African customers from our network servers, which are located at our data center facilities in South Africa. In other geographies, we host our solutions and serve our customers from network servers hosted by third parties, which are located at data center facilities in the United States, Europe and Australia. If these data centers are unable to keep up with our growing needs for capacity, this could have an adverse effect on our business. Our disaster recovery systems are located at third-party hosting facilities, except in South Africa where we manage our own disaster recovery system at an offsite facility.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products.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churn rates.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ind w:right="420"/>
        <w:spacing w:after="0" w:line="277" w:lineRule="auto"/>
        <w:rPr>
          <w:sz w:val="20"/>
          <w:szCs w:val="20"/>
          <w:color w:val="auto"/>
        </w:rPr>
      </w:pPr>
      <w:r>
        <w:rPr>
          <w:rFonts w:ascii="Arial" w:cs="Arial" w:eastAsia="Arial" w:hAnsi="Arial"/>
          <w:sz w:val="18"/>
          <w:szCs w:val="18"/>
          <w:b w:val="1"/>
          <w:bCs w:val="1"/>
          <w:i w:val="1"/>
          <w:iCs w:val="1"/>
          <w:color w:val="auto"/>
        </w:rPr>
        <w:t>We provide minimum service level commitments to certain of our customers, and our failure to meet them could require us to issue credits for future subscriptions or pay penalties, which could harm our results of operations.</w:t>
      </w:r>
    </w:p>
    <w:p>
      <w:pPr>
        <w:spacing w:after="0" w:line="62"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Certain of our customer agreements currently, and may in the future, provide minimum service level commitments regarding items such as uptime, functionality or performance. If we are unable to meet the stated service level commitments for these customers or suffer extended periods of service unavailability, we are or may be contractually obligated to provide these customers with credits for future subscriptions, provide services at no cost, or pay other penalties which could adversely impact our revenue. We do not currently have any reserves on our balance sheet for these commitments</w:t>
      </w:r>
      <w:r>
        <w:rPr>
          <w:rFonts w:ascii="Arial" w:cs="Arial" w:eastAsia="Arial" w:hAnsi="Arial"/>
          <w:sz w:val="16"/>
          <w:szCs w:val="16"/>
          <w:i w:val="1"/>
          <w:iCs w:val="1"/>
          <w:color w:val="auto"/>
        </w:rPr>
        <w:t>.</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Failure to maintain the security of our information and technology networks, including information relating to our customers and employees, could adversely affect us. Furthermore, if security breaches in connection with the delivery of our services allow unauthorized third parties to obtain control or access of our asset management, fleet management and telemetry solutions, our reputation, business, results of operations and financial condition could be harmed.</w:t>
      </w:r>
    </w:p>
    <w:p>
      <w:pPr>
        <w:spacing w:after="0" w:line="18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We are dependent on information technology networks and systems, including the Internet, to process, transmit and store electronic information and, in the normal course of our business, we collect and retain certain information pertaining to our customers and employees. The protection of customer and employee data is critical to us. We devote significant resources to addressing security vulnerabilities in our products and information technology systems, however, the security measures put in place by us cannot provide absolute security, and our information technology infrastructure may be vulnerable to criminal cyber-attacks or data security incidents due to employee or customer error, malfeasance, or other vulnerabilities. Cybersecurity attacks are increasingly sophisticated, change frequently, and often go undetected until after an attack has been launched. We may fail to identify these new and complex methods of attack, or fail to invest sufficient resources in security measures. We cannot be certain that advances in cyber-capabilities or other developments will not compromise or breach the technology protecting the networks that access our services.</w:t>
      </w:r>
    </w:p>
    <w:p>
      <w:pPr>
        <w:spacing w:after="0" w:line="23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If a security breach occurs, our reputation, business, results of operations and financial condition could be harmed. We may also be subject to costly notification and remediation requirements if we, or a third party, determines that we have been the subject of a data breach involving personal information of individuals. Though it is difficult to determine what harm may directly result from any specific interruption or security breach, any failure or perceived failure to maintain performance, reliability, security and availability of systems or the actual or potential theft, loss, fraudulent use or misuse of our products or the personally identifiable data of a customer or employee, could result in harm to our reputation or brand, which could lead some customers to seek to stop using certain of our services, reduce or delay future purchases of our services, use competing services, or materially and adversely affect the overall market perception of the security and reliability of our services.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INTERNATIONAL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global nature of our operations, we are subject to political and economic risks of doing business internationally.</w:t>
      </w:r>
    </w:p>
    <w:p>
      <w:pPr>
        <w:spacing w:after="0" w:line="198" w:lineRule="exact"/>
        <w:rPr>
          <w:sz w:val="20"/>
          <w:szCs w:val="20"/>
          <w:color w:val="auto"/>
        </w:rPr>
      </w:pPr>
    </w:p>
    <w:p>
      <w:pPr>
        <w:ind w:right="160" w:firstLine="392"/>
        <w:spacing w:after="0" w:line="342" w:lineRule="auto"/>
        <w:rPr>
          <w:sz w:val="20"/>
          <w:szCs w:val="20"/>
          <w:color w:val="auto"/>
        </w:rPr>
      </w:pPr>
      <w:r>
        <w:rPr>
          <w:rFonts w:ascii="Arial" w:cs="Arial" w:eastAsia="Arial" w:hAnsi="Arial"/>
          <w:sz w:val="16"/>
          <w:szCs w:val="16"/>
          <w:color w:val="auto"/>
        </w:rPr>
        <w:t>Our largest subsidiary, Ctrack, is headquartered in South Africa and conducts business in over 50 countries. Most of our employees are located outside the United States, and international revenue represents a significant percentage of our worldwide revenue. The risks inherent in global operations include:</w:t>
      </w:r>
    </w:p>
    <w:p>
      <w:pPr>
        <w:spacing w:after="0" w:line="16"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managing sales, product development and logistics and support across continents;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laws, regulations and legal standards, including employment laws, product liability laws, privacy laws and environmental laws, which may vary widely across the countries in which we operate;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expense to comply with U.S. laws that apply to foreign operations, including the U.S. Foreign Corrupt Practices Act (the “FCPA”) and Office of Foreign Assets Control regulations;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and potentially adverse tax consequences of, foreign tax regimes;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 currency exchange controls, price controls and limitations on repatriation of earnings;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 labor laws;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collective bargaining agreements or unionization of employees;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 economic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social and economic instability and disruptions;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acts of terrorism and other security concerns;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30" w:right="259" w:bottom="1440" w:gutter="0" w:footer="0" w:header="0"/>
        </w:sectPr>
      </w:pPr>
    </w:p>
    <w:bookmarkStart w:id="24" w:name="page25"/>
    <w:bookmarkEnd w:id="24"/>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embargoes or foreign trade restrictions such as tariffs, duties, taxes or other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117"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product development costs due to differences among countries’ safety regulations and radio frequency allocation schemes and standards;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expense related to localization of products and development of foreign language marketing and sales materials;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difficulty in collecting accounts receivable in foreign countries;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workforce reorganizations in various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restrictive employment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and increased expense in implementing corporate policies and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intellectual property laws, which may be more restrictive or offer lower levels of protection than U.S. law;</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differing and changing local laws and regulations in multiple international locations, including regional data privacy laws, as well as compliance with U.S. laws and regulations where applicable in these international locations;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144"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If we are unable to successfully manage these and other risks associated with managing and expanding our international business, the risks could have a material adverse effect on our business, results of operations or financial condition. Further, operating in international markets requires significant management attention and financial resources. Due to the additional uncertainties and risks of doing business in foreign jurisdictions, international acquisitions tend to entail risks and require additional oversight and management attention that are typically not attendant to acquisitions made within the United States. We cannot be certain that the investment and additional resources required to establish, acquire or integrate operations in other countries will produce desired levels of revenue or profitability.</w:t>
      </w:r>
    </w:p>
    <w:p>
      <w:pPr>
        <w:spacing w:after="0" w:line="22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Weakness or deterioration in global economic conditions or jurisdictions where we have significant foreign operations could have a material adverse effect on our results of operations and financial condition.</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a result of weak or deteriorating economic conditions globally, or in certain jurisdictions where we have significant foreign operations such as South Africa, we could experience lower demand for our products, which could adversely impact our results of operations. Additionally, there could be a number of related effects on our business resulting from weak economic conditions, including the insolvency of one or more of our suppliers resulting in product launch or product delivery delays, customer insolvencies resulting in that customer’s inability to order products from us or pay for already delivered products, and reduced demand by the ultimate end-users of our products. Although we continue to monitor market conditions, we cannot predict future market conditions or their impact on demand for our products.</w:t>
      </w:r>
    </w:p>
    <w:p>
      <w:pPr>
        <w:spacing w:after="0" w:line="13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especially the South African Rand against the U.S. Dollar, could adversely affect our results of operations.</w:t>
      </w:r>
    </w:p>
    <w:p>
      <w:pPr>
        <w:spacing w:after="0" w:line="116" w:lineRule="exact"/>
        <w:rPr>
          <w:sz w:val="20"/>
          <w:szCs w:val="20"/>
          <w:color w:val="auto"/>
        </w:rPr>
      </w:pPr>
    </w:p>
    <w:p>
      <w:pPr>
        <w:ind w:firstLine="392"/>
        <w:spacing w:after="0" w:line="293" w:lineRule="auto"/>
        <w:rPr>
          <w:sz w:val="20"/>
          <w:szCs w:val="20"/>
          <w:color w:val="auto"/>
        </w:rPr>
      </w:pPr>
      <w:r>
        <w:rPr>
          <w:rFonts w:ascii="Arial" w:cs="Arial" w:eastAsia="Arial" w:hAnsi="Arial"/>
          <w:sz w:val="16"/>
          <w:szCs w:val="16"/>
          <w:color w:val="auto"/>
        </w:rPr>
        <w:t>A significant portion of our revenues are generated from sales agreements denominated in foreign currencies, and we expect to enter into additional such agreements as we expand our international customer base. In addition, we employ a significant number of employees outside the United States, and the associated employment and facilities costs are denominated in foreign currencies. As a result, we are exposed to changes in foreign currency exchange rates. We have particularly large exposure in South Africa where our Ctrack subsidiary is headquartered and the costs of operating in South Africa are subject to the effects of exchange fluctuations of the South African Rand against the U.S. Dollar. Fluctuations in the value of foreign currencies, particularly the South African Rand against the U.S. Dollar, will create greater uncertainty in our revenues and can significantly and adversely affect our operating results.</w:t>
      </w:r>
    </w:p>
    <w:p>
      <w:pPr>
        <w:spacing w:after="0" w:line="57" w:lineRule="exact"/>
        <w:rPr>
          <w:sz w:val="20"/>
          <w:szCs w:val="20"/>
          <w:color w:val="auto"/>
        </w:rPr>
      </w:pPr>
    </w:p>
    <w:p>
      <w:pPr>
        <w:ind w:right="340" w:firstLine="405"/>
        <w:spacing w:after="0" w:line="293" w:lineRule="auto"/>
        <w:rPr>
          <w:sz w:val="20"/>
          <w:szCs w:val="20"/>
          <w:color w:val="auto"/>
        </w:rPr>
      </w:pPr>
      <w:r>
        <w:rPr>
          <w:rFonts w:ascii="Arial" w:cs="Arial" w:eastAsia="Arial" w:hAnsi="Arial"/>
          <w:sz w:val="16"/>
          <w:szCs w:val="16"/>
          <w:color w:val="auto"/>
        </w:rPr>
        <w:t>We do not currently employ any vehicles as a hedge against currency fluctuations, however, we may decide to use hedging vehicles in the future. At times, we may attempt to manage the risk associated with currency changes, in part, by minimizing the effects of volatility on cash flows by identifying forecasted transactions exposed to these risks, or we may decide to use hedging vehicles such as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currency losses or that foreign exchange forward contracts we may enter into to reduce the risk of such losses will be successful.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REGULATIONS, TAXATION AND ACCOUNTING MATTERS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substantial international operations may increase our exposure to potential liability under anti-corruption, trade protection, tax and other laws and regulations.</w:t>
      </w:r>
    </w:p>
    <w:p>
      <w:pPr>
        <w:spacing w:after="0" w:line="143" w:lineRule="exact"/>
        <w:rPr>
          <w:sz w:val="20"/>
          <w:szCs w:val="20"/>
          <w:color w:val="auto"/>
        </w:rPr>
      </w:pPr>
    </w:p>
    <w:p>
      <w:pPr>
        <w:ind w:right="20" w:firstLine="392"/>
        <w:spacing w:after="0" w:line="302" w:lineRule="auto"/>
        <w:rPr>
          <w:sz w:val="20"/>
          <w:szCs w:val="20"/>
          <w:color w:val="auto"/>
        </w:rPr>
      </w:pPr>
      <w:r>
        <w:rPr>
          <w:rFonts w:ascii="Arial" w:cs="Arial" w:eastAsia="Arial" w:hAnsi="Arial"/>
          <w:sz w:val="16"/>
          <w:szCs w:val="16"/>
          <w:color w:val="auto"/>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spacing w:after="0" w:line="181"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Our failure to comply with Anti-Corruption Laws could result in significant fines and penalties, criminal sanctions against us, our officers or our employees, prohibitions on the conduct of our business, and damage to our reputation. Operations outside of the United States may be affected by changes in trade protection laws, policies and measures, and other regulatory requirements affecting trade and investment.</w:t>
      </w:r>
    </w:p>
    <w:p>
      <w:pPr>
        <w:spacing w:after="0" w:line="289" w:lineRule="exact"/>
        <w:rPr>
          <w:sz w:val="20"/>
          <w:szCs w:val="20"/>
          <w:color w:val="auto"/>
        </w:rPr>
      </w:pPr>
    </w:p>
    <w:p>
      <w:pPr>
        <w:ind w:right="280" w:firstLine="392"/>
        <w:spacing w:after="0" w:line="264" w:lineRule="auto"/>
        <w:rPr>
          <w:sz w:val="20"/>
          <w:szCs w:val="20"/>
          <w:color w:val="auto"/>
        </w:rPr>
      </w:pPr>
      <w:r>
        <w:rPr>
          <w:rFonts w:ascii="Arial" w:cs="Arial" w:eastAsia="Arial" w:hAnsi="Arial"/>
          <w:sz w:val="18"/>
          <w:szCs w:val="18"/>
          <w:color w:val="auto"/>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28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export activities, which could harm our business and operating results. Regulatory restrictions could impair our access to technologies needed to improve our solutions and may also limit or reduce the demand for our solutions outside of the United States.</w:t>
      </w:r>
    </w:p>
    <w:p>
      <w:pPr>
        <w:spacing w:after="0" w:line="29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do not achieve applicable black economic empowerment objectives in our South African businesses, we risk not being able to renew certain of our existing contracts which service South African government and quasi-governmental customers, as well as not being awarded future corporate and governmental contracts which would result in the loss of revenue.</w:t>
      </w:r>
    </w:p>
    <w:p>
      <w:pPr>
        <w:spacing w:after="0" w:line="18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South African government, through the Broad-Based Black Economic Empowerment Act, No. 53 of 2003, and the codes of good practice and industry charters published pursuant thereto (collectively “BBBEE”), has established a legislative framework for the promotion of broad-based black economic empowerment. Achievement of BBBEE objectives is measured by a scorecard which establishes a weighting for the various components of BBBEE. BBBEE objectives are pursued in significant part by requiring parties who contract with corporate, governmental or quasi-governmental entities in South Africa to achieve BBBEE compliance through satisfaction of an applicable scorecard. Parties improve their BBBEE score when contracting with businesses that have earned good BBBEE ratings in relation to their scorecards (this includes black-owned businesses).</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Ctrack has material contracts with governmental entities that require it to maintain minimum BBBEE rating levels as measured under the BBBEE scorecard. Failure to achieve applicable BBBEE objectives could jeopardize our ability to maintain existing business or to secure future business from these and other corporate, governmental or quasi-governmental customers that could materially and adversely affect our business, financial condition and results of operations.</w:t>
      </w: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required to comply with South African labor laws with respect to certain of our employees and face the risk of disruption from labor disputes in South Africa, which could result in additional operating costs.</w:t>
      </w:r>
    </w:p>
    <w:p>
      <w:pPr>
        <w:spacing w:after="0" w:line="17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South African laws relating to labor that regulate work time, provide for mandatory compensation in the event of termination of employment for operational reasons, and impose monetary penalties for non-compliance with administrative and reporting requirements in respect of affirmative action policies, could result in additional operating costs. In addition, future changes to South African legislation and regulations relating to labor may increase our costs or alter our relationship with our employees and result in labor disruptions. Resulting disruptions could materially and adversely affect our business, results of operations and financial condition.</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76" w:right="279" w:bottom="1440" w:gutter="0" w:footer="0" w:header="0"/>
        </w:sectPr>
      </w:pPr>
    </w:p>
    <w:bookmarkStart w:id="26" w:name="page27"/>
    <w:bookmarkEnd w:id="26"/>
    <w:p>
      <w:pPr>
        <w:ind w:right="300"/>
        <w:spacing w:after="0" w:line="308" w:lineRule="auto"/>
        <w:rPr>
          <w:sz w:val="20"/>
          <w:szCs w:val="20"/>
          <w:color w:val="auto"/>
        </w:rPr>
      </w:pPr>
      <w:r>
        <w:rPr>
          <w:rFonts w:ascii="Arial" w:cs="Arial" w:eastAsia="Arial" w:hAnsi="Arial"/>
          <w:sz w:val="17"/>
          <w:szCs w:val="17"/>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120"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auto"/>
        </w:rPr>
        <w:t>Our products and solutions enable us to collect, manage and store a wide range of data related to vehicle tracking and fleet management such as vehicle location and fuel usage, speed and mileage.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Many foreign jurisdictions, including the European Union and the United Kingdom, have adopted legislation (including directives or regulations) that increase or change the requirements governing data collection and storage in these jurisdictions. Ctrack markets its products in over 50 countries, and accordingly, we are subject to many different, and potentially conflicting, privacy laws. If our privacy or data security measures fail to comply, or are perceived to fail to comply, with current or future laws and regulations, we may be subject to litigation, regulatory investigations or other liabilities.</w:t>
      </w:r>
    </w:p>
    <w:p>
      <w:pPr>
        <w:spacing w:after="0" w:line="13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Moreover, if future laws and regulations limit our ability to use and share this data or our ability to store, process and share data with our clients over the Internet, demand for our solutions could decrease and our costs could increase. We might also have to limit the manner in which we collect information, the types of information that we collect, or the solutions we offer. Any of these could materially and adversely affect our business, results of operations and financial condition.</w:t>
      </w:r>
    </w:p>
    <w:p>
      <w:pPr>
        <w:spacing w:after="0" w:line="13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previously identified a material weakness in our internal control over financial reporting, which has now been remediated. If we fail to maintain an effective system of internal controls over financial reporting, we may not be able to report our financial results timely and accurately, which could adversely affect investor confidence in the Company, and in turn, our results of operations and our stock price.</w:t>
      </w:r>
    </w:p>
    <w:p>
      <w:pPr>
        <w:spacing w:after="0" w:line="5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w:t>
      </w:r>
    </w:p>
    <w:p>
      <w:pPr>
        <w:spacing w:after="0" w:line="18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As disclosed in our Form 10-K for the year ended December 31, 2016, we previously identified a material weakness in our internal controls over financial reporting specifically from a lack of sufficient resources in key accounting and financial reporting roles within the organization necessary to prepare financial statements in time to meet regulatory filing requirements. This lack of sufficient resources was the result of a significant number of unusual and one-time challenges to the Company’s personnel and financial reporting processes, including, but not limited to, implementing an internal reorganization, preparing for the anticipated divestiture of the MiFi Business and closure of the Company’s accounting function in Eugene, Oregon. We completed our remediation efforts related to these material weaknesses by, among other things, updating our U.S. GAAP financial statement close process to ensure timely submission and completeness of subsidiary financial information and enhancing electronic communication to include a list of deliverables and checklists to use as a reference tool during our interim and year-end reporting periods.</w:t>
      </w:r>
    </w:p>
    <w:p>
      <w:pPr>
        <w:spacing w:after="0" w:line="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Although we have remediated this material weakness in our internal controls over financial reporting, 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1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62"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Our financial statements have been prepared in accordance with accounting principles generally accepted in the United States. The preparation of these financial statements requires us to make estimates and judgments about, among other things,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30"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interpretations of accounting pronouncements have occurred and may occur in the future that could adversely affect our reported financial results.</w:t>
      </w:r>
    </w:p>
    <w:p>
      <w:pPr>
        <w:spacing w:after="0" w:line="1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Any changes to the accounting systems or new accounting system implementations may be ineffective or cause delays in our ability to provide timely financial results</w:t>
      </w:r>
    </w:p>
    <w:p>
      <w:pPr>
        <w:spacing w:after="0" w:line="1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 change in the Company’s accounting systems or new accounting system implementations could cause trial balance to drift out of balance or hinder the reconciliation of items which are time consuming to diagnose, impacting our ability to provide timely audited and unaudited financial results. Any such change could have a significant impact on the effectiveness of our system of internal controls and could cause a delay in compliance with our reporting obligations, which could adversely affect our business and the trading price of our common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4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OWNING OUR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highly volatile in the past and could be highly volatile in the future.</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market price of our common stock can be highly volatile due to the risks and uncertainties described in this report, as well as other factors, including: comments by securities analysts; announcements by us or others regarding, among other things, operating results, additions or departures of key personnel, and acquisitions or divestitures; additional equity or debt financing; technological innovations; introductions of new products; litigation; price and volume fluctuations in the overall stock market, and particularly with respect to market prices and trading volumes of other high technology stocks; and our failure to meet market expectations.</w:t>
      </w:r>
    </w:p>
    <w:p>
      <w:pPr>
        <w:spacing w:after="0" w:line="242"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addition, the stock market has from time to time experienced extreme price and volume fluctuations that were unrelated to the operating performance of particular companies. In the past, companies that have experienced volatility have sometimes subsequently become the subject of securities class action litigation. If litigation were instituted on this basis, it could result in substantial costs and a diversion of management’s attention and resources.</w:t>
      </w:r>
    </w:p>
    <w:p>
      <w:pPr>
        <w:spacing w:after="0" w:line="25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We may not be able to raise such additional funds on acceptable terms or at all.</w:t>
      </w:r>
    </w:p>
    <w:p>
      <w:pPr>
        <w:spacing w:after="0" w:line="1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need to raise substantial additional capital in the future to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spacing w:after="0" w:line="22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2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financial or industry analysts do not publish research or reports about our business, or if they issue negative or misleading evaluations of our stock, our stock price and trading volume could decline.</w:t>
      </w:r>
    </w:p>
    <w:p>
      <w:pPr>
        <w:spacing w:after="0" w:line="17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ind w:right="260"/>
        <w:spacing w:after="0" w:line="277" w:lineRule="auto"/>
        <w:rPr>
          <w:sz w:val="20"/>
          <w:szCs w:val="20"/>
          <w:color w:val="auto"/>
        </w:rPr>
      </w:pPr>
      <w:r>
        <w:rPr>
          <w:rFonts w:ascii="Arial" w:cs="Arial" w:eastAsia="Arial" w:hAnsi="Arial"/>
          <w:sz w:val="18"/>
          <w:szCs w:val="18"/>
          <w:b w:val="1"/>
          <w:bCs w:val="1"/>
          <w:i w:val="1"/>
          <w:iCs w:val="1"/>
          <w:color w:val="auto"/>
        </w:rPr>
        <w:t>Future issuances of our common stock to holders of warrants may materially and adversely affect the price of our common stock and cause dilution to our existing stockholders.</w:t>
      </w:r>
    </w:p>
    <w:p>
      <w:pPr>
        <w:spacing w:after="0" w:line="116" w:lineRule="exact"/>
        <w:rPr>
          <w:sz w:val="20"/>
          <w:szCs w:val="20"/>
          <w:color w:val="auto"/>
        </w:rPr>
      </w:pPr>
    </w:p>
    <w:p>
      <w:pPr>
        <w:ind w:right="20" w:firstLine="392"/>
        <w:spacing w:after="0" w:line="302" w:lineRule="auto"/>
        <w:rPr>
          <w:sz w:val="20"/>
          <w:szCs w:val="20"/>
          <w:color w:val="auto"/>
        </w:rPr>
      </w:pPr>
      <w:r>
        <w:rPr>
          <w:rFonts w:ascii="Arial" w:cs="Arial" w:eastAsia="Arial" w:hAnsi="Arial"/>
          <w:sz w:val="16"/>
          <w:szCs w:val="16"/>
          <w:color w:val="auto"/>
        </w:rPr>
        <w:t>As of December 31, 2017, we had outstanding warrants to purchase 1,886,630 shares of our common stock. These warrants are generally only exercisable on a cash basis, but may be exercised on a cashless basis if and only if a registration statement relating to the issuance of the shares underlying the warrants is not then effective or an exemption from registration is not available for the resale of such shares. Any such net exercise will dilute the ownership interests of existing stockholders without any corresponding benefit to the Company of a cash payment for the exercise price of such warrant.</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Future settlements of any conversion obligations with respect to the Inseego Notes may result in dilution to existing stockholders, lower prevailing market prices for our common stock or require a significant cash outlay.</w:t>
      </w:r>
    </w:p>
    <w:p>
      <w:pPr>
        <w:spacing w:after="0" w:line="62" w:lineRule="exact"/>
        <w:rPr>
          <w:sz w:val="20"/>
          <w:szCs w:val="20"/>
          <w:color w:val="auto"/>
        </w:rPr>
      </w:pPr>
    </w:p>
    <w:p>
      <w:pPr>
        <w:ind w:right="120" w:firstLine="405"/>
        <w:spacing w:after="0" w:line="288" w:lineRule="auto"/>
        <w:rPr>
          <w:sz w:val="20"/>
          <w:szCs w:val="20"/>
          <w:color w:val="auto"/>
        </w:rPr>
      </w:pPr>
      <w:r>
        <w:rPr>
          <w:rFonts w:ascii="Arial" w:cs="Arial" w:eastAsia="Arial" w:hAnsi="Arial"/>
          <w:sz w:val="16"/>
          <w:szCs w:val="16"/>
          <w:color w:val="auto"/>
        </w:rPr>
        <w:t>Prior to December 15, 2021, holders may convert their Inseego Notes only if certain conditions are met. On or after December 15, 2021, until close of business on the business day immediately preceding the maturity date, holders may convert their Inseego Notes at any time. The Inseego Notes are convertible into cash, shares of the Company’s common stock, or a combination thereof, at the election of the Company, and are initially convertible into 25,478,728 shares of the Company’s common stock, based on an initial conversion rate of 212.7660 shares of common stock per $1,000 principal amount of Inseego Notes (which is equivalent to an initial conversion price of $4.70 per share of common stock). The conversion rate is subject to adjustment if certain events occur, but in no event will the conversion rate exceed 387.5968 shares of common stock per $1,000 principal amount of Inseego Notes (which is equivalent to a conversion price of $2.58 per share of common stock). If we elect to settle conversions of the Inseego Notes with common stock, this may cause significant dilution to our existing stockholders. Any sales in the public market of the common stock issued upon such conversion could adversely affect prevailing market prices of our common stock. If we do not elect to settle conversion of the Inseego Notes solely with common stock, we would be required to settle a portion, or all, of our conversion obligation through the payment of cash, which could adversely affect our liquidity.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Inseego Indenture could delay or prevent an otherwise beneficial takeover or takeover attempt of us.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Certain provisions in the Inseego Indenture could make it more difficult or more expensive for a third party to acquire us. For example, if a takeover would constitute a fundamental change, holders of the Inseego Notes will have the right to require us to repurchase their Inseego Notes in cash. In addition, if a takeover constitutes a make-whole fundamental change (as defined in the Inseego Indenture), we may be required to increase the conversion rate for holders who convert their Inseego Notes in connection with such takeover. In either case, and in other cases, our obligations under the Inseego Notes and the Inseego Indenture could increase the cost of acquiring us or otherwise discourage a third party from acquiring us.</w:t>
      </w:r>
    </w:p>
    <w:p>
      <w:pPr>
        <w:spacing w:after="0" w:line="3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principal executive offices are located in San Diego, California where we lease approximately 21,000 square feet under an arrangement that expires in December 2019 and approximately 12,000 square feet under an arrangement that expires in June 2020. We also currently lease approximately 14,000 square feet in Eugene, Oregon under a lease arrangement that expires in January 2023, and own property in Centurion, South Africa with approximately 28,000 square feet.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3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May 27, 2015, a patent infringement action was brought against Novatel Wireless by Carucel, a non-practicing entity, seeking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$43.0 million in royalties and damages related to past sales of MiFi mobile hotspots (</w:t>
      </w:r>
      <w:r>
        <w:rPr>
          <w:rFonts w:ascii="Arial" w:cs="Arial" w:eastAsia="Arial" w:hAnsi="Arial"/>
          <w:sz w:val="16"/>
          <w:szCs w:val="16"/>
          <w:i w:val="1"/>
          <w:iCs w:val="1"/>
          <w:color w:val="auto"/>
        </w:rPr>
        <w:t>Carucel Investments, L.P. v. Novatel Wireless, Inc., et al., U.S.D.C. S.D.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Florida, Civil Action No. 0:15-cv-61116-BB</w:t>
      </w:r>
      <w:r>
        <w:rPr>
          <w:rFonts w:ascii="Arial" w:cs="Arial" w:eastAsia="Arial" w:hAnsi="Arial"/>
          <w:sz w:val="16"/>
          <w:szCs w:val="16"/>
          <w:color w:val="auto"/>
        </w:rPr>
        <w:t>). The complaint alleged that certain MiFi mobile hotspots manufactured by Novatel Wireless infringed claims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patents owned by Carucel. On April 10, 2017, judgment was entered in favor of Novatel Wireless. Carucel has filed to appeal certain orders in the litigation.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there is merit to an appeal by Carucel and intends to vigorously defend the appeal. However, there can be no assurance as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ultimate outcome of any appeal or other future judgment in this case, and an adverse judgment could have a material adverse effect on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 of operations or financial condition.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76" w:right="259" w:bottom="1440" w:gutter="0" w:footer="0" w:header="0"/>
        </w:sectPr>
      </w:pPr>
    </w:p>
    <w:bookmarkStart w:id="29" w:name="page30"/>
    <w:bookmarkEnd w:id="29"/>
    <w:p>
      <w:pPr>
        <w:ind w:firstLine="405"/>
        <w:spacing w:after="0" w:line="255" w:lineRule="auto"/>
        <w:rPr>
          <w:sz w:val="20"/>
          <w:szCs w:val="20"/>
          <w:color w:val="auto"/>
        </w:rPr>
      </w:pPr>
      <w:r>
        <w:rPr>
          <w:rFonts w:ascii="Arial" w:cs="Arial" w:eastAsia="Arial" w:hAnsi="Arial"/>
          <w:sz w:val="18"/>
          <w:szCs w:val="18"/>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The Company has suspended payments owed to the former stockholders of RER under an earn-out arrangement, pursuant to which the Company would have been required to pay an additional $15.8 million in cash and 1.9 million shares of the Company’s common stock pending the outcome of this litigation. There can be no assurance as to the ultimate outcome of the future judgment in this case, and an adverse judgment could have a material adverse effect on the Company’s consolidated results of operations or financial condition.</w:t>
      </w:r>
    </w:p>
    <w:p>
      <w:pPr>
        <w:spacing w:after="0" w:line="139"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are engaged in other legal actions arising in the ordinary course of our business. In general, while there can be no assurance, we believe that the ultimate outcome of these other legal actions will not have a material adverse effect on our business, results of operations, financial condition or cash flows.</w:t>
      </w:r>
    </w:p>
    <w:p>
      <w:pPr>
        <w:spacing w:after="0" w:line="23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The disclosure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consolidated financial statements includes a discussion of our legal proceedings and is incorporated herein by reference.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368" w:right="359" w:bottom="1440" w:gutter="0" w:footer="0" w:header="0"/>
        </w:sectPr>
      </w:pPr>
    </w:p>
    <w:bookmarkStart w:id="30" w:name="page31"/>
    <w:bookmarkEnd w:id="30"/>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Shares of our common stock are currently quoted and traded on The Nasdaq Global Select Market under the symbol “INSG” and, prior to November 9, 2016, were quoted on The Nasdaq Global Select Market under the symbol “MIFI”. The following table sets forth, for the periods indicated, the high and low sales prices of our common stock as reported by The Nasdaq Global Select Market.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780" w:type="dxa"/>
            <w:vAlign w:val="bottom"/>
          </w:tcPr>
          <w:p>
            <w:pPr>
              <w:jc w:val="right"/>
              <w:ind w:right="301"/>
              <w:spacing w:after="0"/>
              <w:rPr>
                <w:sz w:val="20"/>
                <w:szCs w:val="20"/>
                <w:color w:val="auto"/>
              </w:rPr>
            </w:pPr>
            <w:r>
              <w:rPr>
                <w:rFonts w:ascii="Arial" w:cs="Arial" w:eastAsia="Arial" w:hAnsi="Arial"/>
                <w:sz w:val="14"/>
                <w:szCs w:val="14"/>
                <w:b w:val="1"/>
                <w:bCs w:val="1"/>
                <w:color w:val="auto"/>
              </w:rPr>
              <w:t>Low</w:t>
            </w:r>
          </w:p>
        </w:tc>
      </w:tr>
      <w:tr>
        <w:trPr>
          <w:trHeight w:val="192"/>
        </w:trPr>
        <w:tc>
          <w:tcPr>
            <w:tcW w:w="9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r>
      <w:tr>
        <w:trPr>
          <w:trHeight w:val="21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60"/>
        </w:trPr>
        <w:tc>
          <w:tcPr>
            <w:tcW w:w="9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First quarter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2.08</w:t>
            </w: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Second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0.87</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Third quarter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Fourth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1.26</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First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0.84</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Second quarter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w:t>
            </w: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Third quarter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1.40</w:t>
            </w: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Fourth quarter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2.22</w:t>
            </w:r>
          </w:p>
        </w:tc>
      </w:tr>
      <w:tr>
        <w:trPr>
          <w:trHeight w:val="33"/>
        </w:trPr>
        <w:tc>
          <w:tcPr>
            <w:tcW w:w="9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Our outstanding capital stock consists of a single class of common stock. As of March 8, 2018, there were approximately 35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 In addition, both the Credit Agreement and the Inseego Indenture contain covenants that limit the ability of the Company to pay cash dividends.</w:t>
      </w:r>
    </w:p>
    <w:p>
      <w:pPr>
        <w:spacing w:after="0" w:line="22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During the first quarter of 2018, our Board of Directors authorized and declared a dividend distribution of one preferred stock purchase right (“Right”) under certain circumstances for each share of the Company’s common stock authorized and outstanding on February 2, 2018. Each Right entitles the holder to purchase one one-thousandth of a share of Series D Preferred Stock, par value $0.001 per share, at a purchase price of $10.00, subject to adjustments. Prior to exercise, the Rights do not give their holders any rights as a stockholder, including any dividend, voting or liquidation rights. The Rights will expire if the Company’s stockholders fail to approve the Rights Agreement at the Company’s 2018 Annual Meeting of Stockholders.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2012 and December 31, 2017 with the cumulative total return of (i) the Nasdaq Stock Market (U.S.) Index, or the Nasdaq Composite Index, and (ii) the Nasdaq Telecommunications Index, or the Nasdaq Telecom Index, over the same period. This graph assumes the investment of $100.00 on December 31, 2012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-5080</wp:posOffset>
            </wp:positionV>
            <wp:extent cx="5848985" cy="4124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 except as previously disclosed in the Company’s Quarterly Reports on Form 10-Q, Current Reports on Form 8-K or as set forth below.</w:t>
      </w:r>
    </w:p>
    <w:p>
      <w:pPr>
        <w:spacing w:after="0" w:line="291"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On November 17, 2017, the Company issued 68,966 shares of unregistered common stock to a former employee in a single transaction in connection with a severance agreement with said former employee. The shares were issued to the recipient in an exempt transaction pursuant to Section 4(2) of the Securities Act. No cash proceeds were received by the Company in connection with the issuance.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64" w:right="25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2017, 2016 and 2015, and the consolidated balance sheet data at December 31, 2017 and 2016 are derived from our consolidated financial statements included elsewhere in this report. The selected consolidated statements of operations data for the years ended December 31, 2014 and 2013 and consolidated balance sheet data at December 31, 2015, 2014 and 2013 are derived from the audited consolidated financial statements not included in this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620"/>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372"/>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219,297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243,555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220,942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185,245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335,053</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Cost of net revenues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151,962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167,227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161,989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148,198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266,759</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67,335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76,328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68,294</w:t>
            </w:r>
          </w:p>
        </w:tc>
        <w:tc>
          <w:tcPr>
            <w:tcW w:w="0" w:type="dxa"/>
            <w:vAlign w:val="bottom"/>
          </w:tcPr>
          <w:p>
            <w:pPr>
              <w:spacing w:after="0"/>
              <w:rPr>
                <w:sz w:val="1"/>
                <w:szCs w:val="1"/>
                <w:color w:val="auto"/>
              </w:rPr>
            </w:pPr>
          </w:p>
        </w:tc>
      </w:tr>
      <w:tr>
        <w:trPr>
          <w:trHeight w:val="231"/>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Operating costs and expenses: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30,655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48,246</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25,019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29,782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20,899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13,792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20,898</w:t>
            </w: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24,179</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Amortization of purchased intangible assets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Impairment of purchased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Shareholder litigation loss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14,326</w:t>
            </w: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Restructuring charges, net of recoveries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6"/>
                <w:szCs w:val="16"/>
                <w:color w:val="auto"/>
              </w:rPr>
              <w:t>Total operating costs and expenses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89,549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121,332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96,744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72,620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111,515</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(43,221)</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Non-cash change in acquisition-related escrow</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Interest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(43,330)</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Income tax provision</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6"/>
                <w:shd w:val="clear" w:color="auto" w:fill="CCEEFF"/>
              </w:rPr>
              <w:t>Net loss</w:t>
            </w:r>
          </w:p>
        </w:tc>
        <w:tc>
          <w:tcPr>
            <w:tcW w:w="4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loss attributable to Inseego Corp.</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Recognition of beneficial conversion feature</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loss attributable to common shareholders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Net loss per share attributable to common shareholders: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58,718,483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53,911,270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52,767,230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37,958,846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33,947,935</w:t>
            </w:r>
          </w:p>
        </w:tc>
        <w:tc>
          <w:tcPr>
            <w:tcW w:w="0" w:type="dxa"/>
            <w:vAlign w:val="bottom"/>
          </w:tcPr>
          <w:p>
            <w:pPr>
              <w:spacing w:after="0"/>
              <w:rPr>
                <w:sz w:val="1"/>
                <w:szCs w:val="1"/>
                <w:color w:val="auto"/>
              </w:rPr>
            </w:pPr>
          </w:p>
        </w:tc>
      </w:tr>
      <w:tr>
        <w:trPr>
          <w:trHeight w:val="480"/>
        </w:trPr>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372"/>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Cash and cash equivalents and marketable securities </w:t>
            </w:r>
            <w:r>
              <w:rPr>
                <w:rFonts w:ascii="Arial" w:cs="Arial" w:eastAsia="Arial" w:hAnsi="Arial"/>
                <w:sz w:val="21"/>
                <w:szCs w:val="21"/>
                <w:color w:val="auto"/>
                <w:vertAlign w:val="superscript"/>
              </w:rPr>
              <w:t>(1)(2)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21,259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17,853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25,532</w:t>
            </w:r>
          </w:p>
        </w:tc>
        <w:tc>
          <w:tcPr>
            <w:tcW w:w="0" w:type="dxa"/>
            <w:vAlign w:val="bottom"/>
          </w:tcPr>
          <w:p>
            <w:pPr>
              <w:spacing w:after="0"/>
              <w:rPr>
                <w:sz w:val="1"/>
                <w:szCs w:val="1"/>
                <w:color w:val="auto"/>
              </w:rPr>
            </w:pPr>
          </w:p>
        </w:tc>
      </w:tr>
      <w:tr>
        <w:trPr>
          <w:trHeight w:val="224"/>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Working capital</w:t>
            </w:r>
          </w:p>
        </w:tc>
        <w:tc>
          <w:tcPr>
            <w:tcW w:w="2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6,472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6,070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46,764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40,928</w:t>
            </w:r>
          </w:p>
        </w:tc>
        <w:tc>
          <w:tcPr>
            <w:tcW w:w="0" w:type="dxa"/>
            <w:vAlign w:val="bottom"/>
          </w:tcPr>
          <w:p>
            <w:pPr>
              <w:spacing w:after="0"/>
              <w:rPr>
                <w:sz w:val="1"/>
                <w:szCs w:val="1"/>
                <w:color w:val="auto"/>
              </w:rPr>
            </w:pPr>
          </w:p>
        </w:tc>
      </w:tr>
      <w:tr>
        <w:trPr>
          <w:trHeight w:val="47"/>
        </w:trPr>
        <w:tc>
          <w:tcPr>
            <w:tcW w:w="560" w:type="dxa"/>
            <w:vAlign w:val="bottom"/>
          </w:tcPr>
          <w:p>
            <w:pPr>
              <w:spacing w:after="0"/>
              <w:rPr>
                <w:sz w:val="4"/>
                <w:szCs w:val="4"/>
                <w:color w:val="auto"/>
              </w:rPr>
            </w:pPr>
          </w:p>
        </w:tc>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158,716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198,753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111,465</w:t>
            </w:r>
          </w:p>
        </w:tc>
        <w:tc>
          <w:tcPr>
            <w:tcW w:w="0" w:type="dxa"/>
            <w:vAlign w:val="bottom"/>
          </w:tcPr>
          <w:p>
            <w:pPr>
              <w:spacing w:after="0"/>
              <w:rPr>
                <w:sz w:val="1"/>
                <w:szCs w:val="1"/>
                <w:color w:val="auto"/>
              </w:rPr>
            </w:pPr>
          </w:p>
        </w:tc>
      </w:tr>
      <w:tr>
        <w:trPr>
          <w:trHeight w:val="224"/>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Total long-term liabilities</w:t>
            </w:r>
          </w:p>
        </w:tc>
        <w:tc>
          <w:tcPr>
            <w:tcW w:w="2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143,857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114,066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104,078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11,848</w:t>
            </w:r>
          </w:p>
        </w:tc>
        <w:tc>
          <w:tcPr>
            <w:tcW w:w="0" w:type="dxa"/>
            <w:vAlign w:val="bottom"/>
          </w:tcPr>
          <w:p>
            <w:pPr>
              <w:spacing w:after="0"/>
              <w:rPr>
                <w:sz w:val="1"/>
                <w:szCs w:val="1"/>
                <w:color w:val="auto"/>
              </w:rPr>
            </w:pPr>
          </w:p>
        </w:tc>
      </w:tr>
      <w:tr>
        <w:trPr>
          <w:trHeight w:val="47"/>
        </w:trPr>
        <w:tc>
          <w:tcPr>
            <w:tcW w:w="560" w:type="dxa"/>
            <w:vAlign w:val="bottom"/>
          </w:tcPr>
          <w:p>
            <w:pPr>
              <w:spacing w:after="0"/>
              <w:rPr>
                <w:sz w:val="4"/>
                <w:szCs w:val="4"/>
                <w:color w:val="auto"/>
              </w:rPr>
            </w:pPr>
          </w:p>
        </w:tc>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 (deficit)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44,916</w:t>
            </w:r>
          </w:p>
        </w:tc>
        <w:tc>
          <w:tcPr>
            <w:tcW w:w="0" w:type="dxa"/>
            <w:vAlign w:val="bottom"/>
          </w:tcPr>
          <w:p>
            <w:pPr>
              <w:spacing w:after="0"/>
              <w:rPr>
                <w:sz w:val="1"/>
                <w:szCs w:val="1"/>
                <w:color w:val="auto"/>
              </w:rPr>
            </w:pPr>
          </w:p>
        </w:tc>
      </w:tr>
      <w:tr>
        <w:trPr>
          <w:trHeight w:val="47"/>
        </w:trPr>
        <w:tc>
          <w:tcPr>
            <w:tcW w:w="560" w:type="dxa"/>
            <w:vAlign w:val="bottom"/>
            <w:shd w:val="clear" w:color="auto" w:fill="CCEEFF"/>
          </w:tcPr>
          <w:p>
            <w:pPr>
              <w:spacing w:after="0"/>
              <w:rPr>
                <w:sz w:val="4"/>
                <w:szCs w:val="4"/>
                <w:color w:val="auto"/>
              </w:rPr>
            </w:pPr>
          </w:p>
        </w:tc>
        <w:tc>
          <w:tcPr>
            <w:tcW w:w="47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At December 31, 2013, includes restricted marketable securities.</w:t>
      </w:r>
    </w:p>
    <w:p>
      <w:pPr>
        <w:spacing w:after="0" w:line="104" w:lineRule="exact"/>
        <w:rPr>
          <w:rFonts w:ascii="Arial" w:cs="Arial" w:eastAsia="Arial" w:hAnsi="Arial"/>
          <w:sz w:val="25"/>
          <w:szCs w:val="25"/>
          <w:color w:val="auto"/>
          <w:vertAlign w:val="superscript"/>
        </w:rPr>
      </w:pPr>
    </w:p>
    <w:p>
      <w:pPr>
        <w:ind w:left="180" w:hanging="172"/>
        <w:spacing w:after="0" w:line="204" w:lineRule="auto"/>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At December 31, 2017, includes restricted cash.</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64" w:right="239" w:bottom="1440" w:gutter="0" w:footer="0" w:header="0"/>
          <w:type w:val="continuous"/>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28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Inseego Corp. is a leader in the design and development of products and solutions that enable high performance mobile applications for large enterprise verticals, service providers and small and medium-sized businesses around the globe. Our product portfolio consists of enterprise SaaS solutions and IoT and mobile solutions, which together form the backbone of compelling, intelligent, reliable and secure IoT services with deep business intelligence. Inseego’s products and solutions power mission critical applications with a “zero unscheduled downtime” mandate, such as asset tracking, fleet management, industrial IoT, SD WAN failover management and mobile broadband services. Our solutions are powered by our key innovations in purpose built SaaS cloud platforms, IoT and mobile technologies, including the newly emerging 5G technology.</w:t>
      </w:r>
    </w:p>
    <w:p>
      <w:pPr>
        <w:spacing w:after="0" w:line="28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and commitment to quality and innovation that makes us a preferred global partner of service providers, distributors, value-added resellers, system integrators, enterprises, small and medium-sized businesses and consumers.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337"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mobile industry has experienced tremendous growth for more than 20 years. As the largest technology platform in the world, mobile connectivity has changed the way we work, the way we live and the way we connect with each other. The scale and pace of innovation in mobile technology, especially around connectivity and computing capabilities, is also impacting industries beyond wireless.</w:t>
      </w:r>
    </w:p>
    <w:p>
      <w:pPr>
        <w:spacing w:after="0" w:line="28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Looking ahead, Inseego is working with other leaders in the wireless industry to develop 5G technology, which is the next generation of wireless technology. With the newly defined 5G NR standard, 5G is being designed to support faster data rates, lower network latency and wider bandwidths of spectrum. Incorporating many of the innovations developed for 4G, 5G is also expected to be scalable and adaptable across a variety of use cases, which include, among others: empowering new industries and services, such as autonomous vehicles and industrial applications, through ultra-reliable, ultra-low latency communication links; and connecting a significant number of IoT service and devices, including the connected home and smart cities devices, with connectivity designed to meet ultra-low power, complexity and cost requirements. 5G is also expected to enhance mobile broadband services, including ultra-high definition (4K) video streaming and augmented and virtual reality, with multi-gigabit speeds.</w:t>
      </w:r>
    </w:p>
    <w:p>
      <w:pPr>
        <w:spacing w:after="0" w:line="28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Most 5G devices are expected to include multimode support for 3G, 4G and Wi-Fi, enabling service continuity where 5G has yet to be deployed and simultaneous connectivity across 4G and Wi-Fi technologies, while also allowing mobile operators to utilize current network deployments. At the same time, 4G is expected to continue to evolve in parallel with the development of 5G and become fundamental to many of the key 5G technologies, such as support for unlicensed spectrum, gigabit LTE user data rates and LTE IoT with connectivity designed to meet the needs of ultra-low power, complexity and cost applications. The first phase of 5G networks are expected to support mobile broadband services in lower spectrum bands below 6 GHz as well as higher bands above 6 GHz, including millimeter wave (mmWave).</w:t>
      </w:r>
    </w:p>
    <w:p>
      <w:pPr>
        <w:spacing w:after="0" w:line="30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According to the Global 5G Market Report issued in January 2018 by Netscribes, 5G technology is projected to service business frameworks required into 2020 and beyond. Due to socioeconomic transformations brought about by advancements in smart/connected city applications, mobile 5G is projected to be the “next big thing” in connected asset evolution. While mobile 4G LTE will continue to drive substantial volumes over the next decade, Netscribes predicts that the global 5G market will grow at a rate in excess of 95 percent, to greater than $250 billion by 2025. 5G technology is expected to address the rising demands for advanced applications, continued adoption of IoT devices and applications, and the rising bandwidth demands associated with said applications.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26" w:right="259" w:bottom="1440" w:gutter="0" w:footer="0" w:header="0"/>
        </w:sectPr>
      </w:pPr>
    </w:p>
    <w:bookmarkStart w:id="34" w:name="page35"/>
    <w:bookmarkEnd w:id="34"/>
    <w:p>
      <w:pPr>
        <w:ind w:right="200" w:firstLine="405"/>
        <w:spacing w:after="0" w:line="264" w:lineRule="auto"/>
        <w:rPr>
          <w:sz w:val="20"/>
          <w:szCs w:val="20"/>
          <w:color w:val="auto"/>
        </w:rPr>
      </w:pPr>
      <w:r>
        <w:rPr>
          <w:rFonts w:ascii="Arial" w:cs="Arial" w:eastAsia="Arial" w:hAnsi="Arial"/>
          <w:sz w:val="18"/>
          <w:szCs w:val="18"/>
          <w:color w:val="auto"/>
        </w:rPr>
        <w:t>We continue to work closely with mobile operators, chipset suppliers and infrastructure companies around the world on 5G developments and trials in preparation for commercial network launches. In late 2017, we announced a strategic relationship with Qualcomm and Verizon Wireless to co-develop advanced technologies and devices for the next generation 5G NR wireless market.</w:t>
      </w:r>
    </w:p>
    <w:p>
      <w:pPr>
        <w:spacing w:after="0" w:line="28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adoption of IoT technology continues to grow as companies across a wide range of industries are leveraging IoT technologies to increase efficiency, gain better customer insights, facilitate compliance and build new business models. IoT growth is expanding broadly, and adoption is particularly strong in the telematics and transportation industries and in industrial IoT markets, such as smart city infrastructure, utilities and energy management. We are building IoT capabilities by leveraging business models that monetize usage on most major carrier networks. We have developed IoT solutions that address key market needs for asset tracking applications, telematics, SD WAN failover management and various other industrial applications. In addition, our IoT customers can turn the data that our solutions provide into actionable insights to develop new services and create revenue growth.</w:t>
      </w:r>
    </w:p>
    <w:p>
      <w:pPr>
        <w:spacing w:after="0" w:line="273"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Our IoT solutions enable applications for various vertical markets, such as fleet and asset tracking and telematics, smart city applications to improve public safety, traffic management and energy management. Our telematics business offers a full array of solutions to both businesses and consumers that combine location-based software, services and data intelligence. We enable our customers to track, safeguard and optimize their most prized assets: people, vehicles, equipment and data. Inseego telematics, sold under the Ctrack brand, is a top commercial telematics provider globally. We serve both the enterprise and small and medium-sized business market segments with advanced solutions and scale in distribution, research and development, and customer support. Additionally, we have made significant strides into the burgeoning aviation vertical.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337" w:lineRule="exact"/>
        <w:rPr>
          <w:sz w:val="20"/>
          <w:szCs w:val="20"/>
          <w:color w:val="auto"/>
        </w:rPr>
      </w:pPr>
    </w:p>
    <w:p>
      <w:pPr>
        <w:ind w:right="320" w:firstLine="405"/>
        <w:spacing w:after="0" w:line="276" w:lineRule="auto"/>
        <w:rPr>
          <w:sz w:val="20"/>
          <w:szCs w:val="20"/>
          <w:color w:val="auto"/>
        </w:rPr>
      </w:pPr>
      <w:r>
        <w:rPr>
          <w:rFonts w:ascii="Arial" w:cs="Arial" w:eastAsia="Arial" w:hAnsi="Arial"/>
          <w:sz w:val="17"/>
          <w:szCs w:val="17"/>
          <w:color w:val="auto"/>
        </w:rPr>
        <w:t>Our objective is to be a leader in high performance mobile applications for large enterprise verticals, service providers and small and medium-sized businesses around the globe. We will meet this objective through innovation we are driving in IoT, mobile and SaaS technologies. In furtherance of that objective, we will continue to focus on mission critical enterprise applications with a “zero unscheduled downtime” mandate, such as asset tracking, fleet management, industrial IoT, SD WAN failover management and mobile broadband services. Our solutions will be powered by our key innovations in IoT, purpose-built SaaS platforms and mobile technologies, including the newly emerging 5G technologies.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elements of our strategy are to:</w:t>
      </w:r>
    </w:p>
    <w:p>
      <w:pPr>
        <w:spacing w:after="0" w:line="225" w:lineRule="exact"/>
        <w:rPr>
          <w:sz w:val="20"/>
          <w:szCs w:val="20"/>
          <w:color w:val="auto"/>
        </w:rPr>
      </w:pPr>
    </w:p>
    <w:p>
      <w:pPr>
        <w:ind w:left="980" w:right="2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Improve SaaS solution penetration</w:t>
      </w:r>
      <w:r>
        <w:rPr>
          <w:rFonts w:ascii="Arial" w:cs="Arial" w:eastAsia="Arial" w:hAnsi="Arial"/>
          <w:sz w:val="18"/>
          <w:szCs w:val="18"/>
          <w:color w:val="auto"/>
        </w:rPr>
        <w:t>. Through our Ctrack telematics and asset tracking platform and subscription management solutions,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customers around the world with actionable insights, workflow efficiencies and high security from our cutting-edge cloud platforms. We will continue to expand these solutions into new markets such as the aviation vertical.</w:t>
      </w:r>
    </w:p>
    <w:p>
      <w:pPr>
        <w:spacing w:after="0" w:line="73"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Expand our IoT solutions portfolio and develop key core mobile technologies within our mobile portfolio. </w:t>
      </w:r>
      <w:r>
        <w:rPr>
          <w:rFonts w:ascii="Arial" w:cs="Arial" w:eastAsia="Arial" w:hAnsi="Arial"/>
          <w:sz w:val="16"/>
          <w:szCs w:val="16"/>
          <w:color w:val="auto"/>
        </w:rPr>
        <w:t>We intend to expand our IoT device</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and develop newly emerging 5G technologies, leveraging our modem technologies, intellectual property, and supplier ecosystem.</w:t>
      </w:r>
    </w:p>
    <w:p>
      <w:pPr>
        <w:spacing w:after="0" w:line="15" w:lineRule="exact"/>
        <w:rPr>
          <w:rFonts w:ascii="Arial" w:cs="Arial" w:eastAsia="Arial" w:hAnsi="Arial"/>
          <w:sz w:val="16"/>
          <w:szCs w:val="16"/>
          <w:color w:val="auto"/>
        </w:rPr>
      </w:pPr>
    </w:p>
    <w:p>
      <w:pPr>
        <w:ind w:left="980" w:right="60" w:hanging="324"/>
        <w:spacing w:after="0" w:line="342" w:lineRule="auto"/>
        <w:tabs>
          <w:tab w:leader="none" w:pos="98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Capitalize on our direct relationships with wireless operators, OEMs and component suppliers. </w:t>
      </w:r>
      <w:r>
        <w:rPr>
          <w:rFonts w:ascii="Arial" w:cs="Arial" w:eastAsia="Arial" w:hAnsi="Arial"/>
          <w:sz w:val="16"/>
          <w:szCs w:val="16"/>
          <w:color w:val="auto"/>
        </w:rPr>
        <w:t>We intend to continue to capitalize on our direct</w:t>
      </w:r>
      <w:r>
        <w:rPr>
          <w:rFonts w:ascii="Arial" w:cs="Arial" w:eastAsia="Arial" w:hAnsi="Arial"/>
          <w:sz w:val="16"/>
          <w:szCs w:val="16"/>
          <w:i w:val="1"/>
          <w:iCs w:val="1"/>
          <w:color w:val="auto"/>
        </w:rPr>
        <w:t xml:space="preserve"> </w:t>
      </w:r>
      <w:r>
        <w:rPr>
          <w:rFonts w:ascii="Arial" w:cs="Arial" w:eastAsia="Arial" w:hAnsi="Arial"/>
          <w:sz w:val="16"/>
          <w:szCs w:val="16"/>
          <w:color w:val="auto"/>
        </w:rPr>
        <w:t>and long-standing relationships with wireless operators, OEMs and component suppliers in order to strengthen our worldwide market position.</w:t>
      </w:r>
    </w:p>
    <w:p>
      <w:pPr>
        <w:spacing w:after="0" w:line="123" w:lineRule="exact"/>
        <w:rPr>
          <w:rFonts w:ascii="Arial" w:cs="Arial" w:eastAsia="Arial" w:hAnsi="Arial"/>
          <w:sz w:val="16"/>
          <w:szCs w:val="16"/>
          <w:i w:val="1"/>
          <w:iCs w:val="1"/>
          <w:color w:val="auto"/>
        </w:rPr>
      </w:pPr>
    </w:p>
    <w:p>
      <w:pPr>
        <w:ind w:left="980" w:right="280" w:hanging="324"/>
        <w:spacing w:after="0" w:line="308" w:lineRule="auto"/>
        <w:tabs>
          <w:tab w:leader="none" w:pos="98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Aggressively expand go-to-market offerings through sales resource expansion, channel development and strategic partnerships</w:t>
      </w:r>
      <w:r>
        <w:rPr>
          <w:rFonts w:ascii="Arial" w:cs="Arial" w:eastAsia="Arial" w:hAnsi="Arial"/>
          <w:sz w:val="17"/>
          <w:szCs w:val="17"/>
          <w:color w:val="auto"/>
        </w:rPr>
        <w:t>. We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expand our go-to-market resources and channels internationally for our IoT, mobile and cloud solutions.</w:t>
      </w:r>
    </w:p>
    <w:p>
      <w:pPr>
        <w:spacing w:after="0" w:line="146" w:lineRule="exact"/>
        <w:rPr>
          <w:rFonts w:ascii="Arial" w:cs="Arial" w:eastAsia="Arial" w:hAnsi="Arial"/>
          <w:sz w:val="17"/>
          <w:szCs w:val="17"/>
          <w:i w:val="1"/>
          <w:iCs w:val="1"/>
          <w:color w:val="auto"/>
        </w:rPr>
      </w:pPr>
    </w:p>
    <w:p>
      <w:pPr>
        <w:ind w:left="980" w:right="100" w:hanging="324"/>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Increase the value of our offerings. </w:t>
      </w:r>
      <w:r>
        <w:rPr>
          <w:rFonts w:ascii="Arial" w:cs="Arial" w:eastAsia="Arial" w:hAnsi="Arial"/>
          <w:sz w:val="18"/>
          <w:szCs w:val="18"/>
          <w:color w:val="auto"/>
        </w:rPr>
        <w:t>As we seek to capitalize on potential growth opportunities, we continue to develop cutting edge IoT,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and cloud solutions, with specific focus on end-to-end solutions that enable the best IoT and mobile experience for our customers. For instance, in the Ctrack cloud aviation solution, we allow Ground Support Equipment (“GSEs”) providers to achieve maximum utilization levels, maximum efficiency gains, and eliminate downtime for business-critical ground support equipment. In addition, further emerging 5G developments with anchor customers leveraging our existing modem technologies opens us up to larger worldwide potential markets. Finally, continued investment within both device and platform solutions in predictive analytics, machine learning, and edge intelligence should expand our market opportunities.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Merger, Acquisition and Divestiture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Holdings Limited (DBA Ctrack)</w:t>
      </w:r>
    </w:p>
    <w:p>
      <w:pPr>
        <w:spacing w:after="0" w:line="11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On June 18, 2015, we entered into a transaction implementation agreement (the “TIA”) with DigiCore. Pursuant to the terms of the TIA, we acquired 100% of the issued and outstanding ordinary shares of DigiCore (with the exception of certain excluded shares, including treasury shares) for 4.40 South African Rand per ordinary share outstanding.</w:t>
      </w:r>
    </w:p>
    <w:p>
      <w:pPr>
        <w:spacing w:after="0" w:line="235"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On October 5, 2015, the transaction was completed. The total preliminary purchase price was approximately $80.0 million and included (i) cash consideration of $79.4 million for all of the outstanding ordinary shares of DigiCore and the purchase of in-the-money vested stock options held by Ctrack employees on the closing date and (ii) $0.6 million for the portion of the fair value of replacement equity awards issued to Ctrack employees that related to services performed prior to the closing date. Upon consummation of the acquisition, Ctrack became an indirect wholly-owned subsidiary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Enterprises, Inc.</w:t>
      </w:r>
    </w:p>
    <w:p>
      <w:pPr>
        <w:spacing w:after="0" w:line="22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March 27, 2015, we entered into a merger agreement (“RER Merger Agreement”) with RER to acquire all of the issued and outstanding shares of RER and its wholly-owned subsidiary and principal operating asset, FW (which has been renamed Inseego North America, LLC). The total purchase price was approximately $24.8 million and included a cash payment at closing of approximately $9.3 million, the Company’s assumption of $0.5 million in certain transaction-related expenses incurred by FW, and the future issuance of shares of our common stock valued at $15.0 million (the “Deferred Purchase Price”), which would have been payable in March 2016 pursuant to the original terms of the RER Merger Agreement.</w:t>
      </w:r>
    </w:p>
    <w:p>
      <w:pPr>
        <w:spacing w:after="0" w:line="227" w:lineRule="exact"/>
        <w:rPr>
          <w:sz w:val="20"/>
          <w:szCs w:val="20"/>
          <w:color w:val="auto"/>
        </w:rPr>
      </w:pPr>
    </w:p>
    <w:p>
      <w:pPr>
        <w:ind w:right="160" w:firstLine="392"/>
        <w:spacing w:after="0" w:line="257" w:lineRule="auto"/>
        <w:rPr>
          <w:sz w:val="20"/>
          <w:szCs w:val="20"/>
          <w:color w:val="auto"/>
        </w:rPr>
      </w:pPr>
      <w:r>
        <w:rPr>
          <w:rFonts w:ascii="Arial" w:cs="Arial" w:eastAsia="Arial" w:hAnsi="Arial"/>
          <w:sz w:val="18"/>
          <w:szCs w:val="18"/>
          <w:color w:val="auto"/>
        </w:rPr>
        <w:t>The total consideration of $24.8 million did not include amounts, if any, payable under an earn-out arrangement, pursuant to which we may have been required to pay up to an additional $25.0 million to the former stockholders of RER contingent upon FW’s achievement of certain financial targets for the years ending December 31, 2015, 2016, and 2017 (the “Earn-Out Arrangement”). Such payments, if any, under the Earn-Out Arrangement would have been payable in either cash or shares of the Company’s common stock at the discretion of the Company, and would have been recorded as compensation expense during the service period earned.</w:t>
      </w:r>
    </w:p>
    <w:p>
      <w:pPr>
        <w:spacing w:after="0" w:line="29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 xml:space="preserve">On January 5, 2016, the Company and RER amended certain payment terms of the RER Merger Agreement (such agreement, as amended, the “Amended RER Merger Agreement”). Under the Amended RER Merger Agreement, the Deferred Purchase Price that was previously payable in shares of the Company’s common stock in March 2016 was agreed to be paid in five cash installments over a four-year period, beginning in March 2016. In addition, the Earn-Out Arrangement was amended as follows: (a) any amount earned under the Earn-Out Arrangement for the achievement of financial targets for the year ended December 31, 2015 would be paid in five cash installments over a four-year period, beginning in March 2016; and (b) in replacement of the potential earn-out contingent upon FW’s achievement of certain financial targets for the years ended December 31, 2016 and 2017 we would issue to the former stockholders of RER approximately 2.9 million shares of the Company’s common stock in three equal installments over a three-year period, beginning in March 2017. On March 15, 2017, we issued 973,334 shares of our common stock to the former stockholders of RER in satisfaction of the first installment of this obligation. As of the filing date of this report, the March 2017 and March 2018 cash installments have not been paid and the March 2018 share installment has not been issued. We are disputing our obligations to make such payments and any future payments, in addition to seeking other damages in the related lawsuit (see Note 12,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23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recognized approximately $7.9 million in expense during the year ended December 31, 2016 in connection with an earn-out payment due to the former shareholders of RER in the form of 2.9 million shares of our common stock.</w:t>
      </w:r>
    </w:p>
    <w:p>
      <w:pPr>
        <w:spacing w:after="0" w:line="279" w:lineRule="exact"/>
        <w:rPr>
          <w:sz w:val="20"/>
          <w:szCs w:val="20"/>
          <w:color w:val="auto"/>
        </w:rPr>
      </w:pPr>
    </w:p>
    <w:p>
      <w:pPr>
        <w:jc w:val="both"/>
        <w:ind w:right="240" w:firstLine="392"/>
        <w:spacing w:after="0" w:line="264" w:lineRule="auto"/>
        <w:rPr>
          <w:sz w:val="20"/>
          <w:szCs w:val="20"/>
          <w:color w:val="auto"/>
        </w:rPr>
      </w:pPr>
      <w:r>
        <w:rPr>
          <w:rFonts w:ascii="Arial" w:cs="Arial" w:eastAsia="Arial" w:hAnsi="Arial"/>
          <w:sz w:val="18"/>
          <w:szCs w:val="18"/>
          <w:color w:val="auto"/>
        </w:rPr>
        <w:t>As of December 31, 2017, the total amount of Deferred Purchase Price that remained outstanding was $11.3 million and the total amount outstanding pursuant to the Earn-Out Arrangement was $9.8 million, both of which are included in accrued expenses and other current liabilities and in other long-term liabilities in the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Modules Business</w:t>
      </w:r>
    </w:p>
    <w:p>
      <w:pPr>
        <w:spacing w:after="0" w:line="22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On April 11, 2016, the Company signed a definitive asset purchase agreement with Telit Technologies (Cyprus) Limited and Telit Wireless Solutions, Inc. (collectively, “Telit”) pursuant to which the Company sold, and Telit acquired, certain hardware modules and related assets (the “Modules Business”) for an initial purchase price of $11.0 million in cash, which included $9.0 million that was paid to the Company on the closing date of the transaction, $1.0 million that would be paid to the Company in equal quarterly installments over a two-year period in connection with the provision by the Company of certain transition services and $1.0 million that would be paid to the Company following the satisfaction of certain conditions by the</w:t>
      </w:r>
    </w:p>
    <w:p>
      <w:pPr>
        <w:sectPr>
          <w:pgSz w:w="11900" w:h="16838" w:orient="portrait"/>
          <w:cols w:equalWidth="0" w:num="1">
            <w:col w:w="11420"/>
          </w:cols>
          <w:pgMar w:left="240" w:top="472"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72" w:right="239" w:bottom="1440" w:gutter="0" w:footer="0" w:header="0"/>
          <w:type w:val="continuous"/>
        </w:sectPr>
      </w:pPr>
    </w:p>
    <w:bookmarkStart w:id="36" w:name="page37"/>
    <w:bookmarkEnd w:id="36"/>
    <w:p>
      <w:pPr>
        <w:ind w:right="220"/>
        <w:spacing w:after="0" w:line="257" w:lineRule="auto"/>
        <w:rPr>
          <w:sz w:val="20"/>
          <w:szCs w:val="20"/>
          <w:color w:val="auto"/>
        </w:rPr>
      </w:pPr>
      <w:r>
        <w:rPr>
          <w:rFonts w:ascii="Arial" w:cs="Arial" w:eastAsia="Arial" w:hAnsi="Arial"/>
          <w:sz w:val="18"/>
          <w:szCs w:val="18"/>
          <w:color w:val="auto"/>
        </w:rPr>
        <w:t>Company, including the assignment of specified contracts and the delivery of certain certifications and approvals. The Company also had the potential to receive an additional cash payment of approximately $3.8 million from Telit related to their purchase of module product inventory from the Company, $1.0 million of which would be paid to the Company in equal quarterly installments over the two-year period following the closing date in connection with the provision by the Company of certain transition services. In addition to the above, the Company may have been entitled to receive a subsequent earn-out payment following the closing of the transaction if certain conditions were met.</w:t>
      </w:r>
    </w:p>
    <w:p>
      <w:pPr>
        <w:spacing w:after="0" w:line="242"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On September 29, 2016, the Company entered into a Final Resolution Letter Agreement (the “Final Resolution”) with Telit. Per the Final Resolution, Telit agreed to pay the Company $2.1 million in full satisfaction of their payment obligations under certain sections of the original purchase agreement, including all installment payments, and the Company agreed to ship the remainder of the hardware modules and related assets as soon as practicable. Under the Final Resolution, the aggregate purchase consideration totaled $11.7 million, which consisted of $11.3 million in cash and $0.4 million in net settled Company liabilities.</w:t>
      </w:r>
    </w:p>
    <w:p>
      <w:pPr>
        <w:spacing w:after="0" w:line="24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years ended December 31, 2017 and 2016, we recognized a gain of approximately $45,000 and $5.0 million, respectively, in connection with the fulfillment of certain obligations pursuant to the asset purchase agreement, as amended, which is included in other income (expense), net,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 Business</w:t>
      </w:r>
    </w:p>
    <w:p>
      <w:pPr>
        <w:spacing w:after="0" w:line="27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September 21, 2016, the Company entered into the Purchase Agreement, by and among Inseego and Novatel Wireless, on the one hand, and the Purchasers, on the other hand. The Purchase Agreement related to the proposed sale of the Company’s subsidiary, Novatel Wireless, which included the Company’s MiFi Business, to the Purchasers for $50.0 million in cash, subject to potential adjustment for Novatel Wireless’s working capital as of the closing date.</w:t>
      </w:r>
    </w:p>
    <w:p>
      <w:pPr>
        <w:spacing w:after="0" w:line="295" w:lineRule="exact"/>
        <w:rPr>
          <w:sz w:val="20"/>
          <w:szCs w:val="20"/>
          <w:color w:val="auto"/>
        </w:rPr>
      </w:pPr>
    </w:p>
    <w:p>
      <w:pPr>
        <w:ind w:right="300" w:firstLine="392"/>
        <w:spacing w:after="0" w:line="273" w:lineRule="auto"/>
        <w:rPr>
          <w:sz w:val="20"/>
          <w:szCs w:val="20"/>
          <w:color w:val="auto"/>
        </w:rPr>
      </w:pPr>
      <w:r>
        <w:rPr>
          <w:rFonts w:ascii="Arial" w:cs="Arial" w:eastAsia="Arial" w:hAnsi="Arial"/>
          <w:sz w:val="17"/>
          <w:szCs w:val="17"/>
          <w:color w:val="auto"/>
        </w:rPr>
        <w:t>In June 2017, we terminated the Purchase Agreement due to delays and uncertainty in securing approval of the transactions contemplated by the Purchase Agreement from CFIUS and announced key leadership changes and a Company-wide restructuring designed to improve execution, enhance financial performance and drive profitable growth as we worked to create sustainable long-term value for shareholders. As part of the restructuring plan, among other actions, we implemented cost reduction measures which included a series of targeted reductions across our businesses and geographies, and rationalization of our businesses. As a result of the termination of the transaction described above and the institution of certain restructuring initiatives, we retained our ownership interest in Novatel Wireless and the MiFi Business.</w:t>
      </w:r>
    </w:p>
    <w:p>
      <w:pPr>
        <w:spacing w:after="0" w:line="287" w:lineRule="exact"/>
        <w:rPr>
          <w:sz w:val="20"/>
          <w:szCs w:val="20"/>
          <w:color w:val="auto"/>
        </w:rPr>
      </w:pPr>
    </w:p>
    <w:p>
      <w:pPr>
        <w:ind w:right="500" w:firstLine="392"/>
        <w:spacing w:after="0" w:line="277" w:lineRule="auto"/>
        <w:rPr>
          <w:sz w:val="20"/>
          <w:szCs w:val="20"/>
          <w:color w:val="auto"/>
        </w:rPr>
      </w:pPr>
      <w:r>
        <w:rPr>
          <w:rFonts w:ascii="Arial" w:cs="Arial" w:eastAsia="Arial" w:hAnsi="Arial"/>
          <w:sz w:val="18"/>
          <w:szCs w:val="18"/>
          <w:color w:val="auto"/>
        </w:rPr>
        <w:t>One of the many benefits associated with the retention of the MiFi Business is the retention of know-how and intellectual property essential to the development of advanced wireless technologies, such as the newly emerging 5G NR standard.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Reorganization</w:t>
      </w:r>
    </w:p>
    <w:p>
      <w:pPr>
        <w:spacing w:after="0" w:line="28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order to facilitate the proposed sale of Novatel Wireless, we completed an internal reorganization in November 2016 (the “Reorganization”). The first step of the Reorganization was the formation of Inseego (formerly known as Vanilla Technologies, Inc.) as a direct, wholly owned subsidiary of Novatel Wireless. Inseego then formed Vanilla Merger Sub, Inc., a Delaware corporation and direct, wholly owned subsidiary of Inseego (“Merger Sub”). Merger Sub was formed solely for the purpose of effecting the Reorganization.</w:t>
      </w:r>
    </w:p>
    <w:p>
      <w:pPr>
        <w:spacing w:after="0" w:line="24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Novatel Wireless then contributed all of its assets and liabilities (other than the MiFi Business), including its equity interests in DigiCore, FW, Novatel Wireless Solutions, Inc., Enfora Comercio de Eletronicos LTDA and each of their direct and indirect subsidiaries, to Inseego.</w:t>
      </w:r>
    </w:p>
    <w:p>
      <w:pPr>
        <w:spacing w:after="0" w:line="22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Finally, Merger Sub was merged with and into Novatel Wireless, with Novatel Wireless surviving as a direct, wholly owned subsidiary of Inseego. Upon completion of the Reorganization, each share of Novatel Wireless common stock was automatically converted into a corresponding share of Inseego common stock, having the same rights and limitations as the corresponding share of Novatel Wireless common stock that was converted. Accordingly, at such time, Novatel Wireless’s former stockholders became stockholders of Inseego.</w:t>
      </w:r>
    </w:p>
    <w:p>
      <w:pPr>
        <w:spacing w:after="0" w:line="24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purpose and effect of the Reorganization was to separate the MiFi Business from the assets and liabilities associated with the Ctrack fleet and vehicle telematics solutions and stolen vehicle recovery and FW telemetry and connectivity solutions businesses.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Reporting</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do not provide separate segment reporting for our various lines of business. Our Chief Executive Officer, who is also our Chief Operating Decision Maker, evaluates the business as a single entity and reviews financial information and makes</w:t>
      </w:r>
    </w:p>
    <w:p>
      <w:pPr>
        <w:sectPr>
          <w:pgSz w:w="11900" w:h="16838" w:orient="portrait"/>
          <w:cols w:equalWidth="0" w:num="1">
            <w:col w:w="11420"/>
          </w:cols>
          <w:pgMar w:left="240" w:top="47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76" w:right="239" w:bottom="1440" w:gutter="0" w:footer="0" w:header="0"/>
          <w:type w:val="continuous"/>
        </w:sectPr>
      </w:pPr>
    </w:p>
    <w:bookmarkStart w:id="37" w:name="page38"/>
    <w:bookmarkEnd w:id="37"/>
    <w:p>
      <w:pPr>
        <w:ind w:right="240"/>
        <w:spacing w:after="0" w:line="277" w:lineRule="auto"/>
        <w:rPr>
          <w:sz w:val="20"/>
          <w:szCs w:val="20"/>
          <w:color w:val="auto"/>
        </w:rPr>
      </w:pPr>
      <w:r>
        <w:rPr>
          <w:rFonts w:ascii="Arial" w:cs="Arial" w:eastAsia="Arial" w:hAnsi="Arial"/>
          <w:sz w:val="18"/>
          <w:szCs w:val="18"/>
          <w:color w:val="auto"/>
        </w:rPr>
        <w:t>business decisions based on the overall results of the business. As such, the Company’s operations constitute a single operating segment and one reportable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tier-one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96"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6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9"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activities, such as awareness and lead generation programs as well as product marketing. Other marketing initiatives include public relations, seminars and co-branding with partners.</w:t>
      </w:r>
    </w:p>
    <w:p>
      <w:pPr>
        <w:spacing w:after="0" w:line="25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296"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 related costs, as well as discontinued operations if any.</w:t>
      </w:r>
    </w:p>
    <w:p>
      <w:pPr>
        <w:sectPr>
          <w:pgSz w:w="11900" w:h="16838" w:orient="portrait"/>
          <w:cols w:equalWidth="0" w:num="1">
            <w:col w:w="11420"/>
          </w:cols>
          <w:pgMar w:left="240" w:top="476"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76" w:right="239" w:bottom="1440" w:gutter="0" w:footer="0" w:header="0"/>
          <w:type w:val="continuous"/>
        </w:sectPr>
      </w:pPr>
    </w:p>
    <w:bookmarkStart w:id="38" w:name="page39"/>
    <w:bookmarkEnd w:id="38"/>
    <w:p>
      <w:pPr>
        <w:ind w:right="40" w:firstLine="405"/>
        <w:spacing w:after="0" w:line="279" w:lineRule="auto"/>
        <w:rPr>
          <w:sz w:val="20"/>
          <w:szCs w:val="20"/>
          <w:color w:val="auto"/>
        </w:rPr>
      </w:pPr>
      <w:r>
        <w:rPr>
          <w:rFonts w:ascii="Arial" w:cs="Arial" w:eastAsia="Arial" w:hAnsi="Arial"/>
          <w:sz w:val="17"/>
          <w:szCs w:val="17"/>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consolidated statements of operations expressed as a percentage of net revenues for the periods indicated.</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80" w:type="dxa"/>
            <w:vAlign w:val="bottom"/>
          </w:tcPr>
          <w:p>
            <w:pPr>
              <w:spacing w:after="0"/>
              <w:rPr>
                <w:sz w:val="22"/>
                <w:szCs w:val="22"/>
                <w:color w:val="auto"/>
              </w:rPr>
            </w:pPr>
          </w:p>
        </w:tc>
        <w:tc>
          <w:tcPr>
            <w:tcW w:w="13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93"/>
        </w:trPr>
        <w:tc>
          <w:tcPr>
            <w:tcW w:w="7180" w:type="dxa"/>
            <w:vAlign w:val="bottom"/>
            <w:vMerge w:val="restart"/>
          </w:tcPr>
          <w:p>
            <w:pPr>
              <w:ind w:left="20"/>
              <w:spacing w:after="0"/>
              <w:rPr>
                <w:sz w:val="20"/>
                <w:szCs w:val="20"/>
                <w:color w:val="auto"/>
              </w:rPr>
            </w:pPr>
            <w:r>
              <w:rPr>
                <w:rFonts w:ascii="Arial" w:cs="Arial" w:eastAsia="Arial" w:hAnsi="Arial"/>
                <w:sz w:val="16"/>
                <w:szCs w:val="16"/>
                <w:color w:val="auto"/>
              </w:rPr>
              <w:t>Net revenues:</w:t>
            </w:r>
          </w:p>
        </w:tc>
        <w:tc>
          <w:tcPr>
            <w:tcW w:w="3180" w:type="dxa"/>
            <w:vAlign w:val="bottom"/>
            <w:gridSpan w:val="6"/>
          </w:tcPr>
          <w:p>
            <w:pPr>
              <w:jc w:val="center"/>
              <w:ind w:left="940"/>
              <w:spacing w:after="0"/>
              <w:rPr>
                <w:sz w:val="20"/>
                <w:szCs w:val="20"/>
                <w:color w:val="auto"/>
              </w:rPr>
            </w:pPr>
            <w:r>
              <w:rPr>
                <w:rFonts w:ascii="Arial" w:cs="Arial" w:eastAsia="Arial" w:hAnsi="Arial"/>
                <w:sz w:val="14"/>
                <w:szCs w:val="14"/>
                <w:b w:val="1"/>
                <w:bCs w:val="1"/>
                <w:color w:val="auto"/>
                <w:w w:val="90"/>
              </w:rPr>
              <w:t>(as a percent of net revenues)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1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73.4 %</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76.9 %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92.0 %</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26.6</w:t>
            </w:r>
          </w:p>
        </w:tc>
        <w:tc>
          <w:tcPr>
            <w:tcW w:w="1440" w:type="dxa"/>
            <w:vAlign w:val="bottom"/>
            <w:gridSpan w:val="3"/>
          </w:tcPr>
          <w:p>
            <w:pPr>
              <w:jc w:val="right"/>
              <w:ind w:right="121"/>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net revenues</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4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61.5</w:t>
            </w:r>
          </w:p>
        </w:tc>
        <w:tc>
          <w:tcPr>
            <w:tcW w:w="14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8.0</w:t>
            </w:r>
          </w:p>
        </w:tc>
        <w:tc>
          <w:tcPr>
            <w:tcW w:w="1440" w:type="dxa"/>
            <w:vAlign w:val="bottom"/>
            <w:gridSpan w:val="3"/>
          </w:tcPr>
          <w:p>
            <w:pPr>
              <w:jc w:val="right"/>
              <w:ind w:right="121"/>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14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180" w:type="dxa"/>
            <w:vAlign w:val="bottom"/>
          </w:tcPr>
          <w:p>
            <w:pPr>
              <w:ind w:left="480"/>
              <w:spacing w:after="0"/>
              <w:rPr>
                <w:sz w:val="20"/>
                <w:szCs w:val="20"/>
                <w:color w:val="auto"/>
              </w:rPr>
            </w:pPr>
            <w:r>
              <w:rPr>
                <w:rFonts w:ascii="Arial" w:cs="Arial" w:eastAsia="Arial" w:hAnsi="Arial"/>
                <w:sz w:val="16"/>
                <w:szCs w:val="16"/>
                <w:color w:val="auto"/>
              </w:rPr>
              <w:t>Total cost of net revenues</w:t>
            </w:r>
          </w:p>
        </w:tc>
        <w:tc>
          <w:tcPr>
            <w:tcW w:w="13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69.3</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Gross profit</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30.7</w:t>
            </w:r>
          </w:p>
        </w:tc>
        <w:tc>
          <w:tcPr>
            <w:tcW w:w="14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6"/>
                <w:szCs w:val="16"/>
                <w:color w:val="auto"/>
              </w:rPr>
              <w:t>Operating costs and expenses:</w:t>
            </w: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9.7</w:t>
            </w:r>
          </w:p>
        </w:tc>
        <w:tc>
          <w:tcPr>
            <w:tcW w:w="14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11.4</w:t>
            </w:r>
          </w:p>
        </w:tc>
        <w:tc>
          <w:tcPr>
            <w:tcW w:w="1440" w:type="dxa"/>
            <w:vAlign w:val="bottom"/>
            <w:gridSpan w:val="3"/>
          </w:tcPr>
          <w:p>
            <w:pPr>
              <w:jc w:val="right"/>
              <w:ind w:right="121"/>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15.7</w:t>
            </w:r>
          </w:p>
        </w:tc>
        <w:tc>
          <w:tcPr>
            <w:tcW w:w="14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1440" w:type="dxa"/>
            <w:vAlign w:val="bottom"/>
            <w:gridSpan w:val="3"/>
          </w:tcPr>
          <w:p>
            <w:pPr>
              <w:jc w:val="right"/>
              <w:ind w:right="12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purchased intangible assets</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1440" w:type="dxa"/>
            <w:vAlign w:val="bottom"/>
            <w:gridSpan w:val="3"/>
          </w:tcPr>
          <w:p>
            <w:pPr>
              <w:jc w:val="right"/>
              <w:ind w:right="121"/>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operating costs and expenses</w:t>
            </w:r>
          </w:p>
        </w:tc>
        <w:tc>
          <w:tcPr>
            <w:tcW w:w="1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40.8</w:t>
            </w:r>
          </w:p>
        </w:tc>
        <w:tc>
          <w:tcPr>
            <w:tcW w:w="14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3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7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Non-cash change in acquisition-related escrow</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w:t>
            </w:r>
          </w:p>
        </w:tc>
        <w:tc>
          <w:tcPr>
            <w:tcW w:w="144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4"/>
        </w:trPr>
        <w:tc>
          <w:tcPr>
            <w:tcW w:w="71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1440" w:type="dxa"/>
            <w:vAlign w:val="bottom"/>
            <w:gridSpan w:val="3"/>
          </w:tcPr>
          <w:p>
            <w:pPr>
              <w:jc w:val="right"/>
              <w:ind w:right="12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w:t>
            </w:r>
          </w:p>
        </w:tc>
        <w:tc>
          <w:tcPr>
            <w:tcW w:w="144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0.1</w:t>
            </w:r>
          </w:p>
        </w:tc>
        <w:tc>
          <w:tcPr>
            <w:tcW w:w="1440" w:type="dxa"/>
            <w:vAlign w:val="bottom"/>
            <w:gridSpan w:val="3"/>
          </w:tcPr>
          <w:p>
            <w:pPr>
              <w:jc w:val="right"/>
              <w:ind w:right="12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(20.9)</w:t>
            </w:r>
          </w:p>
        </w:tc>
        <w:tc>
          <w:tcPr>
            <w:tcW w:w="144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Less: Net loss (income) attributable to noncontrolling interests</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18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Inseego Corp.</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3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year ended December 31, 2017 were $219.3 million, a decrease of $24.3 million, or 10.0%,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2016.</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2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r>
      <w:tr>
        <w:trPr>
          <w:trHeight w:val="26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Product Category</w:t>
            </w:r>
          </w:p>
        </w:tc>
        <w:tc>
          <w:tcPr>
            <w:tcW w:w="3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36"/>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Hardware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160,986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187,375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4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58,311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56,180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2,131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r>
      <w:tr>
        <w:trPr>
          <w:trHeight w:val="255"/>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219,297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decrease in hardware net revenues is primarily a result of the divestiture of the Modules Business in the second quarter of 2016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abandonment of certain legacy Enfora, Inc. (“Enfora”) product lines, as well as reduced sales related to the MiFi Business, partially offset by the hardware sales related to the increase in IoT sales.</w:t>
      </w:r>
    </w:p>
    <w:p>
      <w:pPr>
        <w:spacing w:after="0" w:line="28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increase in SaaS, software and services net revenues is primarily a result of our increased subscriber base as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build a recurring revenue business.</w:t>
      </w:r>
    </w:p>
    <w:p>
      <w:pPr>
        <w:spacing w:after="0" w:line="27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2017 was $152.0 million, or 69.3% of net revenues, compared to $167.2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68.7% of net revenues, for the same period in 2016.</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4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Hardware</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134,795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136,936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17,436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18,751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151,962</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167,227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The decrease in hardware cost of net revenues is primarily a result of reduced revenues, partially offset by increased costs per unit on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released in 2017.</w:t>
      </w:r>
    </w:p>
    <w:p>
      <w:pPr>
        <w:spacing w:after="0" w:line="2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SaaS, software and services. </w:t>
      </w:r>
      <w:r>
        <w:rPr>
          <w:rFonts w:ascii="Arial" w:cs="Arial" w:eastAsia="Arial" w:hAnsi="Arial"/>
          <w:sz w:val="18"/>
          <w:szCs w:val="18"/>
          <w:color w:val="auto"/>
        </w:rPr>
        <w:t>The decrease in SaaS, software and services cost of net revenues is primarily a result of our cost containment initiatives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mix.</w:t>
      </w:r>
    </w:p>
    <w:p>
      <w:pPr>
        <w:spacing w:after="0" w:line="279"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includes the write down of the value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Enfora inventory related to product lines the Company decided to abandon during the year ended December 31, 2016, net of recoveries related to the subsequent sale of such abandoned products, as well as a legal settlement in 2017.</w:t>
      </w:r>
    </w:p>
    <w:p>
      <w:pPr>
        <w:spacing w:after="0" w:line="289"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2017 was $67.3 million, or a gross margin of 30.7%, compared to $76.3 million, or a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of 31.3%, for the same period in 2016. The decrease in gross profit and gross margin was primarily due to decreased gross margins related to the new MiFi products introduced in 2017 and the one-time sale of certain legacy MiFi products at cost in order to improve our liquidity in the third quarter of 2017.</w:t>
      </w:r>
    </w:p>
    <w:p>
      <w:pPr>
        <w:spacing w:after="0" w:line="255"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2017 were $21.4 million, or 9.7%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$30.7 million, or 12.6% of net revenues, for the same period in 2016. The decrease was primarily a result of our cost containment initiatives, including reductions in our workforce over the past 24 months.</w:t>
      </w:r>
    </w:p>
    <w:p>
      <w:pPr>
        <w:spacing w:after="0" w:line="289"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2017 were $25.0 million, or 11.4%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$29.8 million, or 12.2% of net revenues, for the same period in 2016. The decrease was primarily a result of our cost containment initiatives, including reductions in our workforce over the past 24 months.</w:t>
      </w:r>
    </w:p>
    <w:p>
      <w:pPr>
        <w:spacing w:after="0" w:line="28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 ended December 31, 2017 were $34.4 million, or 15.7%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$52.4 million, or 21.5% of net revenues, for the same period in 2016. The</w:t>
      </w:r>
    </w:p>
    <w:p>
      <w:pPr>
        <w:sectPr>
          <w:pgSz w:w="11900" w:h="16838" w:orient="portrait"/>
          <w:cols w:equalWidth="0" w:num="1">
            <w:col w:w="11420"/>
          </w:cols>
          <w:pgMar w:left="240" w:top="52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26"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auto"/>
        </w:rPr>
        <w:t>decrease was primarily a result of our cost containment initiatives, including reductions in our workforce over the past 24 months.</w:t>
      </w:r>
    </w:p>
    <w:p>
      <w:pPr>
        <w:spacing w:after="0" w:line="329" w:lineRule="exact"/>
        <w:rPr>
          <w:sz w:val="20"/>
          <w:szCs w:val="20"/>
          <w:color w:val="auto"/>
        </w:rPr>
      </w:pPr>
    </w:p>
    <w:p>
      <w:pPr>
        <w:ind w:right="32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2017 and 2016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 million and $3.9 million, respectively.</w:t>
      </w:r>
    </w:p>
    <w:p>
      <w:pPr>
        <w:spacing w:after="0" w:line="27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b w:val="1"/>
          <w:bCs w:val="1"/>
          <w:i w:val="1"/>
          <w:iCs w:val="1"/>
          <w:color w:val="auto"/>
        </w:rPr>
        <w:t xml:space="preserve">Impairment of purchased intangible assets. </w:t>
      </w:r>
      <w:r>
        <w:rPr>
          <w:rFonts w:ascii="Arial" w:cs="Arial" w:eastAsia="Arial" w:hAnsi="Arial"/>
          <w:sz w:val="18"/>
          <w:szCs w:val="18"/>
          <w:color w:val="auto"/>
        </w:rPr>
        <w:t>During the year ended December 31, 2016, we recorded an impairment loss of $2.6 million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developed technologies acquired through our acquisition of FW. We did not have an impairment of purchased intangible assets during the year ended December 31, 2017.</w:t>
      </w:r>
    </w:p>
    <w:p>
      <w:pPr>
        <w:spacing w:after="0" w:line="289"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net of recoveries. </w:t>
      </w:r>
      <w:r>
        <w:rPr>
          <w:rFonts w:ascii="Arial" w:cs="Arial" w:eastAsia="Arial" w:hAnsi="Arial"/>
          <w:sz w:val="18"/>
          <w:szCs w:val="18"/>
          <w:color w:val="auto"/>
        </w:rPr>
        <w:t>Restructuring charges, net of recoveries, for the years ended December 31, 2017 and 2016 were $5.2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 million, respectively, and primarily consisted of severance costs incurred in connection with the reduction of our workforce and facility exit related costs.</w:t>
      </w:r>
    </w:p>
    <w:p>
      <w:pPr>
        <w:spacing w:after="0" w:line="289"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year ended December 31, 2017 was $19.3 million, as compared to $15.6 million for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2016. The increase in interest expense is primarily a result of the interest expense and amortization of the debt discount and debt issuance costs related to our Term Loan and Prior Credit Agreement, as discussed below, as well as the increase in the amortization of debt discount related to the increase in the fair value of the embedded conversion feature of the Inseego Notes.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Other income (expense), net. </w:t>
      </w:r>
      <w:r>
        <w:rPr>
          <w:rFonts w:ascii="Arial" w:cs="Arial" w:eastAsia="Arial" w:hAnsi="Arial"/>
          <w:sz w:val="17"/>
          <w:szCs w:val="17"/>
          <w:color w:val="auto"/>
        </w:rPr>
        <w:t>Other expense, net, for the year ended December 31, 2017 was $4.1 million, as compared to other income, net,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$0.4 million for the same period in 2016. Other expense, net, for the year ended December 31, 2017 primarily consisted of a loss on extinguishment of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repayment of the Prior Credit Agreement and repurchase of certain of our Inseego Notes, as well as the termination of the Revolver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Other income, net, for the year ended December 31, 2016 primarily consisted of a gain recorded in connection with the sale of our Modules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net foreign currency transaction losses, including unrealized foreign currency losses on outstanding intercompany loans that Ctrack has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certain of its subsidiaries, which are remeasured at each reporting period.</w:t>
      </w:r>
    </w:p>
    <w:p>
      <w:pPr>
        <w:spacing w:after="0" w:line="31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expense for the year ended December 31, 2017 was $0.2 million as compared to $0.4 million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2016.</w:t>
      </w:r>
    </w:p>
    <w:p>
      <w:pPr>
        <w:spacing w:after="0" w:line="27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effective tax rate for the year ended December 31, 2017 is different than the U.S. statutory rate primarily due to a valuation allowance recorded against additional tax assets generated during the year.</w:t>
      </w:r>
    </w:p>
    <w:p>
      <w:pPr>
        <w:spacing w:after="0" w:line="279"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b w:val="1"/>
          <w:bCs w:val="1"/>
          <w:i w:val="1"/>
          <w:iCs w:val="1"/>
          <w:color w:val="auto"/>
        </w:rPr>
        <w:t xml:space="preserve">Net loss (income) attributable to noncontrolling interests. </w:t>
      </w:r>
      <w:r>
        <w:rPr>
          <w:rFonts w:ascii="Arial" w:cs="Arial" w:eastAsia="Arial" w:hAnsi="Arial"/>
          <w:sz w:val="17"/>
          <w:szCs w:val="17"/>
          <w:color w:val="auto"/>
        </w:rPr>
        <w:t>Net loss attributable to noncontrolling interests for the year ended December 31, 2017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$0.1 million as compared to net income attributable to noncontrolling interests of $5,000 for the same period in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$243.6 million during 2016, an increase of approximately $22.6 million or 10.2% compared to 2015.</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net revenues by our two product categories during the years ended December 31, 2016 and 2015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2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r>
      <w:tr>
        <w:trPr>
          <w:trHeight w:val="26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Product Category</w:t>
            </w:r>
          </w:p>
        </w:tc>
        <w:tc>
          <w:tcPr>
            <w:tcW w:w="3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36"/>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Hardware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187,375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203,281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4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56,180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17,661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38,519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218.1 %</w:t>
            </w: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r>
      <w:tr>
        <w:trPr>
          <w:trHeight w:val="255"/>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243,555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220,942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i w:val="1"/>
          <w:iCs w:val="1"/>
          <w:color w:val="auto"/>
        </w:rPr>
        <w:t xml:space="preserve">Hardware. </w:t>
      </w:r>
      <w:r>
        <w:rPr>
          <w:rFonts w:ascii="Arial" w:cs="Arial" w:eastAsia="Arial" w:hAnsi="Arial"/>
          <w:sz w:val="17"/>
          <w:szCs w:val="17"/>
          <w:color w:val="auto"/>
        </w:rPr>
        <w:t>The decrease in hardware net revenues is primarily a result of the divestiture of our Modules Business and our strategic focus on reducing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volume of our lower margin, standalone hardware sales, partially offset by the acquisition of Ctrack with its hardware net revenues.</w:t>
      </w:r>
    </w:p>
    <w:p>
      <w:pPr>
        <w:spacing w:after="0" w:line="255" w:lineRule="exact"/>
        <w:rPr>
          <w:sz w:val="20"/>
          <w:szCs w:val="20"/>
          <w:color w:val="auto"/>
        </w:rPr>
      </w:pPr>
    </w:p>
    <w:p>
      <w:pPr>
        <w:ind w:right="760" w:firstLine="405"/>
        <w:spacing w:after="0" w:line="308" w:lineRule="auto"/>
        <w:rPr>
          <w:sz w:val="20"/>
          <w:szCs w:val="20"/>
          <w:color w:val="auto"/>
        </w:rPr>
      </w:pPr>
      <w:r>
        <w:rPr>
          <w:rFonts w:ascii="Arial" w:cs="Arial" w:eastAsia="Arial" w:hAnsi="Arial"/>
          <w:sz w:val="17"/>
          <w:szCs w:val="17"/>
          <w:i w:val="1"/>
          <w:iCs w:val="1"/>
          <w:color w:val="auto"/>
        </w:rPr>
        <w:t xml:space="preserve">SaaS, software and services. </w:t>
      </w:r>
      <w:r>
        <w:rPr>
          <w:rFonts w:ascii="Arial" w:cs="Arial" w:eastAsia="Arial" w:hAnsi="Arial"/>
          <w:sz w:val="17"/>
          <w:szCs w:val="17"/>
          <w:color w:val="auto"/>
        </w:rPr>
        <w:t>The increase in SaaS, software and services net revenues is primarily a result of our acquisition of Ctrack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subscription-based solutions and our strategic focus on increasing our higher margin, SaaS, software and services revenues.</w:t>
      </w:r>
    </w:p>
    <w:p>
      <w:pPr>
        <w:spacing w:after="0" w:line="25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2016 was approximately $167.2 million, or 68.7% of net revenues,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$162.0 million, or 73.3% of net revenues in 2015.</w:t>
      </w:r>
    </w:p>
    <w:p>
      <w:pPr>
        <w:sectPr>
          <w:pgSz w:w="11900" w:h="16838" w:orient="portrait"/>
          <w:cols w:equalWidth="0" w:num="1">
            <w:col w:w="11420"/>
          </w:cols>
          <w:pgMar w:left="240" w:top="5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30" w:right="239" w:bottom="1440" w:gutter="0" w:footer="0" w:header="0"/>
          <w:type w:val="continuous"/>
        </w:sectPr>
      </w:pPr>
    </w:p>
    <w:bookmarkStart w:id="41" w:name="page42"/>
    <w:bookmarkEnd w:id="41"/>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Product Category</w:t>
            </w:r>
          </w:p>
        </w:tc>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Hardware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136,936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153,815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18,751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8,174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10,577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129.4 %</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11,540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167,227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161,989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5,238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i w:val="1"/>
          <w:iCs w:val="1"/>
          <w:color w:val="auto"/>
        </w:rPr>
        <w:t xml:space="preserve">Hardware. </w:t>
      </w:r>
      <w:r>
        <w:rPr>
          <w:rFonts w:ascii="Arial" w:cs="Arial" w:eastAsia="Arial" w:hAnsi="Arial"/>
          <w:sz w:val="16"/>
          <w:szCs w:val="16"/>
          <w:color w:val="auto"/>
        </w:rPr>
        <w:t>The decrease in hardware cost of net revenues is primarily a result of the divestiture of our Modules Business and our strategic focus on</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the volume of our lower margin, standalone hardware sales, partially offset by the acquisition of Ctrack with its hardware cost of net revenues.</w:t>
      </w:r>
    </w:p>
    <w:p>
      <w:pPr>
        <w:spacing w:after="0" w:line="232"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i w:val="1"/>
          <w:iCs w:val="1"/>
          <w:color w:val="auto"/>
        </w:rPr>
        <w:t xml:space="preserve">SaaS, software and services. </w:t>
      </w:r>
      <w:r>
        <w:rPr>
          <w:rFonts w:ascii="Arial" w:cs="Arial" w:eastAsia="Arial" w:hAnsi="Arial"/>
          <w:sz w:val="16"/>
          <w:szCs w:val="16"/>
          <w:color w:val="auto"/>
        </w:rPr>
        <w:t>The increase in SaaS, software and services cost of net revenues is primarily a result of our acquisition of Ctrack with its</w:t>
      </w:r>
      <w:r>
        <w:rPr>
          <w:rFonts w:ascii="Arial" w:cs="Arial" w:eastAsia="Arial" w:hAnsi="Arial"/>
          <w:sz w:val="16"/>
          <w:szCs w:val="16"/>
          <w:i w:val="1"/>
          <w:iCs w:val="1"/>
          <w:color w:val="auto"/>
        </w:rPr>
        <w:t xml:space="preserve"> </w:t>
      </w:r>
      <w:r>
        <w:rPr>
          <w:rFonts w:ascii="Arial" w:cs="Arial" w:eastAsia="Arial" w:hAnsi="Arial"/>
          <w:sz w:val="16"/>
          <w:szCs w:val="16"/>
          <w:color w:val="auto"/>
        </w:rPr>
        <w:t>SaaS, software and services cost of net revenues and our strategic focus on increasing our higher margin, SaaS, software and services revenues.</w:t>
      </w:r>
    </w:p>
    <w:p>
      <w:pPr>
        <w:spacing w:after="0" w:line="23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includes the write down of the value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Enfora inventory related to product lines the Company decided to abandon during the year ended December 31, 2016.</w:t>
      </w:r>
    </w:p>
    <w:p>
      <w:pPr>
        <w:spacing w:after="0" w:line="2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2016 was approximately $76.3 million, or 31.3% of net revenues,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$59.0 million, or 26.7% of net revenues, in 2015. The increase in gross profit and gross margin was primarily due to the changes in net revenues and cost of net revenues as discussed above, as the Company sought to transition its revenue mix toward more highly profitable SaaS, software and services business.</w:t>
      </w:r>
    </w:p>
    <w:p>
      <w:pPr>
        <w:spacing w:after="0" w:line="29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2016 were approximately $30.7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12.6% of net revenues, compared to approximately $35.4 million, or 16.0% of net revenues, in 2015. The decrease was primarily a result of our cost containment activities in 2016, including reductions in our workforce, partially offset by our acquisition of Ctrack with its research and development expenses.</w:t>
      </w:r>
    </w:p>
    <w:p>
      <w:pPr>
        <w:spacing w:after="0" w:line="29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b w:val="1"/>
          <w:bCs w:val="1"/>
          <w:i w:val="1"/>
          <w:iCs w:val="1"/>
          <w:color w:val="auto"/>
        </w:rPr>
        <w:t xml:space="preserve">Sales and marketing expenses. </w:t>
      </w:r>
      <w:r>
        <w:rPr>
          <w:rFonts w:ascii="Arial" w:cs="Arial" w:eastAsia="Arial" w:hAnsi="Arial"/>
          <w:sz w:val="17"/>
          <w:szCs w:val="17"/>
          <w:color w:val="auto"/>
        </w:rPr>
        <w:t>Sales and marketing expenses for the year ended December 31, 2016 were approximately $29.8 million, or 12.2%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revenues, compared to approximately $20.9 million, or 9.5% of net revenues, in 2015. The increase was primarily a result of our acquisition of Ctrack with its sales and marketing expenses, partially offset by the release of certain marketing development fund liabilities.</w:t>
      </w:r>
    </w:p>
    <w:p>
      <w:pPr>
        <w:spacing w:after="0" w:line="27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for the year ended December 31, 2016 were approximately $52.4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21.5% of net revenues, compared to approximately $34.5 million, or 15.6% of net revenues, in 2015. The increase was primarily a result of the acquisitions of Ctrack and FW, including non-cash equity earn-out expense, as well as a legal settlement entered into during the year, partially offset by our cost containment initiatives and the lack of an all-employee retention bonus that was paid in 2015.</w:t>
      </w:r>
    </w:p>
    <w:p>
      <w:pPr>
        <w:spacing w:after="0" w:line="276" w:lineRule="exact"/>
        <w:rPr>
          <w:sz w:val="20"/>
          <w:szCs w:val="20"/>
          <w:color w:val="auto"/>
        </w:rPr>
      </w:pPr>
    </w:p>
    <w:p>
      <w:pPr>
        <w:jc w:val="both"/>
        <w:ind w:right="200" w:firstLine="432"/>
        <w:spacing w:after="0" w:line="261"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2016 and 2015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$3.9 million and $2.1 million, respectively. Amortization of purchased intangible assets for the year ended December 31, 2015 includes the amortization of intangible assets purchased through the acquisitions of Ctrack and FW for the period following their applicable dates of acquisition through December 31, 2015.</w:t>
      </w:r>
    </w:p>
    <w:p>
      <w:pPr>
        <w:spacing w:after="0" w:line="29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b w:val="1"/>
          <w:bCs w:val="1"/>
          <w:i w:val="1"/>
          <w:iCs w:val="1"/>
          <w:color w:val="auto"/>
        </w:rPr>
        <w:t xml:space="preserve">Impairment of purchased intangible assets. </w:t>
      </w:r>
      <w:r>
        <w:rPr>
          <w:rFonts w:ascii="Arial" w:cs="Arial" w:eastAsia="Arial" w:hAnsi="Arial"/>
          <w:sz w:val="18"/>
          <w:szCs w:val="18"/>
          <w:color w:val="auto"/>
        </w:rPr>
        <w:t>During the year ended December 31, 2016, we recorded an impairment loss of $2.6 million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developed technologies acquired through our acquisition of FW. We did not have an impairment of purchased intangible assets during the year ended December 31, 2015.</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 xml:space="preserve">Restructuring charges, net of recoveries. </w:t>
      </w:r>
      <w:r>
        <w:rPr>
          <w:rFonts w:ascii="Arial" w:cs="Arial" w:eastAsia="Arial" w:hAnsi="Arial"/>
          <w:sz w:val="17"/>
          <w:szCs w:val="17"/>
          <w:color w:val="auto"/>
        </w:rPr>
        <w:t>Restructuring charges, net of recoveries, for the year ended December 31, 2016 were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 million as compared to approximately $3.8 million for the same period in 2015. Restructuring charges predominantly consisted of severance costs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incurred in connection with the reduction of our workforce and facility exit related costs.</w:t>
      </w:r>
    </w:p>
    <w:p>
      <w:pPr>
        <w:spacing w:after="0" w:line="319"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Non-cash change in acquisition-related escrow. </w:t>
      </w:r>
      <w:r>
        <w:rPr>
          <w:rFonts w:ascii="Arial" w:cs="Arial" w:eastAsia="Arial" w:hAnsi="Arial"/>
          <w:sz w:val="18"/>
          <w:szCs w:val="18"/>
          <w:color w:val="auto"/>
        </w:rPr>
        <w:t>During the year ended December 31, 2015, we recorded a non-cash loss of $8.3 million related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acquisition-related escrow account for the purchase of Ctrack due to the weakening of the South African Rand compared to the U.S. Dollar. We did not have an acquisition-related escrow account during the year ended December 31, 2016.</w:t>
      </w:r>
    </w:p>
    <w:p>
      <w:pPr>
        <w:sectPr>
          <w:pgSz w:w="11900" w:h="16838" w:orient="portrait"/>
          <w:cols w:equalWidth="0" w:num="1">
            <w:col w:w="11420"/>
          </w:cols>
          <w:pgMar w:left="240" w:top="530"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30" w:right="239" w:bottom="1440" w:gutter="0" w:footer="0" w:header="0"/>
          <w:type w:val="continuous"/>
        </w:sectPr>
      </w:pPr>
    </w:p>
    <w:bookmarkStart w:id="42" w:name="page43"/>
    <w:bookmarkEnd w:id="42"/>
    <w:p>
      <w:pPr>
        <w:ind w:left="44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year ended December 31, 2016 was $15.6 million as compared to $7.2 million for the same period in</w:t>
      </w:r>
    </w:p>
    <w:p>
      <w:pPr>
        <w:spacing w:after="0" w:line="4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2015. The increase in interest expense is primarily a result of the interest expense related to the Novatel Wireless Notes (as defined below) and includes the amortization of the debt discount and debt issuance costs.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 xml:space="preserve">Other income (expense), net. </w:t>
      </w:r>
      <w:r>
        <w:rPr>
          <w:rFonts w:ascii="Arial" w:cs="Arial" w:eastAsia="Arial" w:hAnsi="Arial"/>
          <w:sz w:val="17"/>
          <w:szCs w:val="17"/>
          <w:color w:val="auto"/>
        </w:rPr>
        <w:t>Other income, net, for the year ended December 31, 2016 was $0.4 million as compared to other income, net, of</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$1.1 million for the same period in 2015. Other income, net, for the year ended December 31, 2016 primarily related to a gain recorded in connection with the sale of our Modules Business, partially offset by net foreign currency transaction losses, including unrealized foreign currency losses on outstanding intercompany loans that Ctrack has with certain of its subsidiaries, which are remeasured at each reporting period. Other income, net, for the year ended December 31, 2015 primarily consisted of unrealized foreign currency gains on outstanding intercompany loans that Ctrack has with certain of its subsidiaries.</w:t>
      </w:r>
    </w:p>
    <w:p>
      <w:pPr>
        <w:spacing w:after="0" w:line="299"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provision was approximately $0.4 million for the year ended December 31, 2016,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 million for the same period in 2015.</w:t>
      </w:r>
    </w:p>
    <w:p>
      <w:pPr>
        <w:spacing w:after="0" w:line="27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loss (income) attributable to noncontrolling interests. </w:t>
      </w:r>
      <w:r>
        <w:rPr>
          <w:rFonts w:ascii="Arial" w:cs="Arial" w:eastAsia="Arial" w:hAnsi="Arial"/>
          <w:sz w:val="18"/>
          <w:szCs w:val="18"/>
          <w:color w:val="auto"/>
        </w:rPr>
        <w:t>Net income attributable to noncontrolling interests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$5,000 as compared to net loss attributable to noncontrolling interests of $8,000 for the same period in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19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On September 3, 2014, we entered into a purchase agreement (the “Financing Purchase Agreement”) with HC2 Holdings 2, Inc., a Delaware corporation (the “Investor”), pursuant to which, on September 8, 2014, we sold to the Investor (i) 7,363,334 shares of our common stock, par value $0.001 per share, (ii) a warrant to purchase 4,117,647 shares of our common stock at an exercise price of $2.26 per share (the “2014 Warrant”) and (iii) 87,196 shares of our Series C Convertible Preferred Stock, par value $0.001 per share (the “Series C Preferred Stock”), all at a purchase price of (a) $1.75 per share of common stock plus, in each case, the related 2014 Warrant and (b) $17.50 per share of Series C Preferred Stock, for aggregate gross proceeds of approximately $14.4 million. On November 17, 2014, each share of Series C Preferred Stock then outstanding automatically converted into ten shares of common stock.</w:t>
      </w:r>
    </w:p>
    <w:p>
      <w:pPr>
        <w:spacing w:after="0" w:line="11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On March 26, 2015, the Investor exercised a portion of the 2014 Warrant to purchase 3,824,600 shares of our common stock at an exercise price of $2.26 per share for total proceeds of $8.6 million.</w:t>
      </w:r>
    </w:p>
    <w:p>
      <w:pPr>
        <w:spacing w:after="0" w:line="22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On March 26, 2015, in order to induce the Investor to exercise the 2014 Warrant for cash in connection with the acquisition of FW, we issued to the Investor a new warrant to purchase 1,593,583 shares of our common stock at an exercise price of $5.50 per share.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2017, 293,047 shares remain outstanding under the 2014 Warrant.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Credit Agreements</w:t>
      </w:r>
    </w:p>
    <w:p>
      <w:pPr>
        <w:spacing w:after="0" w:line="19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October 31, 2014, we entered into a five-year senior secured revolving credit facility in the amount of $25.0 million (the “Revolver”) with Wells Fargo Bank, National Association, as lender. On November 17, 2015, the Revolver was amended to increase the maximum borrowing capacity to $48.0 million. On March 20, 2017, at our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29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terminated the Revolver on May 8, 2017, in connection with the execution of a Credit Agreement with Lakestar Semi Inc., a private investment fund managed by Soros Fund Management LLC, dated as of May 8, 2017 (the “Prior Credit Agreement”). The Prior Credit Agreement provided for a $20.0 million secured term loan with a maturity date of May 8, 2018.</w:t>
      </w:r>
    </w:p>
    <w:p>
      <w:pPr>
        <w:spacing w:after="0" w:line="289"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On August 23, 2017, upon entering into the Credit Agreement described below, we used a portion of the proceeds of the new Term Loan (as defined below) to repay all outstanding amounts under and terminate the Prior Credit Agreement. In connection with the termination of the Prior Credit Agreement, we recognized a loss on extinguishment of debt of approximately $1.7 million, which is included in other income (expense), net, in the consolidated statements of operations. There was no early termination fee paid in connection with the termination of the Prior Credit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Term Loan</w:t>
      </w:r>
    </w:p>
    <w:p>
      <w:pPr>
        <w:spacing w:after="0" w:line="27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August 23, 2017, we entered into the Credit Agreement with certain of our direct and indirect subsidiaries, as Guarantors, Cantor Fitzgerald Securities, as Agent, and certain funds managed by Highbridge Capital Management, LLC, as Lenders. Pursuant to the Credit Agreement, the Lenders provided us with a term loan in the principal amount of $48.0 million (the “Term Loan”) with a maturity date of August 23, 2020 (the “Maturity Date”). In conjunction with the closing of the Term Loan, we received proceeds of $46.9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pursuant to the terms of the Note Purchase Agreement (as defined below). Additionally, in conjunction with the closing of the Term Loan, we issued 2,000,000 shares of our common stock to the Lenders with a market value of approximately $2.3 million, accrued an exit fee of approximately $0.6 million, and paid issuance costs of approximately $0.5 million.</w:t>
      </w:r>
    </w:p>
    <w:p>
      <w:pPr>
        <w:spacing w:after="0" w:line="274" w:lineRule="exact"/>
        <w:rPr>
          <w:sz w:val="20"/>
          <w:szCs w:val="20"/>
          <w:color w:val="auto"/>
        </w:rPr>
      </w:pPr>
    </w:p>
    <w:p>
      <w:pPr>
        <w:jc w:val="both"/>
        <w:ind w:right="48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our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June 10, 2015, Novatel Wireless issued $120.0 million of 5.50% convertible senior notes due 2020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 As of December 31, 2017, $250,000 aggregate principal amount of the Novatel Wireless Notes remained outstanding. The remainder of the Novatel Wireless Notes were exchanged for the Inseego Notes.</w:t>
      </w:r>
    </w:p>
    <w:p>
      <w:pPr>
        <w:spacing w:after="0" w:line="246"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On January 9, 2017, in connection with the settlement of an exchange offer and consent solicitation with respect to the Novatel Wireless Notes, the Company issued $119.8 million aggregate principal amount of the 5.50% senior convertible notes due 2022 (the “Inseego Notes” and collectively with the Novatel Wireless Notes, the “Convertible Notes”). The Inseego Notes were issued in exchange for the $119.8 million aggregate principal amount of outstanding Novatel Wireless Notes that were validly tendered and accepted for exchange and subsequently canceled. 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 The Inseego Notes permit the Company to have a senior credit facility up to a maximum amount of $48.0 million.</w:t>
      </w:r>
    </w:p>
    <w:p>
      <w:pPr>
        <w:spacing w:after="0" w:line="30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 subject to the right of holders of the Inseego Notes on a record date to receive interest through the corresponding interest payment date.</w:t>
      </w:r>
    </w:p>
    <w:p>
      <w:pPr>
        <w:spacing w:after="0" w:line="24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exchange of the Novatel Wireless Notes for the Inseego Notes was treated as a debt modification in accordance with applicable Financial Accounting Standards Board (“FASB”) guidance and the Company recognized $3.6 million as an additional component of debt discount and additional paid-in capital attributed to the increase in the fair value of the embedded conversion feature of the Inseego Notes before and after modification.</w:t>
      </w:r>
    </w:p>
    <w:p>
      <w:pPr>
        <w:spacing w:after="0" w:line="220"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The Inseego Notes will mature on June 15, 2022, unless earlier converted, redeemed or repurchased. The Inseego Notes will be convertible into cash, shares of our common stock, or a combination thereof, at our election, at an initial conversion price of $4.70 per share of our common stock.</w:t>
      </w:r>
    </w:p>
    <w:p>
      <w:pPr>
        <w:spacing w:after="0" w:line="232"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30" w:right="259" w:bottom="1440" w:gutter="0" w:footer="0" w:header="0"/>
        </w:sectPr>
      </w:pPr>
    </w:p>
    <w:bookmarkStart w:id="44" w:name="page45"/>
    <w:bookmarkEnd w:id="44"/>
    <w:p>
      <w:pPr>
        <w:ind w:right="660"/>
        <w:spacing w:after="0" w:line="342" w:lineRule="auto"/>
        <w:rPr>
          <w:sz w:val="20"/>
          <w:szCs w:val="20"/>
          <w:color w:val="auto"/>
        </w:rPr>
      </w:pPr>
      <w:r>
        <w:rPr>
          <w:rFonts w:ascii="Arial" w:cs="Arial" w:eastAsia="Arial" w:hAnsi="Arial"/>
          <w:sz w:val="16"/>
          <w:szCs w:val="16"/>
          <w:color w:val="auto"/>
        </w:rPr>
        <w:t>the Credit Agreement and the accrued and unpaid interest on such notes. In connection with the repurchase of such notes, we recognized a loss on extinguishment of debt of approximately $0.3 million, which is included in other income (expense), net, in the consolidated statements of operations.</w:t>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the filing date of this report, the following aggregate principal amounts remain outstanding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Inseego Notes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104,875</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Novatel Wireless Notes</w:t>
            </w: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10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105,125</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22, 2018, the Company entered into the Rights Agreement and issued a Right to each of the stockholders of record of each share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outstanding on February 2, 2018. Each Right entitles the registered holder, under certain circumstances, to purchase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one one-thousandth of a share of Series D Preferred Stock, par value $0.001 per share (the “Preferred Shares”), of the Company,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per one one-thousandth of a Preferred Share represented by a Right (the “Purchase Price”), subject to adjustment. The description and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are set forth in the Rights Agreement.</w:t>
      </w:r>
    </w:p>
    <w:p>
      <w:pPr>
        <w:spacing w:after="0" w:line="2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Rights are not exercisable until the Distribution Date (as defined in the Rights Agreement). The Rights will expire on the earlier of (i) the close of business on January 22, 2021, (ii) the time at which the Rights are redeemed, (iii) the time at which the Rights are exchanged and (iv) if the Rights Agreement has not been approved or ratified by the stockholders prior to the conclusion of the Company’s 2018 Annual Meeting of Stockholders, the close of business on such date.</w:t>
      </w:r>
    </w:p>
    <w:p>
      <w:pPr>
        <w:spacing w:after="0" w:line="18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Mortgage Bond</w:t>
      </w:r>
    </w:p>
    <w:p>
      <w:pPr>
        <w:spacing w:after="0" w:line="22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DigiCore has a mortgage bond with Absa Bank Limited in South Africa (“Absa”) that is secured by certain property of DigiCore. The mortgage bond has a ten-year term, expiring in December 2018, and bears interest at the South Africa prime rate minus 1.75% (8.50% at December 31, 2017). At December 31, 2017, $0.3 million remained outstanding under the mortgage bond.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22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DigiCore has a secured banking facility with Absa, which had a maximum borrowing capacity of $1.9 million at December 31, 2017. The facility bears interest at the South Africa prime interest rate less 0.10% (10.15% at December 31, 2017) and is subject to renewal annually in April. At December 31, 2017, $1.9 million remained outstanding under this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DigiCore has a secured overdraft facility with Grindrod Bank in South Africa, which had a maximum borrowing capacity of $1.2 million at December 31, 2017. The facility bears interest at the South Africa prime interest rate plus 1.00% (11.25% at December 31, 2017), requires monthly interest and, in certain instances, minimum principal payments. The facility is subject to renewal annually in September. At December 31, 2017, $1.1 million remained outstanding under this facility.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 Amendment</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Pursuant to the Amended RER Merger Agreement with respect to our acquisition of FW, we agreed to pay a total of $15.0 million in deferred purchase price in five cash installments over a four-year period, beginning in March 2016. We also agreed to pay a total of approximately $6.1 million in cash over a four-year period, beginning in March 2016, of which approximately $4.6 million remains unpaid, related to the Earn-Out Arrangement of the Amended RER Merger Agreement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As of the filing date of this report, the March 2017 and March 2018 cash installments of $5.3 million each have not been paid and the Company is disputing its obligation to make such payments and any future payments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3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Historical 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(14,637)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(6,579)</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5,035</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159</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(2,676)</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9,894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12,570</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9,894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$14.6 million for the year ended December 31, 2017 compared to $6.6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2016. Net cash used in operating activities for the year ended December 31, 2017 was primarily attributable to the net losses incurred during the period, partially offset by non-cash charges for depreciation and amortization, including the amortization of debt discount and debt issuance costs, loss on extinguishment of debt and share-based compensation expense. Net cash used in operating activities for the year ended December 31, 2016 was primarily attributable to the net losses incurred during the period, partially offset by non-cash charges related to the acquisitions of Ctrack and FW, depreciation and amortization, including that of the debt discount and debt issuance costs, the impairment of certain product lines the Company decided to abandon and certain purchased intangible assets, the reversal of certain market development fund accruals and share-based compensation expense.</w:t>
      </w:r>
    </w:p>
    <w:p>
      <w:pPr>
        <w:spacing w:after="0" w:line="2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year ended December 31, 2017 was $4.4 million compared to $5.0 million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investing activities for the same period in 2016. Cash used in investing activities during the year ended December 31, 2017 was primarily attributable to the purchases of property, plant and equipment and the capitalization of certain costs related to the research and development of software to be sold in our solutions. Cash provided by investing activities during the year ended December 31, 2016 was primarily attributable to proceeds from the sale of our Modules Business, partially offset by payments made pursuant to the Amended RER Merger Agreement and the capitalization of certain costs related to the research and development of software to be sold in our solutions.</w:t>
      </w:r>
    </w:p>
    <w:p>
      <w:pPr>
        <w:spacing w:after="0" w:line="30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provided by financing activities during the year ended December 31, 2017 was $30.4 million, compared to net cash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financing activities of $1.3 million for the same period in 2016. Net cash provided by financing activities during the year ended December 31, 2017 was primarily attributable to the net proceeds from the Term Loan, partially offset by the repurchase of certain Inseego Notes and payment of issuance costs related to the Term Loan and Prior Credit Agreement. Net cash used in financing activities during the year ended December 31, 2016 was primarily attributable to net repayments of DigiCore bank facilities and capital lease obligations, partially offset by proceeds from stock option exercises and purchases under the employee stock purchase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2017, and the effect such obligations could have on our liquidity and cash flow in future periods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w w:val="91"/>
              </w:rPr>
              <w:t>Payments Due by Period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&lt; 1 Year</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9"/>
              </w:rPr>
              <w:t>1 - 3 Years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9"/>
              </w:rPr>
              <w:t>4 - 5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&gt; 5 Years</w:t>
            </w: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Notes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131,116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5,782</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113,527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Term Loan</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59,650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55,495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DigiCore mortgage bond</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DigiCore bank facilities</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Amended RER Merger Agreement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Capital lease obligations</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6,663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20</w:t>
            </w: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218,077</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27,555</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76,374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114,128</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20</w:t>
            </w: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260" w:right="460" w:hanging="252"/>
        <w:spacing w:after="0" w:line="280"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Represents the outstanding borrowings and contractually required interest payments to Convertible Notes holders at December 31, 2017, assuming no repurchases or conversions of the Novatel Wireless Notes prior to June 15, 2020, the maturity date, or the Inseego Notes prior to June 15, 2022, the maturity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30" w:right="239" w:bottom="1440" w:gutter="0" w:footer="0" w:header="0"/>
        </w:sectPr>
      </w:pPr>
    </w:p>
    <w:bookmarkStart w:id="46" w:name="page47"/>
    <w:bookmarkEnd w:id="46"/>
    <w:p>
      <w:pPr>
        <w:ind w:left="260" w:right="60" w:hanging="252"/>
        <w:spacing w:after="0" w:line="217" w:lineRule="auto"/>
        <w:tabs>
          <w:tab w:leader="none" w:pos="2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Represents the outstanding borrowings and contractually required interest payments and exit fee at December 31, 2017, assuming applicable interest rates at December 31, 2017.</w:t>
      </w:r>
    </w:p>
    <w:p>
      <w:pPr>
        <w:spacing w:after="0" w:line="44" w:lineRule="exact"/>
        <w:rPr>
          <w:rFonts w:ascii="Arial" w:cs="Arial" w:eastAsia="Arial" w:hAnsi="Arial"/>
          <w:sz w:val="22"/>
          <w:szCs w:val="22"/>
          <w:color w:val="auto"/>
          <w:vertAlign w:val="superscript"/>
        </w:rPr>
      </w:pPr>
    </w:p>
    <w:p>
      <w:pPr>
        <w:ind w:left="260" w:hanging="252"/>
        <w:spacing w:after="0"/>
        <w:tabs>
          <w:tab w:leader="none" w:pos="2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Assumes applicable foreign currency exchange rates at December 31, 2017 remain unchanged.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2017, we had available cash and cash equivalents totaling $21.2 million and working capital of $6.5 million.</w:t>
      </w:r>
    </w:p>
    <w:p>
      <w:pPr>
        <w:spacing w:after="0" w:line="27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restructuring announced in June 2017 is aimed at significantly reducing our cost of revenues and operating expenses in an effort to increase operating cash flows to eventually be sufficient to offset debt service costs and cash flows from investing activities. Our ability to transition to more profitable operations and generating positive cash flow is dependent upon achieving a level of revenue adequate to support our evolving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together with anticipated cash flows from operations, will be sufficient to meet our working capital needs for the next twelve months following the filing date of this report.</w:t>
      </w:r>
    </w:p>
    <w:p>
      <w:pPr>
        <w:spacing w:after="0" w:line="28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22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us, or at all. In addition, in order to obtain additional borrowings, we must comply with certain requirements under the Credit Agreement. If additional funds are raised by the issuance of equity securities, our stockholders could experience dilution of their ownership interests and securities issued may have rights senior to those of the holders of our common stock. If additional funds are raised by the issuance of debt securities, we may be subject to certain limitations on our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expenses and disclosures of contingent assets and liabilities. Actual results could differ from these estimates.</w:t>
      </w:r>
    </w:p>
    <w:p>
      <w:pPr>
        <w:spacing w:after="0" w:line="127"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generate revenues from the sale of wireless modems to wireless operators, OEM customers and value added resellers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In addition, we generate revenue from the sale of asset-management solutions utilizing wireless technology and machine-to-machine communication devices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recognize revenues from SaaS services pro-rata over the contract term.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81" w:right="259" w:bottom="1440" w:gutter="0" w:footer="0" w:header="0"/>
        </w:sectPr>
      </w:pPr>
    </w:p>
    <w:bookmarkStart w:id="47" w:name="page48"/>
    <w:bookmarkEnd w:id="47"/>
    <w:p>
      <w:pPr>
        <w:ind w:right="80" w:firstLine="432"/>
        <w:spacing w:after="0" w:line="264" w:lineRule="auto"/>
        <w:rPr>
          <w:sz w:val="20"/>
          <w:szCs w:val="20"/>
          <w:color w:val="auto"/>
        </w:rPr>
      </w:pPr>
      <w:r>
        <w:rPr>
          <w:rFonts w:ascii="Arial" w:cs="Arial" w:eastAsia="Arial" w:hAnsi="Arial"/>
          <w:sz w:val="18"/>
          <w:szCs w:val="18"/>
          <w:color w:val="auto"/>
        </w:rPr>
        <w:t>We record our hardware revenue associated with the agreed upon price on hardware sales, and accrue any estimated costs of post-delivery performance obligations, such as warranty obligations. We consider the four basic revenue recognition criteria discussed under Staff Accounting Bulletin No. 104 when assessing appropriate revenue recognition as follows: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#1 — Persuasive evidence of an arrangement must exist;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#2 — Delivery has occurred;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#3 — Our price to the buyer must be fixed or determinable; and,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#4 — Collectability is reasonably assured.</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For multiple element arrangements, total consideration received from customers is allocated to the elements. This may include hardware, non-essential software elements and/or essential software, based on a relative selling price. The accounting guidance establishes a hierarchy to determine the selling price to be used for allocating revenue to deliverables as follows: (i) vendors specific objective evidence (“VSOE”), (ii) third party evidence (“TPE”), and (iii) best estimate of selling price (“BESP”). Because we have neither VSOE nor TPE, revenue has been based on our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5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process for determining BESP for deliverables without VSOE or TPE considers multiple factors that may vary depending upon the unique facts and circumstances related to each deliverable. Our prices are determined based upon cost to produce our products, expected order quantities and acceptance in the marketplace. In addition, when developing BESPs for products, we may consider other factors as appropriate, including the pricing of competitive alternatives (if they exist) and product-specific business objectives.</w:t>
      </w:r>
    </w:p>
    <w:p>
      <w:pPr>
        <w:spacing w:after="0" w:line="18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account for multiple element arrangements that primarily consist of software licenses and post contract support (“PCS”) by recognizing revenue for such arrangements ratably over the term of the PCS as we have not established VSOE for the PCS element.</w:t>
      </w:r>
    </w:p>
    <w:p>
      <w:pPr>
        <w:spacing w:after="0" w:line="17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We provide SaaS subscriptions for our fleet and vehicle management solutions in which customers are provided with the ability to wirelessly communicate with monitoring devices installed in vehicles and other mobile assets via software applications hosted by us. The customer has the option to purchase the monitoring device or lease it over the term of the contract. If the customer purchases the monitoring device, we recognize the revenue at the time of purchase. If the customer chooses to lease the monitoring device, we recognize the revenue for the monitoring device over the term of the contract. The Company records such revenue in accordance with the FASB Accounting Standards Codification (“ASC”) 840, </w:t>
      </w:r>
      <w:r>
        <w:rPr>
          <w:rFonts w:ascii="Arial" w:cs="Arial" w:eastAsia="Arial" w:hAnsi="Arial"/>
          <w:sz w:val="17"/>
          <w:szCs w:val="17"/>
          <w:i w:val="1"/>
          <w:iCs w:val="1"/>
          <w:color w:val="auto"/>
        </w:rPr>
        <w:t>Leases</w:t>
      </w:r>
      <w:r>
        <w:rPr>
          <w:rFonts w:ascii="Arial" w:cs="Arial" w:eastAsia="Arial" w:hAnsi="Arial"/>
          <w:sz w:val="17"/>
          <w:szCs w:val="17"/>
          <w:color w:val="auto"/>
        </w:rPr>
        <w:t>, as we have determined that they qualify as operating leases. We recognize revenues from SaaS services over the term of the contract.</w:t>
      </w:r>
    </w:p>
    <w:p>
      <w:pPr>
        <w:spacing w:after="0" w:line="1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Certain of our revenue is based on contractual arrangements. In such instances, 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 The main factors we use to determine whether to record revenue on a gross or net basis are whether:</w:t>
      </w:r>
    </w:p>
    <w:p>
      <w:pPr>
        <w:spacing w:after="0" w:line="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primarily responsible for the service to the customer;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discretion in establishing fees paid by the customer;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involved in the determination of product or service specifications.</w:t>
      </w:r>
    </w:p>
    <w:p>
      <w:pPr>
        <w:spacing w:after="0" w:line="17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When the customer’s fee includes a portion of charges that are paid to another party and we are primarily responsible for providing the service to the customer, revenue is recognized on a gross basis in an amount equal to the fee paid by the customer. The cost of revenues recognized is the amount due to the other party and is recorded as cost of revenues in the consolidated statements of operations. In instances in which another party is primarily responsible for providing the service to the customer, revenue is recognized in the net amount retained by the Company. The portion of the fees that we collect from the customer and remit to the other party are considered pass through amounts and accordingly are not a component of net revenues or cost of net revenues.</w:t>
      </w:r>
    </w:p>
    <w:p>
      <w:pPr>
        <w:spacing w:after="0" w:line="10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i w:val="1"/>
          <w:iCs w:val="1"/>
          <w:color w:val="auto"/>
        </w:rPr>
        <w:t xml:space="preserve">Allowance for Doubtful Accounts Receivable. </w:t>
      </w:r>
      <w:r>
        <w:rPr>
          <w:rFonts w:ascii="Arial" w:cs="Arial" w:eastAsia="Arial" w:hAnsi="Arial"/>
          <w:sz w:val="18"/>
          <w:szCs w:val="18"/>
          <w:color w:val="auto"/>
        </w:rPr>
        <w:t>We provide an allowance for our accounts receivable for estimated losses that may result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48" w:name="page49"/>
    <w:bookmarkEnd w:id="48"/>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Provision for Excess and Obsolete Inventory. </w:t>
      </w:r>
      <w:r>
        <w:rPr>
          <w:rFonts w:ascii="Arial" w:cs="Arial" w:eastAsia="Arial" w:hAnsi="Arial"/>
          <w:sz w:val="18"/>
          <w:szCs w:val="18"/>
          <w:color w:val="auto"/>
        </w:rPr>
        <w:t>Inventories are stated at the lower of cost (first-in, first-out method) or net realizable value. We review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8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2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When acquiring companies, we recognize separately from goodwill the assets acquired and the liabilities assumed at their acquisition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condensed consolidated statements of operations.</w:t>
      </w:r>
    </w:p>
    <w:p>
      <w:pPr>
        <w:spacing w:after="0" w:line="16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Accounting for business combinations requires management to make significant estimates and assumptions, especially at the acquisition date with respect to intangible assets, support liabilities assumed, and pre-acquisition contingencies. Although we believe the assumptions and estimates we have made in the past have been reasonable and appropriate, they are based in part on historical experience, market data and information obtained from the management of the acquired companies and are inherently uncertain.</w:t>
      </w:r>
    </w:p>
    <w:p>
      <w:pPr>
        <w:spacing w:after="0" w:line="18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170"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If management determines that a pre-acquisition contingency is probable in nature and estimable as of the acquisition date, we record our best estimate for such a contingency as a part of the preliminary fair value allocation. We continue to gather information for and evaluate pre-acquisition contingencies throughout the measurement period and if we make changes to the amounts recorded or if we identify additional pre-acquisition contingencies during the measurement period, such amounts will be included in the fair value allocation during the measurement period and, subsequently, in our results of operations.</w:t>
      </w:r>
    </w:p>
    <w:p>
      <w:pPr>
        <w:spacing w:after="0" w:line="15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23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Purchased Intangible Assets. </w:t>
      </w:r>
      <w:r>
        <w:rPr>
          <w:rFonts w:ascii="Arial" w:cs="Arial" w:eastAsia="Arial" w:hAnsi="Arial"/>
          <w:sz w:val="17"/>
          <w:szCs w:val="17"/>
          <w:color w:val="auto"/>
        </w:rPr>
        <w:t>In determining the fair value allocation for our acquisitions, we considered, among other factors, our intended uses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assets and the historical and estimated future demand for the acquired company’s products and services. The estimated fair value of intangible assets was determined using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20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Long-Lived Assets</w:t>
      </w:r>
      <w:r>
        <w:rPr>
          <w:rFonts w:ascii="Arial" w:cs="Arial" w:eastAsia="Arial" w:hAnsi="Arial"/>
          <w:sz w:val="17"/>
          <w:szCs w:val="17"/>
          <w:color w:val="auto"/>
        </w:rPr>
        <w:t>. We periodically evaluate the carrying value of the unamortized balances of our long-lived assets, including property, plant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rental assets and intangible assets, which requires us to make 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30" w:right="239" w:bottom="1440" w:gutter="0" w:footer="0" w:header="0"/>
        </w:sectPr>
      </w:pPr>
    </w:p>
    <w:bookmarkStart w:id="49" w:name="page50"/>
    <w:bookmarkEnd w:id="49"/>
    <w:p>
      <w:pPr>
        <w:ind w:right="120" w:firstLine="405"/>
        <w:spacing w:after="0" w:line="302" w:lineRule="auto"/>
        <w:rPr>
          <w:sz w:val="20"/>
          <w:szCs w:val="20"/>
          <w:color w:val="auto"/>
        </w:rPr>
      </w:pPr>
      <w:r>
        <w:rPr>
          <w:rFonts w:ascii="Arial" w:cs="Arial" w:eastAsia="Arial" w:hAnsi="Arial"/>
          <w:sz w:val="16"/>
          <w:szCs w:val="16"/>
          <w:color w:val="auto"/>
        </w:rPr>
        <w:t>Our assessment includes comparing the carrying amounts of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timing and frequency of our impairment test is based on an ongoing assessment of triggering events that could reduce the fair value of our long-lived assets below their carrying value. We monitor our long-lived asset balances and conduct formal tests on at least an annual basis or earlier when impairment indicators are present. We believe that the assumptions and estimates we used to value long-lived assets were appropriate based on the information available to management. The majority of our long-lived assets are being amortized or depreciated over approximately two to ten years. As most of these assets are associated with technology or trade conditions that may change rapidly; such changes could have an immediate impact on our impairment analysis.</w:t>
      </w:r>
    </w:p>
    <w:p>
      <w:pPr>
        <w:spacing w:after="0" w:line="13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i w:val="1"/>
          <w:iCs w:val="1"/>
          <w:color w:val="auto"/>
        </w:rPr>
        <w:t xml:space="preserve">Valuation of Goodwill. </w:t>
      </w:r>
      <w:r>
        <w:rPr>
          <w:rFonts w:ascii="Arial" w:cs="Arial" w:eastAsia="Arial" w:hAnsi="Arial"/>
          <w:sz w:val="18"/>
          <w:szCs w:val="18"/>
          <w:color w:val="auto"/>
        </w:rPr>
        <w:t>Our goodwill resulted from our acquisitions of FW and Ctrack during 2015. In accordance with the ASC 350,</w:t>
      </w:r>
      <w:r>
        <w:rPr>
          <w:rFonts w:ascii="Arial" w:cs="Arial" w:eastAsia="Arial" w:hAnsi="Arial"/>
          <w:sz w:val="18"/>
          <w:szCs w:val="18"/>
          <w:i w:val="1"/>
          <w:iCs w:val="1"/>
          <w:color w:val="auto"/>
        </w:rPr>
        <w:t xml:space="preserve"> Intangibles— Goodwill and Other</w:t>
      </w:r>
      <w:r>
        <w:rPr>
          <w:rFonts w:ascii="Arial" w:cs="Arial" w:eastAsia="Arial" w:hAnsi="Arial"/>
          <w:sz w:val="18"/>
          <w:szCs w:val="18"/>
          <w:color w:val="auto"/>
        </w:rPr>
        <w:t>, we will review goodwill for impairment at least annually, typically at the beginning of the fourth quarter of each year, and more</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frequently if events or changes in circumstances occur that indicate a potential reduction in the fair value of the reporting unit to which the goodwill has been assigned below its carrying value.</w:t>
      </w:r>
    </w:p>
    <w:p>
      <w:pPr>
        <w:spacing w:after="0" w:line="133"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 xml:space="preserve">Convertible Debt. </w:t>
      </w:r>
      <w:r>
        <w:rPr>
          <w:rFonts w:ascii="Arial" w:cs="Arial" w:eastAsia="Arial" w:hAnsi="Arial"/>
          <w:sz w:val="16"/>
          <w:szCs w:val="16"/>
          <w:color w:val="auto"/>
        </w:rPr>
        <w:t>We account for convertible debt instruments that are settleable in cash upon conversion (including partial cash settlement) by</w:t>
      </w:r>
      <w:r>
        <w:rPr>
          <w:rFonts w:ascii="Arial" w:cs="Arial" w:eastAsia="Arial" w:hAnsi="Arial"/>
          <w:sz w:val="16"/>
          <w:szCs w:val="16"/>
          <w:i w:val="1"/>
          <w:iCs w:val="1"/>
          <w:color w:val="auto"/>
        </w:rPr>
        <w:t xml:space="preserve"> </w:t>
      </w:r>
      <w:r>
        <w:rPr>
          <w:rFonts w:ascii="Arial" w:cs="Arial" w:eastAsia="Arial" w:hAnsi="Arial"/>
          <w:sz w:val="16"/>
          <w:szCs w:val="16"/>
          <w:color w:val="auto"/>
        </w:rPr>
        <w:t>separating the liability and equity components of the instruments in a manner that reflects our nonconvertible debt borrowing rate. We determine the carrying amount of the liability component by measuring the fair value of similar debt instruments that do not have the conversion feature. If a similar debt instrument does not exist, we estimate the fair value by using assumptions that market participants would use in pricing a debt instrument, including market interest rates, credit standing, yield curves and volatilities. Determining the fair value of the debt component requires the use of accounting estimates and</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assumptions. These estimates and assumptions are judgmental in nature and could have a significant impact on the determination of the debt component and the associated non-cash interest expense.</w:t>
      </w:r>
    </w:p>
    <w:p>
      <w:pPr>
        <w:spacing w:after="0" w:line="18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Upon issuance, we assign a value to the debt component equal to the estimated fair value of similar debt instruments without the conversion feature, which could result in our recording the debt instrument at a discount. If the debt instrument is recorded at a discount, we amortize the debt discount over the life of the debt instrument as additional non-cash interest expense utilizing the effective interest method.</w:t>
      </w:r>
    </w:p>
    <w:p>
      <w:pPr>
        <w:spacing w:after="0" w:line="15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 xml:space="preserve">Provision for Warranty Costs. </w:t>
      </w:r>
      <w:r>
        <w:rPr>
          <w:rFonts w:ascii="Arial" w:cs="Arial" w:eastAsia="Arial" w:hAnsi="Arial"/>
          <w:sz w:val="17"/>
          <w:szCs w:val="17"/>
          <w:color w:val="auto"/>
        </w:rPr>
        <w:t>We accrue warranty costs based on estimates of future warranty related replacement, repairs or rework of products. Our</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policy generally provides between one and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4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134"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We are currently involved in certain legal proceedings. We will record a loss when we determine information available prior to the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financial statements indicates the loss is both probable and estimable. Where a liability is probable and there is a range of estimated loss with no best estimate in the range, we record the minimum estimated liability related to the claim. As additional information becomes available, we assess the potential liability related to our pending litigation and revise our estimates, if necessary. Our policy is to expense litigation costs as incurred.</w:t>
      </w:r>
    </w:p>
    <w:p>
      <w:pPr>
        <w:spacing w:after="0" w:line="10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We have stock incentive plans under which stock options and restricted stock units have been granted to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members of our Board of Directors. We also have an employee stock purchase plan for all eligible employees. Share-based payments to employees, including grants of stock options, restricted stock units and stock purchase rights, are recognized in the financial statements based upon their respective grant date fair values.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49" w:right="239" w:bottom="1440" w:gutter="0" w:footer="0" w:header="0"/>
        </w:sectPr>
      </w:pPr>
    </w:p>
    <w:bookmarkStart w:id="50" w:name="page51"/>
    <w:bookmarkEnd w:id="50"/>
    <w:p>
      <w:pPr>
        <w:ind w:firstLine="432"/>
        <w:spacing w:after="0" w:line="271" w:lineRule="auto"/>
        <w:rPr>
          <w:sz w:val="20"/>
          <w:szCs w:val="20"/>
          <w:color w:val="auto"/>
        </w:rPr>
      </w:pPr>
      <w:r>
        <w:rPr>
          <w:rFonts w:ascii="Arial" w:cs="Arial" w:eastAsia="Arial" w:hAnsi="Arial"/>
          <w:sz w:val="17"/>
          <w:szCs w:val="17"/>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employees, such as continued employment, periodic vesting requirements and limited transferability.</w:t>
      </w:r>
    </w:p>
    <w:p>
      <w:pPr>
        <w:spacing w:after="0" w:line="7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our stock on the date of the grant.</w:t>
      </w:r>
    </w:p>
    <w:p>
      <w:pPr>
        <w:spacing w:after="0" w:line="3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are exposed to interest rate risk, primarily through our borrowing activities under the Credit Agreement discussed under “Liquidity and Capital Resources” above. We may manage exposure to this risk through our operating and financing activities and, when deemed appropriate, through the use of derivative financial instruments. Derivative financial instruments are viewed as risk management tools and are not used for speculation or for trading purposes. Our Term Loan under the Credit Agreement is variable-rate debt bearing interest at a rate equal to the three-month LIBOR, but in no event less than 1.00%, plus 7.625%.</w:t>
      </w:r>
    </w:p>
    <w:p>
      <w:pPr>
        <w:spacing w:after="0" w:line="188"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Based on our current outstanding balance, if interest rates were to increase or decrease by 1%, the corresponding increase or decrease, as applicable, in interest expense on our variable-rate debt would increase or decrease, as applicable, future earnings and cash flows by approximately $0.5 million per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Foreign currency transaction exposure results primarily from intercompany transactions and transactions with customers or vendors denominated in currencies other than the functional currency of the legal entity in which the transaction is recorded by us. Assets and liabilities arising from such transactions are translated into the legal entity’s functional currency using the exchange rate in effect at the balance sheet date. Any gain or loss resulting from currency fluctuations is recorded as other income (expense) in our consolidated statements of operations, except for the non-cash change in acquisition-related escrow which is shown as a separate line item in our consolidated statements of operations. Net foreign currency transaction gains of approximately $0.2 million were recorded for the year ended December 31, 2017.</w:t>
      </w:r>
    </w:p>
    <w:p>
      <w:pPr>
        <w:spacing w:after="0" w:line="24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For the year ended December 31, 2017, approximately 28.1% of our revenues and approximately 46.9% of our operating expenses were generated by subsidiaries whose functional currency is not the U.S. Dollar and therefore are subject to foreign currency translation exposure. These foreign functional currencies primarily consist of the South African Rand, Great British Pound, Euro, Australian Dollar and Chinese Yuan (collectively, the “Foreign Functional Currencies”). A 10% change in the value of the U.S. Dollar relative to the Foreign Functional Currencies during 2017 would have changed our revenue by approximately $6.2 million and our operating expenses by approximately $4.2 million. A 10% change in the value of the U.S. Dollar relative to any of the other currencies in which we receive revenues or incur operating expenses would not have had a material impact on our foreign currency transaction gains or losses.</w:t>
      </w:r>
    </w:p>
    <w:p>
      <w:pPr>
        <w:spacing w:after="0" w:line="243"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Foreign currency translation exposure results from the translation of the financial statements of our subsidiaries whose functional currency is not the U.S. Dollar into U.S. Dollars for consolidated reporting purposes. The balance sheets of these subsidiaries are translated into U.S. Dollars using period end exchange rates and their income statements are translated into U.S. Dollars using the average exchange rate over the period. Resulting currency translation adjustments are recorded in accumulated other comprehensive income (loss) in our consolidated balance sheets. Net foreign currency translation gains of $6.0 million were recorded for the year ended December 31, 2017.</w:t>
      </w:r>
    </w:p>
    <w:p>
      <w:pPr>
        <w:spacing w:after="0" w:line="242" w:lineRule="exact"/>
        <w:rPr>
          <w:sz w:val="20"/>
          <w:szCs w:val="20"/>
          <w:color w:val="auto"/>
        </w:rPr>
      </w:pPr>
    </w:p>
    <w:p>
      <w:pPr>
        <w:jc w:val="both"/>
        <w:ind w:right="340" w:firstLine="405"/>
        <w:spacing w:after="0" w:line="286" w:lineRule="auto"/>
        <w:rPr>
          <w:sz w:val="20"/>
          <w:szCs w:val="20"/>
          <w:color w:val="auto"/>
        </w:rPr>
      </w:pPr>
      <w:r>
        <w:rPr>
          <w:rFonts w:ascii="Arial" w:cs="Arial" w:eastAsia="Arial" w:hAnsi="Arial"/>
          <w:sz w:val="17"/>
          <w:szCs w:val="17"/>
          <w:color w:val="auto"/>
        </w:rPr>
        <w:t>As of December 31, 2017, approximately 58.8% of our assets and approximately 9.1% of our liabilities were subject to foreign currency translation exposure. A 10% change in the value of the U.S. Dollar relative to the Foreign Functional Currencies or any of the other currencies in which our assets or liabilities are denominated would not have had a material impact on our net foreign currency translation gain or loss.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continuously monitors opportunities to reduce potential monetary risks that may arise from our foreign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49" w:right="239" w:bottom="1440" w:gutter="0" w:footer="0" w:header="0"/>
        </w:sectPr>
      </w:pPr>
    </w:p>
    <w:bookmarkStart w:id="51" w:name="page52"/>
    <w:bookmarkEnd w:id="51"/>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financial statements and the Report of Independent Registered Public Accounting Firm appears in Part IV of this report.</w:t>
      </w:r>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222"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2017, the end of the period covered by this report. Based on the foregoing, our principal executive officer and principal financial and accounting officer concluded that our disclosure controls and procedures were effective as of December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w:t>
      </w:r>
    </w:p>
    <w:p>
      <w:pPr>
        <w:ind w:right="6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spacing w:after="0" w:line="31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effective as of December 31, 2017.</w:t>
      </w:r>
    </w:p>
    <w:p>
      <w:pPr>
        <w:spacing w:after="0" w:line="296"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Mayer Hoffman McCann P.C., the independent registered public accounting firm that audited the consolidated financial statements included in this Annual Report on Form 10-K, has also audited our internal control over financial reporting as of December 31, 2017, as stated in their report which is included 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Previously Identified Material Weakness</w:t>
      </w:r>
    </w:p>
    <w:p>
      <w:pPr>
        <w:spacing w:after="0" w:line="171"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As disclosed in our Annual Report on Form 10-K for the year ended December 31, 2016, we previously identified a material weakness in our internal controls specifically from a lack of sufficient resources in key accounting and financial reporting roles within the organization necessary to prepare financial statements in time to meet regulatory filing requirements. This lack of sufficient resources was the result of a significant number of unusual and one-time challenges to the Company’s personnel and financial reporting processes, including, but not limited to, implementing the Reorganization, preparing for the anticipated divestiture of the MiFi Business and closure of the Company’s accounting function in Eugene, Oregon.</w:t>
      </w:r>
    </w:p>
    <w:p>
      <w:pPr>
        <w:spacing w:after="0" w:line="28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Beginning in the second quarter of 2017, we initiated an active program to: (a) hire additional employees and upgrade certain accounting positions to provide further support to our finance and accounting team; (b) provide additional functional and system training to employees; (c) document and formalize our accounting policies and internal control processes and to help strengthen supervisory reviews by our management; and (d) design and implement monthly manual controls to manage our financial reporting close processes and to help ensure timely preparation of financial statements. We believe that the additional resources provided from this program have remediated the previous material weakness that was caused by a lack of sufficient resources.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0"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Except as set forth above,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3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2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75"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The information required by Items 10, 11, 12, 13 and 14 is incorporated by reference from the Company’s definitive proxy statement for the 2018 Annual Meeting of Stockholders, which the Company intends to file with the SEC within 120 days of the end of the fiscal year end to which this report relates.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4" w:lineRule="exact"/>
        <w:rPr>
          <w:sz w:val="20"/>
          <w:szCs w:val="20"/>
          <w:color w:val="auto"/>
        </w:rPr>
      </w:pPr>
    </w:p>
    <w:p>
      <w:pPr>
        <w:ind w:left="980" w:right="240" w:hanging="559"/>
        <w:spacing w:after="0" w:line="277" w:lineRule="auto"/>
        <w:tabs>
          <w:tab w:leader="none" w:pos="960" w:val="left"/>
        </w:tabs>
        <w:rPr>
          <w:sz w:val="20"/>
          <w:szCs w:val="20"/>
          <w:color w:val="auto"/>
        </w:rPr>
      </w:pPr>
      <w:r>
        <w:rPr>
          <w:rFonts w:ascii="Arial" w:cs="Arial" w:eastAsia="Arial" w:hAnsi="Arial"/>
          <w:sz w:val="18"/>
          <w:szCs w:val="18"/>
          <w:color w:val="auto"/>
        </w:rPr>
        <w:t>(a)(1)</w:t>
        <w:tab/>
        <w:t>The Company’s consolidated financial statements and report of the Mayer Hoffman McCann P.C., Independent Registered Public Accounting Firm, are included in Section IV of this report beginning on page F-1.</w:t>
      </w:r>
    </w:p>
    <w:p>
      <w:pPr>
        <w:spacing w:after="0" w:line="35" w:lineRule="exact"/>
        <w:rPr>
          <w:sz w:val="20"/>
          <w:szCs w:val="20"/>
          <w:color w:val="auto"/>
        </w:rPr>
      </w:pPr>
    </w:p>
    <w:p>
      <w:pPr>
        <w:ind w:left="980" w:right="420" w:hanging="559"/>
        <w:spacing w:after="0" w:line="277" w:lineRule="auto"/>
        <w:tabs>
          <w:tab w:leader="none" w:pos="960" w:val="left"/>
        </w:tabs>
        <w:rPr>
          <w:sz w:val="20"/>
          <w:szCs w:val="20"/>
          <w:color w:val="auto"/>
        </w:rPr>
      </w:pPr>
      <w:r>
        <w:rPr>
          <w:rFonts w:ascii="Arial" w:cs="Arial" w:eastAsia="Arial" w:hAnsi="Arial"/>
          <w:sz w:val="18"/>
          <w:szCs w:val="18"/>
          <w:color w:val="auto"/>
        </w:rPr>
        <w:t>(a)(2)</w:t>
        <w:tab/>
        <w:t>The following financial statement schedules for the years ended December 31, 2017, 2016 and 2015 should be read in conjunction with the consolidated financial statements, and related notes thereto.</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Schedule</w:t>
            </w:r>
          </w:p>
        </w:tc>
        <w:tc>
          <w:tcPr>
            <w:tcW w:w="3920" w:type="dxa"/>
            <w:vAlign w:val="bottom"/>
            <w:gridSpan w:val="3"/>
          </w:tcPr>
          <w:p>
            <w:pPr>
              <w:jc w:val="center"/>
              <w:ind w:left="3499"/>
              <w:spacing w:after="0"/>
              <w:rPr>
                <w:sz w:val="20"/>
                <w:szCs w:val="20"/>
                <w:color w:val="auto"/>
              </w:rPr>
            </w:pPr>
            <w:r>
              <w:rPr>
                <w:rFonts w:ascii="Arial" w:cs="Arial" w:eastAsia="Arial" w:hAnsi="Arial"/>
                <w:sz w:val="14"/>
                <w:szCs w:val="14"/>
                <w:b w:val="1"/>
                <w:bCs w:val="1"/>
                <w:color w:val="auto"/>
                <w:w w:val="89"/>
              </w:rPr>
              <w:t>Page</w:t>
            </w:r>
          </w:p>
        </w:tc>
      </w:tr>
      <w:tr>
        <w:trPr>
          <w:trHeight w:val="20"/>
        </w:trPr>
        <w:tc>
          <w:tcPr>
            <w:tcW w:w="54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120" w:type="dxa"/>
            <w:vAlign w:val="bottom"/>
            <w:gridSpan w:val="2"/>
          </w:tcPr>
          <w:p>
            <w:pPr>
              <w:spacing w:after="0"/>
              <w:rPr>
                <w:sz w:val="20"/>
                <w:szCs w:val="20"/>
                <w:color w:val="auto"/>
              </w:rPr>
            </w:pPr>
            <w:r>
              <w:rPr>
                <w:rFonts w:ascii="Arial" w:cs="Arial" w:eastAsia="Arial" w:hAnsi="Arial"/>
                <w:sz w:val="18"/>
                <w:szCs w:val="18"/>
                <w:color w:val="auto"/>
              </w:rPr>
              <w:t>Schedule II—Valuation and Qualifying Accounts</w:t>
            </w:r>
          </w:p>
        </w:tc>
        <w:tc>
          <w:tcPr>
            <w:tcW w:w="3920" w:type="dxa"/>
            <w:vAlign w:val="bottom"/>
            <w:gridSpan w:val="3"/>
          </w:tcPr>
          <w:p>
            <w:pPr>
              <w:jc w:val="center"/>
              <w:ind w:left="3499"/>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F-45</w:t>
              </w:r>
            </w:hyperlink>
          </w:p>
        </w:tc>
      </w:tr>
    </w:tbl>
    <w:p>
      <w:pPr>
        <w:spacing w:after="0" w:line="17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62" w:lineRule="exact"/>
        <w:rPr>
          <w:sz w:val="20"/>
          <w:szCs w:val="20"/>
          <w:color w:val="auto"/>
        </w:rPr>
      </w:pPr>
    </w:p>
    <w:p>
      <w:pPr>
        <w:ind w:left="980" w:hanging="567"/>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Exhibit No.</w:t>
            </w:r>
          </w:p>
        </w:tc>
        <w:tc>
          <w:tcPr>
            <w:tcW w:w="40" w:type="dxa"/>
            <w:vAlign w:val="bottom"/>
          </w:tcPr>
          <w:p>
            <w:pPr>
              <w:spacing w:after="0"/>
              <w:rPr>
                <w:sz w:val="18"/>
                <w:szCs w:val="18"/>
                <w:color w:val="auto"/>
              </w:rPr>
            </w:pPr>
          </w:p>
        </w:tc>
        <w:tc>
          <w:tcPr>
            <w:tcW w:w="10120" w:type="dxa"/>
            <w:vAlign w:val="bottom"/>
            <w:gridSpan w:val="23"/>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tcBorders>
              <w:bottom w:val="single" w:sz="8" w:color="0000FF"/>
            </w:tcBorders>
            <w:gridSpan w:val="14"/>
          </w:tcPr>
          <w:p>
            <w:pPr>
              <w:spacing w:after="0"/>
              <w:rPr>
                <w:rFonts w:ascii="Arial" w:cs="Arial" w:eastAsia="Arial" w:hAnsi="Arial"/>
                <w:sz w:val="18"/>
                <w:szCs w:val="18"/>
                <w:color w:val="0000FF"/>
                <w:w w:val="91"/>
              </w:rPr>
            </w:pPr>
            <w:hyperlink r:id="rId9">
              <w:r>
                <w:rPr>
                  <w:rFonts w:ascii="Arial" w:cs="Arial" w:eastAsia="Arial" w:hAnsi="Arial"/>
                  <w:sz w:val="18"/>
                  <w:szCs w:val="18"/>
                  <w:color w:val="0000FF"/>
                  <w:w w:val="91"/>
                </w:rPr>
                <w:t>Agreement and Plan of Merger, dated March 27, 2015, by and among Novatel Wireless, Inc., Duck Acquisition, Inc., R.E.R. Enterprises,</w:t>
              </w:r>
            </w:hyperlink>
          </w:p>
        </w:tc>
        <w:tc>
          <w:tcPr>
            <w:tcW w:w="26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9">
              <w:r>
                <w:rPr>
                  <w:rFonts w:ascii="Arial" w:cs="Arial" w:eastAsia="Arial" w:hAnsi="Arial"/>
                  <w:sz w:val="18"/>
                  <w:szCs w:val="18"/>
                  <w:color w:val="0000FF"/>
                  <w:w w:val="89"/>
                </w:rPr>
                <w:t>Inc., the stockholders of R.E.R. Enterprises, Inc. and Ethan Ralston, as the representative of the stockholders (incorporated by reference to</w:t>
              </w:r>
            </w:hyperlink>
          </w:p>
        </w:tc>
        <w:tc>
          <w:tcPr>
            <w:tcW w:w="16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9">
              <w:r>
                <w:rPr>
                  <w:rFonts w:ascii="Arial" w:cs="Arial" w:eastAsia="Arial" w:hAnsi="Arial"/>
                  <w:sz w:val="18"/>
                  <w:szCs w:val="18"/>
                  <w:color w:val="0000FF"/>
                  <w:w w:val="92"/>
                </w:rPr>
                <w:t>Exhibit 2.1 to the Company’s Current Report on Form 8-K, filed April 1, 2015).</w:t>
              </w:r>
            </w:hyperlink>
          </w:p>
        </w:tc>
        <w:tc>
          <w:tcPr>
            <w:tcW w:w="4360" w:type="dxa"/>
            <w:vAlign w:val="bottom"/>
            <w:gridSpan w:val="16"/>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9"/>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Amendment No. 1 to Agreement and Plan of Merger, dated January 5, 2016, by and among Novatel Wireless, Inc., Duck Acquisition, Inc.,</w:t>
              </w:r>
            </w:hyperlink>
          </w:p>
        </w:tc>
        <w:tc>
          <w:tcPr>
            <w:tcW w:w="12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10">
              <w:r>
                <w:rPr>
                  <w:rFonts w:ascii="Arial" w:cs="Arial" w:eastAsia="Arial" w:hAnsi="Arial"/>
                  <w:sz w:val="18"/>
                  <w:szCs w:val="18"/>
                  <w:color w:val="0000FF"/>
                  <w:w w:val="89"/>
                </w:rPr>
                <w:t>R.E.R. Enterprises, Inc., certain stockholders of R.E.R. Enterprises, Inc. and Ethan Ralston, as the representative of the R.E.R. stockholders</w:t>
              </w:r>
            </w:hyperlink>
          </w:p>
        </w:tc>
        <w:tc>
          <w:tcPr>
            <w:tcW w:w="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0">
              <w:r>
                <w:rPr>
                  <w:rFonts w:ascii="Arial" w:cs="Arial" w:eastAsia="Arial" w:hAnsi="Arial"/>
                  <w:sz w:val="18"/>
                  <w:szCs w:val="18"/>
                  <w:color w:val="0000FF"/>
                  <w:w w:val="91"/>
                </w:rPr>
                <w:t>(incorporated by reference to Exhibit 2.1 to the Company’s Current Report on Form 8-K, filed January 11, 2016).</w:t>
              </w:r>
            </w:hyperlink>
          </w:p>
        </w:tc>
        <w:tc>
          <w:tcPr>
            <w:tcW w:w="1960" w:type="dxa"/>
            <w:vAlign w:val="bottom"/>
            <w:gridSpan w:val="15"/>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tcBorders>
              <w:bottom w:val="single" w:sz="8" w:color="0000FF"/>
            </w:tcBorders>
            <w:gridSpan w:val="10"/>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Transaction Implementation Agreement, by and between Novatel Wireless, Inc. and DigiCore Holdings Limited, dated June 18, 2015</w:t>
              </w:r>
            </w:hyperlink>
          </w:p>
        </w:tc>
        <w:tc>
          <w:tcPr>
            <w:tcW w:w="50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(incorporated by reference to Exhibit 2.1 to the Company’s Current Report on Form 8-K, filed on June 24, 2015).</w:t>
              </w:r>
            </w:hyperlink>
          </w:p>
        </w:tc>
        <w:tc>
          <w:tcPr>
            <w:tcW w:w="1960" w:type="dxa"/>
            <w:vAlign w:val="bottom"/>
            <w:gridSpan w:val="15"/>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tcBorders>
              <w:bottom w:val="single" w:sz="8" w:color="0000FF"/>
            </w:tcBorders>
            <w:gridSpan w:val="16"/>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Asset Purchase Agreement, dated April 11, 2016, by and among Novatel Wireless, Inc. and Telit Technologies (Cyprus) Limited and Telit</w:t>
              </w:r>
            </w:hyperlink>
          </w:p>
        </w:tc>
        <w:tc>
          <w:tcPr>
            <w:tcW w:w="20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3"/>
          </w:tcPr>
          <w:p>
            <w:pPr>
              <w:spacing w:after="0" w:line="196" w:lineRule="exact"/>
              <w:rPr>
                <w:rFonts w:ascii="Arial" w:cs="Arial" w:eastAsia="Arial" w:hAnsi="Arial"/>
                <w:sz w:val="18"/>
                <w:szCs w:val="18"/>
                <w:color w:val="0000FF"/>
                <w:w w:val="93"/>
              </w:rPr>
            </w:pPr>
            <w:hyperlink r:id="rId12">
              <w:r>
                <w:rPr>
                  <w:rFonts w:ascii="Arial" w:cs="Arial" w:eastAsia="Arial" w:hAnsi="Arial"/>
                  <w:sz w:val="18"/>
                  <w:szCs w:val="18"/>
                  <w:color w:val="0000FF"/>
                  <w:w w:val="93"/>
                </w:rPr>
                <w:t>Wireless Solutions, Inc. (incorporated by reference to Exhibit 2.5 to the Company’s Quarterly Report on Form 10-Q for the period ended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March 31, 2016, filed on May 10, 2016).</w:t>
              </w:r>
            </w:hyperlink>
          </w:p>
        </w:tc>
        <w:tc>
          <w:tcPr>
            <w:tcW w:w="6900" w:type="dxa"/>
            <w:vAlign w:val="bottom"/>
            <w:tcBorders>
              <w:top w:val="single" w:sz="8" w:color="0000FF"/>
            </w:tcBorders>
            <w:gridSpan w:val="9"/>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0" w:type="dxa"/>
            <w:vAlign w:val="bottom"/>
            <w:tcBorders>
              <w:bottom w:val="single" w:sz="8" w:color="0000FF"/>
            </w:tcBorders>
            <w:gridSpan w:val="9"/>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Final Resolution Letter Agreement, dated September 29, 2016, by and among Novatel Wireless, Inc. and Telit Technologies (Cyprus)</w:t>
              </w:r>
            </w:hyperlink>
          </w:p>
        </w:tc>
        <w:tc>
          <w:tcPr>
            <w:tcW w:w="52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Limited and Telit Wireless Solutions, Inc. (incorporated by reference to Exhibit 2.5 to the Company’s Quarterly Report on Form 10-Q for</w:t>
              </w:r>
            </w:hyperlink>
          </w:p>
        </w:tc>
        <w:tc>
          <w:tcPr>
            <w:tcW w:w="22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the period ended September 30, 2016, filed on November 7, 2016).</w:t>
              </w:r>
            </w:hyperlink>
          </w:p>
        </w:tc>
        <w:tc>
          <w:tcPr>
            <w:tcW w:w="5300" w:type="dxa"/>
            <w:vAlign w:val="bottom"/>
            <w:gridSpan w:val="17"/>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2.6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2"/>
              </w:rPr>
            </w:pPr>
            <w:hyperlink r:id="rId14">
              <w:r>
                <w:rPr>
                  <w:rFonts w:ascii="Arial" w:cs="Arial" w:eastAsia="Arial" w:hAnsi="Arial"/>
                  <w:sz w:val="18"/>
                  <w:szCs w:val="18"/>
                  <w:color w:val="0000FF"/>
                  <w:w w:val="92"/>
                </w:rPr>
                <w:t>Stock Purchase Agreement, dated as of September 21, 2016, among Vanilla Technologies, Inc., Novatel Wireless, Inc., T.C.L. Industries</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Holdings (H.K.) Limited and Jade Ocean Global Limited (incorporated by reference to Exhibit 2.1 to the Company’s Current Report on</w:t>
              </w:r>
            </w:hyperlink>
          </w:p>
        </w:tc>
        <w:tc>
          <w:tcPr>
            <w:tcW w:w="40" w:type="dxa"/>
            <w:vAlign w:val="bottom"/>
            <w:tcBorders>
              <w:top w:val="single" w:sz="8" w:color="0000FF"/>
            </w:tcBorders>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3"/>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Form 8-K, filed September 22, 2016).</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18"/>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Amended and Restated Certificate of Incorporation (incorporated by reference to Exhibit 3.1 to the Company’s Current Report on Form 8-</w:t>
              </w:r>
            </w:hyperlink>
          </w:p>
        </w:tc>
        <w:tc>
          <w:tcPr>
            <w:tcW w:w="14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K, filed November 9, 2016).</w:t>
              </w:r>
            </w:hyperlink>
          </w:p>
        </w:tc>
        <w:tc>
          <w:tcPr>
            <w:tcW w:w="8080" w:type="dxa"/>
            <w:vAlign w:val="bottom"/>
            <w:gridSpan w:val="21"/>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Amended and Restated Bylaws of Inseego Corp. (incorporated by reference to Exhibit 3.2 to the Company’s Current Report on Form 8-K,</w:t>
              </w:r>
            </w:hyperlink>
          </w:p>
        </w:tc>
        <w:tc>
          <w:tcPr>
            <w:tcW w:w="16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filed November 9, 2016).</w:t>
              </w:r>
            </w:hyperlink>
          </w:p>
        </w:tc>
        <w:tc>
          <w:tcPr>
            <w:tcW w:w="8300" w:type="dxa"/>
            <w:vAlign w:val="bottom"/>
            <w:gridSpan w:val="22"/>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tcBorders>
              <w:bottom w:val="single" w:sz="8" w:color="0000FF"/>
            </w:tcBorders>
            <w:gridSpan w:val="21"/>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Certificate of Designation of Series D Junior Participating Preferred Stock of Inseego Corp. (incorporated by reference to Exhibit 3.1 to the</w:t>
              </w:r>
            </w:hyperlink>
          </w:p>
        </w:tc>
        <w:tc>
          <w:tcPr>
            <w:tcW w:w="8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Company’s Current Report on Form 8-K, filed January 22, 2018).</w:t>
              </w:r>
            </w:hyperlink>
          </w:p>
        </w:tc>
        <w:tc>
          <w:tcPr>
            <w:tcW w:w="5380" w:type="dxa"/>
            <w:vAlign w:val="bottom"/>
            <w:gridSpan w:val="18"/>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20" w:type="dxa"/>
            <w:vAlign w:val="bottom"/>
            <w:tcBorders>
              <w:bottom w:val="single" w:sz="8" w:color="0000FF"/>
            </w:tcBorders>
            <w:gridSpan w:val="20"/>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Form of Inseego Corp. Common Stock Certificate (incorporated by reference to Exhibit 4.1 to the Company’s Current Report on Form 8-K</w:t>
              </w:r>
            </w:hyperlink>
          </w:p>
        </w:tc>
        <w:tc>
          <w:tcPr>
            <w:tcW w:w="10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filed November 9, 2016).</w:t>
              </w:r>
            </w:hyperlink>
          </w:p>
        </w:tc>
        <w:tc>
          <w:tcPr>
            <w:tcW w:w="8300" w:type="dxa"/>
            <w:vAlign w:val="bottom"/>
            <w:gridSpan w:val="2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64" w:right="2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10"/>
        </w:trPr>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No.</w:t>
            </w:r>
          </w:p>
        </w:tc>
        <w:tc>
          <w:tcPr>
            <w:tcW w:w="60" w:type="dxa"/>
            <w:vAlign w:val="bottom"/>
          </w:tcPr>
          <w:p>
            <w:pPr>
              <w:spacing w:after="0"/>
              <w:rPr>
                <w:sz w:val="18"/>
                <w:szCs w:val="18"/>
                <w:color w:val="auto"/>
              </w:rPr>
            </w:pPr>
          </w:p>
        </w:tc>
        <w:tc>
          <w:tcPr>
            <w:tcW w:w="10100" w:type="dxa"/>
            <w:vAlign w:val="bottom"/>
            <w:gridSpan w:val="38"/>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Investors’ Rights Agreement, dated September 8, 2014, by and between Novatel Wireless, Inc. and HC2 Holdings 2, Inc. (incorporated by</w:t>
              </w:r>
            </w:hyperlink>
          </w:p>
        </w:tc>
        <w:tc>
          <w:tcPr>
            <w:tcW w:w="16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38"/>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reference to Exhibit 4.2 to the Company’s Current Report on Form 8-K, filed September 8, 2014).</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20" w:type="dxa"/>
            <w:vAlign w:val="bottom"/>
            <w:tcBorders>
              <w:bottom w:val="single" w:sz="8" w:color="0000FF"/>
            </w:tcBorders>
            <w:gridSpan w:val="32"/>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Warrant to Purchase Common Stock issued to HC2 Holdings 2, Inc., dated September 8, 2014 (incorporated by reference to Exhibit 4.1 to</w:t>
              </w:r>
            </w:hyperlink>
          </w:p>
        </w:tc>
        <w:tc>
          <w:tcPr>
            <w:tcW w:w="18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the Company’s Current Report on Form 8-K, filed September 8, 2014).</w:t>
              </w:r>
            </w:hyperlink>
          </w:p>
        </w:tc>
        <w:tc>
          <w:tcPr>
            <w:tcW w:w="5000" w:type="dxa"/>
            <w:vAlign w:val="bottom"/>
            <w:gridSpan w:val="32"/>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40" w:type="dxa"/>
            <w:vAlign w:val="bottom"/>
            <w:tcBorders>
              <w:bottom w:val="single" w:sz="8" w:color="0000FF"/>
            </w:tcBorders>
            <w:gridSpan w:val="27"/>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Warrant to Purchase Common Stock issued to HC2 Holdings 2, Inc. on March 26, 2015 (incorporated by reference to Exhibit 4.1 to the</w:t>
              </w:r>
            </w:hyperlink>
          </w:p>
        </w:tc>
        <w:tc>
          <w:tcPr>
            <w:tcW w:w="36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38"/>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Company’s Current Report on Form 8-K, filed April 1, 2015).</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8"/>
          </w:tcPr>
          <w:p>
            <w:pPr>
              <w:spacing w:after="0"/>
              <w:rPr>
                <w:rFonts w:ascii="Arial" w:cs="Arial" w:eastAsia="Arial" w:hAnsi="Arial"/>
                <w:sz w:val="18"/>
                <w:szCs w:val="18"/>
                <w:color w:val="0000FF"/>
                <w:w w:val="96"/>
              </w:rPr>
            </w:pPr>
            <w:hyperlink r:id="rId22">
              <w:r>
                <w:rPr>
                  <w:rFonts w:ascii="Arial" w:cs="Arial" w:eastAsia="Arial" w:hAnsi="Arial"/>
                  <w:sz w:val="18"/>
                  <w:szCs w:val="18"/>
                  <w:color w:val="0000FF"/>
                  <w:w w:val="96"/>
                </w:rPr>
                <w:t>Indenture, dated January 9, 2017, between Inseego Corp. and Wilmington Trust, National Association, as Trustee (incorporated by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reference to Exhibit 4.2 to the Company’s Current Report on Form 8-K, filed January 10, 2017).</w:t>
              </w:r>
            </w:hyperlink>
          </w:p>
        </w:tc>
        <w:tc>
          <w:tcPr>
            <w:tcW w:w="740" w:type="dxa"/>
            <w:vAlign w:val="bottom"/>
            <w:gridSpan w:val="20"/>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60" w:type="dxa"/>
            <w:vAlign w:val="bottom"/>
            <w:tcBorders>
              <w:bottom w:val="single" w:sz="8" w:color="0000FF"/>
            </w:tcBorders>
            <w:gridSpan w:val="24"/>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Form of Inseego Corp.’s 5.50% Convertible Senior Note due 2022 (incorporated by reference to Exhibit 4.2 to the Company’s Current</w:t>
              </w:r>
            </w:hyperlink>
          </w:p>
        </w:tc>
        <w:tc>
          <w:tcPr>
            <w:tcW w:w="44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Report on Form 8-K, filed January 10, 2017).</w:t>
              </w:r>
            </w:hyperlink>
          </w:p>
        </w:tc>
        <w:tc>
          <w:tcPr>
            <w:tcW w:w="6840" w:type="dxa"/>
            <w:vAlign w:val="bottom"/>
            <w:gridSpan w:val="36"/>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8"/>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Indenture, dated June 10, 2015, between Novatel Wireless, Inc. and Wilmington Trust, National Association, as Trustee (incorporated by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reference to Exhibit 4.1 to the Company’s Current Report on Form 8-K, filed June 10, 2015).</w:t>
              </w:r>
            </w:hyperlink>
          </w:p>
        </w:tc>
        <w:tc>
          <w:tcPr>
            <w:tcW w:w="3140" w:type="dxa"/>
            <w:vAlign w:val="bottom"/>
            <w:tcBorders>
              <w:top w:val="single" w:sz="8" w:color="0000FF"/>
            </w:tcBorders>
            <w:gridSpan w:val="21"/>
          </w:tcPr>
          <w:p>
            <w:pPr>
              <w:spacing w:after="0"/>
              <w:rPr>
                <w:sz w:val="17"/>
                <w:szCs w:val="17"/>
                <w:color w:val="auto"/>
              </w:rPr>
            </w:pPr>
          </w:p>
        </w:tc>
        <w:tc>
          <w:tcPr>
            <w:tcW w:w="280" w:type="dxa"/>
            <w:vAlign w:val="bottom"/>
            <w:gridSpan w:val="7"/>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20" w:type="dxa"/>
            <w:vAlign w:val="bottom"/>
            <w:tcBorders>
              <w:bottom w:val="single" w:sz="8" w:color="0000FF"/>
            </w:tcBorders>
            <w:gridSpan w:val="22"/>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First Supplemental Indenture, dated November 8, 2016, among Novatel Wireless, Inc., Inseego Corp. and Wilmington Trust, National</w:t>
              </w:r>
            </w:hyperlink>
          </w:p>
        </w:tc>
        <w:tc>
          <w:tcPr>
            <w:tcW w:w="48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38"/>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Association, as Trustee (incorporated by reference to Exhibit 4.2 to the Company’s Current Report on Form 8-K, filed November 9, 2016).</w:t>
              </w:r>
            </w:hyperlink>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60" w:type="dxa"/>
            <w:vAlign w:val="bottom"/>
            <w:tcBorders>
              <w:top w:val="single" w:sz="8" w:color="0000FF"/>
              <w:bottom w:val="single" w:sz="8" w:color="0000FF"/>
            </w:tcBorders>
            <w:gridSpan w:val="28"/>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Second Supplemental Indenture, dated January 6, 2017, between Novatel Wireless, Inc. and Wilmington Trust, National Association, as</w:t>
              </w:r>
            </w:hyperlink>
          </w:p>
        </w:tc>
        <w:tc>
          <w:tcPr>
            <w:tcW w:w="200" w:type="dxa"/>
            <w:vAlign w:val="bottom"/>
            <w:tcBorders>
              <w:top w:val="single" w:sz="8" w:color="0000FF"/>
            </w:tcBorders>
            <w:gridSpan w:val="6"/>
          </w:tcPr>
          <w:p>
            <w:pPr>
              <w:spacing w:after="0"/>
              <w:rPr>
                <w:sz w:val="24"/>
                <w:szCs w:val="24"/>
                <w:color w:val="auto"/>
              </w:rPr>
            </w:pPr>
          </w:p>
        </w:tc>
        <w:tc>
          <w:tcPr>
            <w:tcW w:w="14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38"/>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Trustee (incorporated by reference to Exhibit 4.1 to the Company’s Current Report on Form 8-K, filed January 10, 2017).</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8"/>
          </w:tcPr>
          <w:p>
            <w:pPr>
              <w:spacing w:after="0"/>
              <w:rPr>
                <w:rFonts w:ascii="Arial" w:cs="Arial" w:eastAsia="Arial" w:hAnsi="Arial"/>
                <w:sz w:val="18"/>
                <w:szCs w:val="18"/>
                <w:color w:val="0000FF"/>
                <w:w w:val="95"/>
              </w:rPr>
            </w:pPr>
            <w:hyperlink r:id="rId23">
              <w:r>
                <w:rPr>
                  <w:rFonts w:ascii="Arial" w:cs="Arial" w:eastAsia="Arial" w:hAnsi="Arial"/>
                  <w:sz w:val="18"/>
                  <w:szCs w:val="18"/>
                  <w:color w:val="0000FF"/>
                  <w:w w:val="95"/>
                </w:rPr>
                <w:t>Form of Novatel Wireless, Inc.’s 5.50% Convertible Senior Note due 2020 (incorporated by reference to Exhibit 4.1 to the Company’s</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Current Report on Form 8-K, filed June 10, 2015).</w:t>
              </w:r>
            </w:hyperlink>
          </w:p>
        </w:tc>
        <w:tc>
          <w:tcPr>
            <w:tcW w:w="6000" w:type="dxa"/>
            <w:vAlign w:val="bottom"/>
            <w:tcBorders>
              <w:top w:val="single" w:sz="8" w:color="0000FF"/>
            </w:tcBorders>
            <w:gridSpan w:val="19"/>
          </w:tcPr>
          <w:p>
            <w:pPr>
              <w:spacing w:after="0"/>
              <w:rPr>
                <w:sz w:val="17"/>
                <w:szCs w:val="17"/>
                <w:color w:val="auto"/>
              </w:rPr>
            </w:pPr>
          </w:p>
        </w:tc>
        <w:tc>
          <w:tcPr>
            <w:tcW w:w="460" w:type="dxa"/>
            <w:vAlign w:val="bottom"/>
            <w:gridSpan w:val="15"/>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8"/>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Rights Agreement, dated as of January 22, 2018, between Inseego Corp. and Computershare Trust Company, N.A., as Rights Agent</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(incorporated by reference to Exhibit 4.1 to the Company’s Current Report on Form 8-K, filed January 22, 2018).</w:t>
              </w:r>
            </w:hyperlink>
          </w:p>
        </w:tc>
        <w:tc>
          <w:tcPr>
            <w:tcW w:w="640" w:type="dxa"/>
            <w:vAlign w:val="bottom"/>
            <w:gridSpan w:val="18"/>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8"/>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Amended and Restated Novatel Wireless, Inc. 2000 Stock Incentive Plan (“2000 Plan”) (incorporated by reference to Exhibit 10.1 to the</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Company’s Quarterly Report on Form 10-Q for the period ended June 30, 2007, filed August 9, 2007).</w:t>
              </w:r>
            </w:hyperlink>
          </w:p>
        </w:tc>
        <w:tc>
          <w:tcPr>
            <w:tcW w:w="2440" w:type="dxa"/>
            <w:vAlign w:val="bottom"/>
            <w:tcBorders>
              <w:top w:val="single" w:sz="8" w:color="0000FF"/>
            </w:tcBorders>
            <w:gridSpan w:val="16"/>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8"/>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Form of Executive Officer Stock Option Agreement under the 2000 Plan (incorporated by reference to Exhibit 10.3 to the Company’s</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Annual Report on Form 10-K for the year ended December 31, 2005, filed March 16, 2006).</w:t>
              </w:r>
            </w:hyperlink>
          </w:p>
        </w:tc>
        <w:tc>
          <w:tcPr>
            <w:tcW w:w="2960" w:type="dxa"/>
            <w:vAlign w:val="bottom"/>
            <w:tcBorders>
              <w:top w:val="single" w:sz="8" w:color="0000FF"/>
            </w:tcBorders>
            <w:gridSpan w:val="12"/>
          </w:tcPr>
          <w:p>
            <w:pPr>
              <w:spacing w:after="0"/>
              <w:rPr>
                <w:sz w:val="17"/>
                <w:szCs w:val="17"/>
                <w:color w:val="auto"/>
              </w:rPr>
            </w:pPr>
          </w:p>
        </w:tc>
        <w:tc>
          <w:tcPr>
            <w:tcW w:w="500" w:type="dxa"/>
            <w:vAlign w:val="bottom"/>
            <w:gridSpan w:val="17"/>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tcBorders>
              <w:bottom w:val="single" w:sz="8" w:color="0000FF"/>
            </w:tcBorders>
            <w:gridSpan w:val="37"/>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Form of Director Stock Option Agreement under the 2000 Plan (incorporated by reference to Exhibit 10.4 to the Company’s Annual Report</w:t>
              </w:r>
            </w:hyperlink>
          </w:p>
        </w:tc>
        <w:tc>
          <w:tcPr>
            <w:tcW w:w="6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3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on Form 10-K for the year ended December 31, 2005, filed March 16, 2006).</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20" w:type="dxa"/>
            <w:vAlign w:val="bottom"/>
            <w:tcBorders>
              <w:bottom w:val="single" w:sz="8" w:color="0000FF"/>
            </w:tcBorders>
            <w:gridSpan w:val="26"/>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Form of Amendment of Stock Option Agreements, dated July 20, 2006, by and between the Company and Optionee with respect to the</w:t>
              </w:r>
            </w:hyperlink>
          </w:p>
        </w:tc>
        <w:tc>
          <w:tcPr>
            <w:tcW w:w="38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20" w:type="dxa"/>
            <w:vAlign w:val="bottom"/>
            <w:tcBorders>
              <w:bottom w:val="single" w:sz="8" w:color="0000FF"/>
            </w:tcBorders>
            <w:gridSpan w:val="36"/>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2000 Plan (incorporated by reference to Exhibit 10.3 to the Company’s Quarterly Report on Form 10-Q for the period ended September 30,</w:t>
              </w:r>
            </w:hyperlink>
          </w:p>
        </w:tc>
        <w:tc>
          <w:tcPr>
            <w:tcW w:w="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3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2006, filed November 9, 2006).</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8"/>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Form of Amendment of Stock Option Agreements, dated July 20, 2006, by and between the Company and Optionee with respect to the</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2000 Plan and grants made pursuant thereto in 2004 and subsequently (incorporated by reference to Exhibit 10.4 to the Company’s</w:t>
              </w:r>
            </w:hyperlink>
          </w:p>
        </w:tc>
        <w:tc>
          <w:tcPr>
            <w:tcW w:w="300" w:type="dxa"/>
            <w:vAlign w:val="bottom"/>
            <w:tcBorders>
              <w:top w:val="single" w:sz="8" w:color="0000FF"/>
            </w:tcBorders>
            <w:gridSpan w:val="6"/>
          </w:tcPr>
          <w:p>
            <w:pPr>
              <w:spacing w:after="0"/>
              <w:rPr>
                <w:sz w:val="17"/>
                <w:szCs w:val="17"/>
                <w:color w:val="auto"/>
              </w:rPr>
            </w:pPr>
          </w:p>
        </w:tc>
        <w:tc>
          <w:tcPr>
            <w:tcW w:w="400" w:type="dxa"/>
            <w:vAlign w:val="bottom"/>
            <w:gridSpan w:val="1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1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Quarterly Report on Form 10-Q for the period ended September 30, 2006, filed November 9, 2006).</w:t>
              </w:r>
            </w:hyperlink>
          </w:p>
        </w:tc>
        <w:tc>
          <w:tcPr>
            <w:tcW w:w="2920" w:type="dxa"/>
            <w:vAlign w:val="bottom"/>
            <w:gridSpan w:val="25"/>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8"/>
          </w:tcPr>
          <w:p>
            <w:pPr>
              <w:spacing w:after="0"/>
              <w:rPr>
                <w:rFonts w:ascii="Arial" w:cs="Arial" w:eastAsia="Arial" w:hAnsi="Arial"/>
                <w:sz w:val="18"/>
                <w:szCs w:val="18"/>
                <w:color w:val="0000FF"/>
                <w:w w:val="99"/>
              </w:rPr>
            </w:pPr>
            <w:hyperlink r:id="rId32">
              <w:r>
                <w:rPr>
                  <w:rFonts w:ascii="Arial" w:cs="Arial" w:eastAsia="Arial" w:hAnsi="Arial"/>
                  <w:sz w:val="18"/>
                  <w:szCs w:val="18"/>
                  <w:color w:val="0000FF"/>
                  <w:w w:val="99"/>
                </w:rPr>
                <w:t>Form of Restricted Share Award Agreement for Directors under the 2000 Plan (incorporated by reference to Exhibit 10.10 to the</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Company’s Quarterly Report on Form 10-Q for the period ended June 30, 2006, filed August 9, 2006).</w:t>
              </w:r>
            </w:hyperlink>
          </w:p>
        </w:tc>
        <w:tc>
          <w:tcPr>
            <w:tcW w:w="1860" w:type="dxa"/>
            <w:vAlign w:val="bottom"/>
            <w:tcBorders>
              <w:top w:val="single" w:sz="8" w:color="0000FF"/>
            </w:tcBorders>
            <w:gridSpan w:val="3"/>
          </w:tcPr>
          <w:p>
            <w:pPr>
              <w:spacing w:after="0"/>
              <w:rPr>
                <w:sz w:val="17"/>
                <w:szCs w:val="17"/>
                <w:color w:val="auto"/>
              </w:rPr>
            </w:pPr>
          </w:p>
        </w:tc>
        <w:tc>
          <w:tcPr>
            <w:tcW w:w="880" w:type="dxa"/>
            <w:vAlign w:val="bottom"/>
            <w:gridSpan w:val="21"/>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Borders>
              <w:bottom w:val="single" w:sz="8" w:color="0000FF"/>
            </w:tcBorders>
            <w:gridSpan w:val="35"/>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Form of Restricted Share Award Agreement for Officers under the 2000 Plan (incorporated by reference to Exhibit 10.11 to the Company’s</w:t>
              </w:r>
            </w:hyperlink>
          </w:p>
        </w:tc>
        <w:tc>
          <w:tcPr>
            <w:tcW w:w="10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5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Quarterly Report on Form 10-Q for the period ended June 30, 2006, filed August 9, 2006).</w:t>
              </w:r>
            </w:hyperlink>
          </w:p>
        </w:tc>
        <w:tc>
          <w:tcPr>
            <w:tcW w:w="3600" w:type="dxa"/>
            <w:vAlign w:val="bottom"/>
            <w:gridSpan w:val="30"/>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80" w:type="dxa"/>
            <w:vAlign w:val="bottom"/>
            <w:tcBorders>
              <w:bottom w:val="single" w:sz="8" w:color="0000FF"/>
            </w:tcBorders>
            <w:gridSpan w:val="29"/>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Amended and Restated Inseego Corp. 2000 Employee Stock Purchase Plan (incorporated by reference to Exhibit 10.1 to the Company’s</w:t>
              </w:r>
            </w:hyperlink>
          </w:p>
        </w:tc>
        <w:tc>
          <w:tcPr>
            <w:tcW w:w="32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38"/>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Current Report on Form 8-K, filed June 15, 2017).</w:t>
              </w:r>
            </w:hyperlink>
          </w:p>
        </w:tc>
      </w:tr>
      <w:tr>
        <w:trPr>
          <w:trHeight w:val="62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tcBorders>
              <w:top w:val="single" w:sz="8" w:color="0000FF"/>
            </w:tcBorders>
            <w:gridSpan w:val="3"/>
          </w:tcPr>
          <w:p>
            <w:pPr>
              <w:spacing w:after="0"/>
              <w:rPr>
                <w:sz w:val="24"/>
                <w:szCs w:val="24"/>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55" w:name="page56"/>
    <w:bookmarkEnd w:id="55"/>
    <w:p>
      <w:pPr>
        <w:spacing w:after="0"/>
        <w:tabs>
          <w:tab w:leader="none" w:pos="11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37465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1120" w:right="220" w:hanging="911"/>
        <w:spacing w:after="0" w:line="308" w:lineRule="auto"/>
        <w:tabs>
          <w:tab w:leader="none" w:pos="110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36">
        <w:r>
          <w:rPr>
            <w:rFonts w:ascii="Arial" w:cs="Arial" w:eastAsia="Arial" w:hAnsi="Arial"/>
            <w:sz w:val="17"/>
            <w:szCs w:val="17"/>
            <w:u w:val="single" w:color="auto"/>
            <w:color w:val="0000FF"/>
          </w:rPr>
          <w:t>Offer Letter, dated August 11, 2017, by and between the Company and Stephen Smith with an employment start date of August 21, 2017</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(incorporated by reference to Exhibit 10.1 to the Company’s Current Report on Form 8-K, filed August 21, 2017).</w:t>
        </w:r>
      </w:hyperlink>
    </w:p>
    <w:p>
      <w:pPr>
        <w:spacing w:after="0" w:line="106" w:lineRule="exact"/>
        <w:rPr>
          <w:sz w:val="20"/>
          <w:szCs w:val="20"/>
          <w:color w:val="auto"/>
        </w:rPr>
      </w:pPr>
    </w:p>
    <w:p>
      <w:pPr>
        <w:ind w:left="11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37">
        <w:r>
          <w:rPr>
            <w:rFonts w:ascii="Arial" w:cs="Arial" w:eastAsia="Arial" w:hAnsi="Arial"/>
            <w:sz w:val="18"/>
            <w:szCs w:val="18"/>
            <w:u w:val="single" w:color="auto"/>
            <w:color w:val="0000FF"/>
          </w:rPr>
          <w:t>Change in Control and Severance Agreement, effective August 21, 2017, by and between the Company and Stephen Smith (incorporated by</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reference to Exhibit 10.2 to the Company’s Current Report on Form 8-K, filed August 21, 2017).</w:t>
        </w:r>
      </w:hyperlink>
    </w:p>
    <w:p>
      <w:pPr>
        <w:spacing w:after="0" w:line="130"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38">
        <w:r>
          <w:rPr>
            <w:rFonts w:ascii="Arial" w:cs="Arial" w:eastAsia="Arial" w:hAnsi="Arial"/>
            <w:sz w:val="16"/>
            <w:szCs w:val="16"/>
            <w:u w:val="single" w:color="auto"/>
            <w:color w:val="0000FF"/>
          </w:rPr>
          <w:t>Form of Indemnification (incorporated by reference to Exhibit 10.3 to the Company’s Current Report on Form 8-K, filed August 21, 2017).</w:t>
        </w:r>
      </w:hyperlink>
    </w:p>
    <w:p>
      <w:pPr>
        <w:spacing w:after="0" w:line="185" w:lineRule="exact"/>
        <w:rPr>
          <w:sz w:val="20"/>
          <w:szCs w:val="20"/>
          <w:color w:val="auto"/>
        </w:rPr>
      </w:pPr>
    </w:p>
    <w:p>
      <w:pPr>
        <w:ind w:left="11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39">
        <w:r>
          <w:rPr>
            <w:rFonts w:ascii="Arial" w:cs="Arial" w:eastAsia="Arial" w:hAnsi="Arial"/>
            <w:sz w:val="18"/>
            <w:szCs w:val="18"/>
            <w:u w:val="single" w:color="auto"/>
            <w:color w:val="0000FF"/>
          </w:rPr>
          <w:t>Offer Letter, effective September 2, 2014, by and between the Company and Michael Newman (incorporated by reference to Exhibit 10.1 to</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the Company’s Current Report on Form 8-K, filed September 4, 2014).</w:t>
        </w:r>
      </w:hyperlink>
    </w:p>
    <w:p>
      <w:pPr>
        <w:spacing w:after="0" w:line="130" w:lineRule="exact"/>
        <w:rPr>
          <w:sz w:val="20"/>
          <w:szCs w:val="20"/>
          <w:color w:val="auto"/>
        </w:rPr>
      </w:pPr>
    </w:p>
    <w:p>
      <w:pPr>
        <w:ind w:left="1120" w:right="360" w:hanging="956"/>
        <w:spacing w:after="0" w:line="342" w:lineRule="auto"/>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40">
        <w:r>
          <w:rPr>
            <w:rFonts w:ascii="Arial" w:cs="Arial" w:eastAsia="Arial" w:hAnsi="Arial"/>
            <w:sz w:val="16"/>
            <w:szCs w:val="16"/>
            <w:u w:val="single" w:color="auto"/>
            <w:color w:val="0000FF"/>
          </w:rPr>
          <w:t>Amended and Restated Change in Control and Severance Agreement, dated April 22, 2015, by and between the Company and Michael</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Newman (incorporated by reference to Exhibit 10.3 to the Company’s Current Report on Form 8-K, filed on April 23, 2015).</w:t>
        </w:r>
      </w:hyperlink>
    </w:p>
    <w:p>
      <w:pPr>
        <w:spacing w:after="0" w:line="83"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41">
        <w:r>
          <w:rPr>
            <w:rFonts w:ascii="Arial" w:cs="Arial" w:eastAsia="Arial" w:hAnsi="Arial"/>
            <w:sz w:val="16"/>
            <w:szCs w:val="16"/>
            <w:u w:val="single" w:color="auto"/>
            <w:color w:val="0000FF"/>
          </w:rPr>
          <w:t>Consulting Agreement between the Company and Michael Newman, effective as of May 16, 2017 (incorporated by reference to Exhibit</w:t>
        </w:r>
      </w:hyperlink>
    </w:p>
    <w:p>
      <w:pPr>
        <w:spacing w:after="0" w:line="23" w:lineRule="exact"/>
        <w:rPr>
          <w:sz w:val="20"/>
          <w:szCs w:val="20"/>
          <w:color w:val="auto"/>
        </w:rPr>
      </w:pPr>
    </w:p>
    <w:p>
      <w:pPr>
        <w:ind w:left="112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10.2 to the Company’s Current Report on Form 8K/A, filed May 22, 2017).</w:t>
        </w:r>
      </w:hyperlink>
    </w:p>
    <w:p>
      <w:pPr>
        <w:spacing w:after="0" w:line="170" w:lineRule="exact"/>
        <w:rPr>
          <w:sz w:val="20"/>
          <w:szCs w:val="20"/>
          <w:color w:val="auto"/>
        </w:rPr>
      </w:pPr>
    </w:p>
    <w:p>
      <w:pPr>
        <w:ind w:left="1120" w:right="38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2">
        <w:r>
          <w:rPr>
            <w:rFonts w:ascii="Arial" w:cs="Arial" w:eastAsia="Arial" w:hAnsi="Arial"/>
            <w:sz w:val="18"/>
            <w:szCs w:val="18"/>
            <w:u w:val="single" w:color="auto"/>
            <w:color w:val="0000FF"/>
          </w:rPr>
          <w:t>Employment Offer Letter between Inseego Corp. and Tom Allen, dated May 16, 2017 (incorporated by reference to Exhibit 10.1 to the</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Company’s Current Report on Form 8K/A, filed May 22, 2017).</w:t>
        </w:r>
      </w:hyperlink>
    </w:p>
    <w:p>
      <w:pPr>
        <w:spacing w:after="0" w:line="130" w:lineRule="exact"/>
        <w:rPr>
          <w:sz w:val="20"/>
          <w:szCs w:val="20"/>
          <w:color w:val="auto"/>
        </w:rPr>
      </w:pPr>
    </w:p>
    <w:p>
      <w:pPr>
        <w:ind w:left="1120" w:right="28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3">
        <w:r>
          <w:rPr>
            <w:rFonts w:ascii="Arial" w:cs="Arial" w:eastAsia="Arial" w:hAnsi="Arial"/>
            <w:sz w:val="18"/>
            <w:szCs w:val="18"/>
            <w:u w:val="single" w:color="auto"/>
            <w:color w:val="0000FF"/>
          </w:rPr>
          <w:t>Offer Letter, dated December 11, 2015, by and between the Company and Sue Swenson (incorporated by reference from the Company’s</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Annual Report on Form 10-K for the year ended December 31, 2015, filed March 14, 2016).</w:t>
        </w:r>
      </w:hyperlink>
    </w:p>
    <w:p>
      <w:pPr>
        <w:spacing w:after="0" w:line="130" w:lineRule="exact"/>
        <w:rPr>
          <w:sz w:val="20"/>
          <w:szCs w:val="20"/>
          <w:color w:val="auto"/>
        </w:rPr>
      </w:pPr>
    </w:p>
    <w:p>
      <w:pPr>
        <w:ind w:left="1120" w:right="28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4">
        <w:r>
          <w:rPr>
            <w:rFonts w:ascii="Arial" w:cs="Arial" w:eastAsia="Arial" w:hAnsi="Arial"/>
            <w:sz w:val="18"/>
            <w:szCs w:val="18"/>
            <w:u w:val="single" w:color="auto"/>
            <w:color w:val="0000FF"/>
          </w:rPr>
          <w:t>Employment Offer Letter, dated June 6, 2017, between Inseego Corp. and Dan Mondor (incorporated by reference to Exhibit 10.1 to the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Company’s Current Report on Form 8-K, filed June 9, 2017).</w:t>
        </w:r>
      </w:hyperlink>
    </w:p>
    <w:p>
      <w:pPr>
        <w:spacing w:after="0" w:line="130" w:lineRule="exact"/>
        <w:rPr>
          <w:sz w:val="20"/>
          <w:szCs w:val="20"/>
          <w:color w:val="auto"/>
        </w:rPr>
      </w:pPr>
    </w:p>
    <w:p>
      <w:pPr>
        <w:ind w:left="1120" w:right="2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45">
        <w:r>
          <w:rPr>
            <w:rFonts w:ascii="Arial" w:cs="Arial" w:eastAsia="Arial" w:hAnsi="Arial"/>
            <w:sz w:val="18"/>
            <w:szCs w:val="18"/>
            <w:u w:val="single" w:color="auto"/>
            <w:color w:val="0000FF"/>
          </w:rPr>
          <w:t>Change in Control and Severance Agreement, dated June 6, 2017, between Inseego Corp. and Dan Mondor (incorporated by reference to</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Exhibit 10.2 to the Company’s Current Report on Form 8-K, filed June 9, 2017).</w:t>
        </w:r>
      </w:hyperlink>
    </w:p>
    <w:p>
      <w:pPr>
        <w:spacing w:after="0" w:line="130" w:lineRule="exact"/>
        <w:rPr>
          <w:sz w:val="20"/>
          <w:szCs w:val="20"/>
          <w:color w:val="auto"/>
        </w:rPr>
      </w:pPr>
    </w:p>
    <w:p>
      <w:pPr>
        <w:ind w:left="1120" w:right="1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46">
        <w:r>
          <w:rPr>
            <w:rFonts w:ascii="Arial" w:cs="Arial" w:eastAsia="Arial" w:hAnsi="Arial"/>
            <w:sz w:val="18"/>
            <w:szCs w:val="18"/>
            <w:u w:val="single" w:color="auto"/>
            <w:color w:val="0000FF"/>
          </w:rPr>
          <w:t>Indemnification Agreement, dated June 6, 2017, between Inseego Corp. and Dan Mondor (incorporated by reference to Exhibit 10.3 to the</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Company’s Current Report on Form 8-K, filed June 9, 2017).</w:t>
        </w:r>
      </w:hyperlink>
    </w:p>
    <w:p>
      <w:pPr>
        <w:spacing w:after="0" w:line="130"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47">
        <w:r>
          <w:rPr>
            <w:rFonts w:ascii="Arial" w:cs="Arial" w:eastAsia="Arial" w:hAnsi="Arial"/>
            <w:sz w:val="16"/>
            <w:szCs w:val="16"/>
            <w:u w:val="single" w:color="auto"/>
            <w:color w:val="0000FF"/>
          </w:rPr>
          <w:t>Amendment to Offer Letter, dated October 26, 2017, by and between the Company and Dan Mondor (incorporated by reference to Exhibit</w:t>
        </w:r>
      </w:hyperlink>
    </w:p>
    <w:p>
      <w:pPr>
        <w:spacing w:after="0" w:line="23" w:lineRule="exact"/>
        <w:rPr>
          <w:sz w:val="20"/>
          <w:szCs w:val="20"/>
          <w:color w:val="auto"/>
        </w:rPr>
      </w:pPr>
    </w:p>
    <w:p>
      <w:pPr>
        <w:ind w:left="112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10.8 to the Company’s Quarterly Report on Form 10-Q, filed on November 7, 2017).</w:t>
        </w:r>
      </w:hyperlink>
    </w:p>
    <w:p>
      <w:pPr>
        <w:spacing w:after="0" w:line="170" w:lineRule="exact"/>
        <w:rPr>
          <w:sz w:val="20"/>
          <w:szCs w:val="20"/>
          <w:color w:val="auto"/>
        </w:rPr>
      </w:pPr>
    </w:p>
    <w:p>
      <w:pPr>
        <w:ind w:left="1120" w:right="120" w:hanging="956"/>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48">
        <w:r>
          <w:rPr>
            <w:rFonts w:ascii="Arial" w:cs="Arial" w:eastAsia="Arial" w:hAnsi="Arial"/>
            <w:sz w:val="18"/>
            <w:szCs w:val="18"/>
            <w:u w:val="single" w:color="auto"/>
            <w:color w:val="0000FF"/>
          </w:rPr>
          <w:t>Change in Control and Severance Agreement, dated April 13, 2015, by and between Novatel Wireless, Inc. and Stephen Sek (incorporated</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by reference to Exhibit 10.4 to the Company’s Quarterly Report on Form 10-Q for the period ended June 30, 2015, filed on August 10,</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2015).</w:t>
        </w:r>
      </w:hyperlink>
    </w:p>
    <w:p>
      <w:pPr>
        <w:spacing w:after="0" w:line="141" w:lineRule="exact"/>
        <w:rPr>
          <w:rFonts w:ascii="Arial" w:cs="Arial" w:eastAsia="Arial" w:hAnsi="Arial"/>
          <w:sz w:val="18"/>
          <w:szCs w:val="18"/>
          <w:u w:val="single" w:color="auto"/>
          <w:color w:val="0000FF"/>
        </w:rPr>
      </w:pPr>
    </w:p>
    <w:p>
      <w:pPr>
        <w:ind w:left="1120" w:right="100" w:hanging="956"/>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49">
        <w:r>
          <w:rPr>
            <w:rFonts w:ascii="Arial" w:cs="Arial" w:eastAsia="Arial" w:hAnsi="Arial"/>
            <w:sz w:val="18"/>
            <w:szCs w:val="18"/>
            <w:u w:val="single" w:color="auto"/>
            <w:color w:val="0000FF"/>
          </w:rPr>
          <w:t>Change in Control and Severance Agreement, dated May 7, 2015, by and between Novatel Wireless, Inc. and Lance Bridges (incorporated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by reference to Exhibit 10.4 to the Company’s Quarterly Report on Form 10-Q for the period ended June 30, 2015, filed on August 10,</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2015).</w:t>
        </w:r>
      </w:hyperlink>
    </w:p>
    <w:p>
      <w:pPr>
        <w:spacing w:after="0" w:line="141" w:lineRule="exact"/>
        <w:rPr>
          <w:rFonts w:ascii="Arial" w:cs="Arial" w:eastAsia="Arial" w:hAnsi="Arial"/>
          <w:sz w:val="18"/>
          <w:szCs w:val="18"/>
          <w:u w:val="single" w:color="auto"/>
          <w:color w:val="0000FF"/>
        </w:rPr>
      </w:pPr>
    </w:p>
    <w:p>
      <w:pPr>
        <w:ind w:left="1120" w:right="2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50">
        <w:r>
          <w:rPr>
            <w:rFonts w:ascii="Arial" w:cs="Arial" w:eastAsia="Arial" w:hAnsi="Arial"/>
            <w:sz w:val="18"/>
            <w:szCs w:val="18"/>
            <w:u w:val="single" w:color="auto"/>
            <w:color w:val="0000FF"/>
          </w:rPr>
          <w:t>Corporate Bonus Plan, effective April 1, 2015 (incorporated by reference to Exhibit 10.3 to the Company’s Current Report on Form 8-K,</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filed on April 1, 2015).</w:t>
        </w:r>
      </w:hyperlink>
    </w:p>
    <w:p>
      <w:pPr>
        <w:spacing w:after="0" w:line="130" w:lineRule="exact"/>
        <w:rPr>
          <w:sz w:val="20"/>
          <w:szCs w:val="20"/>
          <w:color w:val="auto"/>
        </w:rPr>
      </w:pPr>
    </w:p>
    <w:p>
      <w:pPr>
        <w:ind w:left="1120" w:right="3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51">
        <w:r>
          <w:rPr>
            <w:rFonts w:ascii="Arial" w:cs="Arial" w:eastAsia="Arial" w:hAnsi="Arial"/>
            <w:sz w:val="18"/>
            <w:szCs w:val="18"/>
            <w:u w:val="single" w:color="auto"/>
            <w:color w:val="0000FF"/>
          </w:rPr>
          <w:t>2016 Corporate Bonus Plan for Novatel Wireless, Inc. Employees (incorporated by reference to Exhibit 4.1 to the Company’s Quarterly</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Report on Form 10-Q for the period ended March 31, 2016, filed on May 10, 2016).</w:t>
        </w:r>
      </w:hyperlink>
    </w:p>
    <w:p>
      <w:pPr>
        <w:spacing w:after="0" w:line="130" w:lineRule="exact"/>
        <w:rPr>
          <w:sz w:val="20"/>
          <w:szCs w:val="20"/>
          <w:color w:val="auto"/>
        </w:rPr>
      </w:pPr>
    </w:p>
    <w:p>
      <w:pPr>
        <w:ind w:left="4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10.25* **</w:t>
      </w:r>
      <w:r>
        <w:rPr>
          <w:sz w:val="20"/>
          <w:szCs w:val="20"/>
          <w:color w:val="auto"/>
        </w:rPr>
        <w:tab/>
      </w:r>
      <w:hyperlink w:anchor="page105">
        <w:r>
          <w:rPr>
            <w:rFonts w:ascii="Arial" w:cs="Arial" w:eastAsia="Arial" w:hAnsi="Arial"/>
            <w:sz w:val="16"/>
            <w:szCs w:val="16"/>
            <w:u w:val="single" w:color="auto"/>
            <w:color w:val="0000FF"/>
          </w:rPr>
          <w:t>Inseego Corp. 2009 Omnibus Incentive Compensation Plan.</w:t>
        </w:r>
      </w:hyperlink>
    </w:p>
    <w:p>
      <w:pPr>
        <w:spacing w:after="0" w:line="185" w:lineRule="exact"/>
        <w:rPr>
          <w:sz w:val="20"/>
          <w:szCs w:val="20"/>
          <w:color w:val="auto"/>
        </w:rPr>
      </w:pPr>
    </w:p>
    <w:p>
      <w:pPr>
        <w:ind w:left="4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10.26* **</w:t>
      </w:r>
      <w:r>
        <w:rPr>
          <w:sz w:val="20"/>
          <w:szCs w:val="20"/>
          <w:color w:val="auto"/>
        </w:rPr>
        <w:tab/>
      </w:r>
      <w:hyperlink w:anchor="page127">
        <w:r>
          <w:rPr>
            <w:rFonts w:ascii="Arial" w:cs="Arial" w:eastAsia="Arial" w:hAnsi="Arial"/>
            <w:sz w:val="16"/>
            <w:szCs w:val="16"/>
            <w:u w:val="single" w:color="auto"/>
            <w:color w:val="0000FF"/>
          </w:rPr>
          <w:t>Inseego Corp. 2015 Incentive Compensation Plan.</w:t>
        </w:r>
      </w:hyperlink>
    </w:p>
    <w:p>
      <w:pPr>
        <w:spacing w:after="0" w:line="185" w:lineRule="exact"/>
        <w:rPr>
          <w:sz w:val="20"/>
          <w:szCs w:val="20"/>
          <w:color w:val="auto"/>
        </w:rPr>
      </w:pPr>
    </w:p>
    <w:p>
      <w:pPr>
        <w:ind w:left="4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10.27* **</w:t>
      </w:r>
      <w:r>
        <w:rPr>
          <w:sz w:val="20"/>
          <w:szCs w:val="20"/>
          <w:color w:val="auto"/>
        </w:rPr>
        <w:tab/>
      </w:r>
      <w:hyperlink w:anchor="page140">
        <w:r>
          <w:rPr>
            <w:rFonts w:ascii="Arial" w:cs="Arial" w:eastAsia="Arial" w:hAnsi="Arial"/>
            <w:sz w:val="16"/>
            <w:szCs w:val="16"/>
            <w:u w:val="single" w:color="auto"/>
            <w:color w:val="0000FF"/>
          </w:rPr>
          <w:t>Form of Nonstatutory Stock Option Agreement under the Inseego Corp. 2015 Incentive Compensation Plan.</w:t>
        </w:r>
      </w:hyperlink>
    </w:p>
    <w:p>
      <w:pPr>
        <w:spacing w:after="0" w:line="185" w:lineRule="exact"/>
        <w:rPr>
          <w:sz w:val="20"/>
          <w:szCs w:val="20"/>
          <w:color w:val="auto"/>
        </w:rPr>
      </w:pPr>
    </w:p>
    <w:p>
      <w:pPr>
        <w:ind w:left="1120" w:right="80" w:hanging="911"/>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52">
        <w:r>
          <w:rPr>
            <w:rFonts w:ascii="Arial" w:cs="Arial" w:eastAsia="Arial" w:hAnsi="Arial"/>
            <w:sz w:val="18"/>
            <w:szCs w:val="18"/>
            <w:u w:val="single" w:color="auto"/>
            <w:color w:val="0000FF"/>
          </w:rPr>
          <w:t>Contribution Agreement, dated November 8, 2016, by and between Novatel Wireless, Inc. and Inseego Corp. (incorporated by reference to</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Exhibit 10.1 to the Company’s Current Report on Form 8-K, filed on November 9, 2016).</w:t>
        </w:r>
      </w:hyperlink>
    </w:p>
    <w:p>
      <w:pPr>
        <w:spacing w:after="0" w:line="130" w:lineRule="exact"/>
        <w:rPr>
          <w:sz w:val="20"/>
          <w:szCs w:val="20"/>
          <w:color w:val="auto"/>
        </w:rPr>
      </w:pPr>
    </w:p>
    <w:p>
      <w:pPr>
        <w:ind w:left="1120" w:right="140" w:hanging="911"/>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53">
        <w:r>
          <w:rPr>
            <w:rFonts w:ascii="Arial" w:cs="Arial" w:eastAsia="Arial" w:hAnsi="Arial"/>
            <w:sz w:val="18"/>
            <w:szCs w:val="18"/>
            <w:u w:val="single" w:color="auto"/>
            <w:color w:val="0000FF"/>
          </w:rPr>
          <w:t>Credit Agreement, dated as of May 8, 2017, by and among Inseego Corp., as the Borrower, certain subsidiaries of the Borrower, as</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Guarantors, and Lakestar Semi Inc., as Lender (incorporated by reference to Exhibit 10.1 to the Company’s Quarterly Report on Form 10-</w:t>
        </w:r>
      </w:hyperlink>
      <w:hyperlink r:id="rId53">
        <w:r>
          <w:rPr>
            <w:rFonts w:ascii="Arial" w:cs="Arial" w:eastAsia="Arial" w:hAnsi="Arial"/>
            <w:sz w:val="18"/>
            <w:szCs w:val="18"/>
            <w:u w:val="single" w:color="auto"/>
            <w:color w:val="0000FF"/>
          </w:rPr>
          <w:t>Q, filed August 9, 2017).</w:t>
        </w:r>
      </w:hyperlink>
    </w:p>
    <w:p>
      <w:pPr>
        <w:sectPr>
          <w:pgSz w:w="11900" w:h="16838" w:orient="portrait"/>
          <w:cols w:equalWidth="0" w:num="1">
            <w:col w:w="11200"/>
          </w:cols>
          <w:pgMar w:left="420" w:top="544" w:right="279" w:bottom="1440" w:gutter="0" w:footer="0" w:header="0"/>
        </w:sectPr>
      </w:pPr>
    </w:p>
    <w:p>
      <w:pPr>
        <w:spacing w:after="0" w:line="357" w:lineRule="exact"/>
        <w:rPr>
          <w:rFonts w:ascii="Arial" w:cs="Arial" w:eastAsia="Arial" w:hAnsi="Arial"/>
          <w:sz w:val="18"/>
          <w:szCs w:val="18"/>
          <w:u w:val="single" w:color="auto"/>
          <w:color w:val="0000FF"/>
        </w:rPr>
      </w:pPr>
    </w:p>
    <w:p>
      <w:pPr>
        <w:jc w:val="center"/>
        <w:ind w:right="1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00"/>
          </w:cols>
          <w:pgMar w:left="420" w:top="544" w:right="27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0"/>
        </w:trPr>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8"/>
                <w:szCs w:val="18"/>
                <w:color w:val="auto"/>
              </w:rPr>
            </w:pPr>
          </w:p>
        </w:tc>
        <w:tc>
          <w:tcPr>
            <w:tcW w:w="10120" w:type="dxa"/>
            <w:vAlign w:val="bottom"/>
            <w:gridSpan w:val="24"/>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Security and Pledge Agreement, dated as of May 8, 2017, by and among Inseego Corp., as the Borrower, certain subsidiaries of the</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Borrower, as Grantors, and Lakestar Semi Inc., as Lender (incorporated by reference to Exhibit 10.2 to the Company’s Quarterly Report on</w:t>
              </w:r>
            </w:hyperlink>
          </w:p>
        </w:tc>
        <w:tc>
          <w:tcPr>
            <w:tcW w:w="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Form 10-Q, filed August 9, 2017).</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4"/>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Credit Agreement, dated as of August 23, 2017, by and among Inseego Corp. and certain of its direct and indirect subsidiaries, Cantor</w:t>
              </w:r>
            </w:hyperlink>
          </w:p>
        </w:tc>
        <w:tc>
          <w:tcPr>
            <w:tcW w:w="460" w:type="dxa"/>
            <w:vAlign w:val="bottom"/>
            <w:gridSpan w:val="10"/>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Fitzgerald Securities, as Agent, and certain funds managed by Highbridge Capital Management, LLC, as Lenders (incorporated by</w:t>
              </w:r>
            </w:hyperlink>
          </w:p>
        </w:tc>
        <w:tc>
          <w:tcPr>
            <w:tcW w:w="68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reference to Exhibit 10.1 to the Company’s Quarterly Report on Form 10-Q, filed on November 7, 2017).</w:t>
              </w:r>
            </w:hyperlink>
          </w:p>
        </w:tc>
        <w:tc>
          <w:tcPr>
            <w:tcW w:w="2520" w:type="dxa"/>
            <w:vAlign w:val="bottom"/>
            <w:gridSpan w:val="14"/>
          </w:tcPr>
          <w:p>
            <w:pPr>
              <w:spacing w:after="0"/>
              <w:rPr>
                <w:sz w:val="17"/>
                <w:szCs w:val="17"/>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3"/>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Security and Pledge Agreement, dated as of August 23, 2017, by and among Inseego Corp and certain of its direct and indirect subsidiaries,</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as Guarantors, and Cantor Fitzgerald Securities, as Agent (incorporated by reference to Exhibit 10.2 to the Company’s Quarterly Report on</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Form 10-Q, filed on November 7, 2017).</w:t>
              </w:r>
            </w:hyperlink>
          </w:p>
        </w:tc>
        <w:tc>
          <w:tcPr>
            <w:tcW w:w="10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5"/>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Note Purchase Agreement, dated as of August 23, 2017, by and among Inseego Corp., 1992 MSF International LTD. and 1992 Tactical</w:t>
              </w:r>
            </w:hyperlink>
          </w:p>
        </w:tc>
        <w:tc>
          <w:tcPr>
            <w:tcW w:w="380" w:type="dxa"/>
            <w:vAlign w:val="bottom"/>
            <w:gridSpan w:val="9"/>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Credit Master Fund, L.P. (incorporated by reference to Exhibit 10.3 to the Company’s Quarterly Report on Form 10-Q, filed on November</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57">
              <w:r>
                <w:rPr>
                  <w:rFonts w:ascii="Arial" w:cs="Arial" w:eastAsia="Arial" w:hAnsi="Arial"/>
                  <w:sz w:val="18"/>
                  <w:szCs w:val="18"/>
                  <w:color w:val="0000FF"/>
                  <w:w w:val="87"/>
                </w:rPr>
                <w:t>7, 2017).</w:t>
              </w:r>
            </w:hyperlink>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0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2"/>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Form of Indemnification (incorporated by reference to Exhibit 10.3 to the Company’s Current Report on Form 8-K, filed August 21, 2017).</w:t>
              </w:r>
            </w:hyperlink>
          </w:p>
        </w:tc>
        <w:tc>
          <w:tcPr>
            <w:tcW w:w="60" w:type="dxa"/>
            <w:vAlign w:val="bottom"/>
            <w:gridSpan w:val="2"/>
          </w:tcPr>
          <w:p>
            <w:pPr>
              <w:spacing w:after="0"/>
              <w:rPr>
                <w:sz w:val="24"/>
                <w:szCs w:val="24"/>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10.35*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4"/>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2017 (Second Half) Inseego Corporate Bonus Plan (incorporated by reference to Exhibit 10.7 to the Company’s Quarterly Report on Form</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10-Q, filed on November 7, 2017).</w:t>
              </w:r>
            </w:hyperlink>
          </w:p>
        </w:tc>
        <w:tc>
          <w:tcPr>
            <w:tcW w:w="7460" w:type="dxa"/>
            <w:vAlign w:val="bottom"/>
            <w:tcBorders>
              <w:top w:val="single" w:sz="8" w:color="0000FF"/>
            </w:tcBorders>
            <w:gridSpan w:val="13"/>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10.36*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6"/>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2017 Inseego Corporate Bonus Plan (incorporated by reference to Exhibit 10.2 to the Company’s Quarterly Report on Form 10-Q, filed</w:t>
              </w:r>
            </w:hyperlink>
          </w:p>
        </w:tc>
        <w:tc>
          <w:tcPr>
            <w:tcW w:w="36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May 15, 2017).</w:t>
              </w:r>
            </w:hyperlink>
          </w:p>
        </w:tc>
        <w:tc>
          <w:tcPr>
            <w:tcW w:w="9000" w:type="dxa"/>
            <w:vAlign w:val="bottom"/>
            <w:gridSpan w:val="21"/>
          </w:tcPr>
          <w:p>
            <w:pPr>
              <w:spacing w:after="0"/>
              <w:rPr>
                <w:sz w:val="17"/>
                <w:szCs w:val="17"/>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45">
              <w:r>
                <w:rPr>
                  <w:rFonts w:ascii="Arial" w:cs="Arial" w:eastAsia="Arial" w:hAnsi="Arial"/>
                  <w:sz w:val="18"/>
                  <w:szCs w:val="18"/>
                  <w:color w:val="0000FF"/>
                  <w:w w:val="89"/>
                </w:rPr>
                <w:t>Subsidiaries of Inseego Corp.</w:t>
              </w:r>
            </w:hyperlink>
          </w:p>
        </w:tc>
        <w:tc>
          <w:tcPr>
            <w:tcW w:w="7980" w:type="dxa"/>
            <w:vAlign w:val="bottom"/>
            <w:gridSpan w:val="20"/>
          </w:tcPr>
          <w:p>
            <w:pPr>
              <w:spacing w:after="0"/>
              <w:rPr>
                <w:sz w:val="24"/>
                <w:szCs w:val="24"/>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46">
              <w:r>
                <w:rPr>
                  <w:rFonts w:ascii="Arial" w:cs="Arial" w:eastAsia="Arial" w:hAnsi="Arial"/>
                  <w:sz w:val="18"/>
                  <w:szCs w:val="18"/>
                  <w:color w:val="0000FF"/>
                  <w:w w:val="91"/>
                </w:rPr>
                <w:t>Consent of Independent Registered Public Accounting Firm (Mayer Hoffman McCann P.C.).</w:t>
              </w:r>
            </w:hyperlink>
          </w:p>
        </w:tc>
        <w:tc>
          <w:tcPr>
            <w:tcW w:w="3420" w:type="dxa"/>
            <w:vAlign w:val="bottom"/>
            <w:gridSpan w:val="15"/>
          </w:tcPr>
          <w:p>
            <w:pPr>
              <w:spacing w:after="0"/>
              <w:rPr>
                <w:sz w:val="24"/>
                <w:szCs w:val="24"/>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4"/>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Consent of Independent Registered Public Accounting Firm (Ernst &amp; Young LLP).</w:t>
              </w:r>
            </w:hyperlink>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tcBorders>
              <w:top w:val="single" w:sz="8" w:color="0000FF"/>
            </w:tcBorders>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Power of Attorney (See signature page).</w:t>
              </w:r>
            </w:hyperlink>
          </w:p>
        </w:tc>
        <w:tc>
          <w:tcPr>
            <w:tcW w:w="4140" w:type="dxa"/>
            <w:vAlign w:val="bottom"/>
            <w:gridSpan w:val="16"/>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4"/>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1"/>
              </w:rPr>
            </w:pPr>
            <w:hyperlink w:anchor="page149">
              <w:r>
                <w:rPr>
                  <w:rFonts w:ascii="Arial" w:cs="Arial" w:eastAsia="Arial" w:hAnsi="Arial"/>
                  <w:sz w:val="18"/>
                  <w:szCs w:val="18"/>
                  <w:color w:val="0000FF"/>
                  <w:w w:val="91"/>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740" w:type="dxa"/>
            <w:vAlign w:val="bottom"/>
            <w:gridSpan w:val="12"/>
          </w:tcPr>
          <w:p>
            <w:pPr>
              <w:spacing w:after="0"/>
              <w:rPr>
                <w:sz w:val="24"/>
                <w:szCs w:val="24"/>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4"/>
          </w:tcPr>
          <w:p>
            <w:pPr>
              <w:spacing w:after="0"/>
              <w:rPr>
                <w:rFonts w:ascii="Arial" w:cs="Arial" w:eastAsia="Arial" w:hAnsi="Arial"/>
                <w:sz w:val="18"/>
                <w:szCs w:val="18"/>
                <w:color w:val="0000FF"/>
                <w:w w:val="92"/>
              </w:rPr>
            </w:pPr>
            <w:hyperlink w:anchor="page150">
              <w:r>
                <w:rPr>
                  <w:rFonts w:ascii="Arial" w:cs="Arial" w:eastAsia="Arial" w:hAnsi="Arial"/>
                  <w:sz w:val="18"/>
                  <w:szCs w:val="18"/>
                  <w:color w:val="0000FF"/>
                  <w:w w:val="92"/>
                </w:rPr>
                <w:t>Certification of Principal Executive Officer pursuant to 18 U.S.C. Section 1350, as adopted pursuant to Section 906 of the Sarbanes-Oxley</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150">
              <w:r>
                <w:rPr>
                  <w:rFonts w:ascii="Arial" w:cs="Arial" w:eastAsia="Arial" w:hAnsi="Arial"/>
                  <w:sz w:val="18"/>
                  <w:szCs w:val="18"/>
                  <w:color w:val="0000FF"/>
                </w:rPr>
                <w:t>Act of 2002.</w:t>
              </w:r>
            </w:hyperlink>
          </w:p>
        </w:tc>
        <w:tc>
          <w:tcPr>
            <w:tcW w:w="140" w:type="dxa"/>
            <w:vAlign w:val="bottom"/>
            <w:gridSpan w:val="5"/>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40" w:type="dxa"/>
            <w:vAlign w:val="bottom"/>
            <w:gridSpan w:val="1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51">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18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FF"/>
              </w:rPr>
            </w:pPr>
            <w:hyperlink w:anchor="page151">
              <w:r>
                <w:rPr>
                  <w:rFonts w:ascii="Arial" w:cs="Arial" w:eastAsia="Arial" w:hAnsi="Arial"/>
                  <w:sz w:val="18"/>
                  <w:szCs w:val="18"/>
                  <w:color w:val="0000FF"/>
                </w:rPr>
                <w:t>Act of 2002.</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00" w:right="280" w:hanging="959"/>
        <w:spacing w:after="0" w:line="288" w:lineRule="auto"/>
        <w:tabs>
          <w:tab w:leader="none" w:pos="12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statements and footnotes from the Inseego Corp. Annual Report on Form 10-K for the year ended December 31, 2017 formatted in eXtensible Business Reporting Language (XBRL): (i) Consolidated Balance Sheets; (ii) Consolidated Statements of Operations; (iii) Consolidated Statements of Comprehensive Loss; (iv) Consolidated Statements of Stockholders’ Equity (Deficit);</w:t>
      </w:r>
    </w:p>
    <w:p>
      <w:pPr>
        <w:ind w:left="1300"/>
        <w:spacing w:after="0"/>
        <w:rPr>
          <w:sz w:val="20"/>
          <w:szCs w:val="20"/>
          <w:color w:val="auto"/>
        </w:rPr>
      </w:pPr>
      <w:r>
        <w:rPr>
          <w:rFonts w:ascii="Arial" w:cs="Arial" w:eastAsia="Arial" w:hAnsi="Arial"/>
          <w:sz w:val="18"/>
          <w:szCs w:val="18"/>
          <w:color w:val="auto"/>
        </w:rPr>
        <w:t>(v) Consolidated Statements of Cash Flows; and (vi) the Notes to Consolidated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Management contract, compensatory plan or arrangement</w:t>
      </w:r>
    </w:p>
    <w:p>
      <w:pPr>
        <w:spacing w:after="0" w:line="185" w:lineRule="exact"/>
        <w:rPr>
          <w:sz w:val="20"/>
          <w:szCs w:val="20"/>
          <w:color w:val="auto"/>
        </w:rPr>
      </w:pPr>
    </w:p>
    <w:p>
      <w:pPr>
        <w:ind w:left="1300" w:hanging="82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44"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Date: March 15, 2018</w:t>
      </w:r>
      <w:r>
        <w:rPr>
          <w:sz w:val="20"/>
          <w:szCs w:val="20"/>
          <w:color w:val="auto"/>
        </w:rPr>
        <w:tab/>
      </w:r>
      <w:r>
        <w:rPr>
          <w:rFonts w:ascii="Arial" w:cs="Arial" w:eastAsia="Arial" w:hAnsi="Arial"/>
          <w:sz w:val="16"/>
          <w:szCs w:val="16"/>
          <w:color w:val="auto"/>
        </w:rPr>
        <w:t>INSEEGO CORP.</w:t>
      </w:r>
    </w:p>
    <w:p>
      <w:pPr>
        <w:spacing w:after="0" w:line="185" w:lineRule="exact"/>
        <w:rPr>
          <w:sz w:val="20"/>
          <w:szCs w:val="20"/>
          <w:color w:val="auto"/>
        </w:rPr>
      </w:pPr>
    </w:p>
    <w:p>
      <w:pPr>
        <w:ind w:left="6660"/>
        <w:spacing w:after="0"/>
        <w:tabs>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564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48"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Dan Mondor</w:t>
      </w:r>
    </w:p>
    <w:p>
      <w:pPr>
        <w:spacing w:after="0" w:line="96"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Chief Executive Officer</w:t>
      </w:r>
    </w:p>
    <w:p>
      <w:pPr>
        <w:spacing w:after="0" w:line="4"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(Principal Executive Officer)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Dan Mondor and Stephen Smith, or either of them, as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140" w:type="dxa"/>
            <w:vAlign w:val="bottom"/>
          </w:tcPr>
          <w:p>
            <w:pPr>
              <w:spacing w:after="0"/>
              <w:rPr>
                <w:sz w:val="14"/>
                <w:szCs w:val="14"/>
                <w:color w:val="auto"/>
              </w:rPr>
            </w:pPr>
          </w:p>
        </w:tc>
        <w:tc>
          <w:tcPr>
            <w:tcW w:w="5780" w:type="dxa"/>
            <w:vAlign w:val="bottom"/>
            <w:gridSpan w:val="3"/>
          </w:tcPr>
          <w:p>
            <w:pPr>
              <w:ind w:left="3220"/>
              <w:spacing w:after="0"/>
              <w:rPr>
                <w:sz w:val="20"/>
                <w:szCs w:val="20"/>
                <w:color w:val="auto"/>
              </w:rPr>
            </w:pPr>
            <w:r>
              <w:rPr>
                <w:rFonts w:ascii="Arial" w:cs="Arial" w:eastAsia="Arial" w:hAnsi="Arial"/>
                <w:sz w:val="14"/>
                <w:szCs w:val="14"/>
                <w:b w:val="1"/>
                <w:bCs w:val="1"/>
                <w:color w:val="auto"/>
              </w:rPr>
              <w:t>Title</w:t>
            </w:r>
          </w:p>
        </w:tc>
        <w:tc>
          <w:tcPr>
            <w:tcW w:w="2420" w:type="dxa"/>
            <w:vAlign w:val="bottom"/>
            <w:gridSpan w:val="3"/>
          </w:tcPr>
          <w:p>
            <w:pPr>
              <w:jc w:val="center"/>
              <w:ind w:left="1193"/>
              <w:spacing w:after="0"/>
              <w:rPr>
                <w:sz w:val="20"/>
                <w:szCs w:val="20"/>
                <w:color w:val="auto"/>
              </w:rPr>
            </w:pPr>
            <w:r>
              <w:rPr>
                <w:rFonts w:ascii="Arial" w:cs="Arial" w:eastAsia="Arial" w:hAnsi="Arial"/>
                <w:sz w:val="14"/>
                <w:szCs w:val="14"/>
                <w:b w:val="1"/>
                <w:bCs w:val="1"/>
                <w:color w:val="auto"/>
                <w:w w:val="98"/>
              </w:rPr>
              <w:t>Date</w:t>
            </w:r>
          </w:p>
        </w:tc>
      </w:tr>
      <w:tr>
        <w:trPr>
          <w:trHeight w:val="249"/>
        </w:trPr>
        <w:tc>
          <w:tcPr>
            <w:tcW w:w="114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ind w:left="1280"/>
              <w:spacing w:after="0"/>
              <w:rPr>
                <w:sz w:val="20"/>
                <w:szCs w:val="20"/>
                <w:color w:val="auto"/>
              </w:rPr>
            </w:pPr>
            <w:r>
              <w:rPr>
                <w:rFonts w:ascii="Arial" w:cs="Arial" w:eastAsia="Arial" w:hAnsi="Arial"/>
                <w:sz w:val="18"/>
                <w:szCs w:val="18"/>
                <w:color w:val="auto"/>
              </w:rPr>
              <w:t>Chief Executive Officer</w:t>
            </w:r>
          </w:p>
        </w:tc>
        <w:tc>
          <w:tcPr>
            <w:tcW w:w="280" w:type="dxa"/>
            <w:vAlign w:val="bottom"/>
            <w:tcBorders>
              <w:top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28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 Dan Mondor</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(Principal Executive Officer and 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15, 2018</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Dan Mondor</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24"/>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0"/>
        </w:trPr>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0"/>
              </w:rPr>
              <w:t>/s/ Stephen Smith</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(Principal Financial and Accounting Officer)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15, 2018</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Stephen Smith</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 Philip Falcone</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15, 2018</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Philip Falcone</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 Robert Pons</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15, 2018</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Robert Pons</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 Jeffrey Tuder</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15, 2018</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Jeffrey Tuder</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7"/>
              </w:rPr>
              <w:t>/s/ Mark Licht</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15, 2018</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Mark Licht</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755"/>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ind w:left="274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10"/>
            <w:shd w:val="clear" w:color="auto" w:fill="CCEEFF"/>
          </w:tcPr>
          <w:p>
            <w:pPr>
              <w:ind w:left="40"/>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Firms</w:t>
              </w:r>
            </w:hyperlink>
          </w:p>
        </w:tc>
        <w:tc>
          <w:tcPr>
            <w:tcW w:w="57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gridSpan w:val="10"/>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Balance Sheets</w:t>
              </w:r>
            </w:hyperlink>
          </w:p>
        </w:tc>
        <w:tc>
          <w:tcPr>
            <w:tcW w:w="570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F-5</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7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96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w:t>
              </w:r>
            </w:hyperlink>
          </w:p>
        </w:tc>
        <w:tc>
          <w:tcPr>
            <w:tcW w:w="57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F-6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gridSpan w:val="10"/>
          </w:tcPr>
          <w:p>
            <w:pPr>
              <w:ind w:left="4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Comprehensive Loss</w:t>
              </w:r>
            </w:hyperlink>
          </w:p>
        </w:tc>
        <w:tc>
          <w:tcPr>
            <w:tcW w:w="570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F-7</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7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96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Stockholders’ Equity (Deficit)</w:t>
              </w:r>
            </w:hyperlink>
          </w:p>
        </w:tc>
        <w:tc>
          <w:tcPr>
            <w:tcW w:w="57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F-8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gridSpan w:val="10"/>
          </w:tcPr>
          <w:p>
            <w:pPr>
              <w:ind w:lef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w:t>
              </w:r>
            </w:hyperlink>
          </w:p>
        </w:tc>
        <w:tc>
          <w:tcPr>
            <w:tcW w:w="570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F-9</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7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96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57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F-10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gridSpan w:val="10"/>
          </w:tcPr>
          <w:p>
            <w:pPr>
              <w:ind w:left="4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Schedule II: Valuation and Qualifying Accounts</w:t>
              </w:r>
            </w:hyperlink>
          </w:p>
        </w:tc>
        <w:tc>
          <w:tcPr>
            <w:tcW w:w="570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F-45</w:t>
              </w:r>
            </w:hyperlink>
          </w:p>
        </w:tc>
      </w:tr>
      <w:tr>
        <w:trPr>
          <w:trHeight w:val="507"/>
        </w:trPr>
        <w:tc>
          <w:tcPr>
            <w:tcW w:w="4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00" w:type="dxa"/>
            <w:vAlign w:val="bottom"/>
          </w:tcPr>
          <w:p>
            <w:pPr>
              <w:ind w:left="620"/>
              <w:spacing w:after="0"/>
              <w:rPr>
                <w:sz w:val="20"/>
                <w:szCs w:val="20"/>
                <w:color w:val="auto"/>
              </w:rPr>
            </w:pPr>
            <w:r>
              <w:rPr>
                <w:rFonts w:ascii="Arial" w:cs="Arial" w:eastAsia="Arial" w:hAnsi="Arial"/>
                <w:sz w:val="18"/>
                <w:szCs w:val="18"/>
                <w:color w:val="auto"/>
              </w:rPr>
              <w:t>F-1</w:t>
            </w:r>
          </w:p>
        </w:tc>
        <w:tc>
          <w:tcPr>
            <w:tcW w:w="340" w:type="dxa"/>
            <w:vAlign w:val="bottom"/>
            <w:tcBorders>
              <w:top w:val="single" w:sz="8" w:color="0000EE"/>
            </w:tcBorders>
            <w:gridSpan w:val="2"/>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Inseego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Inseego Corp. (“Company”) as of December 31, 2017 and 2016, and the related consolidated statements of operations, comprehensive loss, stockholders’ equity (deficit), and cash flows for each of the two years in the period ended December 31, 2017, and the related notes and schedule (collectively referred to as the “financial statements”). We have also audited Inseego Corp.’s internal control over financial reporting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criteria).</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Inseego Corp. as of December 31, 2017 and 2016, and the results of its operations and its cash flows for each of the years in the two year period ended December 31, 2017, in conformity with accounting principles generally accepted in the United States of America. Also in our opinion, the Company maintained, in all material respects, effective internal control over financial reporting as of December 31, 2017, based on the COSO criteria.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364" w:right="239" w:bottom="1440" w:gutter="0" w:footer="0" w:header="0"/>
        </w:sectPr>
      </w:pPr>
    </w:p>
    <w:bookmarkStart w:id="60" w:name="page61"/>
    <w:bookmarkEnd w:id="60"/>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20"/>
          </w:cols>
          <w:pgMar w:left="240" w:top="368" w:right="339" w:bottom="1440" w:gutter="0" w:footer="0" w:header="0"/>
        </w:sectPr>
      </w:pPr>
    </w:p>
    <w:bookmarkStart w:id="61" w:name="page62"/>
    <w:bookmarkEnd w:id="61"/>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 (predecessor issuer to Inseego Corp.)</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audited the accompanying consolidated statements of operations, comprehensive loss, stockholders’ equity and cash flows of Novatel Wireless, Inc. for the year ended December 31, 2015. These financial statements are the responsibility of the Company’s management. Our responsibility is to express an opinion on these financial statements based on our audit.</w:t>
      </w:r>
    </w:p>
    <w:p>
      <w:pPr>
        <w:spacing w:after="0" w:line="14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results of operations and cash flows of Novatel Wireless, Inc. for the year ended December 31, 2015, in conformity with U.S. generally accepted accounting principles.</w:t>
      </w:r>
    </w:p>
    <w:p>
      <w:pPr>
        <w:spacing w:after="0" w:line="17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20"/>
          </w:cols>
          <w:pgMar w:left="240" w:top="364"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388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9,894</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 for doubtful accounts of $2,683 and $1,660,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22,203</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20,403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31,142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5,208</w:t>
            </w:r>
          </w:p>
        </w:tc>
        <w:tc>
          <w:tcPr>
            <w:tcW w:w="0" w:type="dxa"/>
            <w:vAlign w:val="bottom"/>
          </w:tcPr>
          <w:p>
            <w:pPr>
              <w:spacing w:after="0"/>
              <w:rPr>
                <w:sz w:val="1"/>
                <w:szCs w:val="1"/>
                <w:color w:val="auto"/>
              </w:rPr>
            </w:pP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66,437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68,447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6,991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Rental assets,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7,563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7,003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40,283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37,681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34,428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158,207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158,716</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400"/>
              <w:spacing w:after="0"/>
              <w:rPr>
                <w:sz w:val="20"/>
                <w:szCs w:val="20"/>
                <w:color w:val="auto"/>
              </w:rPr>
            </w:pPr>
            <w:r>
              <w:rPr>
                <w:rFonts w:ascii="Arial" w:cs="Arial" w:eastAsia="Arial" w:hAnsi="Arial"/>
                <w:sz w:val="16"/>
                <w:szCs w:val="16"/>
                <w:b w:val="1"/>
                <w:bCs w:val="1"/>
                <w:color w:val="auto"/>
              </w:rPr>
              <w:t>LIABILITIES AND STOCKHOLDERS’ DEFICIT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31,242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27,558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27,897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59,965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62,377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84,773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90,908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5,261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4,439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9,768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18,719</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203,822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176,443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280"/>
              <w:spacing w:after="0"/>
              <w:rPr>
                <w:sz w:val="20"/>
                <w:szCs w:val="20"/>
                <w:color w:val="auto"/>
              </w:rPr>
            </w:pPr>
            <w:r>
              <w:rPr>
                <w:rFonts w:ascii="Arial" w:cs="Arial" w:eastAsia="Arial" w:hAnsi="Arial"/>
                <w:sz w:val="16"/>
                <w:szCs w:val="16"/>
                <w:color w:val="auto"/>
              </w:rPr>
              <w:t>Common stock, par value $0.001; 150,000,000 shares authorized, 58,644,559 and 54,372,080 shares issued and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600"/>
              <w:spacing w:after="0"/>
              <w:rPr>
                <w:sz w:val="20"/>
                <w:szCs w:val="20"/>
                <w:color w:val="auto"/>
              </w:rPr>
            </w:pPr>
            <w:r>
              <w:rPr>
                <w:rFonts w:ascii="Arial" w:cs="Arial" w:eastAsia="Arial" w:hAnsi="Arial"/>
                <w:sz w:val="16"/>
                <w:szCs w:val="16"/>
                <w:color w:val="auto"/>
              </w:rPr>
              <w:t>outstanding, respectively</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519,531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507,616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4,604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(569,759)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(524,024)</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deficit attributable to Inseego Corp.</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(45,565)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deficit</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(45,615)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(17,727)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liabilities and stockholders’ deficit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158,207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158,716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187,375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203,281</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58,311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56,180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17,661</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219,297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243,555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220,942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Hardware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153,815</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SaaS, software and services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17,436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18,751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8,174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151,962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167,227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161,989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58,953</w:t>
            </w:r>
          </w:p>
        </w:tc>
        <w:tc>
          <w:tcPr>
            <w:tcW w:w="0" w:type="dxa"/>
            <w:vAlign w:val="bottom"/>
          </w:tcPr>
          <w:p>
            <w:pPr>
              <w:spacing w:after="0"/>
              <w:rPr>
                <w:sz w:val="1"/>
                <w:szCs w:val="1"/>
                <w:color w:val="auto"/>
              </w:rPr>
            </w:pP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35,446</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29,782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20,899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34,452</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3,601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purchased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96,744</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(22,214)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(45,004)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(37,791)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Non-cash change in acquisition-related escrow</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(8,286)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(52,113)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(52,294)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58,718,483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53,911,270</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52,767,230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6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(52,294)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6,013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7,098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(8,507)</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6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9"/>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33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9"/>
                <w:szCs w:val="9"/>
                <w:color w:val="auto"/>
              </w:rPr>
            </w:pPr>
          </w:p>
        </w:tc>
        <w:tc>
          <w:tcPr>
            <w:tcW w:w="76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Treasury</w:t>
            </w:r>
          </w:p>
        </w:tc>
        <w:tc>
          <w:tcPr>
            <w:tcW w:w="140" w:type="dxa"/>
            <w:vAlign w:val="bottom"/>
          </w:tcPr>
          <w:p>
            <w:pPr>
              <w:spacing w:after="0"/>
              <w:rPr>
                <w:sz w:val="9"/>
                <w:szCs w:val="9"/>
                <w:color w:val="auto"/>
              </w:rPr>
            </w:pPr>
          </w:p>
        </w:tc>
        <w:tc>
          <w:tcPr>
            <w:tcW w:w="9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110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9"/>
                <w:szCs w:val="9"/>
                <w:color w:val="auto"/>
              </w:rPr>
            </w:pPr>
          </w:p>
        </w:tc>
        <w:tc>
          <w:tcPr>
            <w:tcW w:w="900" w:type="dxa"/>
            <w:vAlign w:val="bottom"/>
          </w:tcPr>
          <w:p>
            <w:pPr>
              <w:jc w:val="center"/>
              <w:ind w:right="49"/>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33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2014</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45,742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466,665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(411,165)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30,546</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(52,286)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(52,294)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(8,507)</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Noncontrolling interest acquired</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 vesting of restricted stock</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units and stock issued under employee stock purchase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w w:val="95"/>
              </w:rPr>
              <w:t>Taxes withheld on net settled vesting of restricted stock</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200"/>
              <w:spacing w:after="0"/>
              <w:rPr>
                <w:sz w:val="20"/>
                <w:szCs w:val="20"/>
                <w:color w:val="auto"/>
              </w:rPr>
            </w:pPr>
            <w:r>
              <w:rPr>
                <w:rFonts w:ascii="Arial" w:cs="Arial" w:eastAsia="Arial" w:hAnsi="Arial"/>
                <w:sz w:val="14"/>
                <w:szCs w:val="14"/>
                <w:color w:val="auto"/>
              </w:rPr>
              <w:t>units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a portion of 2014 Warrant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8,644</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shares issued for retention bonus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5,748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6,350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Discount on convertible senior notes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38,305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38,305</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DigiCore replacement options granted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Retirement of treasury stock</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(25,000)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2015</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53,165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502,337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(463,451)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30,463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(60,573)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(60,568)</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7,098</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rPr>
              <w:t>Exercise of stock options, vesting of restricted stock</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w w:val="91"/>
              </w:rPr>
              <w:t>units and stock issued under employee stock purchase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200"/>
              <w:spacing w:after="0"/>
              <w:rPr>
                <w:sz w:val="20"/>
                <w:szCs w:val="20"/>
                <w:color w:val="auto"/>
              </w:rPr>
            </w:pPr>
            <w:r>
              <w:rPr>
                <w:rFonts w:ascii="Arial" w:cs="Arial" w:eastAsia="Arial" w:hAnsi="Arial"/>
                <w:sz w:val="14"/>
                <w:szCs w:val="14"/>
                <w:color w:val="auto"/>
              </w:rPr>
              <w:t>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Taxes withheld on net settled vesting of restricted stock</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4,588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4,588</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2016</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54,372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507,616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(17,727)</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(45,735)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(45,840)</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6,013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Net noncontrolling interest acquired</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 vesting of restricted stock</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units and stock issued under employee stock purchase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w w:val="95"/>
              </w:rPr>
              <w:t>Taxes withheld on net settled vesting of restricted stock</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200"/>
              <w:spacing w:after="0"/>
              <w:rPr>
                <w:sz w:val="20"/>
                <w:szCs w:val="20"/>
                <w:color w:val="auto"/>
              </w:rPr>
            </w:pPr>
            <w:r>
              <w:rPr>
                <w:rFonts w:ascii="Arial" w:cs="Arial" w:eastAsia="Arial" w:hAnsi="Arial"/>
                <w:sz w:val="14"/>
                <w:szCs w:val="14"/>
                <w:color w:val="auto"/>
              </w:rPr>
              <w:t>units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 (Notes 2 and 6)</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5,078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3,748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Additional discount on exchange of convertible senior</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notes</w:t>
            </w: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3,600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color w:val="auto"/>
              </w:rPr>
              <w:t>Balance, December 31, 2017</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58,645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519,531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(569,759)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4,604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(45,615)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850" w:right="239" w:bottom="1440" w:gutter="0" w:footer="0" w:header="0"/>
        </w:sectPr>
      </w:pPr>
    </w:p>
    <w:bookmarkStart w:id="66" w:name="page67"/>
    <w:bookmarkEnd w:id="66"/>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INSEEGO CORP.</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7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r>
      <w:tr>
        <w:trPr>
          <w:trHeight w:val="216"/>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7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82"/>
                <w:shd w:val="clear" w:color="auto" w:fill="CCEEFF"/>
              </w:rPr>
              <w:t>Net loss</w:t>
            </w:r>
          </w:p>
        </w:tc>
        <w:tc>
          <w:tcPr>
            <w:tcW w:w="67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(45,840)</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(52,294)</w:t>
            </w:r>
          </w:p>
        </w:tc>
      </w:tr>
      <w:tr>
        <w:trPr>
          <w:trHeight w:val="68"/>
        </w:trPr>
        <w:tc>
          <w:tcPr>
            <w:tcW w:w="720" w:type="dxa"/>
            <w:vAlign w:val="bottom"/>
            <w:shd w:val="clear" w:color="auto" w:fill="CCEEFF"/>
          </w:tcPr>
          <w:p>
            <w:pPr>
              <w:spacing w:after="0"/>
              <w:rPr>
                <w:sz w:val="5"/>
                <w:szCs w:val="5"/>
                <w:color w:val="auto"/>
              </w:rPr>
            </w:pPr>
          </w:p>
        </w:tc>
        <w:tc>
          <w:tcPr>
            <w:tcW w:w="67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14,274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14,053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8,323</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Amortization of acquisition-related inventory step-up</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1,829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4,097</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Loss on impairment of purchased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Provision for bad debts, net of recoveries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422</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Loss on impairment of abandoned product line,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11,540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Provision for excess and obsolete inventory</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3,257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1,043</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4,588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6,350</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Amortization of debt discount and debt issuance costs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8,447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4,692</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Loss on disposal of assets, net of gain on divestiture and sale of other assets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Non-cash change in acquisition-related escrow</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8,286</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106</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Non-cash equity earn-out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Reversal of market development fund accrual</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Unrealized foreign currency transaction loss (gain),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(1,298)</w:t>
            </w:r>
          </w:p>
        </w:tc>
      </w:tr>
      <w:tr>
        <w:trPr>
          <w:trHeight w:val="21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225</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Changes in assets and liabilities, net of effects from divestiture: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6"/>
        </w:trPr>
        <w:tc>
          <w:tcPr>
            <w:tcW w:w="7440" w:type="dxa"/>
            <w:vAlign w:val="bottom"/>
            <w:gridSpan w:val="2"/>
          </w:tcPr>
          <w:p>
            <w:pPr>
              <w:ind w:left="72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11,616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4,760</w:t>
            </w:r>
          </w:p>
        </w:tc>
      </w:tr>
      <w:tr>
        <w:trPr>
          <w:trHeight w:val="216"/>
        </w:trPr>
        <w:tc>
          <w:tcPr>
            <w:tcW w:w="7440" w:type="dxa"/>
            <w:vAlign w:val="bottom"/>
            <w:gridSpan w:val="2"/>
          </w:tcPr>
          <w:p>
            <w:pPr>
              <w:ind w:left="72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(3,960)</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2,683</w:t>
            </w:r>
          </w:p>
        </w:tc>
      </w:tr>
      <w:tr>
        <w:trPr>
          <w:trHeight w:val="216"/>
        </w:trPr>
        <w:tc>
          <w:tcPr>
            <w:tcW w:w="7440" w:type="dxa"/>
            <w:vAlign w:val="bottom"/>
            <w:gridSpan w:val="2"/>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(11,187)</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Accrued expenses, income taxes,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866</w:t>
            </w:r>
          </w:p>
        </w:tc>
      </w:tr>
      <w:tr>
        <w:trPr>
          <w:trHeight w:val="209"/>
        </w:trPr>
        <w:tc>
          <w:tcPr>
            <w:tcW w:w="7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(14,637)</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(6,579)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(26,936)</w:t>
            </w:r>
          </w:p>
        </w:tc>
      </w:tr>
      <w:tr>
        <w:trPr>
          <w:trHeight w:val="41"/>
        </w:trPr>
        <w:tc>
          <w:tcPr>
            <w:tcW w:w="720" w:type="dxa"/>
            <w:vAlign w:val="bottom"/>
            <w:tcBorders>
              <w:bottom w:val="single" w:sz="8" w:color="CCEEFF"/>
            </w:tcBorders>
          </w:tcPr>
          <w:p>
            <w:pPr>
              <w:spacing w:after="0"/>
              <w:rPr>
                <w:sz w:val="3"/>
                <w:szCs w:val="3"/>
                <w:color w:val="auto"/>
              </w:rPr>
            </w:pPr>
          </w:p>
        </w:tc>
        <w:tc>
          <w:tcPr>
            <w:tcW w:w="67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Acquisition-related escrow</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(8,275)</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Installment payments related to past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(85,991)</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(1,975)</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46</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Proceeds from the sale of divested assets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11,300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Purchases of intangible assets and additions to capitalized software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(1,157)</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Proceeds from the sale of short-term investments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265</w:t>
            </w:r>
          </w:p>
        </w:tc>
      </w:tr>
      <w:tr>
        <w:trPr>
          <w:trHeight w:val="55"/>
        </w:trPr>
        <w:tc>
          <w:tcPr>
            <w:tcW w:w="720" w:type="dxa"/>
            <w:vAlign w:val="bottom"/>
            <w:tcBorders>
              <w:bottom w:val="single" w:sz="8" w:color="CCEEFF"/>
            </w:tcBorders>
          </w:tcPr>
          <w:p>
            <w:pPr>
              <w:spacing w:after="0"/>
              <w:rPr>
                <w:sz w:val="4"/>
                <w:szCs w:val="4"/>
                <w:color w:val="auto"/>
              </w:rPr>
            </w:pPr>
          </w:p>
        </w:tc>
        <w:tc>
          <w:tcPr>
            <w:tcW w:w="67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(97,087)</w:t>
            </w:r>
          </w:p>
        </w:tc>
      </w:tr>
      <w:tr>
        <w:trPr>
          <w:trHeight w:val="209"/>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64,917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Payment of issuance costs related to term loans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Repayment of term loan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Gross proceeds from the issuance of convertible senior notes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120,000</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Payment of issuance costs related to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(3,927)</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Repurchase of convertible senior notes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the exercise of warrant to purchase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8,644</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Net borrowings from (repayment of) DigiCore bank and overdraft facilities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1,581</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Net repayments of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(5,158)</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Payoff of acquisition-related assumed liabilities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(2,633)</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216"/>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Principal payments on mortgage bond</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55"/>
        </w:trPr>
        <w:tc>
          <w:tcPr>
            <w:tcW w:w="7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93"/>
              </w:rPr>
              <w:t>Taxes paid on vested restricted stock units, net of proceeds from stock option exercises and employee stock purchase plan</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1,007</w:t>
            </w:r>
          </w:p>
        </w:tc>
      </w:tr>
      <w:tr>
        <w:trPr>
          <w:trHeight w:val="209"/>
        </w:trPr>
        <w:tc>
          <w:tcPr>
            <w:tcW w:w="7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119,167</w:t>
            </w:r>
          </w:p>
        </w:tc>
      </w:tr>
      <w:tr>
        <w:trPr>
          <w:trHeight w:val="41"/>
        </w:trPr>
        <w:tc>
          <w:tcPr>
            <w:tcW w:w="720" w:type="dxa"/>
            <w:vAlign w:val="bottom"/>
          </w:tcPr>
          <w:p>
            <w:pPr>
              <w:spacing w:after="0"/>
              <w:rPr>
                <w:sz w:val="3"/>
                <w:szCs w:val="3"/>
                <w:color w:val="auto"/>
              </w:rPr>
            </w:pPr>
          </w:p>
        </w:tc>
        <w:tc>
          <w:tcPr>
            <w:tcW w:w="6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209"/>
        </w:trPr>
        <w:tc>
          <w:tcPr>
            <w:tcW w:w="7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11,304</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(5,283)</w:t>
            </w:r>
          </w:p>
        </w:tc>
      </w:tr>
      <w:tr>
        <w:trPr>
          <w:trHeight w:val="41"/>
        </w:trPr>
        <w:tc>
          <w:tcPr>
            <w:tcW w:w="720" w:type="dxa"/>
            <w:vAlign w:val="bottom"/>
          </w:tcPr>
          <w:p>
            <w:pPr>
              <w:spacing w:after="0"/>
              <w:rPr>
                <w:sz w:val="3"/>
                <w:szCs w:val="3"/>
                <w:color w:val="auto"/>
              </w:rPr>
            </w:pPr>
          </w:p>
        </w:tc>
        <w:tc>
          <w:tcPr>
            <w:tcW w:w="6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9"/>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12,570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17,853</w:t>
            </w:r>
          </w:p>
        </w:tc>
      </w:tr>
      <w:tr>
        <w:trPr>
          <w:trHeight w:val="30"/>
        </w:trPr>
        <w:tc>
          <w:tcPr>
            <w:tcW w:w="72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845" w:right="239" w:bottom="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21,198</w:t>
            </w:r>
          </w:p>
        </w:tc>
        <w:tc>
          <w:tcPr>
            <w:tcW w:w="100" w:type="dxa"/>
            <w:vAlign w:val="bottom"/>
          </w:tcPr>
          <w:p>
            <w:pPr>
              <w:spacing w:after="0"/>
              <w:rPr>
                <w:sz w:val="14"/>
                <w:szCs w:val="14"/>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9,894</w:t>
            </w:r>
          </w:p>
        </w:tc>
        <w:tc>
          <w:tcPr>
            <w:tcW w:w="120" w:type="dxa"/>
            <w:vAlign w:val="bottom"/>
          </w:tcPr>
          <w:p>
            <w:pPr>
              <w:spacing w:after="0"/>
              <w:rPr>
                <w:sz w:val="14"/>
                <w:szCs w:val="14"/>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12,570</w:t>
            </w:r>
          </w:p>
        </w:tc>
      </w:tr>
      <w:tr>
        <w:trPr>
          <w:trHeight w:val="81"/>
        </w:trPr>
        <w:tc>
          <w:tcPr>
            <w:tcW w:w="744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18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68"/>
        </w:trPr>
        <w:tc>
          <w:tcPr>
            <w:tcW w:w="7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4"/>
                <w:szCs w:val="14"/>
                <w:color w:val="auto"/>
              </w:rPr>
              <w:t>Cash paid during the year for:</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55"/>
        </w:trPr>
        <w:tc>
          <w:tcPr>
            <w:tcW w:w="7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Interest</w:t>
            </w: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7,137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3,640</w:t>
            </w:r>
          </w:p>
        </w:tc>
      </w:tr>
      <w:tr>
        <w:trPr>
          <w:trHeight w:val="216"/>
        </w:trPr>
        <w:tc>
          <w:tcPr>
            <w:tcW w:w="7440" w:type="dxa"/>
            <w:vAlign w:val="bottom"/>
          </w:tcPr>
          <w:p>
            <w:pPr>
              <w:ind w:left="500"/>
              <w:spacing w:after="0"/>
              <w:rPr>
                <w:sz w:val="20"/>
                <w:szCs w:val="20"/>
                <w:color w:val="auto"/>
              </w:rPr>
            </w:pPr>
            <w:r>
              <w:rPr>
                <w:rFonts w:ascii="Arial" w:cs="Arial" w:eastAsia="Arial" w:hAnsi="Arial"/>
                <w:sz w:val="14"/>
                <w:szCs w:val="14"/>
                <w:color w:val="auto"/>
              </w:rPr>
              <w:t>Income taxes</w:t>
            </w: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8"/>
                <w:szCs w:val="18"/>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8"/>
                <w:szCs w:val="18"/>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139</w:t>
            </w:r>
          </w:p>
        </w:tc>
      </w:tr>
      <w:tr>
        <w:trPr>
          <w:trHeight w:val="55"/>
        </w:trPr>
        <w:tc>
          <w:tcPr>
            <w:tcW w:w="7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Supplemental disclosures of non-cash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4"/>
                <w:szCs w:val="14"/>
                <w:color w:val="auto"/>
              </w:rPr>
              <w:t>Transfer of inventories to rental assets</w:t>
            </w: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5,943</w:t>
            </w:r>
          </w:p>
        </w:tc>
        <w:tc>
          <w:tcPr>
            <w:tcW w:w="100" w:type="dxa"/>
            <w:vAlign w:val="bottom"/>
          </w:tcPr>
          <w:p>
            <w:pPr>
              <w:spacing w:after="0"/>
              <w:rPr>
                <w:sz w:val="18"/>
                <w:szCs w:val="18"/>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5,568</w:t>
            </w:r>
          </w:p>
        </w:tc>
        <w:tc>
          <w:tcPr>
            <w:tcW w:w="120" w:type="dxa"/>
            <w:vAlign w:val="bottom"/>
          </w:tcPr>
          <w:p>
            <w:pPr>
              <w:spacing w:after="0"/>
              <w:rPr>
                <w:sz w:val="18"/>
                <w:szCs w:val="18"/>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1,032</w:t>
            </w:r>
          </w:p>
        </w:tc>
      </w:tr>
      <w:tr>
        <w:trPr>
          <w:trHeight w:val="55"/>
        </w:trPr>
        <w:tc>
          <w:tcPr>
            <w:tcW w:w="7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Issuance of common stock under amended earn-out agreement</w:t>
            </w: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tcPr>
          <w:p>
            <w:pPr>
              <w:ind w:left="280"/>
              <w:spacing w:after="0"/>
              <w:rPr>
                <w:sz w:val="20"/>
                <w:szCs w:val="20"/>
                <w:color w:val="auto"/>
              </w:rPr>
            </w:pPr>
            <w:r>
              <w:rPr>
                <w:rFonts w:ascii="Arial" w:cs="Arial" w:eastAsia="Arial" w:hAnsi="Arial"/>
                <w:sz w:val="14"/>
                <w:szCs w:val="14"/>
                <w:color w:val="auto"/>
              </w:rPr>
              <w:t>Additional debt discount on exchange of convertible senior notes</w:t>
            </w: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3,600</w:t>
            </w:r>
          </w:p>
        </w:tc>
        <w:tc>
          <w:tcPr>
            <w:tcW w:w="100" w:type="dxa"/>
            <w:vAlign w:val="bottom"/>
          </w:tcPr>
          <w:p>
            <w:pPr>
              <w:spacing w:after="0"/>
              <w:rPr>
                <w:sz w:val="18"/>
                <w:szCs w:val="18"/>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1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Term loan debt discount issued in common stock</w:t>
            </w: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55"/>
        </w:trPr>
        <w:tc>
          <w:tcPr>
            <w:tcW w:w="74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26" w:right="2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229"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Inseego Corp. (the “Company” or “Inseego”) is a leader in the design and development of products and solutions that enable high performance mobile applications for large enterprise verticals, service providers and small and medium-sized businesses around the globe. Inseego’s product portfolio consists of enterprise SaaS solutions, IoT and mobile solutions, which together form the backbone of compelling, intelligent, reliable and secure IoT services with deep business intelligence. Inseego’s products and solutions power mission critical applications with a “zero unscheduled downtime” mandate, such as asset tracking, fleet management, industrial IoT, SD WAN failover management and mobile broadband services. Inseego’s solutions are powered by its key innovations in purpose built SaaS cloud platforms, IoT and mobile technologies, including the newly emerging 5G technology.</w:t>
      </w:r>
    </w:p>
    <w:p>
      <w:pPr>
        <w:spacing w:after="0" w:line="219"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Inseego is a Delaware corporation formed in 2016 and is the successor to Novatel Wireless, Inc., a Delaware corporation formed in 1996 (“Novatel Wireless”), as a result of an internal reorganization that was completed in November 2016 (the “Reorganization”). The Company’s principal offices are located at 9605 Scranton Road, Suite 300, San Diego CA 92121. The Company’s sales and engineering offices are located throughout the world. Inseego’s common stock trades on The NASDAQ Global Select Market under the trading symbol “INSG”.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 xml:space="preserve">The Company had a net loss of $45.7 million during the year ended December 31, 2017. As of December 31, 2017, the Company had available cash and cash equivalents totaling $21.2 million and working capital of $6.5 million. The Company has a history of operating and net losses and overall usage of cash from operating and investing activities. In June 2017, the Company terminated the proposed sale of its MiFi Business (as defined below) due to delays and uncertainty in securing approval of the sale from the Committee on Foreign Investment in the United States (“CFIUS”) (see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w:t>
      </w:r>
    </w:p>
    <w:p>
      <w:pPr>
        <w:spacing w:after="0" w:line="29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During the year ended December 31, 2017, the Company commenced certain restructuring initiatives aimed at significantly reducing the Company’s cost of revenues and operating expenses in an effort to increase operating cash flows to eventually be sufficient to offset debt service costs and cash flows from investing activities. The Company’s management believes that its cash and cash equivalents, together with anticipated cash flows from operations, will be sufficient to meet its working capital needs for the next twelve months following the filing date of this report. The Company’s ability to transition to more profitable operations is dependent upon achieving a level of revenue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reduce planned research and development activities, incur additional restructuring charges or reduce other operating expenses which could have an adverse impact on its ability to achieve its intended business objectives.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The Company does not provide separate segment reporting for its various lines of business. The Chief Executive Officer, who is also the Chief Operating Decision Maker, evaluates the business as a single entity, reviews financial information, and makes business decisions based on the overall results of the business. As such, the Company’s operations constitute a single operating segment and one reportable segment.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553"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Cash and cash equivalents are recorded at market value, which approximates cost. Gains and losses associated with the Company’s foreign currency denominated demand deposits are recorded as a component of other income (expense), net,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11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its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and Provision for Excess and Obsolete Inventory</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Inventories are stated at the lower of cost (first-in, first-out method) or net realizable value.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23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plant and equipment are initially stated at cost and depreciated using the straight-line method. Test equipment, computer equipment, purchased software, furniture and fixtures, product tooling and vehicles are depreciated over lives ranging from eighteen months to six years. Leasehold improvements are depreciated over the shorter of the related remaining lease period or useful life. Buildings are depreciated over 50 years. Land is not depreciated. Amortization of equipment under capital leases is included in depreciation expense.</w:t>
      </w:r>
    </w:p>
    <w:p>
      <w:pPr>
        <w:spacing w:after="0" w:line="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plant and equipment are capitalized and depreciated. Upon retirement or disposition of property, plant and equipment, any resulting gain or loss is recognized in other income (expense), net,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117"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The cost of rental assets, which represents fleet management and vehicle tracking hardware installed in customers’ vehicles where such hardware is provided as part of a fixed term contract with the customer, is capitalized and disclosed separately in the consolidated balance sheets. The Company depreciates rental assets to costs of net revenues on a straight-line basis over the term of the contract, generally three to four years, commencing on installation of the rental asset.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11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 xml:space="preserve">Software development costs are expensed as incurred until technological feasibility has been established, at which time those costs are capitalized as intangible assets until the software is implemented into products sold to customers. Capitalized software development costs are amortized on a straight-line basis over the estimated useful life of the software (see Note 4,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Costs incurred to enhance existing software or after the implementation of the software into a product are expensed in the period they are incurred and included in research and development expense in the consolidated statements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553" w:right="2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Use Software</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until the software is substantially complete and ready for its intended use.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part of property, plant and equipment and are amortized on a straight-line basis over the estimated useful life of the software, which is generally five years. The Company does not capitalize pilot projects and projects for which it believes that the future economic benefits are less than probable. The Company tests these assets for impairment whenever events or circumstances occur that could impact their recoverability.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 xml:space="preserve">Intangible assets include purchased finite-lived and indefinite-lived intangible assets resulting from the acquisitions of DigiCore Holdings Limited (“DigiCore” or “Ctrack”), Feeney Wireless, LLC (which has been renamed Inseego North America, LLC) (“FW” or “INA”) and Enfora, Inc. (“Enfora”), along with the costs of non-exclusive and perpetual worldwide software technology licenses and capitalized software developments costs. Finite-lived intangible assets are amortized on a straight-line basis over the estimated useful lives of the assets (see Note 4,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4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Indefinite-lived assets, including goodwill, in-process research and development and in-process capitalized software development costs, are not amortized; however, they are tested for impairment annually, and between annual tests, if certain events occur indicating that the carrying amounts may be impaired. If a qualitative assessment is used and the Company determines that the fair value of an indefinite-lived intangible asset is more likely than not (i.e., a likelihood of more than 50%) less than its carrying amount, a quantitative impairment test will be performed. If indefinite-lived intangible assets, excluding goodwill, are quantitatively assessed for impairment, a two-step approach is applied. First, the Company compares the estimated fair value of the indefinite-lived intangible asset to its carrying value. The second step, if necessary, measures the amount of such impairment by comparing the implied fair value of the asset to its carrying value. The Company tests goodwill for impairment by comparing the fair value of each reporting unit with its carrying amount and an impairment charge is recorded for the amount, if any, by which the carrying value exceeds the reporting unit’s fair value. For the year ended December 31, 2017, the Company recorded an impairment loss related to indefinite-lived intangible assets of approximately $0.3 million, which is included in other income (expense), net, in the consolidated statements of operations. No impairment of indefinite-lived intangible assets was recognized during the years ended December 31, 2016 and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Company periodically evaluates the carrying value of the unamortized balances of its long-lived assets, including property, plant and equipment, rental assets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7"/>
          <w:szCs w:val="17"/>
          <w:i w:val="1"/>
          <w:iCs w:val="1"/>
          <w:color w:val="auto"/>
        </w:rPr>
        <w:t>.</w:t>
      </w:r>
      <w:r>
        <w:rPr>
          <w:rFonts w:ascii="Arial" w:cs="Arial" w:eastAsia="Arial" w:hAnsi="Arial"/>
          <w:sz w:val="17"/>
          <w:szCs w:val="17"/>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 For the year ended December 31, 2017, the Company recorded an impairment loss related to long-lived assets of approximately $0.1 million, which is included in other income (expense), net, in the consolidated statements of operations. For the year ended December 31, 2016, the Company recorded an impairment loss related to long-lived assets of approximately $2.7 million, which is included in impairment of purchased intangibles and other income (expense), net, in the consolidated statements of operations. For the year ended December 31, 2015, the Company recorded an impairment loss related to long-lived assets of approximately $27,000, which is included in cost of net revenues in the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When acquiring companies, the Company recognizes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553" w:right="27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liabilities assumed at the acquisition date, the Company’s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operations.</w:t>
      </w:r>
    </w:p>
    <w:p>
      <w:pPr>
        <w:spacing w:after="0" w:line="20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Although the Company believes the assumptions and estimates it has made in the past have been reasonable and appropriate, they are based in part on historical experience, market data and information obtained from the management of the acquired companies and are inherently uncertain.</w:t>
      </w:r>
    </w:p>
    <w:p>
      <w:pPr>
        <w:spacing w:after="0" w:line="24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224"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fair value allocation. The Company continues to gather information for and evaluate pre-acquisition contingencies throughout the measurement period and if the Company makes changes to the amounts recorded or if the Company identifies additional pre-acquisition contingencies during the measurement period, such amounts will be included in the fair value allocation during the measurement period and, subsequently, in the Company’s results of operations.</w:t>
      </w:r>
    </w:p>
    <w:p>
      <w:pPr>
        <w:spacing w:after="0" w:line="242"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The Company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Divestitures</w:t>
      </w:r>
    </w:p>
    <w:p>
      <w:pPr>
        <w:spacing w:after="0" w:line="117" w:lineRule="exact"/>
        <w:rPr>
          <w:sz w:val="20"/>
          <w:szCs w:val="20"/>
          <w:color w:val="auto"/>
        </w:rPr>
      </w:pPr>
    </w:p>
    <w:p>
      <w:pPr>
        <w:jc w:val="both"/>
        <w:ind w:right="820" w:firstLine="405"/>
        <w:spacing w:after="0" w:line="264" w:lineRule="auto"/>
        <w:rPr>
          <w:sz w:val="20"/>
          <w:szCs w:val="20"/>
          <w:color w:val="auto"/>
        </w:rPr>
      </w:pPr>
      <w:r>
        <w:rPr>
          <w:rFonts w:ascii="Arial" w:cs="Arial" w:eastAsia="Arial" w:hAnsi="Arial"/>
          <w:sz w:val="18"/>
          <w:szCs w:val="18"/>
          <w:color w:val="auto"/>
        </w:rPr>
        <w:t xml:space="preserve">Gains or losses from divested operations and assets that do not qualify for treatment as discontinued operations under Accounting Standards Codification (“ASC”) 205-20, </w:t>
      </w:r>
      <w:r>
        <w:rPr>
          <w:rFonts w:ascii="Arial" w:cs="Arial" w:eastAsia="Arial" w:hAnsi="Arial"/>
          <w:sz w:val="18"/>
          <w:szCs w:val="18"/>
          <w:i w:val="1"/>
          <w:iCs w:val="1"/>
          <w:color w:val="auto"/>
        </w:rPr>
        <w:t>Presentation of Financial Statements—Discontinued Operations</w:t>
      </w:r>
      <w:r>
        <w:rPr>
          <w:rFonts w:ascii="Arial" w:cs="Arial" w:eastAsia="Arial" w:hAnsi="Arial"/>
          <w:sz w:val="18"/>
          <w:szCs w:val="18"/>
          <w:color w:val="auto"/>
        </w:rPr>
        <w:t>, are recorded as other income (expense), net, in the consolidated statements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 xml:space="preserve">The Company accounts for facility exit costs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the Company does not intend to sublease the facilities.</w:t>
      </w:r>
    </w:p>
    <w:p>
      <w:pPr>
        <w:spacing w:after="0" w:line="24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current estimates. Exit costs recorded by the Company under these provisions are neither associated with, nor do they benefit, continuing activities.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Company accounts for its convertible debt instruments that are settleable in cash upon conversion (including partial cash settlement) by separating the liability and equity components of the instruments in a manner that reflects the Company’s nonconvertible debt borrowing rate. The Company determines the carrying amount of the liability component by measuring the fair value of similar debt instruments that do not have the conversion feature. If a similar debt instrument does not exist, the Company estimates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ectPr>
          <w:pgSz w:w="11900" w:h="16838" w:orient="portrait"/>
          <w:cols w:equalWidth="0" w:num="1">
            <w:col w:w="11400"/>
          </w:cols>
          <w:pgMar w:left="240" w:top="553" w:right="25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00"/>
          </w:cols>
          <w:pgMar w:left="240" w:top="553" w:right="259" w:bottom="1440" w:gutter="0" w:footer="0" w:header="0"/>
          <w:type w:val="continuous"/>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Upon issuance, the Company assigns a value to the debt component equal to the estimated fair value of similar debt instruments without the conversion feature, which could result in the Company recording the debt instrument at a discount. If the debt instrument is recorded at a discount, the Company amortizes the debt discount over the life of the debt instrument as additional non-cash interest expense utilizing the effective interest method.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During the year ended December 31, 2017, the Company generated a portion of its revenue from the sale of wireless modems to wireless operators, OEM customers and value added resellers and distributors. In addition, the Company generates revenue from the sale of asset-management solutions utilizing wireless technology and machine-to-machine communication devices predominantly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the Company will not recognize revenue until both title and risk of loss have transferred to the customer. Revenues from SaaS services are recognized pro-rata over the contract term. The Company records deferred revenue for cash payments received from customers in advance of when revenue recognition criteria are met. The Company has granted price protection to certain customers in accordance with the provisions of the respective contracts and tracks pricing and other terms offered to customers buying similar products to assess compliance with these provisions. The Company estimates the amount of price protection for current period product sales utilizing historical experience and information regarding customer inventory levels. To date, the Company has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the Company or the fair value of the advertising benefit cannot be reliably estimated, such amounts are recorded as a reduction of revenue. The Company establishes a reserve for estimated product returns allowances in the period in which revenue is recognized. In estimating future product returns, the Company considers various factors, including its stated return policies and practices and historical trends.</w:t>
      </w:r>
    </w:p>
    <w:p>
      <w:pPr>
        <w:spacing w:after="0" w:line="20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Certain of the Company’s revenues represent the sale of hardware with accompanied software that is essential to the functionality of the hardware. In such instances, the Company records revenue associated with the agreed upon price on hardware sales, and accrues any estimated costs of post-delivery performance obligations such as warranty obligations. The Company considers the four basic revenue recognition criteria when assessing appropriate revenue recognition as follows:</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Criterion #1 — Persuasive evidence of an arrangement must exist;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Criterion #2 — Delivery has occurred;</w:t>
      </w:r>
    </w:p>
    <w:p>
      <w:pPr>
        <w:spacing w:after="0" w:line="63" w:lineRule="exact"/>
        <w:rPr>
          <w:sz w:val="20"/>
          <w:szCs w:val="20"/>
          <w:color w:val="auto"/>
        </w:rPr>
      </w:pPr>
    </w:p>
    <w:p>
      <w:pPr>
        <w:ind w:left="1320" w:right="4200"/>
        <w:spacing w:after="0" w:line="340" w:lineRule="auto"/>
        <w:rPr>
          <w:sz w:val="20"/>
          <w:szCs w:val="20"/>
          <w:color w:val="auto"/>
        </w:rPr>
      </w:pPr>
      <w:r>
        <w:rPr>
          <w:rFonts w:ascii="Arial" w:cs="Arial" w:eastAsia="Arial" w:hAnsi="Arial"/>
          <w:sz w:val="18"/>
          <w:szCs w:val="18"/>
          <w:color w:val="auto"/>
        </w:rPr>
        <w:t>Criterion #3 — The seller’s price to the buyer must be fixed or determinable; and Criterion #4 — Collectability is reasonably assured.</w:t>
      </w:r>
    </w:p>
    <w:p>
      <w:pPr>
        <w:spacing w:after="0" w:line="62"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For multiple element arrangements, total consideration received from customers is allocated to the elements. This may include hardware, leased elements, non-essential software elements and/or essential software, based on a relative selling price. The accounting guidance establishes a hierarchy to determine the selling price to be used for allocating revenue to deliverables as follows: (i) vendors specific objective evidence (“VSOE”), (ii) third party evidence (“TPE”), and (iii) best estimate of selling price (“BESP”). Because the Company has neither VSOE nor TPE, revenue has been based on the Company’s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29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Company’s process for determining its BESP for deliverables without VSOE or TPE considers multiple factors that may vary depending upon the unique facts and circumstances related to each deliverable. The Company’s prices are determined based upon cost to produce the products, expected order quantities, acceptance in the marketplace and internal pricing parameters. In addition, when developing BESPs for products the Company may consider other factors as appropriate including the pricing of competitive alternatives if they exist, and product-specific business objectives.</w:t>
      </w:r>
    </w:p>
    <w:p>
      <w:pPr>
        <w:spacing w:after="0" w:line="262" w:lineRule="exact"/>
        <w:rPr>
          <w:sz w:val="20"/>
          <w:szCs w:val="20"/>
          <w:color w:val="auto"/>
        </w:rPr>
      </w:pPr>
    </w:p>
    <w:p>
      <w:pPr>
        <w:ind w:right="780" w:firstLine="432"/>
        <w:spacing w:after="0" w:line="342" w:lineRule="auto"/>
        <w:rPr>
          <w:sz w:val="20"/>
          <w:szCs w:val="20"/>
          <w:color w:val="auto"/>
        </w:rPr>
      </w:pPr>
      <w:r>
        <w:rPr>
          <w:rFonts w:ascii="Arial" w:cs="Arial" w:eastAsia="Arial" w:hAnsi="Arial"/>
          <w:sz w:val="16"/>
          <w:szCs w:val="16"/>
          <w:color w:val="auto"/>
        </w:rPr>
        <w:t>The Company accounts for nonessential software licenses and related post contract support (“PCS”) under multiple element arrangements by recognizing revenue for such arrangements ratably over the term of the PCS as it has not established VSOE for the PCS element.</w:t>
      </w:r>
    </w:p>
    <w:p>
      <w:pPr>
        <w:spacing w:after="0" w:line="23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provides SaaS subscriptions for its fleet management and vehicle finance applications in which customers are provided with the ability to wirelessly communicate with monitoring devices installed in vehicles and other mobile assets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553" w:right="2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via software applications hosted by the Company. The customer has the option to purchase the monitoring device or lease it over the term of the contract. If the customer purchases the monitoring device, the Company recognizes the revenue at the time of purchase. If the customer chooses to lease the monitoring device, the Company recognizes the revenue for the monitoring device over the term of the contract, which is generally three years. The Company records such revenue in accordance with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 as it has determined that they qualify as operating leases. The Company recognizes revenues from SaaS services over the term of the contract.</w:t>
      </w:r>
    </w:p>
    <w:p>
      <w:pPr>
        <w:spacing w:after="0" w:line="242"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Certain of the Company’s revenue is based on contractual arrangements. In such instances, 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 The main factors the Company uses to determine whether to record revenue on a gross or net basis are whether:</w:t>
      </w:r>
    </w:p>
    <w:p>
      <w:pPr>
        <w:spacing w:after="0" w:line="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primarily responsible for the service to the customer;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discretion in establishing fees paid by the customer;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involved in the determination of product or service specifications.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When the customer’s fee includes a portion of charges that are paid to another party and the Company is primarily responsible for providing the service to the customer, revenue is recognized on a gross basis in an amount equal to the fee paid by the customer. The cost of revenues recognized is the amount due to the other party and is recorded as cost of revenues in the consolidated statements of operations. In instances in which another party is primarily responsible for providing the service to the customer, revenue is recognized in the net amount retained by the Company. The portion of the fees that are collected from the customer by the Company and remitted to the other party are considered pass through amounts and accordingly are not a component of net revenues or cost of net revenues.</w:t>
      </w:r>
    </w:p>
    <w:p>
      <w:pPr>
        <w:spacing w:after="0" w:line="30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Company occasionally enters into transactions where it provides consideration to its customers in the form of credits for certain raw materials received that are used in the finished goods purchased by the same customer. The Company accounts for such credits to customers as a reduction of net revenues because it is unable to demonstrate the receipt of a benefit that is identifiable and sufficiently separable from the revenue transaction and reasonably estimate the fair value of the benefit identified. Significant management judgment and estimates must be used to determine the fair value of the benefit received in any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Warranty Costs</w:t>
      </w:r>
    </w:p>
    <w:p>
      <w:pPr>
        <w:spacing w:after="0" w:line="117"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The Company accrues warranty costs based on estimates of future warranty related replacement, repairs or rework of products. The Company’s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cost to replace or repair products under warranty. The warranty provision for the Company’s products is determined by using a financial model to estimate future warranty costs. The Company’s financial model takes into consideration actual product failure rates; estimated replacement, repair or rework expenses; and potential risks associated with its different products. The risk levels, warranty cost information and failure rates used within this model are reviewed throughout the year and updated, if and when, these inputs change.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Based upon historical experience, the Company anticipates repayment of these transactions in the foreseeable future, and recognizes the realized and unrealized gains (losses) on these transactions that result from foreign currency changes in the period in which they occur as foreign currency transaction gain (loss), which is recorded as other income (expense), net, in the consolidated statements of operations.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553"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22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243" w:lineRule="exact"/>
        <w:rPr>
          <w:sz w:val="20"/>
          <w:szCs w:val="20"/>
          <w:color w:val="auto"/>
        </w:rPr>
      </w:pPr>
    </w:p>
    <w:p>
      <w:pPr>
        <w:jc w:val="both"/>
        <w:ind w:right="60" w:firstLine="486"/>
        <w:spacing w:after="0" w:line="288"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w:t>
      </w:r>
    </w:p>
    <w:p>
      <w:pPr>
        <w:ind w:right="120"/>
        <w:spacing w:after="0" w:line="261" w:lineRule="auto"/>
        <w:rPr>
          <w:sz w:val="20"/>
          <w:szCs w:val="20"/>
          <w:color w:val="auto"/>
        </w:rPr>
      </w:pPr>
      <w:r>
        <w:rPr>
          <w:rFonts w:ascii="Arial" w:cs="Arial" w:eastAsia="Arial" w:hAnsi="Arial"/>
          <w:sz w:val="18"/>
          <w:szCs w:val="18"/>
          <w:color w:val="auto"/>
        </w:rPr>
        <w:t>Uncertain tax positions are recognized in the first subsequent financial reporting period in which that threshold is met or from changes in circumstances such as the expiration of applicable statutes of limitations.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Company has granted stock options to employees and restricted stock units. The Company also has an employee stock purchase plan (“ESPP”) for eligible employees. The Company measures the compensation cost associated with all share-based payments based on grant date fair values. The fair value of each stock option and stock purchase right is estimated on the date of grant using an option pricing model that meets certain requirements. The Company generally uses the Black-Scholes option pricing model to estimate the fair value of its stock options and stock purchase rights. The Black-Scholes model is considered an acceptable model but the fair values generated by it may not be indicative of the actual fair values of the Company’s equity awards as it does not consider certain factors important to those awards to employees, such as continued employment and periodic vesting requirements as well as limited transferability. The determination of the fair value of share-based payment awards utilizing the Black-Scholes model is affected by the Company’s stock price and a number of assumptions, including expected volatility, expected term, risk-free interest rate and expected dividends.</w:t>
      </w:r>
    </w:p>
    <w:p>
      <w:pPr>
        <w:spacing w:after="0" w:line="11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the implied volatility is representative of expected future volatility, the historical volatility over the expected term of the award is also an indicator of expected future volatility. Due to the short duration of stock purchase rights under the Company’s ESPP, the Company utilizes historical volatility in order to estimate the expected volatility assumption of the Black-Scholes model.</w:t>
      </w:r>
    </w:p>
    <w:p>
      <w:pPr>
        <w:spacing w:after="0" w:line="22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expected term of stock options granted is estimated using historical experience. The risk-free interest rate assumption is based on observed interest rates appropriate for the expected terms of the Company’s stock options and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553"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grant.</w:t>
      </w:r>
    </w:p>
    <w:p>
      <w:pPr>
        <w:spacing w:after="0" w:line="22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recognizes share-based compensation expense over the requisite service period of each individual award, which generally equals the vesting period, using the straight-line method for awards that contain only service conditions. For awards that contain performance conditions, the Company recognizes the share-based compensation expense on a straight-line basis for each vesting tranche.</w:t>
      </w:r>
    </w:p>
    <w:p>
      <w:pPr>
        <w:spacing w:after="0" w:line="2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 Attributable to Common Shareholders</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loss per share excludes dilution and is computed by dividing the net loss by the weighted-average number of shares that were outstanding during the period. Diluted earnings per share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 For all periods presented, there is no difference in the number of shares used to calculate basic and diluted shares outstanding due to the Company’s net loss position.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241"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The Company’s financial instruments consist principally of long-term debt. From time to time, the Company may utilize foreign exchange forward contracts. These contracts are valued using pricing models that take into account the currency rates as of the balance sheet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loss consists of net earnings and foreign currency translation adjustments.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which are adopted by the Company as of the specified date. Unless otherwise discussed, management believes the impact of recently issued standards, which are not yet effective, will not have a material impact on its consolidated financial statements upon adoption.</w:t>
      </w:r>
    </w:p>
    <w:p>
      <w:pPr>
        <w:spacing w:after="0" w:line="23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 xml:space="preserve">In May 2017, the FASB issued Accounting Standards Update (“ASU”) 2017-09, </w:t>
      </w:r>
      <w:r>
        <w:rPr>
          <w:rFonts w:ascii="Arial" w:cs="Arial" w:eastAsia="Arial" w:hAnsi="Arial"/>
          <w:sz w:val="18"/>
          <w:szCs w:val="18"/>
          <w:i w:val="1"/>
          <w:iCs w:val="1"/>
          <w:color w:val="auto"/>
        </w:rPr>
        <w:t>Compensation</w:t>
      </w:r>
      <w:r>
        <w:rPr>
          <w:rFonts w:ascii="Arial" w:cs="Arial" w:eastAsia="Arial" w:hAnsi="Arial"/>
          <w:sz w:val="18"/>
          <w:szCs w:val="18"/>
          <w:i w:val="1"/>
          <w:iCs w:val="1"/>
          <w:color w:val="252525"/>
        </w:rPr>
        <w:t>—</w:t>
      </w:r>
      <w:r>
        <w:rPr>
          <w:rFonts w:ascii="Arial" w:cs="Arial" w:eastAsia="Arial" w:hAnsi="Arial"/>
          <w:sz w:val="18"/>
          <w:szCs w:val="18"/>
          <w:i w:val="1"/>
          <w:iCs w:val="1"/>
          <w:color w:val="auto"/>
        </w:rPr>
        <w:t>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which amends the scope of modification accounting for share-based payment arrangements and provides guidance on the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the terms or conditions of share-based payment awards to which an entity would be required to apply modification accounting. The Company implemented this guidance during the fourth quarter of 2017. This guidance did not have a material impact on the Company’s consolidated financial statements upon adoption.</w:t>
      </w:r>
    </w:p>
    <w:p>
      <w:pPr>
        <w:spacing w:after="0" w:line="24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w:t>
      </w:r>
      <w:r>
        <w:rPr>
          <w:rFonts w:ascii="Arial" w:cs="Arial" w:eastAsia="Arial" w:hAnsi="Arial"/>
          <w:sz w:val="17"/>
          <w:szCs w:val="17"/>
          <w:i w:val="1"/>
          <w:iCs w:val="1"/>
          <w:color w:val="252525"/>
        </w:rPr>
        <w:t>—</w:t>
      </w:r>
      <w:r>
        <w:rPr>
          <w:rFonts w:ascii="Arial" w:cs="Arial" w:eastAsia="Arial" w:hAnsi="Arial"/>
          <w:sz w:val="17"/>
          <w:szCs w:val="17"/>
          <w:i w:val="1"/>
          <w:iCs w:val="1"/>
          <w:color w:val="auto"/>
        </w:rPr>
        <w:t>Goodwill and Other (Topic 350): Simplifying the Test for Goodwill Impairment</w:t>
      </w:r>
      <w:r>
        <w:rPr>
          <w:rFonts w:ascii="Arial" w:cs="Arial" w:eastAsia="Arial" w:hAnsi="Arial"/>
          <w:sz w:val="17"/>
          <w:szCs w:val="17"/>
          <w:color w:val="auto"/>
        </w:rPr>
        <w:t>, which simplifies the measurement of goodwill by eliminating the second step from the goodwill impairment test, which requires the comparison of the implied fair value of goodwill with the current carrying amount of goodwill. Instead, under the amendments in this guidance, an entity shall perform a goodwill impairment test by comparing the fair value of each reporting unit with its carrying amount and an impairment charge is to be recorded for the amount, if any, by which the carrying value exceeds the reporting unit’s fair value. The Company implemented this guidance during the fourth quarter of 2017. This guidance did not have a material impact on the Company’s consolidated financial statements upon adoption.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553"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clarifies how companies present and classify certain cash receipts and cash payments in the statement of cash flows. The Company implemented this guidance during the fourth quarter of 2017. This guidance did not have a material impact on the Company’s consolidated financial statements upon adoption.</w:t>
      </w:r>
    </w:p>
    <w:p>
      <w:pPr>
        <w:spacing w:after="0" w:line="20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i w:val="1"/>
          <w:iCs w:val="1"/>
          <w:color w:val="252525"/>
        </w:rPr>
        <w:t>—</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measurement and recognition of expected credit losses for financial assets held. This guidance is effective for interim and annual</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beginning after December 15, 2019. Early adoption is permitted. The Company is currently assessing the impact of this guidance.</w:t>
      </w:r>
    </w:p>
    <w:p>
      <w:pPr>
        <w:spacing w:after="0" w:line="22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affects entities that issue share-based payment awards to their employees. The guidance is designed to identify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Company implemented this guidance during the first quarter of 2017. This guidance did not have a material impact on the Company’s consolidated financial statements upon adoption.</w:t>
      </w:r>
    </w:p>
    <w:p>
      <w:pPr>
        <w:spacing w:after="0" w:line="24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establishes the principles to report transparent and economically neutral information about the assets and liabilities that arise from leases. This guidance results in the Company providing a more faithful representation of the rights and obligations arising from operating and capital leases by requiring lessees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prospectively for interim and annual periods beginning after December 15, 2018. Early adoption is permitted. The Company is currently assessing the impact of this guidance.</w:t>
      </w:r>
    </w:p>
    <w:p>
      <w:pPr>
        <w:spacing w:after="0" w:line="232"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provides guidance for revenue recognition. The new guidance will require revenue recognized to represent the transfer of promised goods or services to customers in an amount that reflects the consideration the company expects to receive in exchange for those goods or services. The guidance also requires new, expanded disclosures regarding revenue recognition. In August 2015, the FASB issued ASU 2015-14, </w:t>
      </w:r>
      <w:r>
        <w:rPr>
          <w:rFonts w:ascii="Arial" w:cs="Arial" w:eastAsia="Arial" w:hAnsi="Arial"/>
          <w:sz w:val="16"/>
          <w:szCs w:val="16"/>
          <w:i w:val="1"/>
          <w:iCs w:val="1"/>
          <w:color w:val="auto"/>
        </w:rPr>
        <w:t>Revenue from Contracts with Customers: Deferral of Effective Date</w:t>
      </w:r>
      <w:r>
        <w:rPr>
          <w:rFonts w:ascii="Arial" w:cs="Arial" w:eastAsia="Arial" w:hAnsi="Arial"/>
          <w:sz w:val="16"/>
          <w:szCs w:val="16"/>
          <w:color w:val="auto"/>
        </w:rPr>
        <w:t xml:space="preserve">, which deferred the effective date of adoption of ASU 2014-09 to interim and annual reporting periods beginning after December 15, 2017. Early adoption is permitted. In April 2016, the FASB issued ASU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which clarifies aspects of ASU 2014-09 pertaining to the identification of performance obligations and the licensing implementation guidance, while retaining the related principles for those areas. There are two adoption methods available for implementation of this guidance. Under one method, the guidance is applied retrospectively to contracts for each reporting period presented, subject to allowable practical expedients. Under the other method, the guidance is applied only to the most current period presented, recognizing the cumulative effect of the change as an adjustment to the beginning balance of retained earnings, and also requires additional disclosures comparing the results to the previous guidance.</w:t>
      </w:r>
    </w:p>
    <w:p>
      <w:pPr>
        <w:spacing w:after="0" w:line="22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Company has established an implementation team, including the utilization of a revenue consultant, to assist with the assessment of the impact of the new guidance on its operations, consolidated financial statements and related disclosures. The Company has substantially completed its assessment of the impact of the new guidance and expects the revenue recognition of its various revenue streams to remain largely unchanged and therefore does not expect a material impact on its revenues upon adoption. The Company has also made a preliminary assessment that the expense related to sales commissions will not be materially different under the new guidance. Based on the Company’s analysis of the new guidance, it has determined that the accounting for leased monitoring devices is outside the scope of the new guidance; therefore, upon adoption of the new revenue recognition guidance the Company will continue to recognize revenues pursuant to two different accounting standards. Revenues related to the Company’s leased monitoring devices will continue to be recognized under ASC 840.</w:t>
      </w:r>
    </w:p>
    <w:p>
      <w:pPr>
        <w:spacing w:after="0" w:line="24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adopted the new guidance in the first quarter of 2018, subsequent to the balance sheet date, using the modified retrospective method and does not expect this guidance to have a material impact on its consolidated financial statements upon adoption.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55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DigiCore Holdings Limited (DBA Ctrack)</w:t>
      </w:r>
    </w:p>
    <w:p>
      <w:pPr>
        <w:spacing w:after="0" w:line="17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June 18, 2015, the Company entered into a transaction implementation agreement (the “TIA”) with DigiCore. Pursuant to the terms of the TIA, the Company acquired 100% of the issued and outstanding ordinary shares of DigiCore (with the exception of certain excluded shares, including treasury shares) for 4.40 South African Rand per ordinary share outstanding, with the total consideration not to exceed 1,094,223,363 South African Rand (the “Maximum Consideration”), which amount was placed into escrow upon signing of the TIA. On October 5, 2015 the transaction was completed and upon consummation of the acquisition, DigiCore became an indirect wholly owned subsidiary of the Company.</w:t>
      </w:r>
    </w:p>
    <w:p>
      <w:pPr>
        <w:spacing w:after="0" w:line="2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From the date of execution of the TIA through the date the transaction closed, the Maximum Consideration amount placed into escrow experienced a non-cash loss of $8.3 million due to the weakening of the South African Rand against the U.S. Dollar. This amount is included in non-cash change in acquisition-related escrow in the consolidated statements of operations.</w:t>
      </w:r>
    </w:p>
    <w:p>
      <w:pPr>
        <w:spacing w:after="0" w:line="289"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Upon the closing of the transaction, holders of unvested in-the-money DigiCore stock options received stock options to purchase shares of the Company’s common stock as replacement awards.</w:t>
      </w:r>
    </w:p>
    <w:p>
      <w:pPr>
        <w:spacing w:after="0" w:line="2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year ended December 31, 2015, the Company incurred $1.7 million in costs and expenses related to the Company’s acquisition of Ctrack that are included in general and administrative expenses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33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total purchase price was approximately $80.0 million and included a cash payment for all of the outstanding ordinary shares of DigiCore and the purchase of in-the-money vested stock options held by Ctrack employees on the closing date of the transaction and the portion of the fair value of replacement equity awards issued to Ctrack employees that related to services performed prior to the date the transaction closed.</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Ctrack acquisition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w w:val="98"/>
              </w:rPr>
              <w:t>Year Ended December</w:t>
            </w:r>
          </w:p>
        </w:tc>
      </w:tr>
      <w:tr>
        <w:trPr>
          <w:trHeight w:val="192"/>
        </w:trPr>
        <w:tc>
          <w:tcPr>
            <w:tcW w:w="9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31, 2015</w:t>
            </w:r>
          </w:p>
        </w:tc>
      </w:tr>
      <w:tr>
        <w:trPr>
          <w:trHeight w:val="23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79,365</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Fair value of replacement equity awards issued to Ctrack employees for preacquisition services</w:t>
            </w:r>
          </w:p>
        </w:tc>
        <w:tc>
          <w:tcPr>
            <w:tcW w:w="32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623</w:t>
            </w:r>
          </w:p>
        </w:tc>
      </w:tr>
      <w:tr>
        <w:trPr>
          <w:trHeight w:val="33"/>
        </w:trPr>
        <w:tc>
          <w:tcPr>
            <w:tcW w:w="9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purchase price</w:t>
            </w: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79,988</w:t>
            </w:r>
          </w:p>
        </w:tc>
      </w:tr>
      <w:tr>
        <w:trPr>
          <w:trHeight w:val="20"/>
        </w:trPr>
        <w:tc>
          <w:tcPr>
            <w:tcW w:w="9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Fair Value</w:t>
      </w:r>
    </w:p>
    <w:p>
      <w:pPr>
        <w:spacing w:after="0" w:line="171"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Goodwill resulting from this acquisition is largely attributable to the experienced workforce of Ctrack and synergies expected to arise after the integration of Ctrack’s products and operations into those of the Company. Goodwill resulting from this acquisition is not deductible for tax purposes. Identifiable intangible assets acquired as part of the acquisition included finite-lived intangible assets for developed technologies, customer relationships and trade names, which are being amortized using the straight-line method over their estimated useful lives, as well as indefinite-lived intangible assets. Liabilities assumed from DigiCore included a mortgage bond and capital lease obligations.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553"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7"/>
              </w:rPr>
              <w:t>October 5, 2015</w:t>
            </w:r>
          </w:p>
        </w:tc>
      </w:tr>
      <w:tr>
        <w:trPr>
          <w:trHeight w:val="236"/>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2,437</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15,052</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11,361</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5,924</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6,603</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28,270</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29,273</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5,695</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Bank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(7,446)</w:t>
            </w:r>
          </w:p>
        </w:tc>
      </w:tr>
      <w:tr>
        <w:trPr>
          <w:trHeight w:val="33"/>
        </w:trPr>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(15,018)</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9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79,988</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components of intangible assets acquired in connection with the Ctrack acquisition (dollars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Amount Assigned</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192"/>
        </w:trPr>
        <w:tc>
          <w:tcPr>
            <w:tcW w:w="868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8680" w:type="dxa"/>
            <w:vAlign w:val="bottom"/>
          </w:tcPr>
          <w:p>
            <w:pPr>
              <w:ind w:left="20"/>
              <w:spacing w:after="0"/>
              <w:rPr>
                <w:sz w:val="20"/>
                <w:szCs w:val="20"/>
                <w:color w:val="auto"/>
              </w:rPr>
            </w:pPr>
            <w:r>
              <w:rPr>
                <w:rFonts w:ascii="Arial" w:cs="Arial" w:eastAsia="Arial" w:hAnsi="Arial"/>
                <w:sz w:val="16"/>
                <w:szCs w:val="16"/>
                <w:color w:val="auto"/>
              </w:rPr>
              <w:t>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10,170</w:t>
            </w:r>
          </w:p>
        </w:tc>
        <w:tc>
          <w:tcPr>
            <w:tcW w:w="14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8680" w:type="dxa"/>
            <w:vAlign w:val="bottom"/>
          </w:tcPr>
          <w:p>
            <w:pPr>
              <w:ind w:left="200"/>
              <w:spacing w:after="0"/>
              <w:rPr>
                <w:sz w:val="20"/>
                <w:szCs w:val="20"/>
                <w:color w:val="auto"/>
              </w:rPr>
            </w:pPr>
            <w:r>
              <w:rPr>
                <w:rFonts w:ascii="Arial" w:cs="Arial" w:eastAsia="Arial" w:hAnsi="Arial"/>
                <w:sz w:val="16"/>
                <w:szCs w:val="16"/>
                <w:color w:val="auto"/>
              </w:rPr>
              <w:t>Trade name</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14,030</w:t>
            </w:r>
          </w:p>
        </w:tc>
        <w:tc>
          <w:tcPr>
            <w:tcW w:w="14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4,070</w:t>
            </w:r>
          </w:p>
        </w:tc>
        <w:tc>
          <w:tcPr>
            <w:tcW w:w="14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44"/>
        </w:trPr>
        <w:tc>
          <w:tcPr>
            <w:tcW w:w="868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28,270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R.E.R. Enterprises, Inc. (DBA Feeney Wireless)</w:t>
      </w:r>
    </w:p>
    <w:p>
      <w:pPr>
        <w:spacing w:after="0" w:line="17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March 27, 2015, the Company entered into a merger agreement (“RER Merger Agreement”) with R.E.R. Enterprises, Inc. (“RER”) to acquire all of the issued and outstanding shares of RER and its wholly owned subsidiary and principal operating asset, FW, an Oregon limited liability company, which develops and sells IoT solutions that integrate wireless communications into business processes. This strategic acquisition expanded the Company’s product and solutions offerings to include private labeled cellular routers, in-house designed and assembled cellular routers, high-end wireless surveillance systems, modems, computers and software, along with associated hardware, purchased from major industry suppliers. Additionally, FW’s services portfolio includes consulting, systems integration and device management services.</w:t>
      </w:r>
    </w:p>
    <w:p>
      <w:pPr>
        <w:spacing w:after="0" w:line="12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connection with the acquisition, the Company incurred $0.9 million in total costs and expenses, which are included in general and administrative expenses in the consolidated statements of operations for the year ended December 31,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right="20" w:firstLine="392"/>
        <w:spacing w:after="0" w:line="288" w:lineRule="auto"/>
        <w:rPr>
          <w:sz w:val="20"/>
          <w:szCs w:val="20"/>
          <w:color w:val="auto"/>
        </w:rPr>
      </w:pPr>
      <w:r>
        <w:rPr>
          <w:rFonts w:ascii="Arial" w:cs="Arial" w:eastAsia="Arial" w:hAnsi="Arial"/>
          <w:sz w:val="16"/>
          <w:szCs w:val="16"/>
          <w:color w:val="auto"/>
        </w:rPr>
        <w:t>The total purchase price was approximately $24.8 million and included a cash payment at closing of approximately $9.3 million, $1.5 million of which was placed into an escrow fund to serve as partial security for the indemnification obligations of RER and its former shareholders, the Company’s assumption of $0.5 million in certain transaction-related expenses incurred by FW, and the future issuance of shares of the Company’s common stock valued at</w:t>
      </w:r>
    </w:p>
    <w:p>
      <w:pPr>
        <w:spacing w:after="0"/>
        <w:rPr>
          <w:sz w:val="20"/>
          <w:szCs w:val="20"/>
          <w:color w:val="auto"/>
        </w:rPr>
      </w:pPr>
      <w:r>
        <w:rPr>
          <w:rFonts w:ascii="Arial" w:cs="Arial" w:eastAsia="Arial" w:hAnsi="Arial"/>
          <w:sz w:val="16"/>
          <w:szCs w:val="16"/>
          <w:color w:val="auto"/>
        </w:rPr>
        <w:t>$15.0 million (the “Deferred Purchase Price”), which would have been payable in March 2016 pursuant to the original terms of the RER Merger Agreement.</w:t>
      </w:r>
    </w:p>
    <w:p>
      <w:pPr>
        <w:spacing w:after="0" w:line="234"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The total consideration of $24.8 million does not include amounts, if any, payable under an earn-out arrangement under which the Company may have been required to pay up to an additional $25.0 million to the former shareholders of RER contingent upon FW’s achievement of certain financial targets for the years ending December 31, 2015, 2016 and 2017 (the</w:t>
      </w:r>
    </w:p>
    <w:p>
      <w:pPr>
        <w:sectPr>
          <w:pgSz w:w="11900" w:h="16838" w:orient="portrait"/>
          <w:cols w:equalWidth="0" w:num="1">
            <w:col w:w="11400"/>
          </w:cols>
          <w:pgMar w:left="240" w:top="553"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00"/>
          </w:cols>
          <w:pgMar w:left="240" w:top="553" w:right="25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“Earn-Out Arrangement”). Such payments, if any, under the Earn-Out Arrangement would have been payable in either cash or shares of the Company’s common stock at the discretion of the Company, and would have been recorded as compensation expense during the service period earned.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Set forth below is supplemental purchase consideration information related to the FW acquisition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9,268</w:t>
            </w:r>
          </w:p>
        </w:tc>
      </w:tr>
      <w:tr>
        <w:trPr>
          <w:trHeight w:val="237"/>
        </w:trPr>
        <w:tc>
          <w:tcPr>
            <w:tcW w:w="10040" w:type="dxa"/>
            <w:vAlign w:val="bottom"/>
          </w:tcPr>
          <w:p>
            <w:pPr>
              <w:ind w:left="20"/>
              <w:spacing w:after="0"/>
              <w:rPr>
                <w:sz w:val="20"/>
                <w:szCs w:val="20"/>
                <w:color w:val="auto"/>
              </w:rPr>
            </w:pPr>
            <w:r>
              <w:rPr>
                <w:rFonts w:ascii="Arial" w:cs="Arial" w:eastAsia="Arial" w:hAnsi="Arial"/>
                <w:sz w:val="16"/>
                <w:szCs w:val="16"/>
                <w:color w:val="auto"/>
              </w:rPr>
              <w:t>Future issuance of common stock</w:t>
            </w:r>
          </w:p>
        </w:tc>
        <w:tc>
          <w:tcPr>
            <w:tcW w:w="4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33"/>
        </w:trPr>
        <w:tc>
          <w:tcPr>
            <w:tcW w:w="10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assumed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r>
      <w:tr>
        <w:trPr>
          <w:trHeight w:val="244"/>
        </w:trPr>
        <w:tc>
          <w:tcPr>
            <w:tcW w:w="10040" w:type="dxa"/>
            <w:vAlign w:val="bottom"/>
          </w:tcPr>
          <w:p>
            <w:pPr>
              <w:ind w:left="360"/>
              <w:spacing w:after="0"/>
              <w:rPr>
                <w:sz w:val="20"/>
                <w:szCs w:val="20"/>
                <w:color w:val="auto"/>
              </w:rPr>
            </w:pPr>
            <w:r>
              <w:rPr>
                <w:rFonts w:ascii="Arial" w:cs="Arial" w:eastAsia="Arial" w:hAnsi="Arial"/>
                <w:sz w:val="16"/>
                <w:szCs w:val="16"/>
                <w:color w:val="auto"/>
              </w:rPr>
              <w:t>Total purchase price</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24,777</w:t>
            </w:r>
          </w:p>
        </w:tc>
      </w:tr>
      <w:tr>
        <w:trPr>
          <w:trHeight w:val="20"/>
        </w:trPr>
        <w:tc>
          <w:tcPr>
            <w:tcW w:w="10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January 5, 2016, the Company and RER amended certain payment terms of the RER Merger Agreement (such agreement, as amended, the “Amended RER Merger Agreement”). Under the Amended RER Merger Agreement, the $1.5 million placed into escrow on the date of acquisition was released to RER and its former shareholders on January 8, 2016, and the Deferred Purchase Price that was previously payable in shares of the Company’s common stock in March 2016 was agreed to be paid in five cash installments over a four-year period, beginning in March 2016. In addition, the Earn-Out Arrangement was amended as follows: (a) any amount earned under the Earn-Out Arrangement for the achievement of financial targets for the year ended December 31, 2015 would be paid in five cash installments over a four-year period, beginning in March 2016 and (b) in replacement of the potential earn-out contingent upon FW’s achievement of certain financial targets for the years ended December 31, 2016 and 2017 the Company will issue to the former shareholders of RER approximately 2.9 million shares of the Company’s common stock in three equal installments over a three-year period, beginning in March 2017. The Company recognized approximately $7.9 million in expense during the year ended December 31, 2016 in connection with an earn-out payment due to the former shareholders of RER in the form of shares of the Company’s common stock.</w:t>
      </w:r>
    </w:p>
    <w:p>
      <w:pPr>
        <w:spacing w:after="0" w:line="28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 xml:space="preserve">On March 15, 2017, the Company issued 973,334 shares of its common stock to the former stockholders of RER in satisfaction of the first installment of this obligation. As of the filing date of this report, the March 2017 and March 2018 cash installments have not been paid and the March 2018 share installment has not been issued. The Company is disputing its obligations to make such payments and any future payments (see Note 12,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w:t>
      </w:r>
    </w:p>
    <w:p>
      <w:pPr>
        <w:spacing w:after="0" w:line="295" w:lineRule="exact"/>
        <w:rPr>
          <w:sz w:val="20"/>
          <w:szCs w:val="20"/>
          <w:color w:val="auto"/>
        </w:rPr>
      </w:pPr>
    </w:p>
    <w:p>
      <w:pPr>
        <w:ind w:right="80" w:firstLine="392"/>
        <w:spacing w:after="0" w:line="264" w:lineRule="auto"/>
        <w:rPr>
          <w:sz w:val="20"/>
          <w:szCs w:val="20"/>
          <w:color w:val="auto"/>
        </w:rPr>
      </w:pPr>
      <w:r>
        <w:rPr>
          <w:rFonts w:ascii="Arial" w:cs="Arial" w:eastAsia="Arial" w:hAnsi="Arial"/>
          <w:sz w:val="18"/>
          <w:szCs w:val="18"/>
          <w:color w:val="auto"/>
        </w:rPr>
        <w:t>As of December 31, 2017, the total amount of the Deferred Purchase Price that remained outstanding was $11.3 million and the total amount outstanding pursuant to the Earn-Out Arrangement was $9.8 million, both of which are included in accrued expenses and other current liabilities and in other long-term liabilities in the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Fair Value</w:t>
      </w:r>
    </w:p>
    <w:p>
      <w:pPr>
        <w:spacing w:after="0" w:line="90" w:lineRule="exact"/>
        <w:rPr>
          <w:sz w:val="20"/>
          <w:szCs w:val="20"/>
          <w:color w:val="auto"/>
        </w:rPr>
      </w:pPr>
    </w:p>
    <w:p>
      <w:pPr>
        <w:ind w:right="20" w:firstLine="392"/>
        <w:spacing w:after="0" w:line="271" w:lineRule="auto"/>
        <w:rPr>
          <w:sz w:val="20"/>
          <w:szCs w:val="20"/>
          <w:color w:val="auto"/>
        </w:rPr>
      </w:pPr>
      <w:r>
        <w:rPr>
          <w:rFonts w:ascii="Arial" w:cs="Arial" w:eastAsia="Arial" w:hAnsi="Arial"/>
          <w:sz w:val="17"/>
          <w:szCs w:val="17"/>
          <w:color w:val="auto"/>
        </w:rPr>
        <w:t>The Company accounted for the transaction using the acquisition method and, accordingly, the consideration has been allocated to the tangible and intangible assets acquired and liabilities assumed on the basis of their respective estimated fair values on the acquisition date as set forth below. Goodwill resulting from this acquisition is largely attributable to the experienced workforce of FW and synergies expected to arise after the integration of FW’s products and operations into those of the Company. Goodwill resulting from this acquisition is deductible for tax purposes. Identifiable intangible assets acquired as part of the acquisition included finite-lived intangible assets for developed technologies, customer relationships, and trademarks, which are being amortized using the straight-line method over their estimated useful lives, as well as indefinite-lived intangible assets, including in-process research and development. Liabilities assumed from FW included a term loan and capital lease obligations. The term loan and certain capital lease obligations were paid in full by the Company immediately following the closing of the acquisition on March 27, 2015.</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553"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has been allocated based on the estimated fair values of assets acquired and liabilities assumed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March 27, 2015</w:t>
            </w:r>
          </w:p>
        </w:tc>
      </w:tr>
      <w:tr>
        <w:trPr>
          <w:trHeight w:val="236"/>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3,331</w:t>
            </w:r>
          </w:p>
        </w:tc>
      </w:tr>
      <w:tr>
        <w:trPr>
          <w:trHeight w:val="33"/>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10,008</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535</w:t>
            </w:r>
          </w:p>
        </w:tc>
      </w:tr>
      <w:tr>
        <w:trPr>
          <w:trHeight w:val="33"/>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18,880</w:t>
            </w:r>
          </w:p>
        </w:tc>
      </w:tr>
      <w:tr>
        <w:trPr>
          <w:trHeight w:val="270"/>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3,949</w:t>
            </w:r>
          </w:p>
        </w:tc>
      </w:tr>
      <w:tr>
        <w:trPr>
          <w:trHeight w:val="250"/>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(7,494)</w:t>
            </w:r>
          </w:p>
        </w:tc>
      </w:tr>
      <w:tr>
        <w:trPr>
          <w:trHeight w:val="33"/>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0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Accrued and other liabilities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Deferred revenues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0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Note payable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r>
      <w:tr>
        <w:trPr>
          <w:trHeight w:val="237"/>
        </w:trPr>
        <w:tc>
          <w:tcPr>
            <w:tcW w:w="10040" w:type="dxa"/>
            <w:vAlign w:val="bottom"/>
            <w:gridSpan w:val="3"/>
          </w:tcPr>
          <w:p>
            <w:pPr>
              <w:ind w:left="20"/>
              <w:spacing w:after="0"/>
              <w:rPr>
                <w:sz w:val="20"/>
                <w:szCs w:val="20"/>
                <w:color w:val="auto"/>
              </w:rPr>
            </w:pPr>
            <w:r>
              <w:rPr>
                <w:rFonts w:ascii="Arial" w:cs="Arial" w:eastAsia="Arial" w:hAnsi="Arial"/>
                <w:sz w:val="16"/>
                <w:szCs w:val="16"/>
                <w:color w:val="auto"/>
              </w:rPr>
              <w:t>Capital lease obligations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33"/>
        </w:trPr>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004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6"/>
                <w:szCs w:val="16"/>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24,777</w:t>
            </w: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
        </w:trPr>
        <w:tc>
          <w:tcPr>
            <w:tcW w:w="1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bl>
    <w:p>
      <w:pPr>
        <w:spacing w:after="0" w:line="98" w:lineRule="exact"/>
        <w:rPr>
          <w:sz w:val="20"/>
          <w:szCs w:val="20"/>
          <w:color w:val="auto"/>
        </w:rPr>
      </w:pPr>
    </w:p>
    <w:p>
      <w:pPr>
        <w:ind w:left="260" w:right="20" w:hanging="252"/>
        <w:spacing w:after="0" w:line="233" w:lineRule="auto"/>
        <w:tabs>
          <w:tab w:leader="none" w:pos="26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Reflects measurement-period adjustments recorded by the Company in accordance with ASU 2015-16. During the year ended December 31, 2016, the Company recorded a measurement-period adjustment to the allocation of fair value resulting in a $0.2 million increase to accrued and other liabilities and a corresponding $0.2 million increase to goodwill.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Intangible Assets Acquired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intangible assets acquired in connection with the FW acquisition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Amount Assigned</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Developed technologies</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8700" w:type="dxa"/>
            <w:vAlign w:val="bottom"/>
          </w:tcPr>
          <w:p>
            <w:pPr>
              <w:ind w:left="200"/>
              <w:spacing w:after="0"/>
              <w:rPr>
                <w:sz w:val="20"/>
                <w:szCs w:val="20"/>
                <w:color w:val="auto"/>
              </w:rPr>
            </w:pPr>
            <w:r>
              <w:rPr>
                <w:rFonts w:ascii="Arial" w:cs="Arial" w:eastAsia="Arial" w:hAnsi="Arial"/>
                <w:sz w:val="16"/>
                <w:szCs w:val="16"/>
                <w:color w:val="auto"/>
              </w:rPr>
              <w:t>Trademarks</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4,700</w:t>
            </w:r>
          </w:p>
        </w:tc>
        <w:tc>
          <w:tcPr>
            <w:tcW w:w="14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c>
          <w:tcPr>
            <w:tcW w:w="14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In-process 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700" w:type="dxa"/>
            <w:vAlign w:val="bottom"/>
          </w:tcPr>
          <w:p>
            <w:pPr>
              <w:ind w:left="360"/>
              <w:spacing w:after="0"/>
              <w:rPr>
                <w:sz w:val="20"/>
                <w:szCs w:val="20"/>
                <w:color w:val="auto"/>
              </w:rPr>
            </w:pPr>
            <w:r>
              <w:rPr>
                <w:rFonts w:ascii="Arial" w:cs="Arial" w:eastAsia="Arial" w:hAnsi="Arial"/>
                <w:sz w:val="16"/>
                <w:szCs w:val="16"/>
                <w:color w:val="auto"/>
              </w:rPr>
              <w:t>Total intangible assets acquired</w:t>
            </w: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18,880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During the year ended December 31, 2016, the Company recorded an impairment loss related to developed technologies acquired in connection with the FW acquisition of approximately $2.6 million, which is included in impairment of purchased intangibles in the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Modules Business</w:t>
      </w:r>
    </w:p>
    <w:p>
      <w:pPr>
        <w:spacing w:after="0" w:line="27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April 11, 2016, the Company signed a definitive asset purchase agreement with Telit Technologies (Cyprus) Limited and Telit Wireless Solutions, Inc. (collectively, “Telit”) pursuant to which the Company sold, and Telit acquired, certain hardware modules and related assets for an initial purchase price of $11.0 million in cash, which included $9.0 million that was paid to the Company on the closing date of the transaction, $1.0 million that would be paid to the Company in equal quarterly installments over a two-year period in connection with the provision by the Company of certain transition services and</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$1.0 million that would be paid to the Company following the satisfaction of certain conditions by the Company, including the assignment of specified contracts and the delivery of certain certifications and approvals. The Company also had the potential to receive an additional cash payment of approximately $3.8 million from Telit related to their purchase of module product inventory from the Company, $1.0 million of which would be paid to the Company in equal quarterly installments over the two-year period following the closing date in connection with the provision by the Company of certain transition services. In</w:t>
      </w:r>
    </w:p>
    <w:p>
      <w:pPr>
        <w:sectPr>
          <w:pgSz w:w="11900" w:h="16838" w:orient="portrait"/>
          <w:cols w:equalWidth="0" w:num="1">
            <w:col w:w="11420"/>
          </w:cols>
          <w:pgMar w:left="240" w:top="553"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553"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addition to the above, the Company may have been entitled to receive a subsequent earn-out payment following the closing of the transaction if certain conditions were met.</w:t>
      </w:r>
    </w:p>
    <w:p>
      <w:pPr>
        <w:spacing w:after="0" w:line="224"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On September 29, 2016, the Company entered into a Final Resolution Letter Agreement (the “Final Resolution”) with Telit. Per the Final Resolution, Telit agreed to pay the Company $2.1 million in full satisfaction of their payment obligations under certain sections of the original purchase agreement, including all installment payments, and the Company agreed to ship the remainder of the hardware modules and related assets as soon as practicable. Under the Final Resolution, the aggregate purchase consideration totaled $11.7 million, which consisted of $11.3 million in cash and $0.4 million in net settled Company liabilities.</w:t>
      </w:r>
    </w:p>
    <w:p>
      <w:pPr>
        <w:spacing w:after="0" w:line="24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the years ended December 31, 2017 and 2016, the Company recognized a gain of approximately $45,000 and $5.0 million, respectively, in connection with the fulfillment of certain obligations pursuant to the asset purchase agreement, as amended, which is included in other income (expense), net, in the consolidated statements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 Business</w:t>
      </w:r>
    </w:p>
    <w:p>
      <w:pPr>
        <w:spacing w:after="0" w:line="171"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On September 21, 2016, the Company entered into a Stock Purchase Agreement (the “Purchase Agreement”), by and among Inseego and Novatel Wireless, on the one hand, and T.C.L. Industries Holdings (H.K.) Limited and Jade Ocean Global Limited (collectively, the “Purchasers”), on the other hand. The Purchase Agreement related to the proposed sale of the Company’s subsidiary, Novatel Wireless, which included the Company’s MiFi branded hotspots and USB modem product lines (the “MiFi Business”), to the Purchasers for $50.0 million in cash, subject to potential adjustment for Novatel Wireless’s working capital as of the closing date.</w:t>
      </w:r>
    </w:p>
    <w:p>
      <w:pPr>
        <w:spacing w:after="0" w:line="269" w:lineRule="exact"/>
        <w:rPr>
          <w:sz w:val="20"/>
          <w:szCs w:val="20"/>
          <w:color w:val="auto"/>
        </w:rPr>
      </w:pPr>
    </w:p>
    <w:p>
      <w:pPr>
        <w:ind w:right="80" w:firstLine="392"/>
        <w:spacing w:after="0" w:line="293" w:lineRule="auto"/>
        <w:rPr>
          <w:sz w:val="20"/>
          <w:szCs w:val="20"/>
          <w:color w:val="auto"/>
        </w:rPr>
      </w:pPr>
      <w:r>
        <w:rPr>
          <w:rFonts w:ascii="Arial" w:cs="Arial" w:eastAsia="Arial" w:hAnsi="Arial"/>
          <w:sz w:val="16"/>
          <w:szCs w:val="16"/>
          <w:color w:val="auto"/>
        </w:rPr>
        <w:t>In June 2017, the Company terminated the Purchase Agreement due to delays and uncertainty in securing approval of the transactions contemplated by the Purchase Agreement from CFIUS and announced key leadership changes and a Company-wide restructuring designed to improve execution, enhance financial performance and drive profitable growth as the Company worked to create sustainable long-term value for shareholders. As part of the restructuring plan, among other actions, the Company implemented cost reduction measures which included a series of targeted reductions across its businesses and geographies, and rationalization of its businesses. As a result of the termination of the transaction described above and the institution of certain restructuring initiatives, the Company retained its ownership interest in Novatel Wireless and the MiFi Business.</w:t>
      </w:r>
    </w:p>
    <w:p>
      <w:pPr>
        <w:spacing w:after="0" w:line="273" w:lineRule="exact"/>
        <w:rPr>
          <w:sz w:val="20"/>
          <w:szCs w:val="20"/>
          <w:color w:val="auto"/>
        </w:rPr>
      </w:pPr>
    </w:p>
    <w:p>
      <w:pPr>
        <w:ind w:right="500" w:firstLine="392"/>
        <w:spacing w:after="0" w:line="277" w:lineRule="auto"/>
        <w:rPr>
          <w:sz w:val="20"/>
          <w:szCs w:val="20"/>
          <w:color w:val="auto"/>
        </w:rPr>
      </w:pPr>
      <w:r>
        <w:rPr>
          <w:rFonts w:ascii="Arial" w:cs="Arial" w:eastAsia="Arial" w:hAnsi="Arial"/>
          <w:sz w:val="18"/>
          <w:szCs w:val="18"/>
          <w:color w:val="auto"/>
        </w:rPr>
        <w:t>One of the many benefits associated with the retention of the MiFi Business is the retention of know-how and intellectual property essential to the development of advanced wireless technologies, such as the newly emerging 5G NR standard.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 acquired certain short-term investments in trading securities through its acquisition of Ctrack. The Company recognized a gain of approximately $0.2 million and $0.1 million on such securities during the years ended December 31, 2016 and 2015, respectively, which is included in other income (expense), net, in the consolidated statements of operations. The Company did not have short-term investments during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5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r>
      <w:tr>
        <w:trPr>
          <w:trHeight w:val="23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5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14,331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19,277</w:t>
            </w: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6,072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11,865</w:t>
            </w:r>
          </w:p>
        </w:tc>
      </w:tr>
      <w:tr>
        <w:trPr>
          <w:trHeight w:val="33"/>
        </w:trPr>
        <w:tc>
          <w:tcPr>
            <w:tcW w:w="380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380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20,403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31,142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800" w:type="dxa"/>
            <w:vAlign w:val="bottom"/>
          </w:tcPr>
          <w:p>
            <w:pPr>
              <w:spacing w:after="0"/>
              <w:rPr>
                <w:sz w:val="24"/>
                <w:szCs w:val="24"/>
                <w:color w:val="auto"/>
              </w:rPr>
            </w:pPr>
          </w:p>
        </w:tc>
        <w:tc>
          <w:tcPr>
            <w:tcW w:w="5300" w:type="dxa"/>
            <w:vAlign w:val="bottom"/>
            <w:gridSpan w:val="2"/>
          </w:tcPr>
          <w:p>
            <w:pPr>
              <w:jc w:val="right"/>
              <w:ind w:right="3220"/>
              <w:spacing w:after="0"/>
              <w:rPr>
                <w:sz w:val="20"/>
                <w:szCs w:val="20"/>
                <w:color w:val="auto"/>
              </w:rPr>
            </w:pPr>
            <w:r>
              <w:rPr>
                <w:rFonts w:ascii="Arial" w:cs="Arial" w:eastAsia="Arial" w:hAnsi="Arial"/>
                <w:sz w:val="18"/>
                <w:szCs w:val="18"/>
                <w:color w:val="auto"/>
              </w:rPr>
              <w:t>F-23</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Buildings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2,363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Test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23,115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Computer equipment and purchased software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4,373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tooling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915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243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35,129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33,424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Less—accumulated depreciation and amortization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(28,138)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(25,032)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8,392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December 31, 2017, the Company had vehicles and equipment under capital leases of $1.6 million, net of accumulated amortization of $1.5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2016, the Company had vehicles and equipment under capital leases of $1.8 million, net of accumulated amortization of $1.1 million.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assets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16,602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11,115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Less—accumulated depreciation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(4,112)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7,003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equipment under capital leases, and rental assets was $8.0 million, $7.8 million and $5.0 million for the years ended December 31, 2017, 2016 and 2015,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553"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5,315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Market development funds and price protection</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320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Bank overdrafts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489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1,823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1,656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Acquisition-related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13,186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7,912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Divestiture-related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4,578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3,813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27,897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29,520</w:t>
            </w:r>
          </w:p>
        </w:tc>
      </w:tr>
      <w:tr>
        <w:trPr>
          <w:trHeight w:val="257"/>
        </w:trPr>
        <w:tc>
          <w:tcPr>
            <w:tcW w:w="10160" w:type="dxa"/>
            <w:vAlign w:val="bottom"/>
            <w:gridSpan w:val="3"/>
          </w:tcPr>
          <w:p>
            <w:pPr>
              <w:ind w:left="280"/>
              <w:spacing w:after="0"/>
              <w:rPr>
                <w:sz w:val="20"/>
                <w:szCs w:val="20"/>
                <w:color w:val="auto"/>
              </w:rPr>
            </w:pPr>
            <w:r>
              <w:rPr>
                <w:rFonts w:ascii="Arial" w:cs="Arial" w:eastAsia="Arial" w:hAnsi="Arial"/>
                <w:sz w:val="16"/>
                <w:szCs w:val="16"/>
                <w:color w:val="auto"/>
              </w:rPr>
              <w:t>Ctrack adjustment</w:t>
            </w:r>
            <w:r>
              <w:rPr>
                <w:rFonts w:ascii="Arial" w:cs="Arial" w:eastAsia="Arial" w:hAnsi="Arial"/>
                <w:sz w:val="21"/>
                <w:szCs w:val="21"/>
                <w:color w:val="auto"/>
                <w:vertAlign w:val="superscript"/>
              </w:rPr>
              <w:t>(1)</w:t>
            </w:r>
          </w:p>
        </w:tc>
        <w:tc>
          <w:tcPr>
            <w:tcW w:w="38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1,236</w:t>
            </w:r>
          </w:p>
        </w:tc>
      </w:tr>
      <w:tr>
        <w:trPr>
          <w:trHeight w:val="237"/>
        </w:trPr>
        <w:tc>
          <w:tcPr>
            <w:tcW w:w="101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FW adjustment</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r>
      <w:tr>
        <w:trPr>
          <w:trHeight w:val="224"/>
        </w:trPr>
        <w:tc>
          <w:tcPr>
            <w:tcW w:w="10160" w:type="dxa"/>
            <w:vAlign w:val="bottom"/>
            <w:gridSpan w:val="3"/>
          </w:tcPr>
          <w:p>
            <w:pPr>
              <w:ind w:left="280"/>
              <w:spacing w:after="0"/>
              <w:rPr>
                <w:sz w:val="20"/>
                <w:szCs w:val="20"/>
                <w:color w:val="auto"/>
              </w:rPr>
            </w:pPr>
            <w:r>
              <w:rPr>
                <w:rFonts w:ascii="Arial" w:cs="Arial" w:eastAsia="Arial" w:hAnsi="Arial"/>
                <w:sz w:val="16"/>
                <w:szCs w:val="16"/>
                <w:color w:val="auto"/>
              </w:rPr>
              <w:t>Effect of change in foreign currency exchange rates</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3,477</w:t>
            </w:r>
          </w:p>
        </w:tc>
      </w:tr>
      <w:tr>
        <w:trPr>
          <w:trHeight w:val="33"/>
        </w:trPr>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34,428</w:t>
            </w:r>
          </w:p>
        </w:tc>
      </w:tr>
      <w:tr>
        <w:trPr>
          <w:trHeight w:val="224"/>
        </w:trPr>
        <w:tc>
          <w:tcPr>
            <w:tcW w:w="10160" w:type="dxa"/>
            <w:vAlign w:val="bottom"/>
            <w:gridSpan w:val="3"/>
          </w:tcPr>
          <w:p>
            <w:pPr>
              <w:ind w:left="280"/>
              <w:spacing w:after="0"/>
              <w:rPr>
                <w:sz w:val="20"/>
                <w:szCs w:val="20"/>
                <w:color w:val="auto"/>
              </w:rPr>
            </w:pPr>
            <w:r>
              <w:rPr>
                <w:rFonts w:ascii="Arial" w:cs="Arial" w:eastAsia="Arial" w:hAnsi="Arial"/>
                <w:sz w:val="16"/>
                <w:szCs w:val="16"/>
                <w:color w:val="auto"/>
              </w:rPr>
              <w:t>Effect of change in foreign currency exchange rates</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3,253</w:t>
            </w:r>
          </w:p>
        </w:tc>
      </w:tr>
      <w:tr>
        <w:trPr>
          <w:trHeight w:val="33"/>
        </w:trPr>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37,681</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260" w:right="120" w:hanging="252"/>
        <w:spacing w:after="0" w:line="233" w:lineRule="auto"/>
        <w:tabs>
          <w:tab w:leader="none" w:pos="26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During the year ended December 31, 2016, the Company identified the need for an immaterial adjustment in the recording of net assets and goodwill in the accounting for the acquisition of Ctrack. As a result, the Company has recorded an adjustment during the year ended December 31, 2016 that increased goodwill and decreased accounts receivable. There was no change in reported cash flows in any period related to this adjustment.</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intangible assets are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Developed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8,800</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Trademarks and trade names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24,337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15,426</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8,628</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Capitalized software development costs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6,491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6040" w:type="dxa"/>
            <w:vAlign w:val="bottom"/>
          </w:tcPr>
          <w:p>
            <w:pPr>
              <w:ind w:left="500"/>
              <w:spacing w:after="0"/>
              <w:rPr>
                <w:sz w:val="20"/>
                <w:szCs w:val="20"/>
                <w:color w:val="auto"/>
              </w:rPr>
            </w:pPr>
            <w:r>
              <w:rPr>
                <w:rFonts w:ascii="Arial" w:cs="Arial" w:eastAsia="Arial" w:hAnsi="Arial"/>
                <w:sz w:val="16"/>
                <w:szCs w:val="16"/>
                <w:color w:val="auto"/>
              </w:rPr>
              <w:t>Total finite-lived intangible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63,352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(25,473)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37,879</w:t>
            </w:r>
          </w:p>
        </w:tc>
        <w:tc>
          <w:tcPr>
            <w:tcW w:w="0" w:type="dxa"/>
            <w:vAlign w:val="bottom"/>
          </w:tcPr>
          <w:p>
            <w:pPr>
              <w:spacing w:after="0"/>
              <w:rPr>
                <w:sz w:val="1"/>
                <w:szCs w:val="1"/>
                <w:color w:val="auto"/>
              </w:rPr>
            </w:pPr>
          </w:p>
        </w:tc>
      </w:tr>
      <w:tr>
        <w:trPr>
          <w:trHeight w:val="73"/>
        </w:trPr>
        <w:tc>
          <w:tcPr>
            <w:tcW w:w="604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0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In-process capitalized software development costs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47"/>
        </w:trPr>
        <w:tc>
          <w:tcPr>
            <w:tcW w:w="60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38,671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553" w:right="23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Developed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17,247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10,205</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Trademarks and trade names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23,043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16,138</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10,053</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Capitalized software development costs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3,068</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7"/>
        </w:trPr>
        <w:tc>
          <w:tcPr>
            <w:tcW w:w="6040" w:type="dxa"/>
            <w:vAlign w:val="bottom"/>
          </w:tcPr>
          <w:p>
            <w:pPr>
              <w:ind w:left="500"/>
              <w:spacing w:after="0"/>
              <w:rPr>
                <w:sz w:val="20"/>
                <w:szCs w:val="20"/>
                <w:color w:val="auto"/>
              </w:rPr>
            </w:pPr>
            <w:r>
              <w:rPr>
                <w:rFonts w:ascii="Arial" w:cs="Arial" w:eastAsia="Arial" w:hAnsi="Arial"/>
                <w:sz w:val="16"/>
                <w:szCs w:val="16"/>
                <w:color w:val="auto"/>
              </w:rPr>
              <w:t>Total finite-lived intangible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57,743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39,747</w:t>
            </w:r>
          </w:p>
        </w:tc>
        <w:tc>
          <w:tcPr>
            <w:tcW w:w="0" w:type="dxa"/>
            <w:vAlign w:val="bottom"/>
          </w:tcPr>
          <w:p>
            <w:pPr>
              <w:spacing w:after="0"/>
              <w:rPr>
                <w:sz w:val="1"/>
                <w:szCs w:val="1"/>
                <w:color w:val="auto"/>
              </w:rPr>
            </w:pPr>
          </w:p>
        </w:tc>
      </w:tr>
      <w:tr>
        <w:trPr>
          <w:trHeight w:val="73"/>
        </w:trPr>
        <w:tc>
          <w:tcPr>
            <w:tcW w:w="604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0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In-process capitalized software development costs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47"/>
        </w:trPr>
        <w:tc>
          <w:tcPr>
            <w:tcW w:w="60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40,283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year ended December 31, 2016, in-process research and development acquired in connection with the FW acquisition was completed and reclassified to developed technologies where it is being amortized over its estimated useful life.</w:t>
      </w:r>
    </w:p>
    <w:p>
      <w:pPr>
        <w:spacing w:after="0" w:line="2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Amortization expense for the years ended December 31, 2017, 2016 and 2015 was approximately $6.3 million, $6.2 million and $3.3 million, respectively, including approximately $0.9 million, $0.3 million and $25,000 related to capitalized software development costs for the years ended December 31, 2017, 2016 and 2015, respectively.</w:t>
      </w:r>
    </w:p>
    <w:p>
      <w:pPr>
        <w:spacing w:after="0" w:line="28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During the year ended December 31, 2017, the Company recorded an impairment loss on intangible assets of approximately $0.4 million, which is included in other income (expense), net, in the consolidated statements of operations. During the year ended December 31, 2016, the Company recorded an impairment loss on intangible assets of approximately $2.7 million, which is included in impairment of purchased intangibles and other income (expense), net, in the consolidated statements of operations.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represents details of the amortization of finite-lived intangible assets that is estimated to be expensed in the future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7,281</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2019</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7,274</w:t>
            </w:r>
          </w:p>
        </w:tc>
      </w:tr>
      <w:tr>
        <w:trPr>
          <w:trHeight w:val="33"/>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7,044</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2021</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5,759</w:t>
            </w:r>
          </w:p>
        </w:tc>
      </w:tr>
      <w:tr>
        <w:trPr>
          <w:trHeight w:val="33"/>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3,301</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7,220</w:t>
            </w:r>
          </w:p>
        </w:tc>
      </w:tr>
      <w:tr>
        <w:trPr>
          <w:trHeight w:val="33"/>
        </w:trPr>
        <w:tc>
          <w:tcPr>
            <w:tcW w:w="10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37,879</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0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ectPr>
          <w:pgSz w:w="11900" w:h="16838" w:orient="portrait"/>
          <w:cols w:equalWidth="0" w:num="1">
            <w:col w:w="11400"/>
          </w:cols>
          <w:pgMar w:left="240" w:top="553"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00"/>
          </w:cols>
          <w:pgMar w:left="240" w:top="553" w:right="25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1060" w:right="26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221"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year ended December 31, 2017.</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financial instruments measured at fair value on a recurring basis as of December 31, 2017.</w:t>
      </w:r>
    </w:p>
    <w:p>
      <w:pPr>
        <w:spacing w:after="0" w:line="17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2016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and 2016, the Company had no outstanding foreign currency exchange forward contracts.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years ended December 31, 2017 and 2015, the Company recorded net foreign currency transaction gains of approximately $0.2 million and $1.1 million, net of the non-cash change in acquisition-related escrow, respectively, primarily related to outstanding intercompany loans that Ctrack has with certain of its subsidiaries, which are remeasured at each reporting period and payable upon demand. During the year ended December 31, 2016, the Company recorded net foreign currency transaction losses of approximately $3.6 million, primarily related to outstanding intercompany loans that Ctrack has with certain of its subsidiaries.</w:t>
      </w:r>
    </w:p>
    <w:p>
      <w:pPr>
        <w:spacing w:after="0" w:line="80" w:lineRule="exact"/>
        <w:rPr>
          <w:sz w:val="20"/>
          <w:szCs w:val="20"/>
          <w:color w:val="auto"/>
        </w:rPr>
      </w:pPr>
    </w:p>
    <w:p>
      <w:pPr>
        <w:ind w:right="20" w:firstLine="432"/>
        <w:spacing w:after="0" w:line="438" w:lineRule="auto"/>
        <w:rPr>
          <w:sz w:val="20"/>
          <w:szCs w:val="20"/>
          <w:color w:val="auto"/>
        </w:rPr>
      </w:pPr>
      <w:r>
        <w:rPr>
          <w:rFonts w:ascii="Arial" w:cs="Arial" w:eastAsia="Arial" w:hAnsi="Arial"/>
          <w:sz w:val="18"/>
          <w:szCs w:val="18"/>
          <w:color w:val="auto"/>
        </w:rPr>
        <w:t xml:space="preserve">All recorded gains and losses on foreign currency transactions are recorded in other income (expense), net, in the consolidated statements of operations. </w:t>
      </w:r>
      <w:r>
        <w:rPr>
          <w:rFonts w:ascii="Arial" w:cs="Arial" w:eastAsia="Arial" w:hAnsi="Arial"/>
          <w:sz w:val="18"/>
          <w:szCs w:val="18"/>
          <w:b w:val="1"/>
          <w:bCs w:val="1"/>
          <w:i w:val="1"/>
          <w:iCs w:val="1"/>
          <w:color w:val="auto"/>
        </w:rPr>
        <w:t>Other Financial Instruments</w:t>
      </w:r>
    </w:p>
    <w:p>
      <w:pPr>
        <w:spacing w:after="0" w:line="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6, </w:t>
      </w:r>
      <w:r>
        <w:rPr>
          <w:rFonts w:ascii="Arial" w:cs="Arial" w:eastAsia="Arial" w:hAnsi="Arial"/>
          <w:sz w:val="18"/>
          <w:szCs w:val="18"/>
          <w:i w:val="1"/>
          <w:iCs w:val="1"/>
          <w:color w:val="auto"/>
        </w:rPr>
        <w:t>Debt</w:t>
      </w:r>
      <w:r>
        <w:rPr>
          <w:rFonts w:ascii="Arial" w:cs="Arial" w:eastAsia="Arial" w:hAnsi="Arial"/>
          <w:sz w:val="18"/>
          <w:szCs w:val="18"/>
          <w:color w:val="auto"/>
        </w:rPr>
        <w:t>). The Company carries its Convertible Notes at amortized cost. The debt and equity components of the Convertible Notes were measured using Level 3 inputs and are not measured on a recurring basis. The fair value of the liability component of the Convertible Notes, which approximates the carrying value of such notes, was $84.8 million and $90.9 million as of December 31, 2017 and 2016,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Borrowings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DigiCore has a secured banking facility with Absa Bank Limited in South Africa (“Absa”), which had a maximum borrowing capacity of $1.9 million at December 31, 2017. The facility bears interest at the South Africa prime interest rate less 0.10% (10.15% at December 31, 2017) and is subject to renewal annually in April. At December 31, 2017 and 2016, $1.9 million and $1.7 million, respectively, was outstanding under this facility.</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553" w:right="25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DigiCore has a secured overdraft facility with Grindrod Bank Limited in South Africa, which had a maximum borrowing capacity of $1.2 million at December 31, 2017. The facility bears interest at the South Africa prime interest rate plus 1.00% (11.25% at December 31, 2017), requires monthly interest and, in certain instances, minimum principal payments. The facility is subject to renewal annually in September. At December 31, 2017 and 2016, $1.1 million and $1.5 million, respectively, was outstanding under this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Credit Agreement</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October 31, 2014, the Company and one of its subsidiaries entered into a five-year senior secured revolving credit facility in the amount of $25.0 million (the “Revolver”) with Wells Fargo Bank, NA, as lender. Concurrently with the acquisition of FW, the Company amended the Revolver to include FW as a borrower and Loan Party, as defined by the agreement. On November 17, 2015, the Revolver was amended to increase the maximum borrowing capacity to $48.0 million. On March 20, 2017, at the Company’s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233"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Company terminated the Revolver on May 8, 2017, in connection with the execution of a credit agreement between the Company and Lakestar Semi Inc., a private investment fund managed by Soros Fund Management LLC, dated as of May 8, 2017 (the “Prior Credit Agreement”). The Prior Credit Agreement provided for a $20.0 million secured term loan with a maturity date of May 8, 2018. In conjunction with the closing of the Prior Credit Agreement, the Company received proceeds of $18.0 million, net of a $2.0 million debt discount, and paid issuance costs of approximately $0.4 million.</w:t>
      </w:r>
    </w:p>
    <w:p>
      <w:pPr>
        <w:spacing w:after="0" w:line="20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August 23, 2017, upon entering into the Credit Agreement described below, the Company used a portion of the proceeds of the new Term Loan (as defined below) to repay all outstanding amounts under and terminate the Prior Credit Agreement. In connection with the termination of the Prior Credit Agreement, the Company recognized a loss on extinguishment of debt of approximately $1.7 million, which is included in other income (expense), net, in the consolidated statements of operations. There was no early termination fee paid in connection with the termination of the Prior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52"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On August 23, 2017, the Company and certain of its direct and indirect subsidiaries (the “Guarantors”) entered into a credit agreement (the “Credit Agreement”) with Cantor Fitzgerald Securities, as administrative agent and collateral agent (the “Agent”), and certain funds managed by Highbridge Capital Management, LLC, as lenders (the “Lenders”). Pursuant to the Credit Agreement, the Lenders provided the Company with a term loan in the principal amount of $48.0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 $14.9 million of its outstanding Inseego Notes (as defined below)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27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 The Company was in compliance with all customary reporting and financial covenants at December 31, 2017.</w:t>
      </w:r>
    </w:p>
    <w:p>
      <w:pPr>
        <w:spacing w:after="0" w:line="280"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553" w:right="29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consisted of the following at December 31, 2017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48,000</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Less: unamortized debt discount and debt issuance costs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(3,945)</w:t>
            </w:r>
          </w:p>
        </w:tc>
      </w:tr>
      <w:tr>
        <w:trPr>
          <w:trHeight w:val="33"/>
        </w:trPr>
        <w:tc>
          <w:tcPr>
            <w:tcW w:w="10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44,055</w:t>
            </w:r>
          </w:p>
        </w:tc>
      </w:tr>
      <w:tr>
        <w:trPr>
          <w:trHeight w:val="20"/>
        </w:trPr>
        <w:tc>
          <w:tcPr>
            <w:tcW w:w="10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The effective interest rate on the Term Loan was 12.73% for the period from the date of issuance through December 31, 2017. The following table sets forth total interest expense recognized related to the Term Loan during the year ended December 31, 2017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1,511</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4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33"/>
        </w:trPr>
        <w:tc>
          <w:tcPr>
            <w:tcW w:w="10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44"/>
        </w:trPr>
        <w:tc>
          <w:tcPr>
            <w:tcW w:w="1018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2,040</w:t>
            </w:r>
          </w:p>
        </w:tc>
      </w:tr>
      <w:tr>
        <w:trPr>
          <w:trHeight w:val="20"/>
        </w:trPr>
        <w:tc>
          <w:tcPr>
            <w:tcW w:w="10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198"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 June 10, 2015, Novatel Wireless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3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Novatel Wireless Notes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301"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Following the settlement of the exchange offer and consent solicitation described below, approximately $0.2 million aggregate principal amount of Novatel Wireless Notes remain outstanding. In connection with the exchange offer and consent solicitation, the Novatel Wireless Notes and its related indenture were amended to, among other things, eliminate certain events of default and substantially all of the restrictive covenants in the Novatel Wireless Notes and its related indenture, including the merger covenant, which sets forth certain requirements that must be met for Novatel Wireless to consolidate, merge or sell all or substantially all of its assets, and the reporting covenant, which requires Novatel Wireless to provide certain periodic reports to noteholders. The Novatel Wireless Notes’ related indenture, as amended, also provides that the form of settlement of any conversions of the Novatel Wireless Notes will be elected by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of 5.50% convertible senior notes due 2022 (the “Inseego Notes” and collectively with Novatel Wireless Notes, the “Convertible Notes”). The Inseego Notes were issued in exchange for the approximately $119.8 million aggregate principal amount of outstanding Novatel Wireless Notes that were validly tendered and accepted for exchange and subsequently canceled.</w:t>
      </w:r>
    </w:p>
    <w:p>
      <w:pPr>
        <w:spacing w:after="0" w:line="28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Inseego Notes are governed by the terms of an indenture, dated January 9, 2017 (the “Inseego Indenture”), between the Company, as issuer, and Wilmington Trust, National Association, as trustee (the “Trustee”). The Inseego Notes are senior unsecured obligations of the Company and bear interest from, and including, December 15, 2016, at a rate of 5.50% per year, payable semi-annually in arrears on June 15 and December 15 of each year, beginning on June 15, 2017. The Inseego Notes permit the Company to have a senior credit facility up to a maximum amount of $48.0 million. The Inseego Notes will mature on June 15, 2022, unless earlier converted, redeemed or repurchased.</w:t>
      </w:r>
    </w:p>
    <w:p>
      <w:pPr>
        <w:spacing w:after="0" w:line="29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Inseego Notes will be convertible into cash, shares of the Company’s common stock, or a combination thereof, at the election of the Company, at an initial conversion rate of 212.7660 shares of common stock per $1,000 principal amount of the</w:t>
      </w:r>
    </w:p>
    <w:p>
      <w:pPr>
        <w:sectPr>
          <w:pgSz w:w="11900" w:h="16838" w:orient="portrait"/>
          <w:cols w:equalWidth="0" w:num="1">
            <w:col w:w="11420"/>
          </w:cols>
          <w:pgMar w:left="240" w:top="55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553" w:right="239" w:bottom="1440" w:gutter="0" w:footer="0" w:header="0"/>
          <w:type w:val="continuous"/>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Inseego Notes, which corresponds to an initial conversion price of $4.70 per share of the Company’s common stock. The conversion rate is subject to adjustment from time to time upon the occurrence of certain events, including, but not limited to, the issuance of stock dividends and payment of cash dividends.</w:t>
      </w:r>
    </w:p>
    <w:p>
      <w:pPr>
        <w:spacing w:after="0" w:line="28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At any time prior to the close of business on the business day immediately preceding December 15, 2021, holders may convert their Inseego Notes at their option only under the following circumstances:</w:t>
      </w:r>
    </w:p>
    <w:p>
      <w:pPr>
        <w:spacing w:after="0" w:line="224" w:lineRule="exact"/>
        <w:rPr>
          <w:sz w:val="20"/>
          <w:szCs w:val="20"/>
          <w:color w:val="auto"/>
        </w:rPr>
      </w:pPr>
    </w:p>
    <w:p>
      <w:pPr>
        <w:ind w:left="580" w:right="80" w:hanging="329"/>
        <w:spacing w:after="0" w:line="26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equals or exceeds 130% of the conversion price on such trading day;</w:t>
      </w:r>
    </w:p>
    <w:p>
      <w:pPr>
        <w:spacing w:after="0" w:line="181" w:lineRule="exact"/>
        <w:rPr>
          <w:rFonts w:ascii="Arial" w:cs="Arial" w:eastAsia="Arial" w:hAnsi="Arial"/>
          <w:sz w:val="18"/>
          <w:szCs w:val="18"/>
          <w:color w:val="auto"/>
        </w:rPr>
      </w:pPr>
    </w:p>
    <w:p>
      <w:pPr>
        <w:jc w:val="both"/>
        <w:ind w:left="580" w:right="160" w:hanging="329"/>
        <w:spacing w:after="0" w:line="286"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after any five consecutive trading day period (the “Measurement Period”) in which the trading price per $1,000 principal amount of the Inseego Notes for each trading day of the Measurement Period was less than 98% of the product of the last reported sale price per share of the Company’s common stock and the conversion rate on each such trading day;</w:t>
      </w:r>
    </w:p>
    <w:p>
      <w:pPr>
        <w:spacing w:after="0" w:line="165" w:lineRule="exact"/>
        <w:rPr>
          <w:rFonts w:ascii="Arial" w:cs="Arial" w:eastAsia="Arial" w:hAnsi="Arial"/>
          <w:sz w:val="17"/>
          <w:szCs w:val="17"/>
          <w:color w:val="auto"/>
        </w:rPr>
      </w:pPr>
    </w:p>
    <w:p>
      <w:pPr>
        <w:ind w:left="580" w:hanging="329"/>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occurrence of certain corporate events specified in the Inseego Indenture; or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Company has called the Inseego Notes for redemption.</w:t>
      </w:r>
    </w:p>
    <w:p>
      <w:pPr>
        <w:spacing w:after="0" w:line="27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On or after December 15, 2021, the holders may convert any of their Inseego Notes at any time prior to the close of business on the business day immediately preceding the maturity date.</w:t>
      </w:r>
    </w:p>
    <w:p>
      <w:pPr>
        <w:spacing w:after="0" w:line="279"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The Company may redeem all or a portion of the Inseego Notes at its option on or after June 15, 2018 if the last reported sale price per share of the Company’s common stock equals or exceeds 140% of the conversion price for each of at 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Inseego Notes to be redeemed, plus any accrued and unpaid interest on such Inseego Notes, subject to the right of holders as of the close of business on an interest record date to receive the related interest. In addition, if the Company calls the Inseego Notes for redemption, a “make-whole fundamental change” (as defined in the Inseego Indenture) will be deemed to occur. As a result, the Company will, in certain circumstances, increase the conversion rate for holders who convert their Inseego Notes in connection with such redemption.</w:t>
      </w:r>
    </w:p>
    <w:p>
      <w:pPr>
        <w:spacing w:after="0" w:line="2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 subject to the right of holders of the Inseego Notes on a record date to receive interest through the corresponding interest payment date.</w:t>
      </w:r>
    </w:p>
    <w:p>
      <w:pPr>
        <w:spacing w:after="0" w:line="29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No “sinking fund” is provided for the Inseego Notes, which means that the Company is not required to periodically redeem or retire the Inseego Notes.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 record date to receive the related interest. In addition, every fundamental change is a make-whole fundamental change. As a result, the Company will, in certain circumstances, increase the conversion rate for holders who convert their Inseego Notes in connection with such fundamental change.</w:t>
      </w:r>
    </w:p>
    <w:p>
      <w:pPr>
        <w:spacing w:after="0" w:line="286" w:lineRule="exact"/>
        <w:rPr>
          <w:sz w:val="20"/>
          <w:szCs w:val="20"/>
          <w:color w:val="auto"/>
        </w:rPr>
      </w:pPr>
    </w:p>
    <w:p>
      <w:pPr>
        <w:ind w:right="480" w:firstLine="392"/>
        <w:spacing w:after="0" w:line="264" w:lineRule="auto"/>
        <w:rPr>
          <w:sz w:val="20"/>
          <w:szCs w:val="20"/>
          <w:color w:val="auto"/>
        </w:rPr>
      </w:pPr>
      <w:r>
        <w:rPr>
          <w:rFonts w:ascii="Arial" w:cs="Arial" w:eastAsia="Arial" w:hAnsi="Arial"/>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 The Company was in compliance with such covenants at December 31, 2017.</w:t>
      </w:r>
    </w:p>
    <w:p>
      <w:pPr>
        <w:spacing w:after="0" w:line="28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Inseego Indenture also provides for customary events of default. If an event of default (other than certain events of bankruptcy, insolvency or reorganization involving the Company) occurs and is continuing, the Trustee, by notice to the Company, or the holders of at least 25% in principal amount of the outstanding Inseego Notes, by notice to the Company and the Trustee, may declare the principal and accrued and unpaid interest on the outstanding Inseego Notes to be immediately due and payable. Upon the occurrence of certain events of bankruptcy, insolvency or reorganization involving the Company, 100% of the principal and accrued and unpaid interest of the Inseego Notes will automatically become immediately due and payable.</w:t>
      </w:r>
    </w:p>
    <w:p>
      <w:pPr>
        <w:sectPr>
          <w:pgSz w:w="11900" w:h="16838" w:orient="portrait"/>
          <w:cols w:equalWidth="0" w:num="1">
            <w:col w:w="11380"/>
          </w:cols>
          <w:pgMar w:left="240" w:top="553" w:right="279" w:bottom="1440"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380"/>
          </w:cols>
          <w:pgMar w:left="240" w:top="553" w:right="27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Notwithstanding the foregoing, the Inseego Indenture provides that, to the extent the Company elects and for up to 60 days, the sole remedy for an event of default relating to certain failures by the Company to comply with certain reporting covenants consists exclusively of the right to receive special interest on the Inseego Notes at a rate equal to 0.50% per annum on the principal amount of the outstanding Inseego Notes.</w:t>
      </w:r>
    </w:p>
    <w:p>
      <w:pPr>
        <w:spacing w:after="0" w:line="27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220" w:firstLine="392"/>
        <w:spacing w:after="0" w:line="276" w:lineRule="auto"/>
        <w:rPr>
          <w:sz w:val="20"/>
          <w:szCs w:val="20"/>
          <w:color w:val="auto"/>
        </w:rPr>
      </w:pPr>
      <w:r>
        <w:rPr>
          <w:rFonts w:ascii="Arial" w:cs="Arial" w:eastAsia="Arial" w:hAnsi="Arial"/>
          <w:sz w:val="17"/>
          <w:szCs w:val="17"/>
          <w:color w:val="auto"/>
        </w:rPr>
        <w:t>On August 23, 2017, in connection with the Credit Agreement described above, the Company and certain of the Lenders entered into a Note Purchase Agreement (the “Note Purchase Agreement”) pursuant to which the Company repurchased approximately $14.9 million of outstanding Inseego Notes from such Lenders in exchange for $11.9 million deemed to have been loaned to the Company pursuant to the Credit Agreement and the accrued and unpaid interest on such notes. In connection with the repurchase of such notes, the Company recognized a loss on extinguishment of debt of approximately $0.3 million, which is included in other income (expense), net, in the consolidated statements of operations.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3"/>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105,125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120,000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Less: unamortized debt discount and debt issuance costs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(20,352)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(29,092)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84,773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90,908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41,905</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38,305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connection with the issuance of the Convertible Notes, the Company incurred approximately $3.9 million of issuance costs, which primarily consisted of underwriting, legal and other professional fees, and allocated the costs to the liability and equity components based on the allocation of the proceeds. Of the approximately $3.9 million of issuance costs, approximately $1.3 million were allocated to the equity component and recorded as a reduction to additional paid-in capital and $2.6 million were allocated to the liability component and recorded as a decrease to the carrying amount of the liability component on the consolidated balance sheet. The portion allocated to the liability component is being amortized to interest expense using the effective interest method through June 2020.</w:t>
      </w:r>
    </w:p>
    <w:p>
      <w:pPr>
        <w:spacing w:after="0" w:line="193"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effective interest rate on the liability component of the Convertible Notes was 18.11% for the year ended December 31, 2017. The following table sets forth total interest expense recognized related to the Convertible Notes during the years ended December 31, 2017 and 2016 (in thousands):</w:t>
      </w:r>
    </w:p>
    <w:p>
      <w:pPr>
        <w:spacing w:after="0" w:line="6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r>
      <w:tr>
        <w:trPr>
          <w:trHeight w:val="23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6,600</w:t>
            </w:r>
          </w:p>
        </w:tc>
      </w:tr>
      <w:tr>
        <w:trPr>
          <w:trHeight w:val="237"/>
        </w:trPr>
        <w:tc>
          <w:tcPr>
            <w:tcW w:w="878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8,542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7,920</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527</w:t>
            </w:r>
          </w:p>
        </w:tc>
      </w:tr>
      <w:tr>
        <w:trPr>
          <w:trHeight w:val="244"/>
        </w:trPr>
        <w:tc>
          <w:tcPr>
            <w:tcW w:w="878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15,354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15,047</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553"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Mortgage Bond</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DigiCore has a mortgage bond with Absa that is secured by certain property of DigiCore. The mortgage bond has a ten year term, expiring in December 2018, and bears interest at the South Africa prime rate minus 1.75% (8.50% at December 31, 2017). At December 31, 2017 and 2016, $0.3 million and $0.6 million, respectively, remained outstanding under the mortgage bond.</w:t>
      </w:r>
    </w:p>
    <w:p>
      <w:pPr>
        <w:spacing w:after="0" w:line="23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At December 31, 2017, the minimum calendar year principal payments and maturities of long-term debt were as follows, assuming no repurchases or conversions of the Novatel Wireless Notes prior to June 15, 2020, the maturity date, or the Inseego Notes prior to June 15, 2022, the maturity date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60" w:type="dxa"/>
            <w:vAlign w:val="bottom"/>
            <w:tcBorders>
              <w:bottom w:val="single" w:sz="8" w:color="CCEEFF"/>
            </w:tcBorders>
            <w:shd w:val="clear" w:color="auto" w:fill="CCEEFF"/>
          </w:tcPr>
          <w:p>
            <w:pPr>
              <w:jc w:val="right"/>
              <w:ind w:right="9719"/>
              <w:spacing w:after="0"/>
              <w:rPr>
                <w:sz w:val="20"/>
                <w:szCs w:val="20"/>
                <w:color w:val="auto"/>
              </w:rPr>
            </w:pPr>
            <w:r>
              <w:rPr>
                <w:rFonts w:ascii="Arial" w:cs="Arial" w:eastAsia="Arial" w:hAnsi="Arial"/>
                <w:sz w:val="16"/>
                <w:szCs w:val="16"/>
                <w:color w:val="auto"/>
                <w:w w:val="95"/>
              </w:rPr>
              <w:t>2018</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r>
      <w:tr>
        <w:trPr>
          <w:trHeight w:val="224"/>
        </w:trPr>
        <w:tc>
          <w:tcPr>
            <w:tcW w:w="10160" w:type="dxa"/>
            <w:vAlign w:val="bottom"/>
          </w:tcPr>
          <w:p>
            <w:pPr>
              <w:jc w:val="right"/>
              <w:ind w:right="9719"/>
              <w:spacing w:after="0"/>
              <w:rPr>
                <w:sz w:val="20"/>
                <w:szCs w:val="20"/>
                <w:color w:val="auto"/>
              </w:rPr>
            </w:pPr>
            <w:r>
              <w:rPr>
                <w:rFonts w:ascii="Arial" w:cs="Arial" w:eastAsia="Arial" w:hAnsi="Arial"/>
                <w:sz w:val="16"/>
                <w:szCs w:val="16"/>
                <w:color w:val="auto"/>
                <w:w w:val="95"/>
              </w:rPr>
              <w:t>2019</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jc w:val="right"/>
              <w:ind w:right="9719"/>
              <w:spacing w:after="0"/>
              <w:rPr>
                <w:sz w:val="20"/>
                <w:szCs w:val="20"/>
                <w:color w:val="auto"/>
              </w:rPr>
            </w:pPr>
            <w:r>
              <w:rPr>
                <w:rFonts w:ascii="Arial" w:cs="Arial" w:eastAsia="Arial" w:hAnsi="Arial"/>
                <w:sz w:val="16"/>
                <w:szCs w:val="16"/>
                <w:color w:val="auto"/>
                <w:w w:val="95"/>
              </w:rPr>
              <w:t>2020</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48,250</w:t>
            </w:r>
          </w:p>
        </w:tc>
      </w:tr>
      <w:tr>
        <w:trPr>
          <w:trHeight w:val="224"/>
        </w:trPr>
        <w:tc>
          <w:tcPr>
            <w:tcW w:w="10160" w:type="dxa"/>
            <w:vAlign w:val="bottom"/>
          </w:tcPr>
          <w:p>
            <w:pPr>
              <w:jc w:val="right"/>
              <w:ind w:right="9719"/>
              <w:spacing w:after="0"/>
              <w:rPr>
                <w:sz w:val="20"/>
                <w:szCs w:val="20"/>
                <w:color w:val="auto"/>
              </w:rPr>
            </w:pPr>
            <w:r>
              <w:rPr>
                <w:rFonts w:ascii="Arial" w:cs="Arial" w:eastAsia="Arial" w:hAnsi="Arial"/>
                <w:sz w:val="16"/>
                <w:szCs w:val="16"/>
                <w:color w:val="auto"/>
                <w:w w:val="95"/>
              </w:rPr>
              <w:t>2021</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jc w:val="right"/>
              <w:ind w:right="9719"/>
              <w:spacing w:after="0"/>
              <w:rPr>
                <w:sz w:val="20"/>
                <w:szCs w:val="20"/>
                <w:color w:val="auto"/>
              </w:rPr>
            </w:pPr>
            <w:r>
              <w:rPr>
                <w:rFonts w:ascii="Arial" w:cs="Arial" w:eastAsia="Arial" w:hAnsi="Arial"/>
                <w:sz w:val="16"/>
                <w:szCs w:val="16"/>
                <w:color w:val="auto"/>
                <w:w w:val="95"/>
              </w:rPr>
              <w:t>2022</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104,875</w:t>
            </w:r>
          </w:p>
        </w:tc>
      </w:tr>
      <w:tr>
        <w:trPr>
          <w:trHeight w:val="217"/>
        </w:trPr>
        <w:tc>
          <w:tcPr>
            <w:tcW w:w="10160" w:type="dxa"/>
            <w:vAlign w:val="bottom"/>
          </w:tcPr>
          <w:p>
            <w:pPr>
              <w:jc w:val="right"/>
              <w:ind w:right="9479"/>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153,463</w:t>
            </w:r>
          </w:p>
        </w:tc>
      </w:tr>
      <w:tr>
        <w:trPr>
          <w:trHeight w:val="33"/>
        </w:trPr>
        <w:tc>
          <w:tcPr>
            <w:tcW w:w="10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0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before income taxes for the years ended December 31, 2017, 2016 and 2015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3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(40,034)</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(48,965)</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Foreign</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(3,148)</w:t>
            </w:r>
          </w:p>
        </w:tc>
      </w:tr>
      <w:tr>
        <w:trPr>
          <w:trHeight w:val="33"/>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(45,626)</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(52,113)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for the years ended December 31, 2017, 2016 and 2015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r>
      <w:tr>
        <w:trPr>
          <w:trHeight w:val="263"/>
        </w:trPr>
        <w:tc>
          <w:tcPr>
            <w:tcW w:w="74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10"/>
        </w:trPr>
        <w:tc>
          <w:tcPr>
            <w:tcW w:w="7400" w:type="dxa"/>
            <w:vAlign w:val="bottom"/>
          </w:tcPr>
          <w:p>
            <w:pPr>
              <w:ind w:left="40"/>
              <w:spacing w:after="0"/>
              <w:rPr>
                <w:sz w:val="20"/>
                <w:szCs w:val="20"/>
                <w:color w:val="auto"/>
              </w:rPr>
            </w:pPr>
            <w:r>
              <w:rPr>
                <w:rFonts w:ascii="Arial" w:cs="Arial" w:eastAsia="Arial" w:hAnsi="Arial"/>
                <w:sz w:val="16"/>
                <w:szCs w:val="16"/>
                <w:color w:val="auto"/>
              </w:rPr>
              <w:t>Current:</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60"/>
        </w:trPr>
        <w:tc>
          <w:tcPr>
            <w:tcW w:w="7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82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48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400" w:type="dxa"/>
            <w:vAlign w:val="bottom"/>
          </w:tcPr>
          <w:p>
            <w:pPr>
              <w:ind w:left="280"/>
              <w:spacing w:after="0"/>
              <w:rPr>
                <w:sz w:val="20"/>
                <w:szCs w:val="20"/>
                <w:color w:val="auto"/>
              </w:rPr>
            </w:pPr>
            <w:r>
              <w:rPr>
                <w:rFonts w:ascii="Arial" w:cs="Arial" w:eastAsia="Arial" w:hAnsi="Arial"/>
                <w:sz w:val="16"/>
                <w:szCs w:val="16"/>
                <w:color w:val="auto"/>
              </w:rPr>
              <w:t>State</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r>
      <w:tr>
        <w:trPr>
          <w:trHeight w:val="217"/>
        </w:trPr>
        <w:tc>
          <w:tcPr>
            <w:tcW w:w="7400" w:type="dxa"/>
            <w:vAlign w:val="bottom"/>
          </w:tcPr>
          <w:p>
            <w:pPr>
              <w:ind w:left="40"/>
              <w:spacing w:after="0"/>
              <w:rPr>
                <w:sz w:val="20"/>
                <w:szCs w:val="20"/>
                <w:color w:val="auto"/>
              </w:rPr>
            </w:pPr>
            <w:r>
              <w:rPr>
                <w:rFonts w:ascii="Arial" w:cs="Arial" w:eastAsia="Arial" w:hAnsi="Arial"/>
                <w:sz w:val="16"/>
                <w:szCs w:val="16"/>
                <w:color w:val="auto"/>
              </w:rPr>
              <w:t>Total current</w:t>
            </w: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75</w:t>
            </w:r>
          </w:p>
        </w:tc>
      </w:tr>
      <w:tr>
        <w:trPr>
          <w:trHeight w:val="33"/>
        </w:trPr>
        <w:tc>
          <w:tcPr>
            <w:tcW w:w="7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74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7400" w:type="dxa"/>
            <w:vAlign w:val="bottom"/>
          </w:tcPr>
          <w:p>
            <w:pPr>
              <w:ind w:left="280"/>
              <w:spacing w:after="0"/>
              <w:rPr>
                <w:sz w:val="20"/>
                <w:szCs w:val="20"/>
                <w:color w:val="auto"/>
              </w:rPr>
            </w:pPr>
            <w:r>
              <w:rPr>
                <w:rFonts w:ascii="Arial" w:cs="Arial" w:eastAsia="Arial" w:hAnsi="Arial"/>
                <w:sz w:val="16"/>
                <w:szCs w:val="16"/>
                <w:color w:val="auto"/>
              </w:rPr>
              <w:t>Federal</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400" w:type="dxa"/>
            <w:vAlign w:val="bottom"/>
          </w:tcPr>
          <w:p>
            <w:pPr>
              <w:ind w:left="280"/>
              <w:spacing w:after="0"/>
              <w:rPr>
                <w:sz w:val="20"/>
                <w:szCs w:val="20"/>
                <w:color w:val="auto"/>
              </w:rPr>
            </w:pPr>
            <w:r>
              <w:rPr>
                <w:rFonts w:ascii="Arial" w:cs="Arial" w:eastAsia="Arial" w:hAnsi="Arial"/>
                <w:sz w:val="16"/>
                <w:szCs w:val="16"/>
                <w:color w:val="auto"/>
              </w:rPr>
              <w:t>Foreign</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106</w:t>
            </w:r>
          </w:p>
        </w:tc>
      </w:tr>
      <w:tr>
        <w:trPr>
          <w:trHeight w:val="33"/>
        </w:trPr>
        <w:tc>
          <w:tcPr>
            <w:tcW w:w="7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r>
      <w:tr>
        <w:trPr>
          <w:trHeight w:val="217"/>
        </w:trPr>
        <w:tc>
          <w:tcPr>
            <w:tcW w:w="7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82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r>
      <w:tr>
        <w:trPr>
          <w:trHeight w:val="33"/>
        </w:trPr>
        <w:tc>
          <w:tcPr>
            <w:tcW w:w="7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553"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net deferred tax liabilities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3"/>
        </w:trPr>
        <w:tc>
          <w:tcPr>
            <w:tcW w:w="8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2,881</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Provision for excess and obsolete inventory</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4,913</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9,655</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Net operating loss and tax credit carryforwards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86,966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105,143</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2,203</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1,510</w:t>
            </w:r>
          </w:p>
        </w:tc>
      </w:tr>
      <w:tr>
        <w:trPr>
          <w:trHeight w:val="3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98,216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126,305</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(9,535)</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Purchased intangible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(6,790)</w:t>
            </w:r>
          </w:p>
        </w:tc>
      </w:tr>
      <w:tr>
        <w:trPr>
          <w:trHeight w:val="3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tax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(16,325)</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(92,844)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(114,419)</w:t>
            </w:r>
          </w:p>
        </w:tc>
      </w:tr>
      <w:tr>
        <w:trPr>
          <w:trHeight w:val="3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liabilities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(4,439)</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28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296"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After a review of the four sources of taxable income described above and after being in a three year cumulative loss position at the end of 2015, the Company recognized a full valuation allowance against all of its U.S.-based and against some of the Company’s foreign-based entities’ deferred tax assets.</w:t>
      </w:r>
    </w:p>
    <w:p>
      <w:pPr>
        <w:spacing w:after="0" w:line="23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At December 31, 2017 and 2016, the Company recognized valuation allowances of $16.4 million and $19.3 million, respectively, related to its deferred tax assets created in those respective years. As a result, no net income tax benefits resulted in the Company’s statements of operations from the operating losses created during those years.</w:t>
      </w:r>
    </w:p>
    <w:p>
      <w:pPr>
        <w:spacing w:after="0" w:line="28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Tax Cuts and Jobs Act (the “Tax Act”) was enacted on December 22, 2017. The Tax Act, among other things, reduces the U.S. federal corporate tax rate from 35% to 21%, requires companies to pay a one-time transition tax on earnings of certain foreign subsidiaries that were previously tax deferred, changes rules related to uses and limitations of net operating loss carryforwards created in tax years beginning after December 31, 2017, eliminates the corporate alternative minimum tax (“AMT”) and changes how existing AMT credits can be realized, creates the base erosion anti-abuse tax (BEAT), a new minimum tax, and creates a new limitation on deductible interest expense.</w:t>
      </w:r>
    </w:p>
    <w:p>
      <w:pPr>
        <w:spacing w:after="0" w:line="296"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The SEC issued Staff Accounting Bulletin No. 118, </w:t>
      </w:r>
      <w:r>
        <w:rPr>
          <w:rFonts w:ascii="Arial" w:cs="Arial" w:eastAsia="Arial" w:hAnsi="Arial"/>
          <w:sz w:val="17"/>
          <w:szCs w:val="17"/>
          <w:i w:val="1"/>
          <w:iCs w:val="1"/>
          <w:color w:val="auto"/>
        </w:rPr>
        <w:t>Income Tax Accounting Implications of the Tax Cuts and Jobs Act</w:t>
      </w:r>
      <w:r>
        <w:rPr>
          <w:rFonts w:ascii="Arial" w:cs="Arial" w:eastAsia="Arial" w:hAnsi="Arial"/>
          <w:sz w:val="17"/>
          <w:szCs w:val="17"/>
          <w:color w:val="auto"/>
        </w:rPr>
        <w:t xml:space="preserve"> (“SAB 118”), which provides guidance on accounting for the tax effects of the Tax Act. SAB 118 provides a measurement period, which should not extend beyond one year from the Tax Act’s enactment date, for companies to complete the accounting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w:t>
      </w:r>
    </w:p>
    <w:p>
      <w:pPr>
        <w:sectPr>
          <w:pgSz w:w="11900" w:h="16838" w:orient="portrait"/>
          <w:cols w:equalWidth="0" w:num="1">
            <w:col w:w="11400"/>
          </w:cols>
          <w:pgMar w:left="240" w:top="553" w:right="25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00"/>
          </w:cols>
          <w:pgMar w:left="240" w:top="553" w:right="25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enactment of the Tax Act. At December 31, 2017, the Company has not completed its accounting for the tax effects of enactment of the Tax Act; however, in certain cases, as described below, the Company has made a reasonable estimate of the effects on its existing deferred tax balances and the one-time transition tax. In other cases, the Company has not been able to make a reasonable estimate and continues to account for those items under ASC 740 and the tax laws that were in effect immediately prior to enactment. The items for which the Company was able to determine a reasonable estimate did not have a material impact on income tax expense.</w:t>
      </w:r>
    </w:p>
    <w:p>
      <w:pPr>
        <w:spacing w:after="0" w:line="296"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The Company remeasured certain deferred tax assets and liabilities based on the rates at which they are expected to reverse in the future, which is generally 21%. However, the Company is still analyzing certain aspects of the Tax Act and refining its calculations, which could potentially affect the measurement of these balances or potentially give rise to new deferred tax amounts. For certain deferred tax assets, the Company has recorded a decrease of approximately $38.8 million, with a corresponding adjustment to valuation allowance for the year ended December 31, 2017. The re-measurement of the Company’s indefinite-lived deferred tax liabilities resulted in an immaterial deferred income tax benefit.</w:t>
      </w:r>
    </w:p>
    <w:p>
      <w:pPr>
        <w:spacing w:after="0" w:line="28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aggregate income tax benefit recorded by the Company in 2017 as a result of the Tax Act’s impact on its net deferred tax liabilities and the change in how AMT carryforwards are treated and monetized was approximately $1.0 million.</w:t>
      </w:r>
    </w:p>
    <w:p>
      <w:pPr>
        <w:spacing w:after="0" w:line="2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Deemed Repatriation Transition Tax (“Transition Tax”) is a tax on previously untaxed accumulated and current earnings and profits (“E&amp;P”) of certain of our foreign subsidiaries. To determine the amount of the Transition Tax, the Company must determine, in addition to other factors, the amount of post-1986 E&amp;P of the relevant subsidiaries, as well as the amount of non-U.S. income taxes paid on such earnings. The Company has initially determined that it will not owe a Transition Tax since it estimates that it has deficit E&amp;P for its foreign subsidiaries that are subject to the tax. However, the Company is continuing to gather additional information to refine its computation.</w:t>
      </w:r>
    </w:p>
    <w:p>
      <w:pPr>
        <w:spacing w:after="0" w:line="29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must assess whether its valuation allowance analyses are affected by various aspects of the Tax Act (e.g., deemed repatriation of deferred foreign income, Global Intangible Low-Taxed Income (GILTI) inclusions, new interest expense disallowances). Since, as discussed herein, the Company has recorded provisional amounts related to certain portions of the Tax Act, any corresponding determination of the need for or change in a valuation allowance is also provisional.</w:t>
      </w:r>
    </w:p>
    <w:p>
      <w:pPr>
        <w:spacing w:after="0" w:line="24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provision for income taxes reconciles to the amount computed by applying the statutory federal income tax rate of 34% in 2017, 2016 and 2015 to loss before income taxes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tax benefit, at statutory rate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(15,513)</w:t>
            </w:r>
          </w:p>
        </w:tc>
        <w:tc>
          <w:tcPr>
            <w:tcW w:w="48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(17,718)</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State benefit, net of federal benefit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tax rate difference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Change in tax rate of net deferred tax assets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(38,772)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allowances offsetting tax rate change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Valuation allowance against future tax benefits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16,364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19,341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15,389</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credits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752</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state apportionment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2,561</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Effect of Tax Act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r>
      <w:tr>
        <w:trPr>
          <w:trHeight w:val="244"/>
        </w:trPr>
        <w:tc>
          <w:tcPr>
            <w:tcW w:w="7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181</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At December 31, 2017, the Company had U.S. federal net operating loss carryforwards of approximately $351.4 million, which begin to expire in 2021, unless previously utilized, California net operating loss carryforwards of approximately $38.1 million, which begin to expire in 2027, unless previously utilized, and foreign net operating losses for its active foreign subsidiaries of approximately $38.6 million, which generally have no expiration date. At December 31, 2017, the Company had California research and development tax credit carryforwards of approximately $10.4 million, which have no expiration date, and federal research and development tax credit carryforwards of approximately $8.8 million, which begin to expire in 2021, unless previously utilized.</w:t>
      </w:r>
    </w:p>
    <w:p>
      <w:pPr>
        <w:sectPr>
          <w:pgSz w:w="11900" w:h="16838" w:orient="portrait"/>
          <w:cols w:equalWidth="0" w:num="1">
            <w:col w:w="11400"/>
          </w:cols>
          <w:pgMar w:left="240" w:top="553" w:right="25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00"/>
          </w:cols>
          <w:pgMar w:left="240" w:top="553" w:right="25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The analysis was performed for the period through December 20, 2017. The analysis did not identify any events of cumulative change in ownership during the review period. The Company will continue monitoring any future changes in stock ownership.</w:t>
      </w:r>
    </w:p>
    <w:p>
      <w:pPr>
        <w:spacing w:after="0" w:line="29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entered into a Rights Agreement on January 22, 2018 (the “Rights Agreement”), subsequent to the balance sheet date, with Computershare Trust Company, N.A., a federally chartered trust company, as rights agent. The Rights Agreement is intended to discourage acquisitions of the Company’s common stock which could result in a cumulative change in ownership of more than 50% within a rolling three-year period, thereby preserving the Company’s current ability to utilize net operating loss carryforwards to offset future income tax obligations; however, there is no assurance that the Rights Agreement will prevent a cumulative change in ownership.</w:t>
      </w:r>
    </w:p>
    <w:p>
      <w:pPr>
        <w:spacing w:after="0" w:line="296"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U.S. income taxes which may become payable if undistributed earnings of the foreign subsidiary were paid as dividends to the Company.</w:t>
      </w:r>
    </w:p>
    <w:p>
      <w:pPr>
        <w:spacing w:after="0" w:line="28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2017 and 2016. At December 31, 2017 and 2016, the Company did not have interest expense related to uncertain tax positions or a liability for unrecognized tax benefits. The Company does not expect changes to its uncertain tax position in the next twelve months.</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35,643</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160</w:t>
            </w:r>
          </w:p>
        </w:tc>
      </w:tr>
      <w:tr>
        <w:trPr>
          <w:trHeight w:val="33"/>
        </w:trPr>
        <w:tc>
          <w:tcPr>
            <w:tcW w:w="99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35,803</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488</w:t>
            </w:r>
          </w:p>
        </w:tc>
      </w:tr>
      <w:tr>
        <w:trPr>
          <w:trHeight w:val="33"/>
        </w:trPr>
        <w:tc>
          <w:tcPr>
            <w:tcW w:w="99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36,291</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291</w:t>
            </w:r>
          </w:p>
        </w:tc>
      </w:tr>
      <w:tr>
        <w:trPr>
          <w:trHeight w:val="33"/>
        </w:trPr>
        <w:tc>
          <w:tcPr>
            <w:tcW w:w="99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36,582</w:t>
            </w:r>
          </w:p>
        </w:tc>
      </w:tr>
      <w:tr>
        <w:trPr>
          <w:trHeight w:val="20"/>
        </w:trPr>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There are no tax benefits that, if recognized, would affect the effective tax rate that are included in the balances of unrecognized tax benefits at December 31, 2017.</w:t>
      </w:r>
    </w:p>
    <w:p>
      <w:pPr>
        <w:spacing w:after="0" w:line="11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2014 and 2013,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Company has a total of 2,000,000 shares of preferred stock authorized for issuance at a par value of $0.001 per share. No preferred shares are currently issued or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January 22, 2018, subsequent to the balance sheet date, the Company entered into the Rights Agreement and issued a dividend of one preferred share purchase right (a “Right”) to each of the stockholders of record of each share of common stock outstanding on February 2, 2018. Each Right entitles the registered holder to purchase from the Company one one-thousandth</w:t>
      </w:r>
    </w:p>
    <w:p>
      <w:pPr>
        <w:sectPr>
          <w:pgSz w:w="11900" w:h="16838" w:orient="portrait"/>
          <w:cols w:equalWidth="0" w:num="1">
            <w:col w:w="11420"/>
          </w:cols>
          <w:pgMar w:left="240" w:top="553"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553"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of a share of Series D Preferred Stock, par value $0.001 per share (the “Preferred Shares”), of the Company, at a price of $10.00 per one one-thousandth of a Preferred Share represented by a Right (the “Purchase Price”), subject to adjustment. The description and terms of the Rights are set forth in the Rights Agreement.</w:t>
      </w:r>
    </w:p>
    <w:p>
      <w:pPr>
        <w:spacing w:after="0" w:line="28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Rights are not exercisable until the Distribution Date (as defined in the Rights Agreement). The Rights will expire on the earlier of (i) the close of business on January 22, 2021, (ii) the time at which the Rights are redeemed, (iii) the time at which the Rights are exchanged, and (iv) if the Rights Agreement has not been approved or ratified by the stockholders prior to the close of business of the date of the Company’s 2018 Annual Meeting of Stockholders, the close of business on the date of the Company’s 2018 Annual Meeting of Stockholders.</w:t>
      </w:r>
    </w:p>
    <w:p>
      <w:pPr>
        <w:spacing w:after="0" w:line="29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reserved shares of common stock for possible future issuance as of December 31, 2017 and 2016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7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warrants outstanding</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1,886,630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1,886,630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Stock options outstanding</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6,566,483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6,356,203</w:t>
            </w:r>
          </w:p>
        </w:tc>
      </w:tr>
      <w:tr>
        <w:trPr>
          <w:trHeight w:val="33"/>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outstanding</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1,055,977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2,975,800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Shares available for issuance pursuant to Convertible Notes</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40,649,225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w w:val="92"/>
              </w:rPr>
              <w:t>30,000,000</w:t>
            </w:r>
          </w:p>
        </w:tc>
      </w:tr>
      <w:tr>
        <w:trPr>
          <w:trHeight w:val="33"/>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of awards under the 2015 Incentive Compensation Plan</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1,973,537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1,332,035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Shares available for future grants of awards under the 2009 Omnibus Incentive Compensation Plan</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3,816,243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3,871,666</w:t>
            </w:r>
          </w:p>
        </w:tc>
      </w:tr>
      <w:tr>
        <w:trPr>
          <w:trHeight w:val="33"/>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under the 2000 Employee Stock Purchase Plan</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857,638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89,676</w:t>
            </w:r>
          </w:p>
        </w:tc>
      </w:tr>
      <w:tr>
        <w:trPr>
          <w:trHeight w:val="244"/>
        </w:trPr>
        <w:tc>
          <w:tcPr>
            <w:tcW w:w="8800" w:type="dxa"/>
            <w:vAlign w:val="bottom"/>
          </w:tcPr>
          <w:p>
            <w:pPr>
              <w:ind w:left="280"/>
              <w:spacing w:after="0"/>
              <w:rPr>
                <w:sz w:val="20"/>
                <w:szCs w:val="20"/>
                <w:color w:val="auto"/>
              </w:rPr>
            </w:pPr>
            <w:r>
              <w:rPr>
                <w:rFonts w:ascii="Arial" w:cs="Arial" w:eastAsia="Arial" w:hAnsi="Arial"/>
                <w:sz w:val="16"/>
                <w:szCs w:val="16"/>
                <w:color w:val="auto"/>
              </w:rPr>
              <w:t>Total shares of common stock reserved for issuance</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56,805,733</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2"/>
              </w:rPr>
              <w:t>46,512,010</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 ended December 31, 2017, the Company granted awards under the Amended and Restated 2009 Omnibus Incentive Compensation Plan (the “2009 Plan”). The Compensation Committee of the Board of Directors administers the plans.</w:t>
      </w:r>
    </w:p>
    <w:p>
      <w:pPr>
        <w:spacing w:after="0" w:line="279"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Under the 2015 Incentive Compensation Plan (the “2015 Plan”) and the 2009 Plan, a maximum of 4,000,000 shares and 15,323,000 shares, respectively, of common stock may be issued upon the exercise of stock options, in the form of restricted stock, or in settlement of restricted stock units or other awards, including awards with alternative vesting schedules such as performance-based criteria.</w:t>
      </w:r>
    </w:p>
    <w:p>
      <w:pPr>
        <w:spacing w:after="0" w:line="23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For the years ended December 31, 2017, 2016 and 2015, the following table presents total share-based compensation expense in each functional line item on the consolidated statements of operations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4"/>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1,003</w:t>
            </w:r>
          </w:p>
        </w:tc>
      </w:tr>
      <w:tr>
        <w:trPr>
          <w:trHeight w:val="33"/>
        </w:trPr>
        <w:tc>
          <w:tcPr>
            <w:tcW w:w="7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1,901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2,778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2,963</w:t>
            </w:r>
          </w:p>
        </w:tc>
      </w:tr>
      <w:tr>
        <w:trPr>
          <w:trHeight w:val="33"/>
        </w:trPr>
        <w:tc>
          <w:tcPr>
            <w:tcW w:w="7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1,572</w:t>
            </w:r>
          </w:p>
        </w:tc>
      </w:tr>
      <w:tr>
        <w:trPr>
          <w:trHeight w:val="244"/>
        </w:trPr>
        <w:tc>
          <w:tcPr>
            <w:tcW w:w="7400" w:type="dxa"/>
            <w:vAlign w:val="bottom"/>
          </w:tcPr>
          <w:p>
            <w:pPr>
              <w:ind w:left="28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3,748</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4,588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6,350</w:t>
            </w:r>
          </w:p>
        </w:tc>
      </w:tr>
      <w:tr>
        <w:trPr>
          <w:trHeight w:val="20"/>
        </w:trPr>
        <w:tc>
          <w:tcPr>
            <w:tcW w:w="7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stock options granted. Stock options generally have a term of ten years and vest over a three- to four-year period.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553"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connection with the acquisition of FW, the Company granted inducement stock options to FW employees to acquire an aggregate of 323,000 shares of the Company’s common stock under the 2009 Plan. The inducement awards became effective upon the closing of the acquisition. These stock options granted to FW employees have an exercise price of $4.65 per share. The options have a ten-year term and will vest over a four-year period. In the event of termination of employment, all unvested options will terminate.</w:t>
      </w:r>
    </w:p>
    <w:p>
      <w:pPr>
        <w:spacing w:after="0" w:line="13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connection with the acquisition of Ctrack, the Company assumed a number of stock options granted to both executive and non-executive employees of Ctrack. Under the 2015 Plan, the Company granted stock options to employees of Ctrack to replace the stock options previously granted by DigiCore (the “Replacement Options”). The Company adjusted the exercise price and number of shares originally granted by DigiCore in order to preserve the intrinsic value and stock-exercise ratio of such awards. For Replacement Options granted to executives, the vesting schedule was reset to four years and the expiration date was extended to ten years from the date of acquisition. For Replacement Options granted to non-executives, the vesting schedule remains unchanged and the expiration date was extended to ten years from the date of acquisition.</w:t>
      </w:r>
    </w:p>
    <w:p>
      <w:pPr>
        <w:spacing w:after="0" w:line="12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As a result of the Company granting Replacement Options at an exercise price that preserved the value of the options, these options were valued as in-the-money options. Due to limitations in the Black-Scholes model related to in-the-money options, the Company elected to value the options using the Hull-White I lattice model. The inherent advantage of a lattice model relative to the Black-Scholes model is that option exercises are modeled as being dependent on the evolution of the stock price and not solely on the amount of time that has passed since the grant date. The Hull-White I lattice model uses the same assumptions as the Black-Scholes model except it replaces the expected term with the suboptimal exercise factor and includes an additional assumption regarding the post-vesting termination rate.</w:t>
      </w:r>
    </w:p>
    <w:p>
      <w:pPr>
        <w:spacing w:after="0" w:line="13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Under the 2015 Plan, the Company also granted additional bonus stock options to Ctrack executives with an exercise price equal to the market price on the date of grant, a four-year vesting schedule, and an expiration date that occurs ten years from the acquisition date. The fair value of these options was determined using the Black-Scholes valuation model. No other shares have been granted under the 2015 Plan.</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following table presents the weighted-average assumptions used in the Hull-White I valuation model and the Black-Scholes valuation model by the Company in calculating the fair value of each Replacement Option and executive bonus stock option, respectively, granted under the 2015 Plan for the year ended December 31, 2015:</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rPr>
              <w:t>Hull-White I</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Executive</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Non-executive</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Black-Scholes</w:t>
            </w: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40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40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5.0</w:t>
            </w:r>
          </w:p>
        </w:tc>
      </w:tr>
      <w:tr>
        <w:trPr>
          <w:trHeight w:val="33"/>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Suboptimal exercise factor</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Post-vesting termination rate</w:t>
            </w: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n/a</w:t>
            </w:r>
          </w:p>
        </w:tc>
      </w:tr>
    </w:tbl>
    <w:p>
      <w:pPr>
        <w:spacing w:after="0" w:line="2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each stock option granted under the 2009 Plan:</w:t>
      </w:r>
    </w:p>
    <w:p>
      <w:pPr>
        <w:spacing w:after="0" w:line="108"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23495</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2015</w:t>
            </w:r>
          </w:p>
        </w:tc>
      </w:tr>
      <w:tr>
        <w:trPr>
          <w:trHeight w:val="23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440" w:type="dxa"/>
            <w:vAlign w:val="bottom"/>
            <w:tcBorders>
              <w:bottom w:val="single" w:sz="8" w:color="CCEEFF"/>
            </w:tcBorders>
            <w:gridSpan w:val="3"/>
            <w:shd w:val="clear" w:color="auto" w:fill="CCEEFF"/>
          </w:tcPr>
          <w:p>
            <w:pPr>
              <w:jc w:val="right"/>
              <w:ind w:right="92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Volatility</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Expected term (in years)</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4.5</w:t>
            </w:r>
          </w:p>
        </w:tc>
      </w:tr>
    </w:tbl>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weighted-average fair value of stock option awards granted under all plans during the years ended December 31, 2017, 2016 and 2015 was $0.89, $1.05 and $1.63,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553"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under all plans for the years ended December 31, 2017 and 2016 (dollars 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4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10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6,084,836</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1,051,550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(78,384)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(701,799)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2016</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6,356,203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3,877,000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(146,039)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(3,520,681)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2017</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6,566,483</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Vested and Expected to Vest — December 31, 2017</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5,815,396</w:t>
            </w:r>
          </w:p>
        </w:tc>
        <w:tc>
          <w:tcPr>
            <w:tcW w:w="34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 December 31, 2017</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2,202,598</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total intrinsic value of stock options exercised to purchase common stock during the years ended December 31, 2017, 2016 and 2015 was approximately $0.1 million, $0.1 million and $0.9 million, respectively. As of December 31, 2017, total unrecognized share-based compensation expense related to non-vested stock options was $2.6 million, which is expected to be recognized over a weighted-average period of approximately 1.5 years. The Company recognized approximately $2.3 million, $2.2 million and $3.2 million of share-based compensation expense related to the vesting of stock option awards during the years ended December 31, 2017, 2016 and 2015,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Pursuant to the 2015 Plan and the 2009 Plan, the Company may issue restricted stock units (“RSUs”) that, upon satisfaction of vesting conditions, allow for employees and non-employee directors to receive common stock. Issuances of such awards reduce common stock available under the 2015 Plan and 2009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activity under all plans for the year ended December 31, 2017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9"/>
        </w:trPr>
        <w:tc>
          <w:tcPr>
            <w:tcW w:w="86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96"/>
              </w:rPr>
              <w:t>Grant-Date Fair</w:t>
            </w:r>
          </w:p>
        </w:tc>
        <w:tc>
          <w:tcPr>
            <w:tcW w:w="0" w:type="dxa"/>
            <w:vAlign w:val="bottom"/>
          </w:tcPr>
          <w:p>
            <w:pPr>
              <w:spacing w:after="0"/>
              <w:rPr>
                <w:sz w:val="1"/>
                <w:szCs w:val="1"/>
                <w:color w:val="auto"/>
              </w:rPr>
            </w:pPr>
          </w:p>
        </w:tc>
      </w:tr>
      <w:tr>
        <w:trPr>
          <w:trHeight w:val="192"/>
        </w:trPr>
        <w:tc>
          <w:tcPr>
            <w:tcW w:w="86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2016</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2,975,800</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1,480,301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(1,193,721)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spacing w:after="0"/>
              <w:rPr>
                <w:sz w:val="20"/>
                <w:szCs w:val="20"/>
                <w:color w:val="auto"/>
              </w:rPr>
            </w:pPr>
            <w:r>
              <w:rPr>
                <w:rFonts w:ascii="Arial" w:cs="Arial" w:eastAsia="Arial" w:hAnsi="Arial"/>
                <w:sz w:val="16"/>
                <w:szCs w:val="16"/>
                <w:color w:val="auto"/>
              </w:rPr>
              <w:t>(2,206,403)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2017</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1,055,977</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During the years ended December 31, 2016 and 2015, the weighted-average grant-date fair value of RSUs granted was $1.62 and $4.55 (net of immediately vesting RSUs granted as payment to the Company’s U.S. employees for their retention bonus in the third quarter of 2015), respectively. During the years ended December 31, 2017, 2016 and 2015, the total fair value of shares vested was $3.0 million, $0.9 million and $3.1 million (net of immediately vesting RSUs granted as payment to the Company’s U.S. employees for their retention bonus in the third quarter of 2015), respectively.</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31, 2017, there was $1.1 million of unrecognized share-based compensation expense related to non-vested RSUs, which is expected to be recognized over a weighted-average period of 2.4 years. The Company recognized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553"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approximately $1.3 million, $2.0 million and $2.8 million of share-based compensation expense related to the vesting of RSUs during the years ended December 31, 2017,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Employee Stock Purchase Plan</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5,074,000 shares of common stock may be purchased by eligible employees.</w:t>
      </w:r>
    </w:p>
    <w:p>
      <w:pPr>
        <w:spacing w:after="0" w:line="111"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During the years ended December 31, 2017, 2016 and 2015, the Company issued 232,038 shares, 789,565 shares and 506,100 shares, respectively, under the ESPP. The Company recognized approximately $0.1 million, $0.4 million and $0.4 million of share-based compensation expense related to the ESPP during the years ended December 31, 2017, 2016 and 2015,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4"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Basic EPS excludes dilution and is computed by dividing net income (loss) attributable to common shareholders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earnings per share was as follows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58,718,483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53,911,270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52,767,230</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(0.99)</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For the years ended December 31, 2017, 2016 and 2015 the computation of diluted EPS excluded 9,509,090 shares, 11,218,633 shares and 8,931,669 shares, respectively, related to warrants, stock options and RSUs as their effect would have been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Securities Purchase Agreement and Warrant Issues</w:t>
      </w:r>
    </w:p>
    <w:p>
      <w:pPr>
        <w:spacing w:after="0" w:line="12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On September 3, 2014, the Company entered into a Purchase Agreement (the “Financing Purchase Agreement”) with HC2 Holdings 2, Inc., a Delaware corporation (the “Investor”), pursuant to which, on September 8, 2014, the Company sold to the Investor (i) 7,363,334 shares of the Company’s common stock, par value $0.001 per share, (ii) a warrant to purchase 4,117,647 shares of the Company’s common stock at an exercise price of $2.26 per share (the “2014 Warrant”) and (iii) 87,196 shares of the Company’s Series C Convertible Preferred Stock, par value $0.001 per share (the “Series C Preferred Stock”), all at a purchase price of (a) $1.75 per share of common stock plus, in each case, the related 2014 Warrant and (b) $17.50 per share of Series C Preferred Stock, for aggregate gross proceeds of approximately $14.4 million (collectively, the “Financing”).</w:t>
      </w:r>
    </w:p>
    <w:p>
      <w:pPr>
        <w:spacing w:after="0" w:line="23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Due to insufficient authorized shares to satisfy the exercise of the instrument in full at the time of issuance, the Company determined that the instrument should be treated as a derivative instrument as of September 30, 2014. Liability classification was required because share settlement was not within the control of the Company and the 2014 Warrant was not considered to be “indexed to the company’s own stock” and therefore did not qualify for the exemptions provided by ASC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xml:space="preserve"> (“ASC 815”). As such the warrants were recorded at fair value with any changes in fair value being recognized in earnings.</w:t>
      </w:r>
    </w:p>
    <w:p>
      <w:pPr>
        <w:spacing w:after="0" w:line="24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On November 17, 2014 (the “Approval Date”), at a Special Meeting of the Stockholders, the Company received stockholder approval to increase the number of authorized shares of the Company’s common stock. With this approval, the Company had a sufficient amount of authorized shares to satisfy the exercise of the instrument in full. As a result, the Company performed a final re-measurement of the 2014 Warrant to fair value and then reclassified the fair value to additional paid-in capital.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553"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Because the 2014 Warrant had no comparable market data to determine fair value, the Company hired an independent valuation firm to assist with the valuation of the 2014 Warrant at the measurement date and as of the Approval Date. The primary factors used to determine the fair value included: (i) the fair value of the Company’s common stock; (ii) the volatility of the Company’s common stock; (iii) the risk free interest rate; (iv) the estimated likelihood and timing of exercise; and (v) the estimated likelihood and timing of a future financing arrangement. Increases in the market value of the Company’s common stock and volatility, which have the most impact on the fair value of the 2014 Warrant, would cause the fair value of the 2014 Warrant to change. While classified as a liability, the 2014 Warrant was measured at fair value on a recurring basis and any unrealized losses were recognized in earnings as other expense. During the year ended December 31, 2014, the Company recorded a change in fair value of $3.3 million related to the 2014 Warrant, primarily as a result of an increase in the market value of the Company’s common stock.</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change to the fair value of the 2014 Warrant during the year ended December 31, 2014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8, 2014 (Transaction Date)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4,939</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Change in fair value</w:t>
            </w:r>
          </w:p>
        </w:tc>
        <w:tc>
          <w:tcPr>
            <w:tcW w:w="5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3,280</w:t>
            </w:r>
          </w:p>
        </w:tc>
      </w:tr>
      <w:tr>
        <w:trPr>
          <w:trHeight w:val="47"/>
        </w:trPr>
        <w:tc>
          <w:tcPr>
            <w:tcW w:w="99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November 17, 2014 (Approval Date)</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8,219</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Reclassification to additional paid-in-capital</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(8,219)</w:t>
            </w:r>
          </w:p>
        </w:tc>
      </w:tr>
      <w:tr>
        <w:trPr>
          <w:trHeight w:val="47"/>
        </w:trPr>
        <w:tc>
          <w:tcPr>
            <w:tcW w:w="99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2014</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On March 26, 2015, the Investor exercised a portion of the 2014 Warrant to purchase 3,824,600 shares of the Company’s common stock at an exercise price of $2.26 per share for total proceeds of $8.6 million.</w:t>
      </w:r>
    </w:p>
    <w:p>
      <w:pPr>
        <w:spacing w:after="0" w:line="279"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On March 26, 2015, in order to induce the Investor to exercise the 2014 Warrant for cash in connection with the acquisition of FW, the Company issued to the Investor a new warrant (the “2015 Warrant”) to purchase 1,593,583 shares of the Company’s common stock at an exercise price of $5.50 per share.</w:t>
      </w:r>
    </w:p>
    <w:p>
      <w:pPr>
        <w:spacing w:after="0" w:line="23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2015 Warrant will be exercisable into shares of the Company’s common stock during the period commencing on September 26, 2015 and ending on March 26, 2020, the expiration date of the 2015 Warrant. The 2015 Warrant will generally only be exercisable on a cash basis; provided, however, that the 2015 Warrant may be exercised on a cashless basis if and only if a registration statement relating to the issuance of the shares underlying the 2015 Warrant is not then effective or an exemption from registration is not available for the resale of such shares. The 2015 Warrant may be exercised by surrendering to the Company the certificate evidencing the 2015 Warrant to be exercised with the accompanying exercise notice, appropriately completed, duly signed and delivered, together with cash payment of the exercise price, if applicable.</w:t>
      </w:r>
    </w:p>
    <w:p>
      <w:pPr>
        <w:spacing w:after="0" w:line="28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Company reviewed the terms of the 2015 Warrant to determine whether or not it met the criteria of a derivative instrument under ASC 815.</w:t>
      </w:r>
    </w:p>
    <w:p>
      <w:pPr>
        <w:spacing w:after="0" w:line="3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Pursuant to this guidance, the Company has determined that the 2015 Warrant does not require liability accounting and has classified the warrant as equity.</w:t>
      </w:r>
    </w:p>
    <w:p>
      <w:pPr>
        <w:spacing w:after="0" w:line="34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Because the 2015 Warrant has no comparable market data to determine fair value, the Company hired an independent valuation firm to assist with the valuation of the 2015 Warrant at March 26, 2015, the issuance date of the warrant. The primary factors used to determine the fair value include: (i) the fair value of the Company’s common stock; (ii) the volatility of the Company’s common stock; (iii) the risk free interest rate and (iv) the estimated likelihood and timing of exercise.</w:t>
      </w:r>
    </w:p>
    <w:p>
      <w:pPr>
        <w:spacing w:after="0" w:line="295"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The 2015 Warrant was issued in connection with the cash exercise of the 2014 Warrant, and accordingly, the fair value of the 2015 Warrant of $3.5 million was considered cost of capital and netted against the $8.6 million aggregate proceeds received from the exercise of the 2014 Warrant.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Contingently Redeemable Convertible Series C Preferred Stock</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In connection with the Financing the Company issued 87,196 shares of Series C Preferred Stock at $17.50 per share, initially convertible, subject to adjustments, into 871,960 shares of common stock.</w:t>
      </w:r>
    </w:p>
    <w:p>
      <w:pPr>
        <w:spacing w:after="0" w:line="22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On November 17, 2014, at a Special Meeting of the Stockholders, the Company received stockholder approval to increase the number of authorized shares of the Company’s common stock from 50,000,000 shares to 100,000,000 shares and each share of Series C Preferred Stock then outstanding automatically converted into ten shares of common stock. Upon conversion, the Company reclassified the Series C Preferred Stock out of mezzanine equity into permanent equity and recognized a beneficial</w:t>
      </w:r>
    </w:p>
    <w:p>
      <w:pPr>
        <w:sectPr>
          <w:pgSz w:w="11900" w:h="16838" w:orient="portrait"/>
          <w:cols w:equalWidth="0" w:num="1">
            <w:col w:w="11400"/>
          </w:cols>
          <w:pgMar w:left="240" w:top="553" w:right="25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00"/>
          </w:cols>
          <w:pgMar w:left="240" w:top="553" w:right="259"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conversion feature (“BCF”) of $0.4 million in equity due to the resolution of the contingent BCF embedded within the Series C Preferred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Company has vehicles and equipment under capital leases that were assumed through its acquisitions of Ctrack. The future minimum payments under capital leases were as follows at December 31, 2017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2019</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491</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Total minimum capital lease payments</w:t>
            </w: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1,412</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amounts representing interest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Present value of net minimum capital lease payments</w:t>
            </w: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1,277</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w:t>
            </w:r>
          </w:p>
        </w:tc>
      </w:tr>
      <w:tr>
        <w:trPr>
          <w:trHeight w:val="217"/>
        </w:trPr>
        <w:tc>
          <w:tcPr>
            <w:tcW w:w="9920" w:type="dxa"/>
            <w:vAlign w:val="bottom"/>
          </w:tcPr>
          <w:p>
            <w:pPr>
              <w:ind w:left="40"/>
              <w:spacing w:after="0"/>
              <w:rPr>
                <w:sz w:val="20"/>
                <w:szCs w:val="20"/>
                <w:color w:val="auto"/>
              </w:rPr>
            </w:pPr>
            <w:r>
              <w:rPr>
                <w:rFonts w:ascii="Arial" w:cs="Arial" w:eastAsia="Arial" w:hAnsi="Arial"/>
                <w:sz w:val="16"/>
                <w:szCs w:val="16"/>
                <w:color w:val="auto"/>
              </w:rPr>
              <w:t>Long-term portion</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598</w:t>
            </w:r>
          </w:p>
        </w:tc>
      </w:tr>
      <w:tr>
        <w:trPr>
          <w:trHeight w:val="33"/>
        </w:trPr>
        <w:tc>
          <w:tcPr>
            <w:tcW w:w="99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leases its office space and certain equipment under non-cancellable operating leases with various terms through 2020.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During the years ended December 31, 2017, 2016 and 2015, rent expense under operating leases was $2.7 million, $4.1 million and $3.3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future minimum payments under non-cancellable operating leases were as follows at December 31, 2017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2,874</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2019</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2,204</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964</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2021</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365</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w:t>
            </w:r>
          </w:p>
        </w:tc>
      </w:tr>
      <w:tr>
        <w:trPr>
          <w:trHeight w:val="3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 Matters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Company’s turnaround efforts, and to retain and encourage employees to assist the Company with its efforts,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approved an all-employee retention bonus plan in 2014 (“2014 Retention Bonus Plan”) based on achieving certain financial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targets. The financial metrics had to be met for two consecutive quarter periods during the three quarter periods ending March 31, 2015.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 Company accrued approximately $5.5 million of the maximum total target bonus expense based on the Company’s financial results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December 31, 2014 and the assessment of the probability of the achievement of the remaining metrics in March 31, 2015. The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bonus expense of approximately $10.7 million was recognized over the requisite service period, $5.2 million of which was recognized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In the third quarter of 2015, the Company paid U.S. employees their bonuses with 2,158,436 net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Non-U.S. employees receive cash bonus payments.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553"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The Company records a loss when information indicates that a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 expenses litigation costs as incurred.</w:t>
      </w:r>
    </w:p>
    <w:p>
      <w:pPr>
        <w:spacing w:after="0" w:line="10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is currently named as a defendant or co-defendant in some patent infringement lawsuits in the United States and is indirectly participating in other U.S. patent infringement actions pursuant to its contractual indemnification obligations to certain customers. Based on an evaluation of these matters and discussions with the Company’s intellectual property litigation counsel, the Company believes that liabilities arising from or sums paid in settlement of these existing matters would not have a material adverse effect on its consolidated results of operations or financial condition, other than those discussed below.</w:t>
      </w:r>
    </w:p>
    <w:p>
      <w:pPr>
        <w:spacing w:after="0" w:line="8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On May 27, 2015, a patent infringement action was brought against Novatel Wireless by Carucel Investments, L.P. (“Carucel”), a non-practicing entity (</w:t>
      </w:r>
      <w:r>
        <w:rPr>
          <w:rFonts w:ascii="Arial" w:cs="Arial" w:eastAsia="Arial" w:hAnsi="Arial"/>
          <w:sz w:val="16"/>
          <w:szCs w:val="16"/>
          <w:i w:val="1"/>
          <w:iCs w:val="1"/>
          <w:color w:val="auto"/>
        </w:rPr>
        <w:t>Carucel Investments, L.P. v. Novatel Wireless, Inc., et al., U.S.D.C. S.D. Florida, Civil Action No. 0:15-cv-61116-BB</w:t>
      </w:r>
      <w:r>
        <w:rPr>
          <w:rFonts w:ascii="Arial" w:cs="Arial" w:eastAsia="Arial" w:hAnsi="Arial"/>
          <w:sz w:val="16"/>
          <w:szCs w:val="16"/>
          <w:color w:val="auto"/>
        </w:rPr>
        <w:t>). The complaint alleged that certain MiFi mobile hotspots manufactured by Novatel Wireless infringed claims of patents owned by Carucel. On April 10, 2017, judgment was entered in favor of Novatel Wireless. Carucel has filed to appeal certain orders in the litigation. The Company does not believe there is merit to an appeal by Carucel and intends to vigorously defend the appeal. However, there can be no assurance as to the ultimate outcome of any appeal or other future judgment in this case.</w:t>
      </w:r>
    </w:p>
    <w:p>
      <w:pPr>
        <w:spacing w:after="0" w:line="185" w:lineRule="exact"/>
        <w:rPr>
          <w:sz w:val="20"/>
          <w:szCs w:val="20"/>
          <w:color w:val="auto"/>
        </w:rPr>
      </w:pPr>
    </w:p>
    <w:p>
      <w:pPr>
        <w:ind w:right="120" w:firstLine="392"/>
        <w:spacing w:after="0" w:line="257" w:lineRule="auto"/>
        <w:rPr>
          <w:sz w:val="20"/>
          <w:szCs w:val="20"/>
          <w:color w:val="auto"/>
        </w:rPr>
      </w:pPr>
      <w:r>
        <w:rPr>
          <w:rFonts w:ascii="Arial" w:cs="Arial" w:eastAsia="Arial" w:hAnsi="Arial"/>
          <w:sz w:val="18"/>
          <w:szCs w:val="18"/>
          <w:color w:val="auto"/>
        </w:rPr>
        <w:t>On September 26, 2016, the Company settled a breach of contract claim alleging that the Company had failed to pay certain royalties on hardware products sold by its subsidiary, Enfora. Under the terms of the settlement agreement, the Company is required to pay an aggregate settlement amount of $2.8 million, $0.9 million of which remained outstanding as of December 31, 2017 and is included in accrued expenses and other current liabilities and in other long-term liabilities in the consolidated balance sheets, and is payable in eight equal quarterly installments. The contract underlying the claim has now been terminated.</w:t>
      </w:r>
    </w:p>
    <w:p>
      <w:pPr>
        <w:spacing w:after="0" w:line="134"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The Company has suspended payments due to the former stockholders of RER pursuant to the Earn-Out Arrangement and the Deferred Purchase Price pending the outcome of this litigation. There can be no assurance as to the ultimate outcome of the future judgment in this case, and an adverse judgment could have a material adverse effect on the Company’s consolidated results of operations or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 and Concentrations of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geographic concentration of the Company’s assets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65,208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71,564</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68,186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63,693</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24,813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23,459</w:t>
            </w:r>
          </w:p>
        </w:tc>
      </w:tr>
      <w:tr>
        <w:trPr>
          <w:trHeight w:val="217"/>
        </w:trPr>
        <w:tc>
          <w:tcPr>
            <w:tcW w:w="878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158,207</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158,716</w:t>
            </w: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geographic concentration of the Company’s net revenues based on shipping destination: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2015</w:t>
            </w:r>
          </w:p>
        </w:tc>
      </w:tr>
      <w:tr>
        <w:trPr>
          <w:trHeight w:val="23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17.9</w:t>
            </w:r>
          </w:p>
        </w:tc>
        <w:tc>
          <w:tcPr>
            <w:tcW w:w="1420" w:type="dxa"/>
            <w:vAlign w:val="bottom"/>
            <w:gridSpan w:val="3"/>
          </w:tcPr>
          <w:p>
            <w:pPr>
              <w:jc w:val="right"/>
              <w:ind w:right="83"/>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4.6</w:t>
            </w:r>
          </w:p>
        </w:tc>
      </w:tr>
      <w:tr>
        <w:trPr>
          <w:trHeight w:val="33"/>
        </w:trPr>
        <w:tc>
          <w:tcPr>
            <w:tcW w:w="7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10.7</w:t>
            </w:r>
          </w:p>
        </w:tc>
        <w:tc>
          <w:tcPr>
            <w:tcW w:w="1420" w:type="dxa"/>
            <w:vAlign w:val="bottom"/>
            <w:tcBorders>
              <w:bottom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6.3</w:t>
            </w:r>
          </w:p>
        </w:tc>
      </w:tr>
      <w:tr>
        <w:trPr>
          <w:trHeight w:val="217"/>
        </w:trPr>
        <w:tc>
          <w:tcPr>
            <w:tcW w:w="728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72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553"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For the years ended December 31, 2017, 2016 and 2015, one customer accounted for 51.2%, 53.9% and 53.6% of net revenues, respectively. At December 31, 2017 and 2016, one customer accounted for 23.9% and 42.8% of total accounts receivable,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Savings Plan</w:t>
      </w:r>
    </w:p>
    <w:p>
      <w:pPr>
        <w:spacing w:after="0" w:line="17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The Company suspended the employer matching program on August 1, 2014. Effective January 1, 2016, the Company reinstated the employer matching program and matches 50% of the first 6% of an employee’s designated deferral of their eligible compensation. Employees may make discretionary contributions to the Plan subject to Internal Revenue Service limitations. Employer matching contributions under the Plan amounted to approximately $0.5 million and $0.6 million for the years ended December 31, 2017 and 2016, respectively. Employer matching contributions vested over a two-year period prior to January 1, 2016 and vest immediately beginning January 1,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21"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In August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$6.0 million and be completed when the Richardson, TX lease expires in June 2020.</w:t>
      </w:r>
    </w:p>
    <w:p>
      <w:pPr>
        <w:spacing w:after="0" w:line="26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year ended December 31, 2017, the Company commenced certain restructuring initiatives intended to continue to improve its strategic focus on its more profitable business lines and consolidate operations of its subsidiaries with those of the Company, including reductions-in-force, further reorganization of executive level management and the consolidation of certain of its facilities (the “2017 Initiatives”). The 2017 Initiatives are expected to cost a total of approximately $4.3 million and be completed in May 2018.</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year ended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Balance at</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Payments</w:t>
            </w: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Non-cash</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6"/>
                <w:szCs w:val="16"/>
                <w:color w:val="auto"/>
              </w:rPr>
            </w:pPr>
          </w:p>
        </w:tc>
        <w:tc>
          <w:tcPr>
            <w:tcW w:w="10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to Date</w:t>
            </w:r>
          </w:p>
        </w:tc>
        <w:tc>
          <w:tcPr>
            <w:tcW w:w="0" w:type="dxa"/>
            <w:vAlign w:val="bottom"/>
          </w:tcPr>
          <w:p>
            <w:pPr>
              <w:spacing w:after="0"/>
              <w:rPr>
                <w:sz w:val="1"/>
                <w:szCs w:val="1"/>
                <w:color w:val="auto"/>
              </w:rPr>
            </w:pPr>
          </w:p>
        </w:tc>
      </w:tr>
      <w:tr>
        <w:trPr>
          <w:trHeight w:val="203"/>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4,131</w:t>
            </w: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14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981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2017 Initiatives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3,351</w:t>
            </w:r>
          </w:p>
        </w:tc>
        <w:tc>
          <w:tcPr>
            <w:tcW w:w="0" w:type="dxa"/>
            <w:vAlign w:val="bottom"/>
          </w:tcPr>
          <w:p>
            <w:pPr>
              <w:spacing w:after="0"/>
              <w:rPr>
                <w:sz w:val="1"/>
                <w:szCs w:val="1"/>
                <w:color w:val="auto"/>
              </w:rPr>
            </w:pPr>
          </w:p>
        </w:tc>
      </w:tr>
      <w:tr>
        <w:trPr>
          <w:trHeight w:val="237"/>
        </w:trPr>
        <w:tc>
          <w:tcPr>
            <w:tcW w:w="262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1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106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Related Costs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44"/>
        </w:trPr>
        <w:tc>
          <w:tcPr>
            <w:tcW w:w="262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1,043</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5,152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(4,607)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1,534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10,148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balance of the restructuring liability at December 31, 2017 consists of approximately $1.0 million included in accrued expenses and other current liabilities in the consolidated balance sheet and approximately $0.5 million included in long-term liabilities in the consolidated balance sheet.</w:t>
      </w:r>
    </w:p>
    <w:p>
      <w:pPr>
        <w:spacing w:after="0" w:line="9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In the fourth quarter of 2016, the Company wrote down the value of certain inventory by approximately $11.5 million related to the abandonment of certain Enfora product lines that management decided to exit. During the year ended December 31, 2017, the Company sold certain inventory that had been written down related to the abandonment of certain Enfora product lines that management decided to exit, net of the value of additional inventory related to the abandonment of certain Enfora product lines that management decided to exit, resulting in a net recovery of approximately $0.3 million. The Company accounted for the adjustments in accordance with the ASC 330, </w:t>
      </w:r>
      <w:r>
        <w:rPr>
          <w:rFonts w:ascii="Arial" w:cs="Arial" w:eastAsia="Arial" w:hAnsi="Arial"/>
          <w:sz w:val="18"/>
          <w:szCs w:val="18"/>
          <w:i w:val="1"/>
          <w:iCs w:val="1"/>
          <w:color w:val="auto"/>
        </w:rPr>
        <w:t>Inventory</w:t>
      </w:r>
      <w:r>
        <w:rPr>
          <w:rFonts w:ascii="Arial" w:cs="Arial" w:eastAsia="Arial" w:hAnsi="Arial"/>
          <w:sz w:val="18"/>
          <w:szCs w:val="18"/>
          <w:color w:val="auto"/>
        </w:rPr>
        <w:t>, and included the adjustments in impairment of abandoned product line within cost of net revenues in the consolidated statements of operations</w:t>
      </w:r>
      <w:r>
        <w:rPr>
          <w:rFonts w:ascii="Arial" w:cs="Arial" w:eastAsia="Arial" w:hAnsi="Arial"/>
          <w:sz w:val="18"/>
          <w:szCs w:val="18"/>
          <w:i w:val="1"/>
          <w:iCs w:val="1"/>
          <w:color w:val="auto"/>
        </w:rPr>
        <w: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553"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Information (Unaudited)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96"/>
              </w:rPr>
              <w:t>2017</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Second Quarter</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9"/>
              </w:rPr>
              <w:t>Fourth Quarter</w:t>
            </w:r>
          </w:p>
        </w:tc>
      </w:tr>
      <w:tr>
        <w:trPr>
          <w:trHeight w:val="318"/>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4"/>
                <w:szCs w:val="14"/>
                <w:color w:val="auto"/>
                <w:w w:val="90"/>
              </w:rPr>
              <w:t>(in thousands, except per share amounts)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55,389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59,913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57,461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46,534</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16,186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17,229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16,372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17,548</w:t>
            </w: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(3,822)</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Basic and diluted net loss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594"/>
        </w:trPr>
        <w:tc>
          <w:tcPr>
            <w:tcW w:w="5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96"/>
              </w:rPr>
              <w:t>2016</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Second Quarter</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9"/>
              </w:rPr>
              <w:t>Fourth Quarter</w:t>
            </w:r>
          </w:p>
        </w:tc>
      </w:tr>
      <w:tr>
        <w:trPr>
          <w:trHeight w:val="385"/>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4"/>
                <w:szCs w:val="14"/>
                <w:color w:val="auto"/>
                <w:w w:val="90"/>
              </w:rPr>
              <w:t>(in thousands, except per share amounts)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66,944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62,811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60,881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52,919</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21,183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23,238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22,924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8,983</w:t>
            </w: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(11,904)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(27,401)</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Basic and diluted net loss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(0.50)</w:t>
            </w:r>
          </w:p>
        </w:tc>
      </w:tr>
    </w:tbl>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In the second quarter of 2016 the Company sold its Modules Business,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for additional information.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553"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INSEEGO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Additions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Effect of Change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 Foreign</w:t>
            </w:r>
          </w:p>
        </w:tc>
        <w:tc>
          <w:tcPr>
            <w:tcW w:w="140" w:type="dxa"/>
            <w:vAlign w:val="bottom"/>
          </w:tcPr>
          <w:p>
            <w:pPr>
              <w:spacing w:after="0"/>
              <w:rPr>
                <w:sz w:val="12"/>
                <w:szCs w:val="12"/>
                <w:color w:val="auto"/>
              </w:rPr>
            </w:pPr>
          </w:p>
        </w:tc>
        <w:tc>
          <w:tcPr>
            <w:tcW w:w="9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Charged to</w:t>
            </w:r>
          </w:p>
        </w:tc>
        <w:tc>
          <w:tcPr>
            <w:tcW w:w="16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Deductions</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Effect of Tax Act</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Beginning of Year</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Operations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Exchange Rates</w:t>
            </w:r>
          </w:p>
        </w:tc>
        <w:tc>
          <w:tcPr>
            <w:tcW w:w="14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Arial" w:cs="Arial" w:eastAsia="Arial" w:hAnsi="Arial"/>
                <w:sz w:val="14"/>
                <w:szCs w:val="14"/>
                <w:b w:val="1"/>
                <w:bCs w:val="1"/>
                <w:color w:val="auto"/>
                <w:w w:val="97"/>
              </w:rPr>
              <w:t>End of Year</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Allowance for Doubtful Accounts: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December 31, 2017</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December 31, 2016</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Reserve for Excess and Obsolete Inventory: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11,954</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December 31, 2016</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14,797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14,039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Deferred Tax Asset Valuation Allowance: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92,844</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December 31, 2016</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94,984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19,341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114,419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December 31, 2015</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90,774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17,903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94,984</w:t>
            </w:r>
          </w:p>
        </w:tc>
        <w:tc>
          <w:tcPr>
            <w:tcW w:w="0" w:type="dxa"/>
            <w:vAlign w:val="bottom"/>
          </w:tcPr>
          <w:p>
            <w:pPr>
              <w:spacing w:after="0"/>
              <w:rPr>
                <w:sz w:val="1"/>
                <w:szCs w:val="1"/>
                <w:color w:val="auto"/>
              </w:rPr>
            </w:pPr>
          </w:p>
        </w:tc>
      </w:tr>
      <w:tr>
        <w:trPr>
          <w:trHeight w:val="33"/>
        </w:trPr>
        <w:tc>
          <w:tcPr>
            <w:tcW w:w="4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958"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INSEEGO CORP.</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2009 Omnibus Incentive Compensation Plan</w:t>
      </w:r>
    </w:p>
    <w:p>
      <w:pPr>
        <w:spacing w:after="0" w:line="239" w:lineRule="exact"/>
        <w:rPr>
          <w:sz w:val="20"/>
          <w:szCs w:val="20"/>
          <w:color w:val="auto"/>
        </w:rPr>
      </w:pPr>
    </w:p>
    <w:p>
      <w:pPr>
        <w:ind w:left="40" w:right="60" w:hanging="4"/>
        <w:spacing w:after="0" w:line="258" w:lineRule="auto"/>
        <w:tabs>
          <w:tab w:leader="none" w:pos="35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Inseego Corp. hereby amends and restates the Novatel Wireless, Inc. 2009 Omnibus Incentive Compensation Plan into this Inseego Corp.</w:t>
      </w:r>
      <w:r>
        <w:rPr>
          <w:rFonts w:ascii="Arial" w:cs="Arial" w:eastAsia="Arial" w:hAnsi="Arial"/>
          <w:sz w:val="18"/>
          <w:szCs w:val="18"/>
          <w:b w:val="1"/>
          <w:bCs w:val="1"/>
          <w:color w:val="auto"/>
        </w:rPr>
        <w:t xml:space="preserve"> </w:t>
      </w:r>
      <w:r>
        <w:rPr>
          <w:rFonts w:ascii="Arial" w:cs="Arial" w:eastAsia="Arial" w:hAnsi="Arial"/>
          <w:sz w:val="18"/>
          <w:szCs w:val="18"/>
          <w:color w:val="auto"/>
        </w:rPr>
        <w:t>2009 Omnibus Incentive Compensation Plan. The purpose of the Plan is to promote the long-term success of the Company and the creation of stockholder value by offering directors, officers, employees and consultants of the Company an opportunity to acquire a proprietary interest in the success of the Company, or to increase such interest, and to encourage such selected persons to continue to provide services to the Company and to attract new individuals with outstanding qualifications.</w:t>
      </w:r>
    </w:p>
    <w:p>
      <w:pPr>
        <w:spacing w:after="0" w:line="183" w:lineRule="exact"/>
        <w:rPr>
          <w:rFonts w:ascii="Arial" w:cs="Arial" w:eastAsia="Arial" w:hAnsi="Arial"/>
          <w:sz w:val="18"/>
          <w:szCs w:val="18"/>
          <w:color w:val="auto"/>
        </w:rPr>
      </w:pPr>
    </w:p>
    <w:p>
      <w:pPr>
        <w:ind w:left="360" w:hanging="324"/>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the Plan,</w:t>
      </w:r>
    </w:p>
    <w:p>
      <w:pPr>
        <w:spacing w:after="0" w:line="242" w:lineRule="exact"/>
        <w:rPr>
          <w:rFonts w:ascii="Arial" w:cs="Arial" w:eastAsia="Arial" w:hAnsi="Arial"/>
          <w:sz w:val="18"/>
          <w:szCs w:val="18"/>
          <w:color w:val="auto"/>
        </w:rPr>
      </w:pPr>
    </w:p>
    <w:p>
      <w:pPr>
        <w:ind w:left="1040" w:hanging="383"/>
        <w:spacing w:after="0"/>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“Affiliate” means any entity other than a Subsidiary, if the Company and/or one or more Subsidiaries owns not less than 50 percent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24" w:lineRule="exact"/>
        <w:rPr>
          <w:rFonts w:ascii="Arial" w:cs="Arial" w:eastAsia="Arial" w:hAnsi="Arial"/>
          <w:sz w:val="16"/>
          <w:szCs w:val="16"/>
          <w:color w:val="auto"/>
        </w:rPr>
      </w:pPr>
    </w:p>
    <w:p>
      <w:pPr>
        <w:ind w:left="1040" w:hanging="383"/>
        <w:spacing w:after="0"/>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“Aggregate Share Limit” means the aggregate maximum number of shares available under the Plan pursuant to Section 3(a)(i) of the Plan.</w:t>
      </w:r>
    </w:p>
    <w:p>
      <w:pPr>
        <w:spacing w:after="0" w:line="248" w:lineRule="exact"/>
        <w:rPr>
          <w:rFonts w:ascii="Arial" w:cs="Arial" w:eastAsia="Arial" w:hAnsi="Arial"/>
          <w:sz w:val="16"/>
          <w:szCs w:val="16"/>
          <w:color w:val="auto"/>
        </w:rPr>
      </w:pPr>
    </w:p>
    <w:p>
      <w:pPr>
        <w:ind w:left="40" w:right="680" w:firstLine="644"/>
        <w:spacing w:after="0" w:line="277" w:lineRule="auto"/>
        <w:tabs>
          <w:tab w:leader="none" w:pos="1068"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“Annual Incentive Award” means a cash award granted pursuant to Section 8 of the Plan, where such award is based on Management Objectives and a Performance Period of one year or less.</w:t>
      </w:r>
    </w:p>
    <w:p>
      <w:pPr>
        <w:spacing w:after="0" w:line="183" w:lineRule="exact"/>
        <w:rPr>
          <w:rFonts w:ascii="Arial" w:cs="Arial" w:eastAsia="Arial" w:hAnsi="Arial"/>
          <w:sz w:val="18"/>
          <w:szCs w:val="18"/>
          <w:color w:val="auto"/>
        </w:rPr>
      </w:pPr>
    </w:p>
    <w:p>
      <w:pPr>
        <w:ind w:left="1080" w:hanging="396"/>
        <w:spacing w:after="0"/>
        <w:tabs>
          <w:tab w:leader="none" w:pos="10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“Appreciation Right” means a right granted pursuant to Section 5 of the Plan.</w:t>
      </w:r>
    </w:p>
    <w:p>
      <w:pPr>
        <w:spacing w:after="0" w:line="225" w:lineRule="exact"/>
        <w:rPr>
          <w:rFonts w:ascii="Arial" w:cs="Arial" w:eastAsia="Arial" w:hAnsi="Arial"/>
          <w:sz w:val="18"/>
          <w:szCs w:val="18"/>
          <w:color w:val="auto"/>
        </w:rPr>
      </w:pPr>
    </w:p>
    <w:p>
      <w:pPr>
        <w:ind w:left="40" w:right="100" w:firstLine="644"/>
        <w:spacing w:after="0" w:line="277" w:lineRule="auto"/>
        <w:tabs>
          <w:tab w:leader="none" w:pos="1068" w:val="left"/>
        </w:tabs>
        <w:numPr>
          <w:ilvl w:val="2"/>
          <w:numId w:val="35"/>
        </w:numPr>
        <w:rPr>
          <w:rFonts w:ascii="Arial" w:cs="Arial" w:eastAsia="Arial" w:hAnsi="Arial"/>
          <w:sz w:val="18"/>
          <w:szCs w:val="18"/>
          <w:color w:val="auto"/>
        </w:rPr>
      </w:pPr>
      <w:r>
        <w:rPr>
          <w:rFonts w:ascii="Arial" w:cs="Arial" w:eastAsia="Arial" w:hAnsi="Arial"/>
          <w:sz w:val="18"/>
          <w:szCs w:val="18"/>
          <w:color w:val="auto"/>
        </w:rPr>
        <w:t>“Award” means any Annual Incentive Award, Option Right, Restricted Stock, Restricted Stock Unit, Appreciation Right, Performance Share, Performance Unit or Other Award granted pursuant to the terms of the Plan.</w:t>
      </w:r>
    </w:p>
    <w:p>
      <w:pPr>
        <w:spacing w:after="0" w:line="170" w:lineRule="exact"/>
        <w:rPr>
          <w:rFonts w:ascii="Arial" w:cs="Arial" w:eastAsia="Arial" w:hAnsi="Arial"/>
          <w:sz w:val="18"/>
          <w:szCs w:val="18"/>
          <w:color w:val="auto"/>
        </w:rPr>
      </w:pPr>
    </w:p>
    <w:p>
      <w:pPr>
        <w:ind w:left="1040" w:hanging="356"/>
        <w:spacing w:after="0"/>
        <w:tabs>
          <w:tab w:leader="none" w:pos="10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“Base Price” means the price to be used as the basis for determining the Spread upon the exercise of an Appreciation Right.</w:t>
      </w:r>
    </w:p>
    <w:p>
      <w:pPr>
        <w:spacing w:after="0" w:line="239" w:lineRule="exact"/>
        <w:rPr>
          <w:sz w:val="20"/>
          <w:szCs w:val="20"/>
          <w:color w:val="auto"/>
        </w:rPr>
      </w:pPr>
    </w:p>
    <w:p>
      <w:pPr>
        <w:ind w:right="320" w:firstLine="657"/>
        <w:spacing w:after="0" w:line="277" w:lineRule="auto"/>
        <w:tabs>
          <w:tab w:leader="none" w:pos="10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“Beneficial Owner” or “Beneficial Ownership” has the meaning ascribed to such term in Rule 13d-3 of the General Rules and Regulations under the Exchange Act.</w:t>
      </w:r>
    </w:p>
    <w:p>
      <w:pPr>
        <w:spacing w:after="0" w:line="170" w:lineRule="exact"/>
        <w:rPr>
          <w:rFonts w:ascii="Arial" w:cs="Arial" w:eastAsia="Arial" w:hAnsi="Arial"/>
          <w:sz w:val="18"/>
          <w:szCs w:val="18"/>
          <w:color w:val="auto"/>
        </w:rPr>
      </w:pPr>
    </w:p>
    <w:p>
      <w:pPr>
        <w:ind w:left="1080" w:hanging="396"/>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“Board” means the Board of Directors of Inseego, as constituted from time to time.</w:t>
      </w:r>
    </w:p>
    <w:p>
      <w:pPr>
        <w:spacing w:after="0" w:line="238" w:lineRule="exact"/>
        <w:rPr>
          <w:rFonts w:ascii="Arial" w:cs="Arial" w:eastAsia="Arial" w:hAnsi="Arial"/>
          <w:sz w:val="18"/>
          <w:szCs w:val="18"/>
          <w:color w:val="auto"/>
        </w:rPr>
      </w:pPr>
    </w:p>
    <w:p>
      <w:pPr>
        <w:ind w:left="40" w:right="80" w:firstLine="644"/>
        <w:spacing w:after="0" w:line="342" w:lineRule="auto"/>
        <w:tabs>
          <w:tab w:leader="none" w:pos="1038" w:val="left"/>
        </w:tabs>
        <w:numPr>
          <w:ilvl w:val="1"/>
          <w:numId w:val="36"/>
        </w:numPr>
        <w:rPr>
          <w:rFonts w:ascii="Arial" w:cs="Arial" w:eastAsia="Arial" w:hAnsi="Arial"/>
          <w:sz w:val="16"/>
          <w:szCs w:val="16"/>
          <w:color w:val="auto"/>
        </w:rPr>
      </w:pPr>
      <w:r>
        <w:rPr>
          <w:rFonts w:ascii="Arial" w:cs="Arial" w:eastAsia="Arial" w:hAnsi="Arial"/>
          <w:sz w:val="16"/>
          <w:szCs w:val="16"/>
          <w:color w:val="auto"/>
        </w:rPr>
        <w:t>“Change in Control” means, except as may otherwise be provided in an Evidence of Award or in a Participant’s written employment agreement, change-in-control agreement, severance agreement, or other similar written agreement or arrangement, the first to occur of the following events:</w:t>
      </w:r>
    </w:p>
    <w:p>
      <w:pPr>
        <w:spacing w:after="0" w:line="137" w:lineRule="exact"/>
        <w:rPr>
          <w:rFonts w:ascii="Arial" w:cs="Arial" w:eastAsia="Arial" w:hAnsi="Arial"/>
          <w:sz w:val="16"/>
          <w:szCs w:val="16"/>
          <w:color w:val="auto"/>
        </w:rPr>
      </w:pPr>
    </w:p>
    <w:p>
      <w:pPr>
        <w:ind w:left="680" w:right="180" w:firstLine="653"/>
        <w:spacing w:after="0" w:line="277" w:lineRule="auto"/>
        <w:tabs>
          <w:tab w:leader="none" w:pos="1678"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Person is or becomes the Beneficial Owner of 50 percent or more of the combined voting power of the then-outstanding Voting Stock of Inseego; provided, however , that:</w:t>
      </w:r>
    </w:p>
    <w:p>
      <w:pPr>
        <w:spacing w:after="0" w:line="183" w:lineRule="exact"/>
        <w:rPr>
          <w:rFonts w:ascii="Arial" w:cs="Arial" w:eastAsia="Arial" w:hAnsi="Arial"/>
          <w:sz w:val="18"/>
          <w:szCs w:val="18"/>
          <w:color w:val="auto"/>
        </w:rPr>
      </w:pPr>
    </w:p>
    <w:p>
      <w:pPr>
        <w:jc w:val="both"/>
        <w:ind w:left="1340" w:right="160" w:firstLine="641"/>
        <w:spacing w:after="0" w:line="291" w:lineRule="auto"/>
        <w:tabs>
          <w:tab w:leader="none" w:pos="2378" w:val="left"/>
        </w:tabs>
        <w:numPr>
          <w:ilvl w:val="3"/>
          <w:numId w:val="36"/>
        </w:numPr>
        <w:rPr>
          <w:rFonts w:ascii="Arial" w:cs="Arial" w:eastAsia="Arial" w:hAnsi="Arial"/>
          <w:sz w:val="16"/>
          <w:szCs w:val="16"/>
          <w:color w:val="auto"/>
        </w:rPr>
      </w:pPr>
      <w:r>
        <w:rPr>
          <w:rFonts w:ascii="Arial" w:cs="Arial" w:eastAsia="Arial" w:hAnsi="Arial"/>
          <w:sz w:val="16"/>
          <w:szCs w:val="16"/>
          <w:color w:val="auto"/>
        </w:rPr>
        <w:t>the following acquisitions will not constitute a Change in Control: (A) any acquisition of Voting Stock of Inseego directly from Inseego that is approved by a majority of the Incumbent Directors, (B) any acquisition of Voting Stock of Inseego by the Company,</w:t>
      </w:r>
    </w:p>
    <w:p>
      <w:pPr>
        <w:ind w:left="1340" w:right="260"/>
        <w:spacing w:after="0" w:line="277" w:lineRule="auto"/>
        <w:rPr>
          <w:rFonts w:ascii="Arial" w:cs="Arial" w:eastAsia="Arial" w:hAnsi="Arial"/>
          <w:sz w:val="16"/>
          <w:szCs w:val="16"/>
          <w:color w:val="auto"/>
        </w:rPr>
      </w:pPr>
      <w:r>
        <w:rPr>
          <w:rFonts w:ascii="Arial" w:cs="Arial" w:eastAsia="Arial" w:hAnsi="Arial"/>
          <w:sz w:val="17"/>
          <w:szCs w:val="17"/>
          <w:color w:val="auto"/>
        </w:rPr>
        <w:t>(C) any acquisition of Voting Stock of Inseego by the trustee or other fiduciary holding securities under any employee benefit plan (or related trust) sponsored or maintained by the Company, and (D) any acquisition of Voting Stock of Inseego by any Person pursuant to a Business Transaction that complies with clauses (A), (B) and (C) of Section 2(i)(iii) below;</w:t>
      </w:r>
    </w:p>
    <w:p>
      <w:pPr>
        <w:spacing w:after="0" w:line="173" w:lineRule="exact"/>
        <w:rPr>
          <w:rFonts w:ascii="Arial" w:cs="Arial" w:eastAsia="Arial" w:hAnsi="Arial"/>
          <w:sz w:val="16"/>
          <w:szCs w:val="16"/>
          <w:color w:val="auto"/>
        </w:rPr>
      </w:pPr>
    </w:p>
    <w:p>
      <w:pPr>
        <w:ind w:left="1340" w:right="20" w:firstLine="641"/>
        <w:spacing w:after="0" w:line="302" w:lineRule="auto"/>
        <w:tabs>
          <w:tab w:leader="none" w:pos="2378" w:val="left"/>
        </w:tabs>
        <w:numPr>
          <w:ilvl w:val="3"/>
          <w:numId w:val="36"/>
        </w:numPr>
        <w:rPr>
          <w:rFonts w:ascii="Arial" w:cs="Arial" w:eastAsia="Arial" w:hAnsi="Arial"/>
          <w:sz w:val="16"/>
          <w:szCs w:val="16"/>
          <w:color w:val="auto"/>
        </w:rPr>
      </w:pPr>
      <w:r>
        <w:rPr>
          <w:rFonts w:ascii="Arial" w:cs="Arial" w:eastAsia="Arial" w:hAnsi="Arial"/>
          <w:sz w:val="16"/>
          <w:szCs w:val="16"/>
          <w:color w:val="auto"/>
        </w:rPr>
        <w:t>if any Person is or becomes the Beneficial Owner of 50 percent or more of the combined voting power of the then-outstanding Voting Stock of Inseego as a result of a transaction described in clause (A) of Section 2(i)(i)(1) above and such Person thereafter becomes the Beneficial Owner of any additional shares of Voting Stock of Inseego representing one percent or more of the then-outstanding Voting Stock of Inseego, other than in an acquisition directly from Inseego that is approved by a majority of the Incumbent</w:t>
      </w:r>
    </w:p>
    <w:p>
      <w:pPr>
        <w:sectPr>
          <w:pgSz w:w="11900" w:h="16838" w:orient="portrait"/>
          <w:cols w:equalWidth="0" w:num="1">
            <w:col w:w="11340"/>
          </w:cols>
          <w:pgMar w:left="320" w:top="580" w:right="239" w:bottom="1440" w:gutter="0" w:footer="0" w:header="0"/>
        </w:sectPr>
      </w:pPr>
    </w:p>
    <w:bookmarkStart w:id="105" w:name="page106"/>
    <w:bookmarkEnd w:id="105"/>
    <w:p>
      <w:pPr>
        <w:ind w:left="683" w:right="120"/>
        <w:spacing w:after="0" w:line="277" w:lineRule="auto"/>
        <w:rPr>
          <w:sz w:val="20"/>
          <w:szCs w:val="20"/>
          <w:color w:val="auto"/>
        </w:rPr>
      </w:pPr>
      <w:r>
        <w:rPr>
          <w:rFonts w:ascii="Arial" w:cs="Arial" w:eastAsia="Arial" w:hAnsi="Arial"/>
          <w:sz w:val="18"/>
          <w:szCs w:val="18"/>
          <w:color w:val="auto"/>
        </w:rPr>
        <w:t>Directors or other than as a result of a stock dividend, stock split or similar transaction effected by Inseego in which all holders of Voting Stock are treated equally, such subsequent acquisition will be treated as a Change in Control;</w:t>
      </w:r>
    </w:p>
    <w:p>
      <w:pPr>
        <w:spacing w:after="0" w:line="184" w:lineRule="exact"/>
        <w:rPr>
          <w:sz w:val="20"/>
          <w:szCs w:val="20"/>
          <w:color w:val="auto"/>
        </w:rPr>
      </w:pPr>
    </w:p>
    <w:p>
      <w:pPr>
        <w:ind w:left="643" w:right="20" w:firstLine="654"/>
        <w:spacing w:after="0" w:line="255" w:lineRule="auto"/>
        <w:tabs>
          <w:tab w:leader="none" w:pos="1681" w:val="left"/>
        </w:tabs>
        <w:numPr>
          <w:ilvl w:val="3"/>
          <w:numId w:val="37"/>
        </w:numPr>
        <w:rPr>
          <w:rFonts w:ascii="Arial" w:cs="Arial" w:eastAsia="Arial" w:hAnsi="Arial"/>
          <w:sz w:val="18"/>
          <w:szCs w:val="18"/>
          <w:color w:val="auto"/>
        </w:rPr>
      </w:pPr>
      <w:r>
        <w:rPr>
          <w:rFonts w:ascii="Arial" w:cs="Arial" w:eastAsia="Arial" w:hAnsi="Arial"/>
          <w:sz w:val="18"/>
          <w:szCs w:val="18"/>
          <w:color w:val="auto"/>
        </w:rPr>
        <w:t>a Change in Control will not be deemed to have occurred if a Person is or becomes the Beneficial Owner of 50 percent or more of the Voting Stock of Inseego as a result of a reduction in the number of shares of Voting Stock of Inseego outstanding pursuant to a transaction or series of transactions that is approved by a majority of the Incumbent Directors unless and until such Person thereafter becomes the Beneficial Owner of any additional shares of Voting Stock of Inseego representing one percent or more of the then-outstanding Voting Stock of Inseego, other than as a result of a stock dividend, stock split or similar transaction effected by Inseego in which all holders of Voting Stock are treated equally; and</w:t>
      </w:r>
    </w:p>
    <w:p>
      <w:pPr>
        <w:spacing w:after="0" w:line="206" w:lineRule="exact"/>
        <w:rPr>
          <w:rFonts w:ascii="Arial" w:cs="Arial" w:eastAsia="Arial" w:hAnsi="Arial"/>
          <w:sz w:val="18"/>
          <w:szCs w:val="18"/>
          <w:color w:val="auto"/>
        </w:rPr>
      </w:pPr>
    </w:p>
    <w:p>
      <w:pPr>
        <w:ind w:left="643" w:firstLine="654"/>
        <w:spacing w:after="0" w:line="302" w:lineRule="auto"/>
        <w:tabs>
          <w:tab w:leader="none" w:pos="1681" w:val="left"/>
        </w:tabs>
        <w:numPr>
          <w:ilvl w:val="3"/>
          <w:numId w:val="37"/>
        </w:numPr>
        <w:rPr>
          <w:rFonts w:ascii="Arial" w:cs="Arial" w:eastAsia="Arial" w:hAnsi="Arial"/>
          <w:sz w:val="16"/>
          <w:szCs w:val="16"/>
          <w:color w:val="auto"/>
        </w:rPr>
      </w:pPr>
      <w:r>
        <w:rPr>
          <w:rFonts w:ascii="Arial" w:cs="Arial" w:eastAsia="Arial" w:hAnsi="Arial"/>
          <w:sz w:val="16"/>
          <w:szCs w:val="16"/>
          <w:color w:val="auto"/>
        </w:rPr>
        <w:t>if at least a majority of the Incumbent Directors determine in good faith that a Person has acquired Beneficial Ownership of 50 percent or more of the Voting Stock of Inseego inadvertently, and such Person divests as promptly as practicable but no later than the date, if any, set by the Incumbent Board a sufficient number of shares so that such Person has Beneficial Ownership of less than 50 percent of the Voting Stock of Inseego, then no Change in Control will have occurred as a result of such Person’s acquisition; or</w:t>
      </w:r>
    </w:p>
    <w:p>
      <w:pPr>
        <w:spacing w:after="0" w:line="154" w:lineRule="exact"/>
        <w:rPr>
          <w:rFonts w:ascii="Arial" w:cs="Arial" w:eastAsia="Arial" w:hAnsi="Arial"/>
          <w:sz w:val="16"/>
          <w:szCs w:val="16"/>
          <w:color w:val="auto"/>
        </w:rPr>
      </w:pPr>
    </w:p>
    <w:p>
      <w:pPr>
        <w:ind w:left="1043" w:hanging="394"/>
        <w:spacing w:after="0"/>
        <w:tabs>
          <w:tab w:leader="none" w:pos="1043" w:val="left"/>
        </w:tabs>
        <w:numPr>
          <w:ilvl w:val="2"/>
          <w:numId w:val="38"/>
        </w:numPr>
        <w:rPr>
          <w:rFonts w:ascii="Arial" w:cs="Arial" w:eastAsia="Arial" w:hAnsi="Arial"/>
          <w:sz w:val="18"/>
          <w:szCs w:val="18"/>
          <w:color w:val="auto"/>
        </w:rPr>
      </w:pPr>
      <w:r>
        <w:rPr>
          <w:rFonts w:ascii="Arial" w:cs="Arial" w:eastAsia="Arial" w:hAnsi="Arial"/>
          <w:sz w:val="18"/>
          <w:szCs w:val="18"/>
          <w:color w:val="auto"/>
        </w:rPr>
        <w:t>a majority of the Board ceases to be comprised of Incumbent Directors; or</w:t>
      </w:r>
    </w:p>
    <w:p>
      <w:pPr>
        <w:spacing w:after="0" w:line="238" w:lineRule="exact"/>
        <w:rPr>
          <w:rFonts w:ascii="Arial" w:cs="Arial" w:eastAsia="Arial" w:hAnsi="Arial"/>
          <w:sz w:val="18"/>
          <w:szCs w:val="18"/>
          <w:color w:val="auto"/>
        </w:rPr>
      </w:pPr>
    </w:p>
    <w:p>
      <w:pPr>
        <w:ind w:left="3" w:firstLine="646"/>
        <w:spacing w:after="0" w:line="268" w:lineRule="auto"/>
        <w:tabs>
          <w:tab w:leader="none" w:pos="1101" w:val="left"/>
        </w:tabs>
        <w:numPr>
          <w:ilvl w:val="2"/>
          <w:numId w:val="38"/>
        </w:numPr>
        <w:rPr>
          <w:rFonts w:ascii="Arial" w:cs="Arial" w:eastAsia="Arial" w:hAnsi="Arial"/>
          <w:sz w:val="17"/>
          <w:szCs w:val="17"/>
          <w:color w:val="auto"/>
        </w:rPr>
      </w:pPr>
      <w:r>
        <w:rPr>
          <w:rFonts w:ascii="Arial" w:cs="Arial" w:eastAsia="Arial" w:hAnsi="Arial"/>
          <w:sz w:val="17"/>
          <w:szCs w:val="17"/>
          <w:color w:val="auto"/>
        </w:rPr>
        <w:t>the consummation of a reorganization, merger or consolidation, or sale or other disposition of all or substantially all of the assets of Inseego or the acquisition of the stock or assets of another corporation, or other transaction (each, a “Business Transaction”), unless, in each case, immediately following such Business Transaction (A) the Voting Stock of Inseego outstanding immediately prior to such Business Transaction continues to represent (either by remaining outstanding or by being converted into Voting Stock of the surviving entity or any parent thereof), more than 50 percent of the combined voting power of the then outstanding shares of Voting Stock of the entity resulting from such Business Transaction (including, without limitation, an entity which as a result of such transaction owns Inseego or all or substantially all of Inseego’s assets either directly or through one or more subsidiaries) in substantially the same proportions relative to each other as their ownership, immediately prior to such Business Transaction, of the Voting Stock of Inseego, (B) no Person (other than Inseego, such entity resulting from such Business Transaction, or any employee benefit plan (or related trust) sponsored or maintained by the Company or such entity resulting from such Business Transaction) has Beneficial Ownership, directly or indirectly, of 50 percent or more of the combined voting power of the then outstanding shares of Voting Stock of the entity resulting from such Business Transaction, and (C) at least a majority of the members of the Board of Directors of the entity resulting from such Business Transaction were Incumbent Directors at the time of the execution of the initial agreement or of the action of the Board providing for such Business Transaction; or</w:t>
      </w:r>
    </w:p>
    <w:p>
      <w:pPr>
        <w:spacing w:after="0" w:line="187" w:lineRule="exact"/>
        <w:rPr>
          <w:rFonts w:ascii="Arial" w:cs="Arial" w:eastAsia="Arial" w:hAnsi="Arial"/>
          <w:sz w:val="17"/>
          <w:szCs w:val="17"/>
          <w:color w:val="auto"/>
        </w:rPr>
      </w:pPr>
    </w:p>
    <w:p>
      <w:pPr>
        <w:ind w:left="3" w:right="780" w:firstLine="646"/>
        <w:spacing w:after="0" w:line="277" w:lineRule="auto"/>
        <w:tabs>
          <w:tab w:leader="none" w:pos="1091" w:val="left"/>
        </w:tabs>
        <w:numPr>
          <w:ilvl w:val="2"/>
          <w:numId w:val="38"/>
        </w:numPr>
        <w:rPr>
          <w:rFonts w:ascii="Arial" w:cs="Arial" w:eastAsia="Arial" w:hAnsi="Arial"/>
          <w:sz w:val="18"/>
          <w:szCs w:val="18"/>
          <w:color w:val="auto"/>
        </w:rPr>
      </w:pPr>
      <w:r>
        <w:rPr>
          <w:rFonts w:ascii="Arial" w:cs="Arial" w:eastAsia="Arial" w:hAnsi="Arial"/>
          <w:sz w:val="18"/>
          <w:szCs w:val="18"/>
          <w:color w:val="auto"/>
        </w:rPr>
        <w:t>approval by the stockholders of Inseego of a complete liquidation or dissolution of Inseego, except pursuant to a Business Transaction that complies with clauses (A), (B) and (C) of Section 2(i)(iii).</w:t>
      </w:r>
    </w:p>
    <w:p>
      <w:pPr>
        <w:spacing w:after="0" w:line="170" w:lineRule="exact"/>
        <w:rPr>
          <w:rFonts w:ascii="Arial" w:cs="Arial" w:eastAsia="Arial" w:hAnsi="Arial"/>
          <w:sz w:val="18"/>
          <w:szCs w:val="18"/>
          <w:color w:val="auto"/>
        </w:rPr>
      </w:pPr>
    </w:p>
    <w:p>
      <w:pPr>
        <w:ind w:left="-657" w:right="100" w:firstLine="657"/>
        <w:spacing w:after="0" w:line="277" w:lineRule="auto"/>
        <w:tabs>
          <w:tab w:leader="none" w:pos="3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promulgated thereunder, as such law and regulations may be amended from time to time.</w:t>
      </w:r>
    </w:p>
    <w:p>
      <w:pPr>
        <w:spacing w:after="0" w:line="183" w:lineRule="exact"/>
        <w:rPr>
          <w:rFonts w:ascii="Arial" w:cs="Arial" w:eastAsia="Arial" w:hAnsi="Arial"/>
          <w:sz w:val="18"/>
          <w:szCs w:val="18"/>
          <w:color w:val="auto"/>
        </w:rPr>
      </w:pPr>
    </w:p>
    <w:p>
      <w:pPr>
        <w:ind w:left="-657" w:right="80" w:firstLine="657"/>
        <w:spacing w:after="0" w:line="277" w:lineRule="auto"/>
        <w:tabs>
          <w:tab w:leader="none" w:pos="3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“Committee” means a committee consisting of one or more members of the Board that is appointed by the Board (as described in Section 12) to administer the Plan.</w:t>
      </w:r>
    </w:p>
    <w:p>
      <w:pPr>
        <w:spacing w:after="0" w:line="183" w:lineRule="exact"/>
        <w:rPr>
          <w:rFonts w:ascii="Arial" w:cs="Arial" w:eastAsia="Arial" w:hAnsi="Arial"/>
          <w:sz w:val="18"/>
          <w:szCs w:val="18"/>
          <w:color w:val="auto"/>
        </w:rPr>
      </w:pPr>
    </w:p>
    <w:p>
      <w:pPr>
        <w:ind w:left="343" w:hanging="343"/>
        <w:spacing w:after="0"/>
        <w:tabs>
          <w:tab w:leader="none" w:pos="3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“Company” means, collectively, Inseego and its Subsidiaries.</w:t>
      </w:r>
    </w:p>
    <w:p>
      <w:pPr>
        <w:spacing w:after="0" w:line="225" w:lineRule="exact"/>
        <w:rPr>
          <w:rFonts w:ascii="Arial" w:cs="Arial" w:eastAsia="Arial" w:hAnsi="Arial"/>
          <w:sz w:val="18"/>
          <w:szCs w:val="18"/>
          <w:color w:val="auto"/>
        </w:rPr>
      </w:pPr>
    </w:p>
    <w:p>
      <w:pPr>
        <w:ind w:left="443" w:hanging="443"/>
        <w:spacing w:after="0"/>
        <w:tabs>
          <w:tab w:leader="none" w:pos="4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“Consultant” means an individual who performs bona fide services to the Company or an Affiliate, other than as an Employee or Director.</w:t>
      </w:r>
    </w:p>
    <w:p>
      <w:pPr>
        <w:spacing w:after="0" w:line="261" w:lineRule="exact"/>
        <w:rPr>
          <w:rFonts w:ascii="Arial" w:cs="Arial" w:eastAsia="Arial" w:hAnsi="Arial"/>
          <w:sz w:val="16"/>
          <w:szCs w:val="16"/>
          <w:color w:val="auto"/>
        </w:rPr>
      </w:pPr>
    </w:p>
    <w:p>
      <w:pPr>
        <w:ind w:left="-617" w:right="360" w:firstLine="644"/>
        <w:spacing w:after="0" w:line="277" w:lineRule="auto"/>
        <w:tabs>
          <w:tab w:leader="none" w:pos="4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“Covered Employee” means a Participant who is, or is determined by the Board to be likely to become, a “covered employee” within the meaning of Section 162(m) of the Code (or any successor provision).</w:t>
      </w:r>
    </w:p>
    <w:p>
      <w:pPr>
        <w:spacing w:after="0" w:line="183" w:lineRule="exact"/>
        <w:rPr>
          <w:rFonts w:ascii="Arial" w:cs="Arial" w:eastAsia="Arial" w:hAnsi="Arial"/>
          <w:sz w:val="18"/>
          <w:szCs w:val="18"/>
          <w:color w:val="auto"/>
        </w:rPr>
      </w:pPr>
    </w:p>
    <w:p>
      <w:pPr>
        <w:ind w:left="-617" w:right="300" w:firstLine="644"/>
        <w:spacing w:after="0" w:line="277" w:lineRule="auto"/>
        <w:tabs>
          <w:tab w:leader="none" w:pos="4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“Date of Grant” means the date specified by the Board on which a grant of an Award will become effective (which date will not be earlier than the date on which the Board takes action with respect thereto).</w:t>
      </w:r>
    </w:p>
    <w:p>
      <w:pPr>
        <w:sectPr>
          <w:pgSz w:w="11900" w:h="16838" w:orient="portrait"/>
          <w:cols w:equalWidth="0" w:num="1">
            <w:col w:w="10643"/>
          </w:cols>
          <w:pgMar w:left="977" w:top="584" w:right="279" w:bottom="1440" w:gutter="0" w:footer="0" w:header="0"/>
        </w:sectPr>
      </w:pPr>
    </w:p>
    <w:bookmarkStart w:id="106" w:name="page107"/>
    <w:bookmarkEnd w:id="106"/>
    <w:p>
      <w:pPr>
        <w:ind w:left="400" w:hanging="396"/>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 means a member of the Board of Directors of Inseego.</w:t>
      </w:r>
    </w:p>
    <w:p>
      <w:pPr>
        <w:spacing w:after="0" w:line="225" w:lineRule="exact"/>
        <w:rPr>
          <w:rFonts w:ascii="Arial" w:cs="Arial" w:eastAsia="Arial" w:hAnsi="Arial"/>
          <w:sz w:val="18"/>
          <w:szCs w:val="18"/>
          <w:color w:val="auto"/>
        </w:rPr>
      </w:pPr>
    </w:p>
    <w:p>
      <w:pPr>
        <w:ind w:left="400" w:hanging="396"/>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“EBIT” means earnings before interest and taxes.</w:t>
      </w:r>
    </w:p>
    <w:p>
      <w:pPr>
        <w:spacing w:after="0" w:line="225" w:lineRule="exact"/>
        <w:rPr>
          <w:rFonts w:ascii="Arial" w:cs="Arial" w:eastAsia="Arial" w:hAnsi="Arial"/>
          <w:sz w:val="18"/>
          <w:szCs w:val="18"/>
          <w:color w:val="auto"/>
        </w:rPr>
      </w:pPr>
    </w:p>
    <w:p>
      <w:pPr>
        <w:ind w:left="360" w:hanging="356"/>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25" w:lineRule="exact"/>
        <w:rPr>
          <w:rFonts w:ascii="Arial" w:cs="Arial" w:eastAsia="Arial" w:hAnsi="Arial"/>
          <w:sz w:val="18"/>
          <w:szCs w:val="18"/>
          <w:color w:val="auto"/>
        </w:rPr>
      </w:pPr>
    </w:p>
    <w:p>
      <w:pPr>
        <w:ind w:left="380" w:hanging="376"/>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“EBT” means earnings before taxes.</w:t>
      </w:r>
    </w:p>
    <w:p>
      <w:pPr>
        <w:spacing w:after="0" w:line="225" w:lineRule="exact"/>
        <w:rPr>
          <w:rFonts w:ascii="Arial" w:cs="Arial" w:eastAsia="Arial" w:hAnsi="Arial"/>
          <w:sz w:val="18"/>
          <w:szCs w:val="18"/>
          <w:color w:val="auto"/>
        </w:rPr>
      </w:pPr>
    </w:p>
    <w:p>
      <w:pPr>
        <w:ind w:left="360" w:hanging="356"/>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 Date” means June 18, 2009.</w:t>
      </w:r>
    </w:p>
    <w:p>
      <w:pPr>
        <w:spacing w:after="0" w:line="238" w:lineRule="exact"/>
        <w:rPr>
          <w:rFonts w:ascii="Arial" w:cs="Arial" w:eastAsia="Arial" w:hAnsi="Arial"/>
          <w:sz w:val="18"/>
          <w:szCs w:val="18"/>
          <w:color w:val="auto"/>
        </w:rPr>
      </w:pPr>
    </w:p>
    <w:p>
      <w:pPr>
        <w:ind w:left="400" w:hanging="396"/>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“Employee” means an individual who is an employee of the Company or an Affiliate.</w:t>
      </w:r>
    </w:p>
    <w:p>
      <w:pPr>
        <w:spacing w:after="0" w:line="238" w:lineRule="exact"/>
        <w:rPr>
          <w:rFonts w:ascii="Arial" w:cs="Arial" w:eastAsia="Arial" w:hAnsi="Arial"/>
          <w:sz w:val="18"/>
          <w:szCs w:val="18"/>
          <w:color w:val="auto"/>
        </w:rPr>
      </w:pPr>
    </w:p>
    <w:p>
      <w:pPr>
        <w:ind w:left="-640" w:right="40" w:firstLine="644"/>
        <w:spacing w:after="0" w:line="312" w:lineRule="auto"/>
        <w:tabs>
          <w:tab w:leader="none" w:pos="398"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“Evidence of Award” means an agreement, certificate, resolution, notification or other type or form of writing or other evidence approved by the Board that sets forth the terms and conditions of the Awards granted. An Evidence of Award may be in an electronic medium, may be limited to notation on the books and records of Inseego and, unless otherwise determined by the Board, need not be signed by a representative of Inseego or a Participant.</w:t>
      </w:r>
    </w:p>
    <w:p>
      <w:pPr>
        <w:spacing w:after="0" w:line="146" w:lineRule="exact"/>
        <w:rPr>
          <w:rFonts w:ascii="Arial" w:cs="Arial" w:eastAsia="Arial" w:hAnsi="Arial"/>
          <w:sz w:val="16"/>
          <w:szCs w:val="16"/>
          <w:color w:val="auto"/>
        </w:rPr>
      </w:pPr>
    </w:p>
    <w:p>
      <w:pPr>
        <w:ind w:left="-640" w:right="320" w:firstLine="644"/>
        <w:spacing w:after="0" w:line="277" w:lineRule="auto"/>
        <w:tabs>
          <w:tab w:leader="none" w:pos="4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the rules and regulations thereunder, as such law, rules and regulations may be amended from time to time.</w:t>
      </w:r>
    </w:p>
    <w:p>
      <w:pPr>
        <w:spacing w:after="0" w:line="183" w:lineRule="exact"/>
        <w:rPr>
          <w:rFonts w:ascii="Arial" w:cs="Arial" w:eastAsia="Arial" w:hAnsi="Arial"/>
          <w:sz w:val="18"/>
          <w:szCs w:val="18"/>
          <w:color w:val="auto"/>
        </w:rPr>
      </w:pPr>
    </w:p>
    <w:p>
      <w:pPr>
        <w:ind w:left="400" w:hanging="396"/>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“GAAP” means accounting principles generally accepted in the United States of America as in effect from time to time.</w:t>
      </w:r>
    </w:p>
    <w:p>
      <w:pPr>
        <w:spacing w:after="0" w:line="238" w:lineRule="exact"/>
        <w:rPr>
          <w:rFonts w:ascii="Arial" w:cs="Arial" w:eastAsia="Arial" w:hAnsi="Arial"/>
          <w:sz w:val="18"/>
          <w:szCs w:val="18"/>
          <w:color w:val="auto"/>
        </w:rPr>
      </w:pPr>
    </w:p>
    <w:p>
      <w:pPr>
        <w:ind w:left="-640" w:right="20" w:firstLine="644"/>
        <w:spacing w:after="0" w:line="277" w:lineRule="auto"/>
        <w:tabs>
          <w:tab w:leader="none" w:pos="3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“Incentive Stock Options” means Option Rights that are intended to qualify as “incentive stock options” under Section 422 of the Code or any successor provision.</w:t>
      </w:r>
    </w:p>
    <w:p>
      <w:pPr>
        <w:spacing w:after="0" w:line="183" w:lineRule="exact"/>
        <w:rPr>
          <w:rFonts w:ascii="Arial" w:cs="Arial" w:eastAsia="Arial" w:hAnsi="Arial"/>
          <w:sz w:val="18"/>
          <w:szCs w:val="18"/>
          <w:color w:val="auto"/>
        </w:rPr>
      </w:pPr>
    </w:p>
    <w:p>
      <w:pPr>
        <w:ind w:left="-640" w:firstLine="644"/>
        <w:spacing w:after="0" w:line="273" w:lineRule="auto"/>
        <w:tabs>
          <w:tab w:leader="none" w:pos="388"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“Incumbent Directors” means the individuals who, as of the date hereof, are Directors of Inseego and any individual becoming a Director subsequent to the date hereof whose election, nomination for election by Inseego’s stockholders, or appointment, was approved by a vote of at least two-thirds of the then Incumbent Directors (either by a specific vote or by approval of the proxy statement of Inseego in which such person is named as a nominee for director, without objection to such nomination); provided , however , that an individual will not be an Incumbent Director if such individual’s election or appointment to the Board occurs as a result of an actual or threatened election contest with respect to the election or removal of Directors or other actual or threatened solicitation of proxies or consents by or on behalf of a Person other than the Board.</w:t>
      </w:r>
    </w:p>
    <w:p>
      <w:pPr>
        <w:spacing w:after="0" w:line="192" w:lineRule="exact"/>
        <w:rPr>
          <w:sz w:val="20"/>
          <w:szCs w:val="20"/>
          <w:color w:val="auto"/>
        </w:rPr>
      </w:pPr>
    </w:p>
    <w:p>
      <w:pPr>
        <w:ind w:left="460" w:hanging="456"/>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“Inseego” means Inseego Corp., a Delaware corporation, and any successors thereto.</w:t>
      </w:r>
    </w:p>
    <w:p>
      <w:pPr>
        <w:spacing w:after="0" w:line="238" w:lineRule="exact"/>
        <w:rPr>
          <w:rFonts w:ascii="Arial" w:cs="Arial" w:eastAsia="Arial" w:hAnsi="Arial"/>
          <w:sz w:val="18"/>
          <w:szCs w:val="18"/>
          <w:color w:val="auto"/>
        </w:rPr>
      </w:pPr>
    </w:p>
    <w:p>
      <w:pPr>
        <w:ind w:left="-640" w:firstLine="644"/>
        <w:spacing w:after="0" w:line="255" w:lineRule="auto"/>
        <w:tabs>
          <w:tab w:leader="none" w:pos="4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Objectives” means the performance objective or objectives established pursuant to the Plan for Participants who have received grants of Annual Incentive Awards, Performance Shares or Performance Units or, when so determined by the Board, Option Rights, Appreciation Rights, Restricted Stock, Restricted Stock Units, dividend equivalents or Other Awards pursuant to the Plan. Management Objectives may be described in terms of Inseego-wide objectives or objectives that are related to the performance of the individual Participant or a Subsidiary, division, business unit, region or function within Inseego or any Subsidiary. The Management Objectives may be made relative to the performance of other companies. The Management Objectives applicable to any Qualified Performance-Based Award to a Covered Employee will be based on specified levels of or changes in one or more of the following criteria:</w:t>
      </w:r>
    </w:p>
    <w:p>
      <w:pPr>
        <w:spacing w:after="0" w:line="198" w:lineRule="exact"/>
        <w:rPr>
          <w:rFonts w:ascii="Arial" w:cs="Arial" w:eastAsia="Arial" w:hAnsi="Arial"/>
          <w:sz w:val="18"/>
          <w:szCs w:val="18"/>
          <w:color w:val="auto"/>
        </w:rPr>
      </w:pPr>
    </w:p>
    <w:p>
      <w:pPr>
        <w:ind w:left="1000" w:hanging="347"/>
        <w:spacing w:after="0"/>
        <w:tabs>
          <w:tab w:leader="none" w:pos="1000"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Profits: </w:t>
      </w:r>
      <w:r>
        <w:rPr>
          <w:rFonts w:ascii="Arial" w:cs="Arial" w:eastAsia="Arial" w:hAnsi="Arial"/>
          <w:sz w:val="16"/>
          <w:szCs w:val="16"/>
          <w:color w:val="auto"/>
        </w:rPr>
        <w:t>Operating income, EBIT, EBT, net income, cash net income, earnings per share, residual or economic earnings or economic</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profit;</w:t>
      </w:r>
    </w:p>
    <w:p>
      <w:pPr>
        <w:spacing w:after="0" w:line="220" w:lineRule="exact"/>
        <w:rPr>
          <w:rFonts w:ascii="Arial" w:cs="Arial" w:eastAsia="Arial" w:hAnsi="Arial"/>
          <w:sz w:val="16"/>
          <w:szCs w:val="16"/>
          <w:color w:val="auto"/>
        </w:rPr>
      </w:pPr>
    </w:p>
    <w:p>
      <w:pPr>
        <w:ind w:right="440" w:firstLine="653"/>
        <w:spacing w:after="0" w:line="266" w:lineRule="auto"/>
        <w:tabs>
          <w:tab w:leader="none" w:pos="1048"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EBITDA, free cash flow, free cash flow with or without specific capital expenditure targets or ranges, including 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divestments and/or acquisitions, total cash flow, cash flow in excess of cost of capital, residual cash flow or cash flow return on investment;</w:t>
      </w:r>
    </w:p>
    <w:p>
      <w:pPr>
        <w:spacing w:after="0" w:line="189" w:lineRule="exact"/>
        <w:rPr>
          <w:rFonts w:ascii="Arial" w:cs="Arial" w:eastAsia="Arial" w:hAnsi="Arial"/>
          <w:sz w:val="18"/>
          <w:szCs w:val="18"/>
          <w:color w:val="auto"/>
        </w:rPr>
      </w:pPr>
    </w:p>
    <w:p>
      <w:pPr>
        <w:ind w:left="1100" w:hanging="447"/>
        <w:spacing w:after="0"/>
        <w:tabs>
          <w:tab w:leader="none" w:pos="1100"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Returns: </w:t>
      </w:r>
      <w:r>
        <w:rPr>
          <w:rFonts w:ascii="Arial" w:cs="Arial" w:eastAsia="Arial" w:hAnsi="Arial"/>
          <w:sz w:val="16"/>
          <w:szCs w:val="16"/>
          <w:color w:val="auto"/>
        </w:rPr>
        <w:t>Economic value added (EVA) or profits or cash flow returns on: sales, assets, invested capital, net capital employed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equity;</w:t>
      </w:r>
    </w:p>
    <w:p>
      <w:pPr>
        <w:spacing w:after="0" w:line="220" w:lineRule="exact"/>
        <w:rPr>
          <w:rFonts w:ascii="Arial" w:cs="Arial" w:eastAsia="Arial" w:hAnsi="Arial"/>
          <w:sz w:val="16"/>
          <w:szCs w:val="16"/>
          <w:color w:val="auto"/>
        </w:rPr>
      </w:pPr>
    </w:p>
    <w:p>
      <w:pPr>
        <w:ind w:left="1100" w:hanging="447"/>
        <w:spacing w:after="0"/>
        <w:tabs>
          <w:tab w:leader="none" w:pos="1100" w:val="left"/>
        </w:tabs>
        <w:numPr>
          <w:ilvl w:val="1"/>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Working capital divided by sales, days’ sales outstanding, days’ sales inventory or days’ sales in payables;</w:t>
      </w:r>
    </w:p>
    <w:p>
      <w:pPr>
        <w:sectPr>
          <w:pgSz w:w="11900" w:h="16838" w:orient="portrait"/>
          <w:cols w:equalWidth="0" w:num="1">
            <w:col w:w="10660"/>
          </w:cols>
          <w:pgMar w:left="1000" w:top="584" w:right="239" w:bottom="1440" w:gutter="0" w:footer="0" w:header="0"/>
        </w:sectPr>
      </w:pPr>
    </w:p>
    <w:bookmarkStart w:id="107" w:name="page108"/>
    <w:bookmarkEnd w:id="107"/>
    <w:p>
      <w:pPr>
        <w:ind w:left="644" w:right="300" w:firstLine="653"/>
        <w:spacing w:after="0" w:line="282" w:lineRule="auto"/>
        <w:tabs>
          <w:tab w:leader="none" w:pos="168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Profit Margins: </w:t>
      </w:r>
      <w:r>
        <w:rPr>
          <w:rFonts w:ascii="Arial" w:cs="Arial" w:eastAsia="Arial" w:hAnsi="Arial"/>
          <w:sz w:val="18"/>
          <w:szCs w:val="18"/>
          <w:color w:val="auto"/>
        </w:rPr>
        <w:t>Profits divided by revenues or sales, gross margins divided by revenues or sales, or operating margin divided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or sales;</w:t>
      </w:r>
    </w:p>
    <w:p>
      <w:pPr>
        <w:spacing w:after="0" w:line="202" w:lineRule="exact"/>
        <w:rPr>
          <w:sz w:val="20"/>
          <w:szCs w:val="20"/>
          <w:color w:val="auto"/>
        </w:rPr>
      </w:pPr>
    </w:p>
    <w:p>
      <w:pPr>
        <w:ind w:left="1704" w:hanging="434"/>
        <w:spacing w:after="0"/>
        <w:tabs>
          <w:tab w:leader="none" w:pos="1704"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Liquidity Measures: </w:t>
      </w:r>
      <w:r>
        <w:rPr>
          <w:rFonts w:ascii="Arial" w:cs="Arial" w:eastAsia="Arial" w:hAnsi="Arial"/>
          <w:sz w:val="18"/>
          <w:szCs w:val="18"/>
          <w:color w:val="auto"/>
        </w:rPr>
        <w:t>Debt-to-capital ratios, debt-to-EBITDA ratios or total debt;</w:t>
      </w:r>
    </w:p>
    <w:p>
      <w:pPr>
        <w:spacing w:after="0" w:line="306" w:lineRule="exact"/>
        <w:rPr>
          <w:rFonts w:ascii="Arial" w:cs="Arial" w:eastAsia="Arial" w:hAnsi="Arial"/>
          <w:sz w:val="18"/>
          <w:szCs w:val="18"/>
          <w:color w:val="auto"/>
        </w:rPr>
      </w:pPr>
    </w:p>
    <w:p>
      <w:pPr>
        <w:ind w:left="624" w:right="160" w:firstLine="646"/>
        <w:spacing w:after="0" w:line="314" w:lineRule="auto"/>
        <w:tabs>
          <w:tab w:leader="none" w:pos="1762"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Sales Growth, Margin Growth, Unit Growth, Cost Initiative and Stock Price Metrics: </w:t>
      </w:r>
      <w:r>
        <w:rPr>
          <w:rFonts w:ascii="Arial" w:cs="Arial" w:eastAsia="Arial" w:hAnsi="Arial"/>
          <w:sz w:val="16"/>
          <w:szCs w:val="16"/>
          <w:color w:val="auto"/>
        </w:rPr>
        <w:t>Revenues, revenue growth, sales, sales</w:t>
      </w:r>
      <w:r>
        <w:rPr>
          <w:rFonts w:ascii="Arial" w:cs="Arial" w:eastAsia="Arial" w:hAnsi="Arial"/>
          <w:sz w:val="16"/>
          <w:szCs w:val="16"/>
          <w:b w:val="1"/>
          <w:bCs w:val="1"/>
          <w:color w:val="auto"/>
        </w:rPr>
        <w:t xml:space="preserve"> </w:t>
      </w:r>
      <w:r>
        <w:rPr>
          <w:rFonts w:ascii="Arial" w:cs="Arial" w:eastAsia="Arial" w:hAnsi="Arial"/>
          <w:sz w:val="16"/>
          <w:szCs w:val="16"/>
          <w:color w:val="auto"/>
        </w:rPr>
        <w:t>growth, gross margin, operating margin, shipment volume, unit growth, stock price appreciation, total return to stockholders, expense targets, productivity targets or ratios, sales and administrative expenses divided by sales, or sales and administrative expenses divided by profits; and</w:t>
      </w:r>
    </w:p>
    <w:p>
      <w:pPr>
        <w:spacing w:after="0" w:line="155" w:lineRule="exact"/>
        <w:rPr>
          <w:rFonts w:ascii="Arial" w:cs="Arial" w:eastAsia="Arial" w:hAnsi="Arial"/>
          <w:sz w:val="16"/>
          <w:szCs w:val="16"/>
          <w:color w:val="auto"/>
        </w:rPr>
      </w:pPr>
    </w:p>
    <w:p>
      <w:pPr>
        <w:ind w:left="644" w:right="120" w:firstLine="653"/>
        <w:spacing w:after="0" w:line="303" w:lineRule="auto"/>
        <w:tabs>
          <w:tab w:leader="none" w:pos="1832" w:val="left"/>
        </w:tabs>
        <w:numPr>
          <w:ilvl w:val="1"/>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Strategic Initiative Key Deliverable Metrics: </w:t>
      </w:r>
      <w:r>
        <w:rPr>
          <w:rFonts w:ascii="Arial" w:cs="Arial" w:eastAsia="Arial" w:hAnsi="Arial"/>
          <w:sz w:val="16"/>
          <w:szCs w:val="16"/>
          <w:color w:val="auto"/>
        </w:rPr>
        <w:t>Consisting of one or more of the following: product development or launch,</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strategic partnering, research and development, regulatory compliance or submissions, vitality or sustainability index, market share or penetration, geographic business expansion goals, customer satisfaction, employee satisfaction, management of employment practices and employee benefits, supervision of litigation and information technology, or goals relating to acquisitions or divestitures of subsidiaries, affiliates or joint ventures.</w:t>
      </w:r>
    </w:p>
    <w:p>
      <w:pPr>
        <w:spacing w:after="0" w:line="169" w:lineRule="exact"/>
        <w:rPr>
          <w:sz w:val="20"/>
          <w:szCs w:val="20"/>
          <w:color w:val="auto"/>
        </w:rPr>
      </w:pPr>
    </w:p>
    <w:p>
      <w:pPr>
        <w:ind w:left="4" w:right="100" w:firstLine="648"/>
        <w:spacing w:after="0" w:line="288" w:lineRule="auto"/>
        <w:rPr>
          <w:sz w:val="20"/>
          <w:szCs w:val="20"/>
          <w:color w:val="auto"/>
        </w:rPr>
      </w:pPr>
      <w:r>
        <w:rPr>
          <w:rFonts w:ascii="Arial" w:cs="Arial" w:eastAsia="Arial" w:hAnsi="Arial"/>
          <w:sz w:val="16"/>
          <w:szCs w:val="16"/>
          <w:color w:val="auto"/>
        </w:rPr>
        <w:t>At the Board’s discretion, any Management Objective may be measured before special items, and may or may not be determined in accordance with GAAP. The Board shall have the authority to make equitable adjustments to the Management Objectives (and to the related minimum, target and maximum levels of achievement or performance) as follows: in recognition of unusual or non-recurring events affecting Inseego or any Subsidiary or Affiliate or the financial statements of Inseego or any Subsidiary or Affiliate; in response to changes in applicable laws or regulations; to account for items of gain, loss or expense determined to be extraordinary or unusual in nature or infrequent in occurrence or related to the disposal of a segment of a business or related to a change in accounting principles; or in recognition of any events or circumstances (including, without limitation, changes in the business, operations, corporate or capital structure of the Company or the manner in which it conducts its business) that render the Management Objectives unsuitable; provided , however , that no such adjustment shall be made to any Management Objective applicable to a Qualified Performance-Based Award to the extent such adjustment would cause such Award to fail to meet the requirements for “qualified performance-based compensation” under Section 162(m) of the Code, unless the Board determines that the satisfaction of such requirements is neither necessary or appropriate.</w:t>
      </w:r>
    </w:p>
    <w:p>
      <w:pPr>
        <w:spacing w:after="0" w:line="183" w:lineRule="exact"/>
        <w:rPr>
          <w:sz w:val="20"/>
          <w:szCs w:val="20"/>
          <w:color w:val="auto"/>
        </w:rPr>
      </w:pPr>
    </w:p>
    <w:p>
      <w:pPr>
        <w:ind w:left="4" w:firstLine="644"/>
        <w:spacing w:after="0" w:line="273" w:lineRule="auto"/>
        <w:tabs>
          <w:tab w:leader="none" w:pos="1112" w:val="left"/>
        </w:tabs>
        <w:numPr>
          <w:ilvl w:val="2"/>
          <w:numId w:val="44"/>
        </w:numPr>
        <w:rPr>
          <w:rFonts w:ascii="Arial" w:cs="Arial" w:eastAsia="Arial" w:hAnsi="Arial"/>
          <w:sz w:val="17"/>
          <w:szCs w:val="17"/>
          <w:color w:val="auto"/>
        </w:rPr>
      </w:pPr>
      <w:r>
        <w:rPr>
          <w:rFonts w:ascii="Arial" w:cs="Arial" w:eastAsia="Arial" w:hAnsi="Arial"/>
          <w:sz w:val="17"/>
          <w:szCs w:val="17"/>
          <w:color w:val="auto"/>
        </w:rPr>
        <w:t>“Market Value Per Share” means as of any particular date the closing sale price of a Share as reported on the Nasdaq Stock Market or, if not listed on such exchange, on any other national securities exchange on which the Shares are listed. If the Shares are not traded as of any given date, the Market Value Per Share means the closing price for the Shares on the principal exchange on which the Shares are traded for the immediately preceding date on which the Shares were traded. If there is no regular public trading market for the Shares, the Market Value Per Share of the Shares shall be the fair market value of the Shares as determined in good faith by the Board. The Board is authorized to adopt another fair market value pricing method, provided such method is in compliance with the fair market value pricing rules set forth in Section 409A of the Code.</w:t>
      </w:r>
    </w:p>
    <w:p>
      <w:pPr>
        <w:spacing w:after="0" w:line="191" w:lineRule="exact"/>
        <w:rPr>
          <w:rFonts w:ascii="Arial" w:cs="Arial" w:eastAsia="Arial" w:hAnsi="Arial"/>
          <w:sz w:val="17"/>
          <w:szCs w:val="17"/>
          <w:color w:val="auto"/>
        </w:rPr>
      </w:pPr>
    </w:p>
    <w:p>
      <w:pPr>
        <w:ind w:left="1124" w:hanging="476"/>
        <w:spacing w:after="0"/>
        <w:tabs>
          <w:tab w:leader="none" w:pos="1124" w:val="left"/>
        </w:tabs>
        <w:numPr>
          <w:ilvl w:val="2"/>
          <w:numId w:val="44"/>
        </w:numPr>
        <w:rPr>
          <w:rFonts w:ascii="Arial" w:cs="Arial" w:eastAsia="Arial" w:hAnsi="Arial"/>
          <w:sz w:val="18"/>
          <w:szCs w:val="18"/>
          <w:color w:val="auto"/>
        </w:rPr>
      </w:pPr>
      <w:r>
        <w:rPr>
          <w:rFonts w:ascii="Arial" w:cs="Arial" w:eastAsia="Arial" w:hAnsi="Arial"/>
          <w:sz w:val="18"/>
          <w:szCs w:val="18"/>
          <w:color w:val="auto"/>
        </w:rPr>
        <w:t>“Optionee” means the optionee named in an Evidence of Award evidencing an outstanding Option Right.</w:t>
      </w:r>
    </w:p>
    <w:p>
      <w:pPr>
        <w:spacing w:after="0" w:line="225" w:lineRule="exact"/>
        <w:rPr>
          <w:rFonts w:ascii="Arial" w:cs="Arial" w:eastAsia="Arial" w:hAnsi="Arial"/>
          <w:sz w:val="18"/>
          <w:szCs w:val="18"/>
          <w:color w:val="auto"/>
        </w:rPr>
      </w:pPr>
    </w:p>
    <w:p>
      <w:pPr>
        <w:ind w:left="1104" w:hanging="456"/>
        <w:spacing w:after="0"/>
        <w:tabs>
          <w:tab w:leader="none" w:pos="1104" w:val="left"/>
        </w:tabs>
        <w:numPr>
          <w:ilvl w:val="2"/>
          <w:numId w:val="44"/>
        </w:numPr>
        <w:rPr>
          <w:rFonts w:ascii="Arial" w:cs="Arial" w:eastAsia="Arial" w:hAnsi="Arial"/>
          <w:sz w:val="18"/>
          <w:szCs w:val="18"/>
          <w:color w:val="auto"/>
        </w:rPr>
      </w:pPr>
      <w:r>
        <w:rPr>
          <w:rFonts w:ascii="Arial" w:cs="Arial" w:eastAsia="Arial" w:hAnsi="Arial"/>
          <w:sz w:val="18"/>
          <w:szCs w:val="18"/>
          <w:color w:val="auto"/>
        </w:rPr>
        <w:t>“Option Price” means the purchase price payable on exercise of an Option Right.</w:t>
      </w:r>
    </w:p>
    <w:p>
      <w:pPr>
        <w:spacing w:after="0" w:line="238" w:lineRule="exact"/>
        <w:rPr>
          <w:rFonts w:ascii="Arial" w:cs="Arial" w:eastAsia="Arial" w:hAnsi="Arial"/>
          <w:sz w:val="18"/>
          <w:szCs w:val="18"/>
          <w:color w:val="auto"/>
        </w:rPr>
      </w:pPr>
    </w:p>
    <w:p>
      <w:pPr>
        <w:ind w:left="1044" w:hanging="423"/>
        <w:spacing w:after="0"/>
        <w:tabs>
          <w:tab w:leader="none" w:pos="1044" w:val="left"/>
        </w:tabs>
        <w:numPr>
          <w:ilvl w:val="1"/>
          <w:numId w:val="45"/>
        </w:numPr>
        <w:rPr>
          <w:rFonts w:ascii="Arial" w:cs="Arial" w:eastAsia="Arial" w:hAnsi="Arial"/>
          <w:sz w:val="18"/>
          <w:szCs w:val="18"/>
          <w:color w:val="auto"/>
        </w:rPr>
      </w:pPr>
      <w:r>
        <w:rPr>
          <w:rFonts w:ascii="Arial" w:cs="Arial" w:eastAsia="Arial" w:hAnsi="Arial"/>
          <w:sz w:val="18"/>
          <w:szCs w:val="18"/>
          <w:color w:val="auto"/>
        </w:rPr>
        <w:t>“Option Right” means the right to purchase Shares upon exercise of an option granted pursuant to Section 4 of the Plan.</w:t>
      </w:r>
    </w:p>
    <w:p>
      <w:pPr>
        <w:spacing w:after="0" w:line="225" w:lineRule="exact"/>
        <w:rPr>
          <w:rFonts w:ascii="Arial" w:cs="Arial" w:eastAsia="Arial" w:hAnsi="Arial"/>
          <w:sz w:val="18"/>
          <w:szCs w:val="18"/>
          <w:color w:val="auto"/>
        </w:rPr>
      </w:pPr>
    </w:p>
    <w:p>
      <w:pPr>
        <w:ind w:left="1124" w:hanging="476"/>
        <w:spacing w:after="0"/>
        <w:tabs>
          <w:tab w:leader="none" w:pos="1124" w:val="left"/>
        </w:tabs>
        <w:numPr>
          <w:ilvl w:val="2"/>
          <w:numId w:val="45"/>
        </w:numPr>
        <w:rPr>
          <w:rFonts w:ascii="Arial" w:cs="Arial" w:eastAsia="Arial" w:hAnsi="Arial"/>
          <w:sz w:val="18"/>
          <w:szCs w:val="18"/>
          <w:color w:val="auto"/>
        </w:rPr>
      </w:pPr>
      <w:r>
        <w:rPr>
          <w:rFonts w:ascii="Arial" w:cs="Arial" w:eastAsia="Arial" w:hAnsi="Arial"/>
          <w:sz w:val="18"/>
          <w:szCs w:val="18"/>
          <w:color w:val="auto"/>
        </w:rPr>
        <w:t>“Other Award” means an Award granted pursuant to Section 9 of the Plan.</w:t>
      </w:r>
    </w:p>
    <w:p>
      <w:pPr>
        <w:spacing w:after="0" w:line="238" w:lineRule="exact"/>
        <w:rPr>
          <w:rFonts w:ascii="Arial" w:cs="Arial" w:eastAsia="Arial" w:hAnsi="Arial"/>
          <w:sz w:val="18"/>
          <w:szCs w:val="18"/>
          <w:color w:val="auto"/>
        </w:rPr>
      </w:pPr>
    </w:p>
    <w:p>
      <w:pPr>
        <w:ind w:left="1124" w:hanging="476"/>
        <w:spacing w:after="0"/>
        <w:tabs>
          <w:tab w:leader="none" w:pos="1124" w:val="left"/>
        </w:tabs>
        <w:numPr>
          <w:ilvl w:val="2"/>
          <w:numId w:val="45"/>
        </w:numPr>
        <w:rPr>
          <w:rFonts w:ascii="Arial" w:cs="Arial" w:eastAsia="Arial" w:hAnsi="Arial"/>
          <w:sz w:val="16"/>
          <w:szCs w:val="16"/>
          <w:color w:val="auto"/>
        </w:rPr>
      </w:pPr>
      <w:r>
        <w:rPr>
          <w:rFonts w:ascii="Arial" w:cs="Arial" w:eastAsia="Arial" w:hAnsi="Arial"/>
          <w:sz w:val="16"/>
          <w:szCs w:val="16"/>
          <w:color w:val="auto"/>
        </w:rPr>
        <w:t>“Participant” means a person who is selected by the Board to receive Awards under the Plan and who is (i) an Employee, (ii) a Director, or</w:t>
      </w:r>
    </w:p>
    <w:p>
      <w:pPr>
        <w:spacing w:after="0" w:line="46" w:lineRule="exact"/>
        <w:rPr>
          <w:rFonts w:ascii="Arial" w:cs="Arial" w:eastAsia="Arial" w:hAnsi="Arial"/>
          <w:sz w:val="16"/>
          <w:szCs w:val="16"/>
          <w:color w:val="auto"/>
        </w:rPr>
      </w:pPr>
    </w:p>
    <w:p>
      <w:pPr>
        <w:ind w:left="324" w:hanging="324"/>
        <w:spacing w:after="0"/>
        <w:tabs>
          <w:tab w:leader="none" w:pos="3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Consultant.</w:t>
      </w:r>
    </w:p>
    <w:p>
      <w:pPr>
        <w:spacing w:after="0" w:line="224" w:lineRule="exact"/>
        <w:rPr>
          <w:rFonts w:ascii="Arial" w:cs="Arial" w:eastAsia="Arial" w:hAnsi="Arial"/>
          <w:sz w:val="18"/>
          <w:szCs w:val="18"/>
          <w:color w:val="auto"/>
        </w:rPr>
      </w:pPr>
    </w:p>
    <w:p>
      <w:pPr>
        <w:ind w:left="4" w:right="40" w:firstLine="644"/>
        <w:spacing w:after="0" w:line="264" w:lineRule="auto"/>
        <w:tabs>
          <w:tab w:leader="none" w:pos="10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“Performance Period” means, in respect of an Award, a period of time within which the Management Objectives relating to such Award are to be achieved, as determined by the Board in its sole discretion. The Board may establish different Performance Periods for different Participants, and the Board may establish concurrent or overlapping Performance Periods.</w:t>
      </w:r>
    </w:p>
    <w:p>
      <w:pPr>
        <w:sectPr>
          <w:pgSz w:w="11900" w:h="16838" w:orient="portrait"/>
          <w:cols w:equalWidth="0" w:num="1">
            <w:col w:w="11304"/>
          </w:cols>
          <w:pgMar w:left="356" w:top="810" w:right="239" w:bottom="1440" w:gutter="0" w:footer="0" w:header="0"/>
        </w:sectPr>
      </w:pPr>
    </w:p>
    <w:bookmarkStart w:id="108" w:name="page109"/>
    <w:bookmarkEnd w:id="108"/>
    <w:p>
      <w:pPr>
        <w:ind w:left="680"/>
        <w:spacing w:after="0"/>
        <w:tabs>
          <w:tab w:leader="none" w:pos="1060" w:val="left"/>
        </w:tabs>
        <w:rPr>
          <w:sz w:val="20"/>
          <w:szCs w:val="20"/>
          <w:color w:val="auto"/>
        </w:rPr>
      </w:pPr>
      <w:r>
        <w:rPr>
          <w:rFonts w:ascii="Arial" w:cs="Arial" w:eastAsia="Arial" w:hAnsi="Arial"/>
          <w:sz w:val="18"/>
          <w:szCs w:val="18"/>
          <w:color w:val="auto"/>
        </w:rPr>
        <w:t>(jj)</w:t>
      </w:r>
      <w:r>
        <w:rPr>
          <w:sz w:val="20"/>
          <w:szCs w:val="20"/>
          <w:color w:val="auto"/>
        </w:rPr>
        <w:tab/>
      </w:r>
      <w:r>
        <w:rPr>
          <w:rFonts w:ascii="Arial" w:cs="Arial" w:eastAsia="Arial" w:hAnsi="Arial"/>
          <w:sz w:val="16"/>
          <w:szCs w:val="16"/>
          <w:color w:val="auto"/>
        </w:rPr>
        <w:t>“Performance Share” means an Award under the Plan equivalent to the right to receive one Share awarded pursuant to Section 8 of the Plan.</w:t>
      </w:r>
    </w:p>
    <w:p>
      <w:pPr>
        <w:spacing w:after="0" w:line="239" w:lineRule="exact"/>
        <w:rPr>
          <w:sz w:val="20"/>
          <w:szCs w:val="20"/>
          <w:color w:val="auto"/>
        </w:rPr>
      </w:pPr>
    </w:p>
    <w:p>
      <w:pPr>
        <w:ind w:left="1140" w:hanging="483"/>
        <w:spacing w:after="0"/>
        <w:tabs>
          <w:tab w:leader="none" w:pos="11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“Performance Unit” means a unit awarded pursuant to Section 8 of the Plan that is equivalent to $1.00 or such other value as is determined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Board.</w:t>
      </w:r>
    </w:p>
    <w:p>
      <w:pPr>
        <w:spacing w:after="0" w:line="224" w:lineRule="exact"/>
        <w:rPr>
          <w:sz w:val="20"/>
          <w:szCs w:val="20"/>
          <w:color w:val="auto"/>
        </w:rPr>
      </w:pPr>
    </w:p>
    <w:p>
      <w:pPr>
        <w:ind w:left="40" w:right="120" w:firstLine="644"/>
        <w:spacing w:after="0" w:line="277" w:lineRule="auto"/>
        <w:tabs>
          <w:tab w:leader="none" w:pos="10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or any successor provision thereto, as modified and used in Sections 13(d) and 14(d) thereof and the rules thereunder.</w:t>
      </w:r>
    </w:p>
    <w:p>
      <w:pPr>
        <w:spacing w:after="0" w:line="183" w:lineRule="exact"/>
        <w:rPr>
          <w:rFonts w:ascii="Arial" w:cs="Arial" w:eastAsia="Arial" w:hAnsi="Arial"/>
          <w:sz w:val="18"/>
          <w:szCs w:val="18"/>
          <w:color w:val="auto"/>
        </w:rPr>
      </w:pPr>
    </w:p>
    <w:p>
      <w:pPr>
        <w:ind w:left="1260" w:hanging="576"/>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“Plan” means this Inseego Corp. 2009 Omnibus Incentive Compensation Plan.</w:t>
      </w:r>
    </w:p>
    <w:p>
      <w:pPr>
        <w:spacing w:after="0" w:line="238" w:lineRule="exact"/>
        <w:rPr>
          <w:rFonts w:ascii="Arial" w:cs="Arial" w:eastAsia="Arial" w:hAnsi="Arial"/>
          <w:sz w:val="18"/>
          <w:szCs w:val="18"/>
          <w:color w:val="auto"/>
        </w:rPr>
      </w:pPr>
    </w:p>
    <w:p>
      <w:pPr>
        <w:ind w:left="40" w:right="220" w:firstLine="644"/>
        <w:spacing w:after="0" w:line="277" w:lineRule="auto"/>
        <w:tabs>
          <w:tab w:leader="none" w:pos="11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“Qualified Performance-Based Award” means any Award or portion of an Award that is intended to satisfy the requirements for “qualified performance-based compensation” under Section 162(m) of the Code.</w:t>
      </w:r>
    </w:p>
    <w:p>
      <w:pPr>
        <w:spacing w:after="0" w:line="183" w:lineRule="exact"/>
        <w:rPr>
          <w:rFonts w:ascii="Arial" w:cs="Arial" w:eastAsia="Arial" w:hAnsi="Arial"/>
          <w:sz w:val="18"/>
          <w:szCs w:val="18"/>
          <w:color w:val="auto"/>
        </w:rPr>
      </w:pPr>
    </w:p>
    <w:p>
      <w:pPr>
        <w:ind w:left="40" w:right="540" w:firstLine="644"/>
        <w:spacing w:after="0" w:line="277" w:lineRule="auto"/>
        <w:tabs>
          <w:tab w:leader="none" w:pos="11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“Restricted Stock” means Shares granted pursuant to Section 6 of the Plan as to which neither the substantial risk of forfeiture nor the prohibition on transfers has expired.</w:t>
      </w:r>
    </w:p>
    <w:p>
      <w:pPr>
        <w:spacing w:after="0" w:line="183" w:lineRule="exact"/>
        <w:rPr>
          <w:rFonts w:ascii="Arial" w:cs="Arial" w:eastAsia="Arial" w:hAnsi="Arial"/>
          <w:sz w:val="18"/>
          <w:szCs w:val="18"/>
          <w:color w:val="auto"/>
        </w:rPr>
      </w:pPr>
    </w:p>
    <w:p>
      <w:pPr>
        <w:ind w:right="420" w:firstLine="657"/>
        <w:spacing w:after="0" w:line="277"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 Period” means the period of time during which Restricted Stock or Restricted Stock Units may be subject to restrictions, as provided in Section 6 and Section 7 of the Plan.</w:t>
      </w:r>
    </w:p>
    <w:p>
      <w:pPr>
        <w:spacing w:after="0" w:line="170" w:lineRule="exact"/>
        <w:rPr>
          <w:rFonts w:ascii="Arial" w:cs="Arial" w:eastAsia="Arial" w:hAnsi="Arial"/>
          <w:sz w:val="18"/>
          <w:szCs w:val="18"/>
          <w:color w:val="auto"/>
        </w:rPr>
      </w:pPr>
    </w:p>
    <w:p>
      <w:pPr>
        <w:ind w:left="1160" w:hanging="476"/>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“Restricted Stock Unit” means an Award made pursuant to Section 7 of the Plan.</w:t>
      </w:r>
    </w:p>
    <w:p>
      <w:pPr>
        <w:spacing w:after="0" w:line="238" w:lineRule="exact"/>
        <w:rPr>
          <w:rFonts w:ascii="Arial" w:cs="Arial" w:eastAsia="Arial" w:hAnsi="Arial"/>
          <w:sz w:val="18"/>
          <w:szCs w:val="18"/>
          <w:color w:val="auto"/>
        </w:rPr>
      </w:pPr>
    </w:p>
    <w:p>
      <w:pPr>
        <w:ind w:left="40" w:right="520" w:firstLine="644"/>
        <w:spacing w:after="0" w:line="342" w:lineRule="auto"/>
        <w:tabs>
          <w:tab w:leader="none" w:pos="1108" w:val="left"/>
        </w:tabs>
        <w:numPr>
          <w:ilvl w:val="1"/>
          <w:numId w:val="49"/>
        </w:numPr>
        <w:rPr>
          <w:rFonts w:ascii="Arial" w:cs="Arial" w:eastAsia="Arial" w:hAnsi="Arial"/>
          <w:sz w:val="16"/>
          <w:szCs w:val="16"/>
          <w:color w:val="auto"/>
        </w:rPr>
      </w:pPr>
      <w:r>
        <w:rPr>
          <w:rFonts w:ascii="Arial" w:cs="Arial" w:eastAsia="Arial" w:hAnsi="Arial"/>
          <w:sz w:val="16"/>
          <w:szCs w:val="16"/>
          <w:color w:val="auto"/>
        </w:rPr>
        <w:t>“Secondary Committee” means one or more senior officers of Inseego (who need not be members of the Board), acting as a committee established by the Board pursuant to Section 12(b) of the Plan, subject to such conditions and limitations as the Board shall prescribe.</w:t>
      </w:r>
    </w:p>
    <w:p>
      <w:pPr>
        <w:spacing w:after="0" w:line="137" w:lineRule="exact"/>
        <w:rPr>
          <w:rFonts w:ascii="Arial" w:cs="Arial" w:eastAsia="Arial" w:hAnsi="Arial"/>
          <w:sz w:val="16"/>
          <w:szCs w:val="16"/>
          <w:color w:val="auto"/>
        </w:rPr>
      </w:pPr>
    </w:p>
    <w:p>
      <w:pPr>
        <w:ind w:left="40" w:right="140" w:firstLine="644"/>
        <w:spacing w:after="0" w:line="277" w:lineRule="auto"/>
        <w:tabs>
          <w:tab w:leader="none" w:pos="11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“Shares” means the shares of common stock, par value $0.001 per share, of Inseego or any security into which such Shares may be changed by reason of any transaction or event of the type referred to in Section 11 of the Plan.</w:t>
      </w:r>
    </w:p>
    <w:p>
      <w:pPr>
        <w:spacing w:after="0" w:line="170" w:lineRule="exact"/>
        <w:rPr>
          <w:rFonts w:ascii="Arial" w:cs="Arial" w:eastAsia="Arial" w:hAnsi="Arial"/>
          <w:sz w:val="18"/>
          <w:szCs w:val="18"/>
          <w:color w:val="auto"/>
        </w:rPr>
      </w:pPr>
    </w:p>
    <w:p>
      <w:pPr>
        <w:jc w:val="both"/>
        <w:ind w:left="40" w:right="180" w:firstLine="644"/>
        <w:spacing w:after="0" w:line="264" w:lineRule="auto"/>
        <w:tabs>
          <w:tab w:leader="none" w:pos="10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“Spread” means the excess of the Market Value Per Share on the date when an Appreciation Right is exercised, or on the date when Option Rights are surrendered in payment of the Option Price of other Option Rights, over the Option Price or Base Price provided for in the related Option Right or Appreciation Right, respectively.</w:t>
      </w:r>
    </w:p>
    <w:p>
      <w:pPr>
        <w:spacing w:after="0" w:line="181" w:lineRule="exact"/>
        <w:rPr>
          <w:rFonts w:ascii="Arial" w:cs="Arial" w:eastAsia="Arial" w:hAnsi="Arial"/>
          <w:sz w:val="18"/>
          <w:szCs w:val="18"/>
          <w:color w:val="auto"/>
        </w:rPr>
      </w:pPr>
    </w:p>
    <w:p>
      <w:pPr>
        <w:ind w:left="40" w:firstLine="644"/>
        <w:spacing w:after="0" w:line="255" w:lineRule="auto"/>
        <w:tabs>
          <w:tab w:leader="none" w:pos="11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“Subsidiary” means a corporation, company or other entity (i) more than 50 percent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50 percent of whose ownership interest representing the right generally to make decisions for such other entity is, now or hereafter, owned or controlled, directly or indirectly, by Inseego; except that, for purposes of determining whether any person may be a Participant for purposes of any grant of Incentive Stock Options, “Subsidiary” means any corporation in which at the time Inseego owns or controls, directly or indirectly, more than 50 percent of the total combined voting power represented by all classes of stock issued by such corporation.</w:t>
      </w:r>
    </w:p>
    <w:p>
      <w:pPr>
        <w:spacing w:after="0" w:line="189" w:lineRule="exact"/>
        <w:rPr>
          <w:rFonts w:ascii="Arial" w:cs="Arial" w:eastAsia="Arial" w:hAnsi="Arial"/>
          <w:sz w:val="18"/>
          <w:szCs w:val="18"/>
          <w:color w:val="auto"/>
        </w:rPr>
      </w:pPr>
    </w:p>
    <w:p>
      <w:pPr>
        <w:ind w:left="1160" w:hanging="476"/>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“Voting Stock” means securities entitled to vote generally in the election of directors.</w:t>
      </w:r>
    </w:p>
    <w:p>
      <w:pPr>
        <w:sectPr>
          <w:pgSz w:w="11900" w:h="16838" w:orient="portrait"/>
          <w:cols w:equalWidth="0" w:num="1">
            <w:col w:w="11340"/>
          </w:cols>
          <w:pgMar w:left="320" w:top="800" w:right="239" w:bottom="1440" w:gutter="0" w:footer="0" w:header="0"/>
        </w:sectPr>
      </w:pPr>
    </w:p>
    <w:bookmarkStart w:id="109" w:name="page110"/>
    <w:bookmarkEnd w:id="109"/>
    <w:p>
      <w:pPr>
        <w:ind w:left="324" w:hanging="324"/>
        <w:spacing w:after="0"/>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Shares Available Under the Plan.</w:t>
      </w:r>
    </w:p>
    <w:p>
      <w:pPr>
        <w:spacing w:after="0" w:line="238" w:lineRule="exact"/>
        <w:rPr>
          <w:rFonts w:ascii="Arial" w:cs="Arial" w:eastAsia="Arial" w:hAnsi="Arial"/>
          <w:sz w:val="18"/>
          <w:szCs w:val="18"/>
          <w:color w:val="auto"/>
        </w:rPr>
      </w:pPr>
    </w:p>
    <w:p>
      <w:pPr>
        <w:ind w:left="1024" w:hanging="376"/>
        <w:spacing w:after="0"/>
        <w:tabs>
          <w:tab w:leader="none" w:pos="1024" w:val="left"/>
        </w:tabs>
        <w:numPr>
          <w:ilvl w:val="2"/>
          <w:numId w:val="50"/>
        </w:numPr>
        <w:rPr>
          <w:rFonts w:ascii="Arial" w:cs="Arial" w:eastAsia="Arial" w:hAnsi="Arial"/>
          <w:sz w:val="18"/>
          <w:szCs w:val="18"/>
          <w:color w:val="auto"/>
        </w:rPr>
      </w:pPr>
      <w:r>
        <w:rPr>
          <w:rFonts w:ascii="Arial" w:cs="Arial" w:eastAsia="Arial" w:hAnsi="Arial"/>
          <w:sz w:val="18"/>
          <w:szCs w:val="18"/>
          <w:b w:val="1"/>
          <w:bCs w:val="1"/>
          <w:color w:val="auto"/>
        </w:rPr>
        <w:t>Maximum Shares Available Under Plan.</w:t>
      </w:r>
    </w:p>
    <w:p>
      <w:pPr>
        <w:spacing w:after="0" w:line="242" w:lineRule="exact"/>
        <w:rPr>
          <w:rFonts w:ascii="Arial" w:cs="Arial" w:eastAsia="Arial" w:hAnsi="Arial"/>
          <w:sz w:val="18"/>
          <w:szCs w:val="18"/>
          <w:color w:val="auto"/>
        </w:rPr>
      </w:pPr>
    </w:p>
    <w:p>
      <w:pPr>
        <w:ind w:left="624" w:firstLine="727"/>
        <w:spacing w:after="0" w:line="277" w:lineRule="auto"/>
        <w:tabs>
          <w:tab w:leader="none" w:pos="1703" w:val="left"/>
        </w:tabs>
        <w:numPr>
          <w:ilvl w:val="4"/>
          <w:numId w:val="50"/>
        </w:numPr>
        <w:rPr>
          <w:rFonts w:ascii="Arial" w:cs="Arial" w:eastAsia="Arial" w:hAnsi="Arial"/>
          <w:sz w:val="17"/>
          <w:szCs w:val="17"/>
          <w:color w:val="auto"/>
        </w:rPr>
      </w:pPr>
      <w:r>
        <w:rPr>
          <w:rFonts w:ascii="Arial" w:cs="Arial" w:eastAsia="Arial" w:hAnsi="Arial"/>
          <w:sz w:val="17"/>
          <w:szCs w:val="17"/>
          <w:color w:val="auto"/>
        </w:rPr>
        <w:t>Subject to adjustment as provided in Section 11 of the Plan, the maximum number of Shares that may be issued (A) upon the exercise of Option Rights or Appreciation Rights, (B) in payment or settlement of Restricted Stock and released from substantial risks of forfeiture thereof, (C) in payment or settlement of Restricted Stock Units, (D) in payment or settlement of Performance Shares or Performance Units that have been earned, (E) in payment or settlement of Other Awards, or (F) in payment of dividend equivalents paid with respect to Awards made under the Plan, in the aggregate will not exceed 15,000,000 Shares (the “Aggregate Share Limit”), plus an additional 323,000 Shares that may be issued for inducement grants pursuant to Nasdaq Listing Rule 5635 (“Inducement Shares”). Shares issued under any plan assumed by Inseego in any corporate transaction will not count against the Aggregate Share Limit.</w:t>
      </w:r>
    </w:p>
    <w:p>
      <w:pPr>
        <w:spacing w:after="0" w:line="189" w:lineRule="exact"/>
        <w:rPr>
          <w:rFonts w:ascii="Arial" w:cs="Arial" w:eastAsia="Arial" w:hAnsi="Arial"/>
          <w:sz w:val="17"/>
          <w:szCs w:val="17"/>
          <w:color w:val="auto"/>
        </w:rPr>
      </w:pPr>
    </w:p>
    <w:p>
      <w:pPr>
        <w:ind w:left="624" w:right="40" w:firstLine="727"/>
        <w:spacing w:after="0" w:line="289" w:lineRule="auto"/>
        <w:tabs>
          <w:tab w:leader="none" w:pos="1753" w:val="left"/>
        </w:tabs>
        <w:numPr>
          <w:ilvl w:val="4"/>
          <w:numId w:val="50"/>
        </w:numPr>
        <w:rPr>
          <w:rFonts w:ascii="Arial" w:cs="Arial" w:eastAsia="Arial" w:hAnsi="Arial"/>
          <w:sz w:val="16"/>
          <w:szCs w:val="16"/>
          <w:color w:val="auto"/>
        </w:rPr>
      </w:pPr>
      <w:r>
        <w:rPr>
          <w:rFonts w:ascii="Arial" w:cs="Arial" w:eastAsia="Arial" w:hAnsi="Arial"/>
          <w:sz w:val="16"/>
          <w:szCs w:val="16"/>
          <w:color w:val="auto"/>
        </w:rPr>
        <w:t>Shares covered by an Award granted under the Plan shall not be counted against the Aggregate Share Limit unless and until they are actually issued and delivered to a Participant and, therefore, the total number of Shares available under the Plan as of a given date shall not be reduced by any Shares relating to prior Awards that have expired or have been forfeited or cancelled or terminated for any other reason other than being exercised or settled, and to the extent of payment in cash of the benefit provided by any Award granted under the Plan, any Shares that were covered by that Award will be available for issue or transfer hereunder. If, under the Plan, a Participant has elected to give up the right to receive compensation in exchange for Shares based on fair market value, such Shares will not count against the Aggregate Share Limit. In addition, upon the full or partial payment of any Option Price by the transfer to the Company of Shares or upon satisfaction of tax withholding provisions in connection with any such exercise or any other payment made or benefit realized under this Plan by the transfer or relinquishment of Shares, there shall be deemed to have been issued under this Plan only the net number of Shares actually issued by the Company.</w:t>
      </w:r>
    </w:p>
    <w:p>
      <w:pPr>
        <w:spacing w:after="0" w:line="166" w:lineRule="exact"/>
        <w:rPr>
          <w:rFonts w:ascii="Arial" w:cs="Arial" w:eastAsia="Arial" w:hAnsi="Arial"/>
          <w:sz w:val="16"/>
          <w:szCs w:val="16"/>
          <w:color w:val="auto"/>
        </w:rPr>
      </w:pPr>
    </w:p>
    <w:p>
      <w:pPr>
        <w:ind w:left="624" w:right="220" w:firstLine="646"/>
        <w:spacing w:after="0" w:line="277" w:lineRule="auto"/>
        <w:tabs>
          <w:tab w:leader="none" w:pos="1722" w:val="left"/>
        </w:tabs>
        <w:numPr>
          <w:ilvl w:val="3"/>
          <w:numId w:val="50"/>
        </w:numPr>
        <w:rPr>
          <w:rFonts w:ascii="Arial" w:cs="Arial" w:eastAsia="Arial" w:hAnsi="Arial"/>
          <w:sz w:val="18"/>
          <w:szCs w:val="18"/>
          <w:color w:val="auto"/>
        </w:rPr>
      </w:pPr>
      <w:r>
        <w:rPr>
          <w:rFonts w:ascii="Arial" w:cs="Arial" w:eastAsia="Arial" w:hAnsi="Arial"/>
          <w:sz w:val="18"/>
          <w:szCs w:val="18"/>
          <w:color w:val="auto"/>
        </w:rPr>
        <w:t>Subject to adjustment as provided in Section 11 of the Plan, the aggregate number of Shares actually issued by the Company upon the exercise of Incentive Stock Options will not exceed 7,000,000 Shares.</w:t>
      </w:r>
    </w:p>
    <w:p>
      <w:pPr>
        <w:spacing w:after="0" w:line="206" w:lineRule="exact"/>
        <w:rPr>
          <w:rFonts w:ascii="Arial" w:cs="Arial" w:eastAsia="Arial" w:hAnsi="Arial"/>
          <w:sz w:val="18"/>
          <w:szCs w:val="18"/>
          <w:color w:val="auto"/>
        </w:rPr>
      </w:pPr>
    </w:p>
    <w:p>
      <w:pPr>
        <w:ind w:left="-36" w:right="820" w:firstLine="657"/>
        <w:spacing w:after="0" w:line="282" w:lineRule="auto"/>
        <w:tabs>
          <w:tab w:leader="none" w:pos="1002"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Individual Participant Limits</w:t>
      </w:r>
      <w:r>
        <w:rPr>
          <w:rFonts w:ascii="Arial" w:cs="Arial" w:eastAsia="Arial" w:hAnsi="Arial"/>
          <w:sz w:val="18"/>
          <w:szCs w:val="18"/>
          <w:color w:val="auto"/>
        </w:rPr>
        <w:t>. Notwithstanding anything in this Section 3, or elsewhere in the Plan, to the contrary,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as provided in Section 11 of the Plan:</w:t>
      </w:r>
    </w:p>
    <w:p>
      <w:pPr>
        <w:spacing w:after="0" w:line="179" w:lineRule="exact"/>
        <w:rPr>
          <w:sz w:val="20"/>
          <w:szCs w:val="20"/>
          <w:color w:val="auto"/>
        </w:rPr>
      </w:pPr>
    </w:p>
    <w:p>
      <w:pPr>
        <w:ind w:left="644" w:right="320" w:firstLine="653"/>
        <w:spacing w:after="0" w:line="277" w:lineRule="auto"/>
        <w:tabs>
          <w:tab w:leader="none" w:pos="16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Participant will be granted Option Rights or Appreciation Rights, in the aggregate, for more than 1,000,000 Shares during any calendar year;</w:t>
      </w:r>
    </w:p>
    <w:p>
      <w:pPr>
        <w:spacing w:after="0" w:line="238" w:lineRule="exact"/>
        <w:rPr>
          <w:sz w:val="20"/>
          <w:szCs w:val="20"/>
          <w:color w:val="auto"/>
        </w:rPr>
      </w:pPr>
    </w:p>
    <w:p>
      <w:pPr>
        <w:ind w:left="624" w:right="480" w:firstLine="646"/>
        <w:spacing w:after="0" w:line="277" w:lineRule="auto"/>
        <w:tabs>
          <w:tab w:leader="none" w:pos="1672" w:val="left"/>
        </w:tabs>
        <w:numPr>
          <w:ilvl w:val="3"/>
          <w:numId w:val="52"/>
        </w:numPr>
        <w:rPr>
          <w:rFonts w:ascii="Arial" w:cs="Arial" w:eastAsia="Arial" w:hAnsi="Arial"/>
          <w:sz w:val="18"/>
          <w:szCs w:val="18"/>
          <w:color w:val="auto"/>
        </w:rPr>
      </w:pPr>
      <w:r>
        <w:rPr>
          <w:rFonts w:ascii="Arial" w:cs="Arial" w:eastAsia="Arial" w:hAnsi="Arial"/>
          <w:sz w:val="18"/>
          <w:szCs w:val="18"/>
          <w:color w:val="auto"/>
        </w:rPr>
        <w:t>No Participant will be awarded Qualified Performance Based-Awards of Restricted Stock, Restricted Stock Units, Performance Shares or Other Awards, in the aggregate, for more than 500,000 Shares during any calendar year;</w:t>
      </w:r>
    </w:p>
    <w:p>
      <w:pPr>
        <w:spacing w:after="0" w:line="183" w:lineRule="exact"/>
        <w:rPr>
          <w:rFonts w:ascii="Arial" w:cs="Arial" w:eastAsia="Arial" w:hAnsi="Arial"/>
          <w:sz w:val="18"/>
          <w:szCs w:val="18"/>
          <w:color w:val="auto"/>
        </w:rPr>
      </w:pPr>
    </w:p>
    <w:p>
      <w:pPr>
        <w:ind w:left="644" w:firstLine="653"/>
        <w:spacing w:after="0" w:line="277" w:lineRule="auto"/>
        <w:tabs>
          <w:tab w:leader="none" w:pos="1742" w:val="left"/>
        </w:tabs>
        <w:numPr>
          <w:ilvl w:val="4"/>
          <w:numId w:val="52"/>
        </w:numPr>
        <w:rPr>
          <w:rFonts w:ascii="Arial" w:cs="Arial" w:eastAsia="Arial" w:hAnsi="Arial"/>
          <w:sz w:val="18"/>
          <w:szCs w:val="18"/>
          <w:color w:val="auto"/>
        </w:rPr>
      </w:pPr>
      <w:r>
        <w:rPr>
          <w:rFonts w:ascii="Arial" w:cs="Arial" w:eastAsia="Arial" w:hAnsi="Arial"/>
          <w:sz w:val="18"/>
          <w:szCs w:val="18"/>
          <w:color w:val="auto"/>
        </w:rPr>
        <w:t>In no event will any Participant in any calendar year receive a Qualified Performance- Based Award of Performance Units having an aggregate maximum value in excess of $2,500,000;</w:t>
      </w:r>
    </w:p>
    <w:p>
      <w:pPr>
        <w:spacing w:after="0" w:line="183" w:lineRule="exact"/>
        <w:rPr>
          <w:rFonts w:ascii="Arial" w:cs="Arial" w:eastAsia="Arial" w:hAnsi="Arial"/>
          <w:sz w:val="18"/>
          <w:szCs w:val="18"/>
          <w:color w:val="auto"/>
        </w:rPr>
      </w:pPr>
    </w:p>
    <w:p>
      <w:pPr>
        <w:ind w:left="644" w:right="380" w:firstLine="653"/>
        <w:spacing w:after="0" w:line="277" w:lineRule="auto"/>
        <w:tabs>
          <w:tab w:leader="none" w:pos="1732" w:val="left"/>
        </w:tabs>
        <w:numPr>
          <w:ilvl w:val="4"/>
          <w:numId w:val="52"/>
        </w:numPr>
        <w:rPr>
          <w:rFonts w:ascii="Arial" w:cs="Arial" w:eastAsia="Arial" w:hAnsi="Arial"/>
          <w:sz w:val="18"/>
          <w:szCs w:val="18"/>
          <w:color w:val="auto"/>
        </w:rPr>
      </w:pPr>
      <w:r>
        <w:rPr>
          <w:rFonts w:ascii="Arial" w:cs="Arial" w:eastAsia="Arial" w:hAnsi="Arial"/>
          <w:sz w:val="18"/>
          <w:szCs w:val="18"/>
          <w:color w:val="auto"/>
        </w:rPr>
        <w:t>In no event will any Participant in any calendar year receive a Qualified Performance- Based Award that is an Annual Incentive Award having an aggregate maximum value in excess of $2,500,000; and</w:t>
      </w:r>
    </w:p>
    <w:p>
      <w:pPr>
        <w:spacing w:after="0" w:line="183" w:lineRule="exact"/>
        <w:rPr>
          <w:rFonts w:ascii="Arial" w:cs="Arial" w:eastAsia="Arial" w:hAnsi="Arial"/>
          <w:sz w:val="18"/>
          <w:szCs w:val="18"/>
          <w:color w:val="auto"/>
        </w:rPr>
      </w:pPr>
    </w:p>
    <w:p>
      <w:pPr>
        <w:ind w:left="644" w:right="140" w:firstLine="653"/>
        <w:spacing w:after="0" w:line="277" w:lineRule="auto"/>
        <w:tabs>
          <w:tab w:leader="none" w:pos="1682" w:val="left"/>
        </w:tabs>
        <w:numPr>
          <w:ilvl w:val="4"/>
          <w:numId w:val="52"/>
        </w:numPr>
        <w:rPr>
          <w:rFonts w:ascii="Arial" w:cs="Arial" w:eastAsia="Arial" w:hAnsi="Arial"/>
          <w:sz w:val="18"/>
          <w:szCs w:val="18"/>
          <w:color w:val="auto"/>
        </w:rPr>
      </w:pPr>
      <w:r>
        <w:rPr>
          <w:rFonts w:ascii="Arial" w:cs="Arial" w:eastAsia="Arial" w:hAnsi="Arial"/>
          <w:sz w:val="18"/>
          <w:szCs w:val="18"/>
          <w:color w:val="auto"/>
        </w:rPr>
        <w:t>In no event will any Participant in any calendar year receive a Qualified Performance- Based Award in the form of Other Awards of cash under Section 9(b) having an aggregate maximum value in excess of $2,500,000.</w:t>
      </w:r>
    </w:p>
    <w:p>
      <w:pPr>
        <w:spacing w:after="0" w:line="179" w:lineRule="exact"/>
        <w:rPr>
          <w:rFonts w:ascii="Arial" w:cs="Arial" w:eastAsia="Arial" w:hAnsi="Arial"/>
          <w:sz w:val="18"/>
          <w:szCs w:val="18"/>
          <w:color w:val="auto"/>
        </w:rPr>
      </w:pPr>
    </w:p>
    <w:p>
      <w:pPr>
        <w:ind w:left="4" w:right="260" w:hanging="4"/>
        <w:spacing w:after="0" w:line="282" w:lineRule="auto"/>
        <w:tabs>
          <w:tab w:leader="none" w:pos="319"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Option Rights</w:t>
      </w:r>
      <w:r>
        <w:rPr>
          <w:rFonts w:ascii="Arial" w:cs="Arial" w:eastAsia="Arial" w:hAnsi="Arial"/>
          <w:sz w:val="18"/>
          <w:szCs w:val="18"/>
          <w:color w:val="auto"/>
        </w:rPr>
        <w:t>. The Board may, from time to time, authorize the granting to Participants of Option Rights upon such terms and conditions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following provisions as it may determine:</w:t>
      </w:r>
    </w:p>
    <w:p>
      <w:pPr>
        <w:spacing w:after="0" w:line="179" w:lineRule="exact"/>
        <w:rPr>
          <w:rFonts w:ascii="Arial" w:cs="Arial" w:eastAsia="Arial" w:hAnsi="Arial"/>
          <w:sz w:val="18"/>
          <w:szCs w:val="18"/>
          <w:color w:val="auto"/>
        </w:rPr>
      </w:pPr>
    </w:p>
    <w:p>
      <w:pPr>
        <w:ind w:left="1024" w:hanging="376"/>
        <w:spacing w:after="0"/>
        <w:tabs>
          <w:tab w:leader="none" w:pos="1024" w:val="left"/>
        </w:tabs>
        <w:numPr>
          <w:ilvl w:val="2"/>
          <w:numId w:val="53"/>
        </w:numPr>
        <w:rPr>
          <w:rFonts w:ascii="Arial" w:cs="Arial" w:eastAsia="Arial" w:hAnsi="Arial"/>
          <w:sz w:val="18"/>
          <w:szCs w:val="18"/>
          <w:color w:val="auto"/>
        </w:rPr>
      </w:pPr>
      <w:r>
        <w:rPr>
          <w:rFonts w:ascii="Arial" w:cs="Arial" w:eastAsia="Arial" w:hAnsi="Arial"/>
          <w:sz w:val="18"/>
          <w:szCs w:val="18"/>
          <w:color w:val="auto"/>
        </w:rPr>
        <w:t>Each grant will specify the number of Shares to which it pertains subject to the limitations set forth in Section 3 of the Plan.</w:t>
      </w:r>
    </w:p>
    <w:p>
      <w:pPr>
        <w:spacing w:after="0" w:line="238" w:lineRule="exact"/>
        <w:rPr>
          <w:rFonts w:ascii="Arial" w:cs="Arial" w:eastAsia="Arial" w:hAnsi="Arial"/>
          <w:sz w:val="18"/>
          <w:szCs w:val="18"/>
          <w:color w:val="auto"/>
        </w:rPr>
      </w:pPr>
    </w:p>
    <w:p>
      <w:pPr>
        <w:ind w:left="1004" w:hanging="383"/>
        <w:spacing w:after="0"/>
        <w:tabs>
          <w:tab w:leader="none" w:pos="1004"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grant will specify an Option Price per share, which may not be less than the Market Value Per Share on</w:t>
      </w:r>
    </w:p>
    <w:p>
      <w:pPr>
        <w:sectPr>
          <w:pgSz w:w="11900" w:h="16838" w:orient="portrait"/>
          <w:cols w:equalWidth="0" w:num="1">
            <w:col w:w="11304"/>
          </w:cols>
          <w:pgMar w:left="356" w:top="58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the Date of Grant.</w:t>
      </w:r>
    </w:p>
    <w:p>
      <w:pPr>
        <w:spacing w:after="0" w:line="225" w:lineRule="exact"/>
        <w:rPr>
          <w:sz w:val="20"/>
          <w:szCs w:val="20"/>
          <w:color w:val="auto"/>
        </w:rPr>
      </w:pPr>
    </w:p>
    <w:p>
      <w:pPr>
        <w:jc w:val="both"/>
        <w:ind w:left="40" w:firstLine="644"/>
        <w:spacing w:after="0" w:line="276" w:lineRule="auto"/>
        <w:tabs>
          <w:tab w:leader="none" w:pos="1182" w:val="left"/>
        </w:tabs>
        <w:numPr>
          <w:ilvl w:val="1"/>
          <w:numId w:val="54"/>
        </w:numPr>
        <w:rPr>
          <w:rFonts w:ascii="Arial" w:cs="Arial" w:eastAsia="Arial" w:hAnsi="Arial"/>
          <w:sz w:val="17"/>
          <w:szCs w:val="17"/>
          <w:color w:val="auto"/>
        </w:rPr>
      </w:pPr>
      <w:r>
        <w:rPr>
          <w:rFonts w:ascii="Arial" w:cs="Arial" w:eastAsia="Arial" w:hAnsi="Arial"/>
          <w:sz w:val="17"/>
          <w:szCs w:val="17"/>
          <w:color w:val="auto"/>
        </w:rPr>
        <w:t>Each grant will specify whether the Option Price will be payable (i) in cash or by check acceptable to Inseego or by wire transfer of immediately available funds, (ii) by the actual or constructive transfer to Inseego of Shares owned by the Optionee (or other consideration authorized pursuant to Section 4(d)) having a value at the time of exercise equal to the total Option Price, (iii) by withholding by Inseego from the Shares otherwise deliverable to the Optionee upon the exercise of such Option, a number of Shares having a value at the time of exercise equal to the total Option Price, (iv) by a combination of such methods of payment, or (v) by such other methods as may be approved by the Board.</w:t>
      </w:r>
    </w:p>
    <w:p>
      <w:pPr>
        <w:spacing w:after="0" w:line="186" w:lineRule="exact"/>
        <w:rPr>
          <w:rFonts w:ascii="Arial" w:cs="Arial" w:eastAsia="Arial" w:hAnsi="Arial"/>
          <w:sz w:val="17"/>
          <w:szCs w:val="17"/>
          <w:color w:val="auto"/>
        </w:rPr>
      </w:pPr>
    </w:p>
    <w:p>
      <w:pPr>
        <w:ind w:left="40" w:firstLine="644"/>
        <w:spacing w:after="0" w:line="277" w:lineRule="auto"/>
        <w:tabs>
          <w:tab w:leader="none" w:pos="1101"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deferred payment of the Option Price from the proceeds of sale through a bank or broker on a date satisfactory to Inseego of some or all of the Shares to which such exercise relates.</w:t>
      </w:r>
    </w:p>
    <w:p>
      <w:pPr>
        <w:spacing w:after="0" w:line="183" w:lineRule="exact"/>
        <w:rPr>
          <w:rFonts w:ascii="Arial" w:cs="Arial" w:eastAsia="Arial" w:hAnsi="Arial"/>
          <w:sz w:val="18"/>
          <w:szCs w:val="18"/>
          <w:color w:val="auto"/>
        </w:rPr>
      </w:pPr>
    </w:p>
    <w:p>
      <w:pPr>
        <w:ind w:left="1060" w:hanging="376"/>
        <w:spacing w:after="0"/>
        <w:tabs>
          <w:tab w:leader="none" w:pos="10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Successive grants may be made to the same Participant whether or not any Option Rights previously granted to such Participant remain</w:t>
      </w:r>
    </w:p>
    <w:p>
      <w:pPr>
        <w:spacing w:after="0" w:line="34"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8"/>
          <w:szCs w:val="18"/>
          <w:color w:val="auto"/>
        </w:rPr>
        <w:t>unexercised.</w:t>
      </w:r>
    </w:p>
    <w:p>
      <w:pPr>
        <w:spacing w:after="0" w:line="224" w:lineRule="exact"/>
        <w:rPr>
          <w:rFonts w:ascii="Arial" w:cs="Arial" w:eastAsia="Arial" w:hAnsi="Arial"/>
          <w:sz w:val="17"/>
          <w:szCs w:val="17"/>
          <w:color w:val="auto"/>
        </w:rPr>
      </w:pPr>
    </w:p>
    <w:p>
      <w:pPr>
        <w:ind w:left="40" w:right="40" w:firstLine="644"/>
        <w:spacing w:after="0" w:line="277" w:lineRule="auto"/>
        <w:tabs>
          <w:tab w:leader="none" w:pos="10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Optionee with Inseego or any Subsidiary that is necessary before the Option Rights or installments thereof will become exercisable.</w:t>
      </w:r>
    </w:p>
    <w:p>
      <w:pPr>
        <w:spacing w:after="0" w:line="183" w:lineRule="exact"/>
        <w:rPr>
          <w:rFonts w:ascii="Arial" w:cs="Arial" w:eastAsia="Arial" w:hAnsi="Arial"/>
          <w:sz w:val="18"/>
          <w:szCs w:val="18"/>
          <w:color w:val="auto"/>
        </w:rPr>
      </w:pPr>
    </w:p>
    <w:p>
      <w:pPr>
        <w:ind w:left="1060" w:hanging="376"/>
        <w:spacing w:after="0"/>
        <w:tabs>
          <w:tab w:leader="none" w:pos="10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grant of Option Rights may specify Management Objectives that must be achieved as a condition to the exercise of such rights.</w:t>
      </w:r>
    </w:p>
    <w:p>
      <w:pPr>
        <w:spacing w:after="0" w:line="250" w:lineRule="exact"/>
        <w:rPr>
          <w:rFonts w:ascii="Arial" w:cs="Arial" w:eastAsia="Arial" w:hAnsi="Arial"/>
          <w:sz w:val="17"/>
          <w:szCs w:val="17"/>
          <w:color w:val="auto"/>
        </w:rPr>
      </w:pPr>
    </w:p>
    <w:p>
      <w:pPr>
        <w:ind w:left="40" w:right="40" w:firstLine="644"/>
        <w:spacing w:after="0" w:line="276" w:lineRule="auto"/>
        <w:tabs>
          <w:tab w:leader="none" w:pos="1078" w:val="left"/>
        </w:tabs>
        <w:numPr>
          <w:ilvl w:val="1"/>
          <w:numId w:val="54"/>
        </w:numPr>
        <w:rPr>
          <w:rFonts w:ascii="Arial" w:cs="Arial" w:eastAsia="Arial" w:hAnsi="Arial"/>
          <w:sz w:val="17"/>
          <w:szCs w:val="17"/>
          <w:color w:val="auto"/>
        </w:rPr>
      </w:pPr>
      <w:r>
        <w:rPr>
          <w:rFonts w:ascii="Arial" w:cs="Arial" w:eastAsia="Arial" w:hAnsi="Arial"/>
          <w:sz w:val="17"/>
          <w:szCs w:val="17"/>
          <w:color w:val="auto"/>
        </w:rPr>
        <w:t>Option Rights granted under the Plan may be (i) Incentive Stock Options, (ii) options that are not intended to qualify as Incentive Stock Options, or (iii) combinations of the foregoing. Incentive Stock Options may only be granted to Participants who are “employees” (under Section 3401(c) of the Code) of Inseego or a subsidiary of Inseego (under Section 424 of the Code). Any Option Right designated as an Incentive Stock Option will not be an Incentive Stock Option to the extent the Option Right fails to meet the requirements of Section 422 of the Code. Each grant will specify whether the Option Right is an Incentive Stock Option or an option that is not intended to qualify as an Incentive Stock Option.</w:t>
      </w:r>
    </w:p>
    <w:p>
      <w:pPr>
        <w:spacing w:after="0" w:line="172" w:lineRule="exact"/>
        <w:rPr>
          <w:rFonts w:ascii="Arial" w:cs="Arial" w:eastAsia="Arial" w:hAnsi="Arial"/>
          <w:sz w:val="17"/>
          <w:szCs w:val="17"/>
          <w:color w:val="auto"/>
        </w:rPr>
      </w:pPr>
    </w:p>
    <w:p>
      <w:pPr>
        <w:ind w:left="40" w:right="40" w:firstLine="644"/>
        <w:spacing w:after="0" w:line="273" w:lineRule="auto"/>
        <w:tabs>
          <w:tab w:leader="none" w:pos="1035"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Board may substitute, without receiving Participant permission, Appreciation Rights payable only in Shares (or Appreciation Rights payable in Shares or cash, or a combination of both, at the Board’s discretion) for outstanding Option Rights; provided , however , that the terms of the substituted Appreciation Rights are substantially the same as the terms for the Option Rights at the date of substitution and the difference between the Market Value Per Share of the underlying Shares and the Base Price of the Appreciation Rights is equivalent to the difference between the Market Value Per Share of the underlying Shares and the Option Price of the Option Rights. If the Board determines, based upon advice from Inseego’s accountants, that this provision creates adverse accounting consequences for Inseego, it shall be considered null and void.</w:t>
      </w:r>
    </w:p>
    <w:p>
      <w:pPr>
        <w:spacing w:after="0" w:line="178" w:lineRule="exact"/>
        <w:rPr>
          <w:rFonts w:ascii="Arial" w:cs="Arial" w:eastAsia="Arial" w:hAnsi="Arial"/>
          <w:sz w:val="17"/>
          <w:szCs w:val="17"/>
          <w:color w:val="auto"/>
        </w:rPr>
      </w:pPr>
    </w:p>
    <w:p>
      <w:pPr>
        <w:ind w:left="1040" w:hanging="356"/>
        <w:spacing w:after="0"/>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Option Right will be exercisable more than 10 years from the Date of Grant.</w:t>
      </w:r>
    </w:p>
    <w:p>
      <w:pPr>
        <w:spacing w:after="0" w:line="238" w:lineRule="exact"/>
        <w:rPr>
          <w:rFonts w:ascii="Arial" w:cs="Arial" w:eastAsia="Arial" w:hAnsi="Arial"/>
          <w:sz w:val="18"/>
          <w:szCs w:val="18"/>
          <w:color w:val="auto"/>
        </w:rPr>
      </w:pPr>
    </w:p>
    <w:p>
      <w:pPr>
        <w:ind w:left="1080" w:hanging="396"/>
        <w:spacing w:after="0"/>
        <w:tabs>
          <w:tab w:leader="none" w:pos="10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No grant of Option Rights may provide for dividends, dividend equivalents or other similar distributions to be paid on such Option Rights.</w:t>
      </w:r>
    </w:p>
    <w:p>
      <w:pPr>
        <w:spacing w:after="0" w:line="246" w:lineRule="exact"/>
        <w:rPr>
          <w:rFonts w:ascii="Arial" w:cs="Arial" w:eastAsia="Arial" w:hAnsi="Arial"/>
          <w:sz w:val="17"/>
          <w:szCs w:val="17"/>
          <w:color w:val="auto"/>
        </w:rPr>
      </w:pPr>
    </w:p>
    <w:p>
      <w:pPr>
        <w:ind w:left="40" w:right="680" w:hanging="4"/>
        <w:spacing w:after="0" w:line="282" w:lineRule="auto"/>
        <w:tabs>
          <w:tab w:leader="none" w:pos="35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Appreciation Rights</w:t>
      </w:r>
      <w:r>
        <w:rPr>
          <w:rFonts w:ascii="Arial" w:cs="Arial" w:eastAsia="Arial" w:hAnsi="Arial"/>
          <w:sz w:val="18"/>
          <w:szCs w:val="18"/>
          <w:color w:val="auto"/>
        </w:rPr>
        <w:t>. The Board may, from time to time, authorize the granting to any Participant of Appreciation Rights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consistent with the following provisions as it may determine:</w:t>
      </w:r>
    </w:p>
    <w:p>
      <w:pPr>
        <w:spacing w:after="0" w:line="179" w:lineRule="exact"/>
        <w:rPr>
          <w:rFonts w:ascii="Arial" w:cs="Arial" w:eastAsia="Arial" w:hAnsi="Arial"/>
          <w:sz w:val="18"/>
          <w:szCs w:val="18"/>
          <w:color w:val="auto"/>
        </w:rPr>
      </w:pPr>
    </w:p>
    <w:p>
      <w:pPr>
        <w:ind w:left="40" w:right="100" w:firstLine="644"/>
        <w:spacing w:after="0" w:line="277" w:lineRule="auto"/>
        <w:tabs>
          <w:tab w:leader="none" w:pos="105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 Appreciation Right will be a right of the Participant to receive from Inseego an amount determined by the Board, which will be expressed as a percentage of the Spread (not exceeding 100 percent) at the time of exercise.</w:t>
      </w:r>
    </w:p>
    <w:p>
      <w:pPr>
        <w:spacing w:after="0" w:line="170" w:lineRule="exact"/>
        <w:rPr>
          <w:rFonts w:ascii="Arial" w:cs="Arial" w:eastAsia="Arial" w:hAnsi="Arial"/>
          <w:sz w:val="18"/>
          <w:szCs w:val="18"/>
          <w:color w:val="auto"/>
        </w:rPr>
      </w:pPr>
    </w:p>
    <w:p>
      <w:pPr>
        <w:ind w:left="1080" w:hanging="396"/>
        <w:spacing w:after="0"/>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grant will specify the Base Price, which may not be less than the Market Value Per Share on the Date of Grant.</w:t>
      </w:r>
    </w:p>
    <w:p>
      <w:pPr>
        <w:spacing w:after="0" w:line="238" w:lineRule="exact"/>
        <w:rPr>
          <w:rFonts w:ascii="Arial" w:cs="Arial" w:eastAsia="Arial" w:hAnsi="Arial"/>
          <w:sz w:val="18"/>
          <w:szCs w:val="18"/>
          <w:color w:val="auto"/>
        </w:rPr>
      </w:pPr>
    </w:p>
    <w:p>
      <w:pPr>
        <w:ind w:left="40" w:right="420" w:firstLine="644"/>
        <w:spacing w:after="0" w:line="277" w:lineRule="auto"/>
        <w:tabs>
          <w:tab w:leader="none" w:pos="105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be paid by Inseego in cash, in Shares or in any combination thereof and may retain for the Board the right to elect among those alternatives.</w:t>
      </w:r>
    </w:p>
    <w:p>
      <w:pPr>
        <w:spacing w:after="0" w:line="183" w:lineRule="exact"/>
        <w:rPr>
          <w:rFonts w:ascii="Arial" w:cs="Arial" w:eastAsia="Arial" w:hAnsi="Arial"/>
          <w:sz w:val="18"/>
          <w:szCs w:val="18"/>
          <w:color w:val="auto"/>
        </w:rPr>
      </w:pPr>
    </w:p>
    <w:p>
      <w:pPr>
        <w:ind w:left="40" w:right="240" w:firstLine="644"/>
        <w:spacing w:after="0" w:line="277" w:lineRule="auto"/>
        <w:tabs>
          <w:tab w:leader="none" w:pos="10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not exceed a maximum specified by the Board at the Date of Grant.</w:t>
      </w:r>
    </w:p>
    <w:p>
      <w:pPr>
        <w:spacing w:after="0" w:line="170" w:lineRule="exact"/>
        <w:rPr>
          <w:rFonts w:ascii="Arial" w:cs="Arial" w:eastAsia="Arial" w:hAnsi="Arial"/>
          <w:sz w:val="18"/>
          <w:szCs w:val="18"/>
          <w:color w:val="auto"/>
        </w:rPr>
      </w:pPr>
    </w:p>
    <w:p>
      <w:pPr>
        <w:ind w:left="1060" w:hanging="376"/>
        <w:spacing w:after="0"/>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grant may specify waiting periods before exercise and permissible exercise dates or periods.</w:t>
      </w:r>
    </w:p>
    <w:p>
      <w:pPr>
        <w:sectPr>
          <w:pgSz w:w="11900" w:h="16838" w:orient="portrait"/>
          <w:cols w:equalWidth="0" w:num="1">
            <w:col w:w="11340"/>
          </w:cols>
          <w:pgMar w:left="320" w:top="584" w:right="239" w:bottom="1440" w:gutter="0" w:footer="0" w:header="0"/>
        </w:sectPr>
      </w:pPr>
    </w:p>
    <w:bookmarkStart w:id="111" w:name="page112"/>
    <w:bookmarkEnd w:id="111"/>
    <w:p>
      <w:pPr>
        <w:ind w:left="644" w:right="180" w:firstLine="4"/>
        <w:spacing w:after="0" w:line="277" w:lineRule="auto"/>
        <w:tabs>
          <w:tab w:leader="none" w:pos="1004" w:val="left"/>
        </w:tabs>
        <w:numPr>
          <w:ilvl w:val="2"/>
          <w:numId w:val="56"/>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Participant with Inseego or any Subsidiary that is necessary before such Appreciation Right or installments thereof will become exercisable.</w:t>
      </w:r>
    </w:p>
    <w:p>
      <w:pPr>
        <w:spacing w:after="0" w:line="183" w:lineRule="exact"/>
        <w:rPr>
          <w:rFonts w:ascii="Arial" w:cs="Arial" w:eastAsia="Arial" w:hAnsi="Arial"/>
          <w:sz w:val="18"/>
          <w:szCs w:val="18"/>
          <w:color w:val="auto"/>
        </w:rPr>
      </w:pPr>
    </w:p>
    <w:p>
      <w:pPr>
        <w:ind w:left="4" w:right="820" w:firstLine="644"/>
        <w:spacing w:after="0" w:line="277" w:lineRule="auto"/>
        <w:tabs>
          <w:tab w:leader="none" w:pos="1032" w:val="left"/>
        </w:tabs>
        <w:numPr>
          <w:ilvl w:val="2"/>
          <w:numId w:val="56"/>
        </w:numPr>
        <w:rPr>
          <w:rFonts w:ascii="Arial" w:cs="Arial" w:eastAsia="Arial" w:hAnsi="Arial"/>
          <w:sz w:val="18"/>
          <w:szCs w:val="18"/>
          <w:color w:val="auto"/>
        </w:rPr>
      </w:pPr>
      <w:r>
        <w:rPr>
          <w:rFonts w:ascii="Arial" w:cs="Arial" w:eastAsia="Arial" w:hAnsi="Arial"/>
          <w:sz w:val="18"/>
          <w:szCs w:val="18"/>
          <w:color w:val="auto"/>
        </w:rPr>
        <w:t>Any grant of Appreciation Rights may specify Management Objectives that must be achieved as a condition of the exercise of such Appreciation Rights.</w:t>
      </w:r>
    </w:p>
    <w:p>
      <w:pPr>
        <w:spacing w:after="0" w:line="183" w:lineRule="exact"/>
        <w:rPr>
          <w:rFonts w:ascii="Arial" w:cs="Arial" w:eastAsia="Arial" w:hAnsi="Arial"/>
          <w:sz w:val="18"/>
          <w:szCs w:val="18"/>
          <w:color w:val="auto"/>
        </w:rPr>
      </w:pPr>
    </w:p>
    <w:p>
      <w:pPr>
        <w:ind w:left="-36" w:right="260" w:firstLine="657"/>
        <w:spacing w:after="0" w:line="277" w:lineRule="auto"/>
        <w:tabs>
          <w:tab w:leader="none" w:pos="10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Successive grants may be made to the same Participant regardless of whether any Appreciation Rights previously granted to the Participant remain unexercised.</w:t>
      </w:r>
    </w:p>
    <w:p>
      <w:pPr>
        <w:spacing w:after="0" w:line="183" w:lineRule="exact"/>
        <w:rPr>
          <w:rFonts w:ascii="Arial" w:cs="Arial" w:eastAsia="Arial" w:hAnsi="Arial"/>
          <w:sz w:val="18"/>
          <w:szCs w:val="18"/>
          <w:color w:val="auto"/>
        </w:rPr>
      </w:pPr>
    </w:p>
    <w:p>
      <w:pPr>
        <w:ind w:left="1004" w:hanging="356"/>
        <w:spacing w:after="0"/>
        <w:tabs>
          <w:tab w:leader="none" w:pos="1004" w:val="left"/>
        </w:tabs>
        <w:numPr>
          <w:ilvl w:val="2"/>
          <w:numId w:val="57"/>
        </w:numPr>
        <w:rPr>
          <w:rFonts w:ascii="Arial" w:cs="Arial" w:eastAsia="Arial" w:hAnsi="Arial"/>
          <w:sz w:val="18"/>
          <w:szCs w:val="18"/>
          <w:color w:val="auto"/>
        </w:rPr>
      </w:pPr>
      <w:r>
        <w:rPr>
          <w:rFonts w:ascii="Arial" w:cs="Arial" w:eastAsia="Arial" w:hAnsi="Arial"/>
          <w:sz w:val="18"/>
          <w:szCs w:val="18"/>
          <w:color w:val="auto"/>
        </w:rPr>
        <w:t>No Appreciation Right granted under the Plan may be exercised more than 10 years from the Date of Grant.</w:t>
      </w:r>
    </w:p>
    <w:p>
      <w:pPr>
        <w:spacing w:after="0" w:line="238" w:lineRule="exact"/>
        <w:rPr>
          <w:rFonts w:ascii="Arial" w:cs="Arial" w:eastAsia="Arial" w:hAnsi="Arial"/>
          <w:sz w:val="18"/>
          <w:szCs w:val="18"/>
          <w:color w:val="auto"/>
        </w:rPr>
      </w:pPr>
    </w:p>
    <w:p>
      <w:pPr>
        <w:ind w:left="1004" w:hanging="356"/>
        <w:spacing w:after="0"/>
        <w:tabs>
          <w:tab w:leader="none" w:pos="1004" w:val="left"/>
        </w:tabs>
        <w:numPr>
          <w:ilvl w:val="2"/>
          <w:numId w:val="57"/>
        </w:numPr>
        <w:rPr>
          <w:rFonts w:ascii="Arial" w:cs="Arial" w:eastAsia="Arial" w:hAnsi="Arial"/>
          <w:sz w:val="16"/>
          <w:szCs w:val="16"/>
          <w:color w:val="auto"/>
        </w:rPr>
      </w:pPr>
      <w:r>
        <w:rPr>
          <w:rFonts w:ascii="Arial" w:cs="Arial" w:eastAsia="Arial" w:hAnsi="Arial"/>
          <w:sz w:val="16"/>
          <w:szCs w:val="16"/>
          <w:color w:val="auto"/>
        </w:rPr>
        <w:t>No grant of Appreciation Rights may provide for dividends, dividend equivalents or other similar distributions to be paid on such Appreciation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20" w:lineRule="exact"/>
        <w:rPr>
          <w:rFonts w:ascii="Arial" w:cs="Arial" w:eastAsia="Arial" w:hAnsi="Arial"/>
          <w:sz w:val="16"/>
          <w:szCs w:val="16"/>
          <w:color w:val="auto"/>
        </w:rPr>
      </w:pPr>
    </w:p>
    <w:p>
      <w:pPr>
        <w:ind w:left="4" w:right="680" w:hanging="4"/>
        <w:spacing w:after="0" w:line="282" w:lineRule="auto"/>
        <w:tabs>
          <w:tab w:leader="none" w:pos="319"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The Board may, from time to time, authorize the granting of Restricted Stock to Participants upon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following provisions as it may determine:</w:t>
      </w:r>
    </w:p>
    <w:p>
      <w:pPr>
        <w:spacing w:after="0" w:line="165" w:lineRule="exact"/>
        <w:rPr>
          <w:rFonts w:ascii="Arial" w:cs="Arial" w:eastAsia="Arial" w:hAnsi="Arial"/>
          <w:sz w:val="18"/>
          <w:szCs w:val="18"/>
          <w:color w:val="auto"/>
        </w:rPr>
      </w:pPr>
    </w:p>
    <w:p>
      <w:pPr>
        <w:ind w:left="4" w:right="160" w:firstLine="644"/>
        <w:spacing w:after="0" w:line="312" w:lineRule="auto"/>
        <w:tabs>
          <w:tab w:leader="none" w:pos="1032" w:val="left"/>
        </w:tabs>
        <w:numPr>
          <w:ilvl w:val="2"/>
          <w:numId w:val="58"/>
        </w:numPr>
        <w:rPr>
          <w:rFonts w:ascii="Arial" w:cs="Arial" w:eastAsia="Arial" w:hAnsi="Arial"/>
          <w:sz w:val="16"/>
          <w:szCs w:val="16"/>
          <w:color w:val="auto"/>
        </w:rPr>
      </w:pPr>
      <w:r>
        <w:rPr>
          <w:rFonts w:ascii="Arial" w:cs="Arial" w:eastAsia="Arial" w:hAnsi="Arial"/>
          <w:sz w:val="16"/>
          <w:szCs w:val="16"/>
          <w:color w:val="auto"/>
        </w:rPr>
        <w:t>Each such grant will constitute an immediate transfer of the ownership of Shares to the Participant in consideration of the performance of services, entitling such Participant to voting, dividend and other ownership rights, but such rights shall be subject to such restrictions and the fulfillment of such conditions (which may include the achievement of Management Objectives) during the Restriction Period as the Board may determine.</w:t>
      </w:r>
    </w:p>
    <w:p>
      <w:pPr>
        <w:spacing w:after="0" w:line="214" w:lineRule="exact"/>
        <w:rPr>
          <w:rFonts w:ascii="Arial" w:cs="Arial" w:eastAsia="Arial" w:hAnsi="Arial"/>
          <w:sz w:val="16"/>
          <w:szCs w:val="16"/>
          <w:color w:val="auto"/>
        </w:rPr>
      </w:pPr>
    </w:p>
    <w:p>
      <w:pPr>
        <w:ind w:left="-36" w:right="540" w:firstLine="657"/>
        <w:spacing w:after="0" w:line="277" w:lineRule="auto"/>
        <w:tabs>
          <w:tab w:leader="none" w:pos="1002"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such grant may be made without additional consideration or in consideration of a payment by such Participant that is less than the Market Value Per Share at the Date of Grant.</w:t>
      </w:r>
    </w:p>
    <w:p>
      <w:pPr>
        <w:spacing w:after="0" w:line="183" w:lineRule="exact"/>
        <w:rPr>
          <w:rFonts w:ascii="Arial" w:cs="Arial" w:eastAsia="Arial" w:hAnsi="Arial"/>
          <w:sz w:val="18"/>
          <w:szCs w:val="18"/>
          <w:color w:val="auto"/>
        </w:rPr>
      </w:pPr>
    </w:p>
    <w:p>
      <w:pPr>
        <w:ind w:left="-36" w:right="220" w:firstLine="657"/>
        <w:spacing w:after="0" w:line="264" w:lineRule="auto"/>
        <w:tabs>
          <w:tab w:leader="none" w:pos="992"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such grant will provide that the Restricted Stock covered by such grant that vests upon the passage of time will be subject to a “substantial risk of forfeiture” within the meaning of Section 83 of the Code for a Restriction Period to be determined by the Board at the Date of Grant or upon achievement of Management Objectives referred to in subparagraph (e) below.</w:t>
      </w:r>
    </w:p>
    <w:p>
      <w:pPr>
        <w:spacing w:after="0" w:line="181" w:lineRule="exact"/>
        <w:rPr>
          <w:rFonts w:ascii="Arial" w:cs="Arial" w:eastAsia="Arial" w:hAnsi="Arial"/>
          <w:sz w:val="18"/>
          <w:szCs w:val="18"/>
          <w:color w:val="auto"/>
        </w:rPr>
      </w:pPr>
    </w:p>
    <w:p>
      <w:pPr>
        <w:ind w:left="-36" w:right="160" w:firstLine="657"/>
        <w:spacing w:after="0" w:line="259" w:lineRule="auto"/>
        <w:tabs>
          <w:tab w:leader="none" w:pos="1002"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such grant will provide that during, and may provide that after, the Restriction Period, the transferability of the Restricted Stock will be prohibited or restricted in the manner and to the extent prescribed by the Board at the Date of Grant (which restrictions may include, without limitation, rights of repurchase or first refusal in Inseego or provisions subjecting the Restricted Stock to a continuing substantial risk of forfeiture in the hands of any transferee).</w:t>
      </w:r>
    </w:p>
    <w:p>
      <w:pPr>
        <w:spacing w:after="0" w:line="200" w:lineRule="exact"/>
        <w:rPr>
          <w:rFonts w:ascii="Arial" w:cs="Arial" w:eastAsia="Arial" w:hAnsi="Arial"/>
          <w:sz w:val="18"/>
          <w:szCs w:val="18"/>
          <w:color w:val="auto"/>
        </w:rPr>
      </w:pPr>
    </w:p>
    <w:p>
      <w:pPr>
        <w:ind w:left="-36" w:right="440" w:firstLine="657"/>
        <w:spacing w:after="0" w:line="277" w:lineRule="auto"/>
        <w:tabs>
          <w:tab w:leader="none" w:pos="982"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grant of Restricted Stock may specify Management Objectives that, if achieved, will result in termination or early termination of the restrictions applicable to such Restricted Stock.</w:t>
      </w:r>
    </w:p>
    <w:p>
      <w:pPr>
        <w:spacing w:after="0" w:line="183" w:lineRule="exact"/>
        <w:rPr>
          <w:rFonts w:ascii="Arial" w:cs="Arial" w:eastAsia="Arial" w:hAnsi="Arial"/>
          <w:sz w:val="18"/>
          <w:szCs w:val="18"/>
          <w:color w:val="auto"/>
        </w:rPr>
      </w:pPr>
    </w:p>
    <w:p>
      <w:pPr>
        <w:ind w:left="-36" w:right="20" w:firstLine="657"/>
        <w:spacing w:after="0" w:line="257" w:lineRule="auto"/>
        <w:tabs>
          <w:tab w:leader="none" w:pos="9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any grant of Restricted Stock may provide for the earlier termination of restrictions on such Restricted Stock in the event of the retirement, death or disability, or other termination of employment of a Participant, or a Change in Control; provided, however, that no Award intended to be a Qualified Performance-Based Award shall provide for such early termination of restrictions in the event of retirement or other termination of employment to the extent such provision would cause such Award to fail to be a Qualified Performance-Based Award.</w:t>
      </w:r>
    </w:p>
    <w:p>
      <w:pPr>
        <w:spacing w:after="0" w:line="201" w:lineRule="exact"/>
        <w:rPr>
          <w:rFonts w:ascii="Arial" w:cs="Arial" w:eastAsia="Arial" w:hAnsi="Arial"/>
          <w:sz w:val="18"/>
          <w:szCs w:val="18"/>
          <w:color w:val="auto"/>
        </w:rPr>
      </w:pPr>
    </w:p>
    <w:p>
      <w:pPr>
        <w:ind w:left="-36" w:right="40" w:firstLine="657"/>
        <w:spacing w:after="0" w:line="279" w:lineRule="auto"/>
        <w:tabs>
          <w:tab w:leader="none" w:pos="992"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such grant of Restricted Stock may require that any or all dividends or other distributions paid thereon during the Restriction Period be automatically deferred and reinvested in additional shares of Restricted Stock or paid in cash, which may be subject to the same restrictions as the underlying Award; provided, however, that dividends or other distributions on Restricted Stock subject to Management Objectives shall be deferred and paid in cash upon the achievement of the applicable Management Objectives and the lapse of all restrictions on such Restricted Stock.</w:t>
      </w:r>
    </w:p>
    <w:p>
      <w:pPr>
        <w:spacing w:after="0" w:line="184" w:lineRule="exact"/>
        <w:rPr>
          <w:rFonts w:ascii="Arial" w:cs="Arial" w:eastAsia="Arial" w:hAnsi="Arial"/>
          <w:sz w:val="17"/>
          <w:szCs w:val="17"/>
          <w:color w:val="auto"/>
        </w:rPr>
      </w:pPr>
    </w:p>
    <w:p>
      <w:pPr>
        <w:ind w:left="-36" w:right="60" w:firstLine="657"/>
        <w:spacing w:after="0" w:line="259" w:lineRule="auto"/>
        <w:tabs>
          <w:tab w:leader="none" w:pos="1002" w:val="left"/>
        </w:tabs>
        <w:numPr>
          <w:ilvl w:val="1"/>
          <w:numId w:val="58"/>
        </w:numPr>
        <w:rPr>
          <w:rFonts w:ascii="Arial" w:cs="Arial" w:eastAsia="Arial" w:hAnsi="Arial"/>
          <w:sz w:val="18"/>
          <w:szCs w:val="18"/>
          <w:color w:val="auto"/>
        </w:rPr>
      </w:pPr>
      <w:r>
        <w:rPr>
          <w:rFonts w:ascii="Arial" w:cs="Arial" w:eastAsia="Arial" w:hAnsi="Arial"/>
          <w:sz w:val="18"/>
          <w:szCs w:val="18"/>
          <w:color w:val="auto"/>
        </w:rPr>
        <w:t>Unless otherwise directed by the Board, (i) all certificates representing shares of Restricted Stock will be held in custody by Inseego until all restrictions thereon will have lapsed, together with a stock power or powers executed by the Participant in whose name such certificates are registered, endorsed in blank and covering such Shares, or (ii) all shares of Restricted Stock will be held at Inseego’s transfer agent in book entry form with appropriate restrictions relating to the transfer of such shares of Restricted Stock.</w:t>
      </w:r>
    </w:p>
    <w:p>
      <w:pPr>
        <w:sectPr>
          <w:pgSz w:w="11900" w:h="16838" w:orient="portrait"/>
          <w:cols w:equalWidth="0" w:num="1">
            <w:col w:w="11304"/>
          </w:cols>
          <w:pgMar w:left="356" w:top="800" w:right="239" w:bottom="1440" w:gutter="0" w:footer="0" w:header="0"/>
        </w:sectPr>
      </w:pPr>
    </w:p>
    <w:bookmarkStart w:id="112" w:name="page113"/>
    <w:bookmarkEnd w:id="112"/>
    <w:p>
      <w:pPr>
        <w:ind w:left="-9" w:right="540" w:firstLine="9"/>
        <w:spacing w:after="0" w:line="282" w:lineRule="auto"/>
        <w:tabs>
          <w:tab w:leader="none" w:pos="30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The Board may, from time to time, authorize the granting of Restricted Stock Units to Participants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consistent with the following provisions as it may determine:</w:t>
      </w:r>
    </w:p>
    <w:p>
      <w:pPr>
        <w:spacing w:after="0" w:line="179" w:lineRule="exact"/>
        <w:rPr>
          <w:rFonts w:ascii="Arial" w:cs="Arial" w:eastAsia="Arial" w:hAnsi="Arial"/>
          <w:sz w:val="18"/>
          <w:szCs w:val="18"/>
          <w:color w:val="auto"/>
        </w:rPr>
      </w:pPr>
    </w:p>
    <w:p>
      <w:pPr>
        <w:ind w:left="-9" w:right="460" w:firstLine="657"/>
        <w:spacing w:after="0" w:line="264" w:lineRule="auto"/>
        <w:tabs>
          <w:tab w:leader="none" w:pos="1019"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such grant will constitute the agreement by Inseego to deliver Shares or cash to the Participant in the future in consideration of the performance of services, but subject to such restrictions and the fulfillment of such conditions (which may include the achievement of Management Objectives) during the Restriction Period as the Board may specify.</w:t>
      </w:r>
    </w:p>
    <w:p>
      <w:pPr>
        <w:spacing w:after="0" w:line="194" w:lineRule="exact"/>
        <w:rPr>
          <w:rFonts w:ascii="Arial" w:cs="Arial" w:eastAsia="Arial" w:hAnsi="Arial"/>
          <w:sz w:val="18"/>
          <w:szCs w:val="18"/>
          <w:color w:val="auto"/>
        </w:rPr>
      </w:pPr>
    </w:p>
    <w:p>
      <w:pPr>
        <w:ind w:left="-9" w:right="480" w:firstLine="657"/>
        <w:spacing w:after="0" w:line="277" w:lineRule="auto"/>
        <w:tabs>
          <w:tab w:leader="none" w:pos="1029"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such grant may be made without additional consideration or in consideration of a payment by such Participant that is less than the Market Value Per Share at the Date of Grant.</w:t>
      </w:r>
    </w:p>
    <w:p>
      <w:pPr>
        <w:spacing w:after="0" w:line="183" w:lineRule="exact"/>
        <w:rPr>
          <w:rFonts w:ascii="Arial" w:cs="Arial" w:eastAsia="Arial" w:hAnsi="Arial"/>
          <w:sz w:val="18"/>
          <w:szCs w:val="18"/>
          <w:color w:val="auto"/>
        </w:rPr>
      </w:pPr>
    </w:p>
    <w:p>
      <w:pPr>
        <w:ind w:left="-9" w:right="80" w:firstLine="657"/>
        <w:spacing w:after="0" w:line="257" w:lineRule="auto"/>
        <w:tabs>
          <w:tab w:leader="none" w:pos="1019"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any grant of Restricted Stock Units may provide for the earlier lapse or modification of the Restriction Period in the event of the retirement, death or disability, or other termination of employment of a Participant, or a Change in Control; provided , however , that no Award intended to be a Qualified Performance-Based Award shall provide for such early lapse or modification in the event of retirement or other termination of employment to the extent such provision would cause such Award to fail to be a Qualified Performance-Based Award.</w:t>
      </w:r>
    </w:p>
    <w:p>
      <w:pPr>
        <w:spacing w:after="0" w:line="39" w:lineRule="exact"/>
        <w:rPr>
          <w:rFonts w:ascii="Arial" w:cs="Arial" w:eastAsia="Arial" w:hAnsi="Arial"/>
          <w:sz w:val="18"/>
          <w:szCs w:val="18"/>
          <w:color w:val="auto"/>
        </w:rPr>
      </w:pPr>
    </w:p>
    <w:p>
      <w:pPr>
        <w:ind w:left="31" w:right="40" w:firstLine="644"/>
        <w:spacing w:after="0" w:line="276" w:lineRule="auto"/>
        <w:tabs>
          <w:tab w:leader="none" w:pos="1069" w:val="left"/>
        </w:tabs>
        <w:numPr>
          <w:ilvl w:val="2"/>
          <w:numId w:val="59"/>
        </w:numPr>
        <w:rPr>
          <w:rFonts w:ascii="Arial" w:cs="Arial" w:eastAsia="Arial" w:hAnsi="Arial"/>
          <w:sz w:val="17"/>
          <w:szCs w:val="17"/>
          <w:color w:val="auto"/>
        </w:rPr>
      </w:pPr>
      <w:r>
        <w:rPr>
          <w:rFonts w:ascii="Arial" w:cs="Arial" w:eastAsia="Arial" w:hAnsi="Arial"/>
          <w:sz w:val="17"/>
          <w:szCs w:val="17"/>
          <w:color w:val="auto"/>
        </w:rPr>
        <w:t>During the Restriction Period, the Participant will have no right to transfer any rights under his or her Award and will have no rights of ownership in the Restricted Stock Units and will have no right to vote them, but the Board may at the Date of Grant, authorize the payment of dividend equivalents on such Restricted Stock Units on either a current, deferred or contingent basis either in cash, additional Restricted Stock Units or in additional Shares; provided , however , that dividend equivalents on Restricted Stock Units subject to Management Objectives shall be deferred and paid in cash upon the achievement of the applicable Management Objectives and the lapse of all restrictions on such Restricted Stock Units.</w:t>
      </w:r>
    </w:p>
    <w:p>
      <w:pPr>
        <w:spacing w:after="0" w:line="186" w:lineRule="exact"/>
        <w:rPr>
          <w:sz w:val="20"/>
          <w:szCs w:val="20"/>
          <w:color w:val="auto"/>
        </w:rPr>
      </w:pPr>
    </w:p>
    <w:p>
      <w:pPr>
        <w:ind w:left="1031" w:hanging="383"/>
        <w:spacing w:after="0"/>
        <w:tabs>
          <w:tab w:leader="none" w:pos="1031" w:val="left"/>
        </w:tabs>
        <w:numPr>
          <w:ilvl w:val="1"/>
          <w:numId w:val="60"/>
        </w:numPr>
        <w:rPr>
          <w:rFonts w:ascii="Arial" w:cs="Arial" w:eastAsia="Arial" w:hAnsi="Arial"/>
          <w:sz w:val="17"/>
          <w:szCs w:val="17"/>
          <w:color w:val="auto"/>
        </w:rPr>
      </w:pPr>
      <w:r>
        <w:rPr>
          <w:rFonts w:ascii="Arial" w:cs="Arial" w:eastAsia="Arial" w:hAnsi="Arial"/>
          <w:sz w:val="17"/>
          <w:szCs w:val="17"/>
          <w:color w:val="auto"/>
        </w:rPr>
        <w:t>Each grant of Restricted Stock Units will specify the time and manner of payment of the Restricted Stock Units that have been earned.</w:t>
      </w:r>
    </w:p>
    <w:p>
      <w:pPr>
        <w:spacing w:after="0" w:line="232" w:lineRule="exact"/>
        <w:rPr>
          <w:rFonts w:ascii="Arial" w:cs="Arial" w:eastAsia="Arial" w:hAnsi="Arial"/>
          <w:sz w:val="17"/>
          <w:szCs w:val="17"/>
          <w:color w:val="auto"/>
        </w:rPr>
      </w:pPr>
    </w:p>
    <w:p>
      <w:pPr>
        <w:jc w:val="both"/>
        <w:ind w:left="31" w:right="500" w:hanging="4"/>
        <w:spacing w:after="0" w:line="314" w:lineRule="auto"/>
        <w:tabs>
          <w:tab w:leader="none" w:pos="346"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Annual Incentive Awards, Performance Shares and Performance Units</w:t>
      </w:r>
      <w:r>
        <w:rPr>
          <w:rFonts w:ascii="Arial" w:cs="Arial" w:eastAsia="Arial" w:hAnsi="Arial"/>
          <w:sz w:val="16"/>
          <w:szCs w:val="16"/>
          <w:color w:val="auto"/>
        </w:rPr>
        <w:t>. The Board may, from time to time, authorize the granting of Annual</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Awards, Performance Shares and Performance Units that will become payable to a Participant upon achievement of specified Management Objectives during the Performance Period, upon such terms and conditions consistent with the following provisions as it may determine:</w:t>
      </w:r>
    </w:p>
    <w:p>
      <w:pPr>
        <w:spacing w:after="0" w:line="159" w:lineRule="exact"/>
        <w:rPr>
          <w:rFonts w:ascii="Arial" w:cs="Arial" w:eastAsia="Arial" w:hAnsi="Arial"/>
          <w:sz w:val="16"/>
          <w:szCs w:val="16"/>
          <w:color w:val="auto"/>
        </w:rPr>
      </w:pPr>
    </w:p>
    <w:p>
      <w:pPr>
        <w:ind w:left="31" w:firstLine="644"/>
        <w:spacing w:after="0" w:line="264" w:lineRule="auto"/>
        <w:tabs>
          <w:tab w:leader="none" w:pos="1059" w:val="left"/>
        </w:tabs>
        <w:numPr>
          <w:ilvl w:val="2"/>
          <w:numId w:val="61"/>
        </w:numPr>
        <w:rPr>
          <w:rFonts w:ascii="Arial" w:cs="Arial" w:eastAsia="Arial" w:hAnsi="Arial"/>
          <w:sz w:val="18"/>
          <w:szCs w:val="18"/>
          <w:color w:val="auto"/>
        </w:rPr>
      </w:pPr>
      <w:r>
        <w:rPr>
          <w:rFonts w:ascii="Arial" w:cs="Arial" w:eastAsia="Arial" w:hAnsi="Arial"/>
          <w:sz w:val="18"/>
          <w:szCs w:val="18"/>
          <w:color w:val="auto"/>
        </w:rPr>
        <w:t>Each grant will specify either the number of shares, or amount of cash, payable with respect to Annual Incentive Awards, Performance Shares or Performance Units to which it pertains, which number or amount payable may be subject to adjustment to reflect changes in compensation or other factors.</w:t>
      </w:r>
    </w:p>
    <w:p>
      <w:pPr>
        <w:spacing w:after="0" w:line="194" w:lineRule="exact"/>
        <w:rPr>
          <w:rFonts w:ascii="Arial" w:cs="Arial" w:eastAsia="Arial" w:hAnsi="Arial"/>
          <w:sz w:val="18"/>
          <w:szCs w:val="18"/>
          <w:color w:val="auto"/>
        </w:rPr>
      </w:pPr>
    </w:p>
    <w:p>
      <w:pPr>
        <w:ind w:left="31" w:right="40" w:firstLine="644"/>
        <w:spacing w:after="0" w:line="255" w:lineRule="auto"/>
        <w:tabs>
          <w:tab w:leader="none" w:pos="1066"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Performance Period with respect to each Annual Incentive Award, Performance Share or Performance Unit will be such period of time (not less than one year in the case of each Performance Share and Performance Unit), as will be determined by the Board at the time of grant, which Performance Period may be subject to earlier lapse or other modification in the event of the retirement, death or disability, or other termination of employment of a Participant, or a Change in Control; provided, however, that no Award intended to be a Qualified Performance-Based Award shall provide for such early lapse or modification in the event of retirement or other termination of employment to the extent such provision would cause such Award to fail to be a Qualified Performance-Based Award.</w:t>
      </w:r>
    </w:p>
    <w:p>
      <w:pPr>
        <w:spacing w:after="0" w:line="206" w:lineRule="exact"/>
        <w:rPr>
          <w:rFonts w:ascii="Arial" w:cs="Arial" w:eastAsia="Arial" w:hAnsi="Arial"/>
          <w:sz w:val="18"/>
          <w:szCs w:val="18"/>
          <w:color w:val="auto"/>
        </w:rPr>
      </w:pPr>
    </w:p>
    <w:p>
      <w:pPr>
        <w:jc w:val="both"/>
        <w:ind w:left="31" w:right="40" w:firstLine="644"/>
        <w:spacing w:after="0" w:line="259" w:lineRule="auto"/>
        <w:tabs>
          <w:tab w:leader="none" w:pos="1049"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grant of Annual Incentive Awards, Performance Shares or Performance Units will specify Management Objectives that, if achieved, will result in payment or early payment of the Award and may set forth a formula for determining the number of shares, or amount of cash, payable with respect to Annual Incentive Awards, Performance Shares or Performance Units that will be earned if performance is at or above the minimum or threshold level or levels.</w:t>
      </w:r>
    </w:p>
    <w:p>
      <w:pPr>
        <w:spacing w:after="0" w:line="186" w:lineRule="exact"/>
        <w:rPr>
          <w:rFonts w:ascii="Arial" w:cs="Arial" w:eastAsia="Arial" w:hAnsi="Arial"/>
          <w:sz w:val="18"/>
          <w:szCs w:val="18"/>
          <w:color w:val="auto"/>
        </w:rPr>
      </w:pPr>
    </w:p>
    <w:p>
      <w:pPr>
        <w:ind w:left="31" w:right="200" w:firstLine="644"/>
        <w:spacing w:after="0" w:line="286" w:lineRule="auto"/>
        <w:tabs>
          <w:tab w:leader="none" w:pos="1069" w:val="left"/>
        </w:tabs>
        <w:numPr>
          <w:ilvl w:val="2"/>
          <w:numId w:val="61"/>
        </w:numPr>
        <w:rPr>
          <w:rFonts w:ascii="Arial" w:cs="Arial" w:eastAsia="Arial" w:hAnsi="Arial"/>
          <w:sz w:val="17"/>
          <w:szCs w:val="17"/>
          <w:color w:val="auto"/>
        </w:rPr>
      </w:pPr>
      <w:r>
        <w:rPr>
          <w:rFonts w:ascii="Arial" w:cs="Arial" w:eastAsia="Arial" w:hAnsi="Arial"/>
          <w:sz w:val="17"/>
          <w:szCs w:val="17"/>
          <w:color w:val="auto"/>
        </w:rPr>
        <w:t>Each grant will specify the time and manner of payment of Annual Incentive Awards, Performance Shares or Performance Units that have been earned. Any grant of Performance Shares or Performance Units may specify that the amount payable with respect thereto may be paid by Inseego in cash, in Shares or in any combination thereof and will retain in the Board the right to elect among those alternatives.</w:t>
      </w:r>
    </w:p>
    <w:p>
      <w:pPr>
        <w:spacing w:after="0" w:line="179" w:lineRule="exact"/>
        <w:rPr>
          <w:rFonts w:ascii="Arial" w:cs="Arial" w:eastAsia="Arial" w:hAnsi="Arial"/>
          <w:sz w:val="17"/>
          <w:szCs w:val="17"/>
          <w:color w:val="auto"/>
        </w:rPr>
      </w:pPr>
    </w:p>
    <w:p>
      <w:pPr>
        <w:ind w:left="31" w:right="360" w:firstLine="644"/>
        <w:spacing w:after="0" w:line="277" w:lineRule="auto"/>
        <w:tabs>
          <w:tab w:leader="none" w:pos="1049"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grant of Annual Incentive Awards, Performance Shares or Performance Units may specify that the amount payable or the number of Shares issued with respect thereto may not exceed maximums specified by the Board at the Date of Grant.</w:t>
      </w:r>
    </w:p>
    <w:p>
      <w:pPr>
        <w:sectPr>
          <w:pgSz w:w="11900" w:h="16838" w:orient="portrait"/>
          <w:cols w:equalWidth="0" w:num="1">
            <w:col w:w="11271"/>
          </w:cols>
          <w:pgMar w:left="329" w:top="810" w:right="299" w:bottom="1440" w:gutter="0" w:footer="0" w:header="0"/>
        </w:sectPr>
      </w:pPr>
    </w:p>
    <w:bookmarkStart w:id="113" w:name="page114"/>
    <w:bookmarkEnd w:id="113"/>
    <w:p>
      <w:pPr>
        <w:ind w:left="4" w:right="200" w:firstLine="644"/>
        <w:spacing w:after="0" w:line="264" w:lineRule="auto"/>
        <w:tabs>
          <w:tab w:leader="none" w:pos="1009"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Board may at the Date of Grant of Performance Shares provide for the payment of dividend equivalents to the holder thereof on either a current, deferred or contingent basis, either in cash or in additional Shares; provided, however, that dividend equivalents on Performance Shares shall be deferred and paid in cash upon the achievement of the applicable Management Objectives.</w:t>
      </w:r>
    </w:p>
    <w:p>
      <w:pPr>
        <w:spacing w:after="0" w:line="177" w:lineRule="exact"/>
        <w:rPr>
          <w:rFonts w:ascii="Arial" w:cs="Arial" w:eastAsia="Arial" w:hAnsi="Arial"/>
          <w:sz w:val="18"/>
          <w:szCs w:val="18"/>
          <w:color w:val="auto"/>
        </w:rPr>
      </w:pPr>
    </w:p>
    <w:p>
      <w:pPr>
        <w:ind w:left="324" w:hanging="324"/>
        <w:spacing w:after="0"/>
        <w:tabs>
          <w:tab w:leader="none" w:pos="324"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42" w:lineRule="exact"/>
        <w:rPr>
          <w:rFonts w:ascii="Arial" w:cs="Arial" w:eastAsia="Arial" w:hAnsi="Arial"/>
          <w:sz w:val="18"/>
          <w:szCs w:val="18"/>
          <w:color w:val="auto"/>
        </w:rPr>
      </w:pPr>
    </w:p>
    <w:p>
      <w:pPr>
        <w:ind w:left="4" w:right="20" w:firstLine="644"/>
        <w:spacing w:after="0" w:line="290" w:lineRule="auto"/>
        <w:tabs>
          <w:tab w:leader="none" w:pos="1029"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Board may, subject to limitations under applicable law, grant to any Participant such other awards that may be denominated or payable in, valued in whole or in part by reference to, or otherwise based on, or related to, Shares or factors that may influence the value of such Shares, including, without limitation, awards consisting of securities or other rights convertible or exchangeable into Shares, purchase rights for Shares, awards with value and payment contingent upon performance of the Company or specified Subsidiaries, Affiliates or other business units thereof or any other factors designated by the Board, and awards valued by reference to the book value of Shares or the value of securities of, or the performance of specified Subsidiaries or Affiliates or other business units of Inseego. The Board shall determine the terms and conditions of such awards. Shares delivered pursuant to an award in the nature of a purchase right granted under this Section 9 shall be purchased for such consideration, paid for at such time, by such methods, and in such forms, including, without limitation, cash, Shares, Other awards, notes or other property, as the Board shall determine.</w:t>
      </w:r>
    </w:p>
    <w:p>
      <w:pPr>
        <w:spacing w:after="0" w:line="179" w:lineRule="exact"/>
        <w:rPr>
          <w:rFonts w:ascii="Arial" w:cs="Arial" w:eastAsia="Arial" w:hAnsi="Arial"/>
          <w:sz w:val="16"/>
          <w:szCs w:val="16"/>
          <w:color w:val="auto"/>
        </w:rPr>
      </w:pPr>
    </w:p>
    <w:p>
      <w:pPr>
        <w:ind w:left="4" w:right="340" w:firstLine="644"/>
        <w:spacing w:after="0" w:line="277" w:lineRule="auto"/>
        <w:tabs>
          <w:tab w:leader="none" w:pos="1042"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Except as otherwise provided in Section 15(b), cash awards, as independent awards or as an element of or supplement to any other Award granted under the Plan, may also be granted pursuant to this Section 9.</w:t>
      </w:r>
    </w:p>
    <w:p>
      <w:pPr>
        <w:spacing w:after="0" w:line="170" w:lineRule="exact"/>
        <w:rPr>
          <w:rFonts w:ascii="Arial" w:cs="Arial" w:eastAsia="Arial" w:hAnsi="Arial"/>
          <w:sz w:val="18"/>
          <w:szCs w:val="18"/>
          <w:color w:val="auto"/>
        </w:rPr>
      </w:pPr>
    </w:p>
    <w:p>
      <w:pPr>
        <w:ind w:left="4" w:firstLine="644"/>
        <w:spacing w:after="0" w:line="264" w:lineRule="auto"/>
        <w:tabs>
          <w:tab w:leader="none" w:pos="1029"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Board may grant Shares as a bonus, or may grant other Awards in lieu of obligations of Inseego or a Subsidiary to pay cash or deliver other property under the Plan or under other plans or compensatory arrangements, subject to such terms as shall be determined by the Board in a manner that complies with Section 409A of the Code.</w:t>
      </w:r>
    </w:p>
    <w:p>
      <w:pPr>
        <w:spacing w:after="0" w:line="177" w:lineRule="exact"/>
        <w:rPr>
          <w:rFonts w:ascii="Arial" w:cs="Arial" w:eastAsia="Arial" w:hAnsi="Arial"/>
          <w:sz w:val="18"/>
          <w:szCs w:val="18"/>
          <w:color w:val="auto"/>
        </w:rPr>
      </w:pPr>
    </w:p>
    <w:p>
      <w:pPr>
        <w:ind w:left="404" w:hanging="404"/>
        <w:spacing w:after="0"/>
        <w:tabs>
          <w:tab w:leader="none" w:pos="404"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42" w:lineRule="exact"/>
        <w:rPr>
          <w:rFonts w:ascii="Arial" w:cs="Arial" w:eastAsia="Arial" w:hAnsi="Arial"/>
          <w:sz w:val="18"/>
          <w:szCs w:val="18"/>
          <w:color w:val="auto"/>
        </w:rPr>
      </w:pPr>
    </w:p>
    <w:p>
      <w:pPr>
        <w:ind w:left="4" w:right="40" w:firstLine="644"/>
        <w:spacing w:after="0" w:line="257" w:lineRule="auto"/>
        <w:tabs>
          <w:tab w:leader="none" w:pos="10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Except as otherwise determined by the Board, no Awards granted under the Plan shall be transferable by the Participant except by will or the laws of descent and distribution, and in no event shall any such Award granted under the Plan be transferred for value. Except as otherwise determined by the Board,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and/or court supervision.</w:t>
      </w:r>
    </w:p>
    <w:p>
      <w:pPr>
        <w:spacing w:after="0" w:line="188" w:lineRule="exact"/>
        <w:rPr>
          <w:rFonts w:ascii="Arial" w:cs="Arial" w:eastAsia="Arial" w:hAnsi="Arial"/>
          <w:sz w:val="18"/>
          <w:szCs w:val="18"/>
          <w:color w:val="auto"/>
        </w:rPr>
      </w:pPr>
    </w:p>
    <w:p>
      <w:pPr>
        <w:ind w:left="4" w:right="320" w:firstLine="644"/>
        <w:spacing w:after="0" w:line="286" w:lineRule="auto"/>
        <w:tabs>
          <w:tab w:leader="none" w:pos="1039"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Board may specify at the Date of Grant that part or all of the Shares that are to be issued by the Company upon the exercise of Option Rights or Appreciation Rights, upon the termination of the Restriction Period applicable to Restricted Stock or Restricted Stock Units or upon payment under any grant of Performance Shares, Performance Units or Other Awards will be subject to further restrictions on transfer.</w:t>
      </w:r>
    </w:p>
    <w:p>
      <w:pPr>
        <w:spacing w:after="0" w:line="175" w:lineRule="exact"/>
        <w:rPr>
          <w:rFonts w:ascii="Arial" w:cs="Arial" w:eastAsia="Arial" w:hAnsi="Arial"/>
          <w:sz w:val="17"/>
          <w:szCs w:val="17"/>
          <w:color w:val="auto"/>
        </w:rPr>
      </w:pPr>
    </w:p>
    <w:p>
      <w:pPr>
        <w:ind w:left="4" w:right="40" w:hanging="4"/>
        <w:spacing w:after="0" w:line="268" w:lineRule="auto"/>
        <w:tabs>
          <w:tab w:leader="none" w:pos="402"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Adjustments</w:t>
      </w:r>
      <w:r>
        <w:rPr>
          <w:rFonts w:ascii="Arial" w:cs="Arial" w:eastAsia="Arial" w:hAnsi="Arial"/>
          <w:sz w:val="17"/>
          <w:szCs w:val="17"/>
          <w:color w:val="auto"/>
        </w:rPr>
        <w:t>. The Board shall make or provide for such adjustments in the numbers of Shares covered by outstanding Option Rights, Appreciation</w:t>
      </w:r>
      <w:r>
        <w:rPr>
          <w:rFonts w:ascii="Arial" w:cs="Arial" w:eastAsia="Arial" w:hAnsi="Arial"/>
          <w:sz w:val="17"/>
          <w:szCs w:val="17"/>
          <w:b w:val="1"/>
          <w:bCs w:val="1"/>
          <w:color w:val="auto"/>
        </w:rPr>
        <w:t xml:space="preserve"> </w:t>
      </w:r>
      <w:r>
        <w:rPr>
          <w:rFonts w:ascii="Arial" w:cs="Arial" w:eastAsia="Arial" w:hAnsi="Arial"/>
          <w:sz w:val="17"/>
          <w:szCs w:val="17"/>
          <w:color w:val="auto"/>
        </w:rPr>
        <w:t>Rights, Restricted Stock, Restricted Stock Units, Performance Shares and Performance Units granted hereunder and, if applicable, in the number of Shares covered by Other Awards, in the Option Price and Base Price provided in outstanding Option Rights or Appreciation Rights, and in the kind of Shares covered thereby, as the Board, in its sole discretion, exercised in good faith, may determine is equitably required to prevent dilution or enlargement of the rights of Participants or Optionees that otherwise would result from (a) any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Board, in its discretion, may provide in substitution for any or all outstanding Awards under the Plan such alternative consideration (including cash), if any, as it, in good faith, may determine to be equitable in the circumstances and may require in connection therewith the surrender of all Awards so replaced in a manner that complies with Section 409A of the Code. In addition, for each Option Right or Appreciation Right with an Option Price or Base Price greater than the consideration offered in connection with any such transaction or event or Change in Control, the Board may in its sole discretion elect to cancel such Option Right or Appreciation Right without any payment to the person holding such Option Right or Appreciation Right. The Board shall also make or provide for such adjustments in the numbers of shares specified in Section 3 of the Plan as the Board in its sole discretion, exercised in good faith, may determine is appropriate to reflect any transaction or event described in this Section 11; provided , however , that any such adjustment to the number specified in Section 3(a)(iii) will be made only if and to the</w:t>
      </w:r>
    </w:p>
    <w:p>
      <w:pPr>
        <w:sectPr>
          <w:pgSz w:w="11900" w:h="16838" w:orient="portrait"/>
          <w:cols w:equalWidth="0" w:num="1">
            <w:col w:w="11304"/>
          </w:cols>
          <w:pgMar w:left="356" w:top="584" w:right="239" w:bottom="1440" w:gutter="0" w:footer="0" w:header="0"/>
        </w:sectPr>
      </w:pPr>
    </w:p>
    <w:bookmarkStart w:id="114" w:name="page115"/>
    <w:bookmarkEnd w:id="114"/>
    <w:p>
      <w:pPr>
        <w:ind w:left="4"/>
        <w:spacing w:after="0"/>
        <w:rPr>
          <w:sz w:val="20"/>
          <w:szCs w:val="20"/>
          <w:color w:val="auto"/>
        </w:rPr>
      </w:pPr>
      <w:r>
        <w:rPr>
          <w:rFonts w:ascii="Arial" w:cs="Arial" w:eastAsia="Arial" w:hAnsi="Arial"/>
          <w:sz w:val="18"/>
          <w:szCs w:val="18"/>
          <w:color w:val="auto"/>
        </w:rPr>
        <w:t>extent that such adjustment would not cause any Option Right intended to qualify as an Incentive Stock Option to fail so to qualify.</w:t>
      </w:r>
    </w:p>
    <w:p>
      <w:pPr>
        <w:spacing w:after="0" w:line="289" w:lineRule="exact"/>
        <w:rPr>
          <w:sz w:val="20"/>
          <w:szCs w:val="20"/>
          <w:color w:val="auto"/>
        </w:rPr>
      </w:pPr>
    </w:p>
    <w:p>
      <w:pPr>
        <w:ind w:left="404" w:hanging="404"/>
        <w:spacing w:after="0"/>
        <w:tabs>
          <w:tab w:leader="none" w:pos="404"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p>
    <w:p>
      <w:pPr>
        <w:spacing w:after="0" w:line="242" w:lineRule="exact"/>
        <w:rPr>
          <w:rFonts w:ascii="Arial" w:cs="Arial" w:eastAsia="Arial" w:hAnsi="Arial"/>
          <w:sz w:val="18"/>
          <w:szCs w:val="18"/>
          <w:color w:val="auto"/>
        </w:rPr>
      </w:pPr>
    </w:p>
    <w:p>
      <w:pPr>
        <w:ind w:left="4" w:right="120" w:firstLine="644"/>
        <w:spacing w:after="0" w:line="259" w:lineRule="auto"/>
        <w:tabs>
          <w:tab w:leader="none" w:pos="1029"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Plan will be administered by the Board, which may from time to time delegate all or any part of its authority under the Plan to the Committee. To the extent of any such delegation, references in the Plan to the Board will be deemed to be references to such Committee. A majority of the Committee will constitute a quorum, and the action of the members of the Committee present at any meeting at which a quorum is present, or acts unanimously approved in writing, will be the acts of the Committee.</w:t>
      </w:r>
    </w:p>
    <w:p>
      <w:pPr>
        <w:spacing w:after="0" w:line="186" w:lineRule="exact"/>
        <w:rPr>
          <w:rFonts w:ascii="Arial" w:cs="Arial" w:eastAsia="Arial" w:hAnsi="Arial"/>
          <w:sz w:val="18"/>
          <w:szCs w:val="18"/>
          <w:color w:val="auto"/>
        </w:rPr>
      </w:pPr>
    </w:p>
    <w:p>
      <w:pPr>
        <w:ind w:left="4" w:right="60" w:firstLine="644"/>
        <w:spacing w:after="0" w:line="290" w:lineRule="auto"/>
        <w:tabs>
          <w:tab w:leader="none" w:pos="1039"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the extent permitted by applicable law, including any rule of the Nasdaq Stock Market, the Board or Committee may delegate its duties under the Plan to a Secondary Committee, subject to such conditions and limitations as the Board or Committee shall prescribe; provided, however, that: (i) only the Board or Committee may grant an Award to a Participant who is subject to Section 16 of the Exchange Act; (ii) only the Board or Committee may grant an Award designed to be a Qualified Performance-Based Award; and (iii) the Secondary Committee shall report periodically to the Board or the Committee, as the case may be, regarding the nature and scope of the Awards granted pursuant to the authority delegated. To the extent of any such delegation, references or deemed references in the Plan to the Committee will be deemed to be references to such Secondary Committee. A majority of the Secondary Committee will constitute a quorum, and the action of the members of the Secondary Committee present at any meeting at which a quorum is present, or acts unanimously approved in writing, will be the acts of the Secondary Committee.</w:t>
      </w:r>
    </w:p>
    <w:p>
      <w:pPr>
        <w:spacing w:after="0" w:line="166" w:lineRule="exact"/>
        <w:rPr>
          <w:rFonts w:ascii="Arial" w:cs="Arial" w:eastAsia="Arial" w:hAnsi="Arial"/>
          <w:sz w:val="16"/>
          <w:szCs w:val="16"/>
          <w:color w:val="auto"/>
        </w:rPr>
      </w:pPr>
    </w:p>
    <w:p>
      <w:pPr>
        <w:ind w:left="4" w:firstLine="644"/>
        <w:spacing w:after="0" w:line="253" w:lineRule="auto"/>
        <w:tabs>
          <w:tab w:leader="none" w:pos="1029"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Board shall have full and exclusive discretionary power to interpret the terms and the intent of this Plan and any Evidence of Award or other agreement or document ancillary to or in connection with this Plan, to determine eligibility for Awards and to adopt such rules, regulations, forms, instruments, and guidelines for administering this Plan as the Board may deem necessary or proper. Such authority shall include, but not be limited to, selecting Award recipients, establishing all Award terms and conditions, including the terms and conditions set forth in an Evidence of Award, granting Awards as an alternative to or as the form of payment for grants or rights earned or due under compensation plans or arrangements of the Company, construing any ambiguous provision of the Plan or any Evidence of Award, and, subject to Sections 15 and 18, adopting modifications and amendments to this Plan or any Evidence of Award, including without limitation, any that are necessary to comply with the laws of the countries and other jurisdictions in which Inseego, its Affiliates, and/or its Subsidiaries operate. The grant of any Award that specifies Management Objectives that must be achieved before such Award can be earned or paid will specify that, before such Award will be earned and paid, the Board must certify that the Management Objectives have been satisfied.</w:t>
      </w:r>
    </w:p>
    <w:p>
      <w:pPr>
        <w:spacing w:after="0" w:line="208" w:lineRule="exact"/>
        <w:rPr>
          <w:rFonts w:ascii="Arial" w:cs="Arial" w:eastAsia="Arial" w:hAnsi="Arial"/>
          <w:sz w:val="18"/>
          <w:szCs w:val="18"/>
          <w:color w:val="auto"/>
        </w:rPr>
      </w:pPr>
    </w:p>
    <w:p>
      <w:pPr>
        <w:jc w:val="both"/>
        <w:ind w:left="4" w:right="160" w:firstLine="644"/>
        <w:spacing w:after="0" w:line="259" w:lineRule="auto"/>
        <w:tabs>
          <w:tab w:leader="none" w:pos="1039"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interpretation and construction by the Board of any provision of this Plan or of any Evidence of Award or other agreement or document ancillary to or in connection with this Plan and any determination by the Board pursuant to any provision of the Plan or of any such Evidence of Award or other agreement or document ancillary to or in connection with this Plan will be final and conclusive. No member of the Board will be liable for any such action or determination made in good faith.</w:t>
      </w:r>
    </w:p>
    <w:p>
      <w:pPr>
        <w:spacing w:after="0" w:line="196" w:lineRule="exact"/>
        <w:rPr>
          <w:rFonts w:ascii="Arial" w:cs="Arial" w:eastAsia="Arial" w:hAnsi="Arial"/>
          <w:sz w:val="18"/>
          <w:szCs w:val="18"/>
          <w:color w:val="auto"/>
        </w:rPr>
      </w:pPr>
    </w:p>
    <w:p>
      <w:pPr>
        <w:ind w:left="4" w:right="80" w:hanging="4"/>
        <w:spacing w:after="0" w:line="291" w:lineRule="auto"/>
        <w:tabs>
          <w:tab w:leader="none" w:pos="409"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Non U.S. Participants</w:t>
      </w:r>
      <w:r>
        <w:rPr>
          <w:rFonts w:ascii="Arial" w:cs="Arial" w:eastAsia="Arial" w:hAnsi="Arial"/>
          <w:sz w:val="16"/>
          <w:szCs w:val="16"/>
          <w:color w:val="auto"/>
        </w:rPr>
        <w:t>. In order to facilitate the making of any grant or combination of grants under the Plan, the Board may provide for such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terms for Awards to Participants who are foreign nationals or who are employed by Inseego or any Subsidiary outside of the United States of America, as the Board may consider necessary or appropriate to accommodate differences in local law, tax policy or custom. Moreover, the Board may approve such supplements to or amendments, restatements or alternative versions of the Plan (including without limitation, sub-plans) as it may consider necessary or appropriate for such purposes, without thereby affecting the terms of the Plan as in effect for any other purpose, and the Secretary or other appropriate officer of Inseego may certify any such document as having been approved and adopted in the same manner as the Plan. No such special terms, supplements, amendments or restatements, however, will include any provisions that are inconsistent with the terms of the Plan as then in effect unless the Plan could have been amended to eliminate such inconsistency without further approval by the stockholders of Inseego.</w:t>
      </w:r>
    </w:p>
    <w:p>
      <w:pPr>
        <w:spacing w:after="0" w:line="160" w:lineRule="exact"/>
        <w:rPr>
          <w:rFonts w:ascii="Arial" w:cs="Arial" w:eastAsia="Arial" w:hAnsi="Arial"/>
          <w:sz w:val="16"/>
          <w:szCs w:val="16"/>
          <w:color w:val="auto"/>
        </w:rPr>
      </w:pPr>
    </w:p>
    <w:p>
      <w:pPr>
        <w:ind w:left="4" w:hanging="4"/>
        <w:spacing w:after="0" w:line="277" w:lineRule="auto"/>
        <w:tabs>
          <w:tab w:leader="none" w:pos="409"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To the extent that the Company is required to withhold federal, state, local or foreign taxes in connection with any payment made</w:t>
      </w:r>
      <w:r>
        <w:rPr>
          <w:rFonts w:ascii="Arial" w:cs="Arial" w:eastAsia="Arial" w:hAnsi="Arial"/>
          <w:sz w:val="17"/>
          <w:szCs w:val="17"/>
          <w:b w:val="1"/>
          <w:bCs w:val="1"/>
          <w:color w:val="auto"/>
        </w:rPr>
        <w:t xml:space="preserve"> </w:t>
      </w:r>
      <w:r>
        <w:rPr>
          <w:rFonts w:ascii="Arial" w:cs="Arial" w:eastAsia="Arial" w:hAnsi="Arial"/>
          <w:sz w:val="17"/>
          <w:szCs w:val="17"/>
          <w:color w:val="auto"/>
        </w:rPr>
        <w:t>or benefit realized by a Participant or other person under the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required to be withheld, which arrangements (in the discretion of the Board) may include relinquishment of a portion of such benefit. If a Participant’s benefit is to be received in the form of Shares, and such</w:t>
      </w:r>
    </w:p>
    <w:p>
      <w:pPr>
        <w:sectPr>
          <w:pgSz w:w="11900" w:h="16838" w:orient="portrait"/>
          <w:cols w:equalWidth="0" w:num="1">
            <w:col w:w="11264"/>
          </w:cols>
          <w:pgMar w:left="356" w:top="584" w:right="279" w:bottom="1440" w:gutter="0" w:footer="0" w:header="0"/>
        </w:sectPr>
      </w:pPr>
    </w:p>
    <w:bookmarkStart w:id="115" w:name="page116"/>
    <w:bookmarkEnd w:id="115"/>
    <w:p>
      <w:pPr>
        <w:ind w:left="4"/>
        <w:spacing w:after="0" w:line="271" w:lineRule="auto"/>
        <w:rPr>
          <w:sz w:val="20"/>
          <w:szCs w:val="20"/>
          <w:color w:val="auto"/>
        </w:rPr>
      </w:pPr>
      <w:r>
        <w:rPr>
          <w:rFonts w:ascii="Arial" w:cs="Arial" w:eastAsia="Arial" w:hAnsi="Arial"/>
          <w:sz w:val="17"/>
          <w:szCs w:val="17"/>
          <w:color w:val="auto"/>
        </w:rPr>
        <w:t>Participant fails to make arrangements for the payment of tax, the Company shall withhold such Shares having a value that shall not exceed the statutory maximum amount permitted to be withheld. Notwithstanding the foregoing, when a Participant is required to pay the Company an amount required to be withheld under applicable income and employment tax laws, the Participant may elect, or the Company may require the Participant, to satisfy the obligation, in whole or in part, by electing to have withheld, from the Shares required to be delivered to the Participant, Shares having a value equal to the amount required to be withheld, or by delivering to the Company other Shares held by such Participant. The Shares used for tax withholding will be valued at an amount equal to the Market Value Per Share of such Shares on the date the benefit is to be included in Participant’s income. Participants shall also make such arrangements as the Company may require for the payment of any withholding tax obligation that may arise in connection with the disposition of Shares acquired upon the exercise of Option Rights.</w:t>
      </w:r>
    </w:p>
    <w:p>
      <w:pPr>
        <w:spacing w:after="0" w:line="175" w:lineRule="exact"/>
        <w:rPr>
          <w:sz w:val="20"/>
          <w:szCs w:val="20"/>
          <w:color w:val="auto"/>
        </w:rPr>
      </w:pPr>
    </w:p>
    <w:p>
      <w:pPr>
        <w:ind w:left="404" w:hanging="404"/>
        <w:spacing w:after="0"/>
        <w:tabs>
          <w:tab w:leader="none" w:pos="404"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Amendments, Etc.</w:t>
      </w:r>
    </w:p>
    <w:p>
      <w:pPr>
        <w:spacing w:after="0" w:line="242" w:lineRule="exact"/>
        <w:rPr>
          <w:rFonts w:ascii="Arial" w:cs="Arial" w:eastAsia="Arial" w:hAnsi="Arial"/>
          <w:sz w:val="18"/>
          <w:szCs w:val="18"/>
          <w:color w:val="auto"/>
        </w:rPr>
      </w:pPr>
    </w:p>
    <w:p>
      <w:pPr>
        <w:jc w:val="both"/>
        <w:ind w:left="4" w:right="260" w:firstLine="644"/>
        <w:spacing w:after="0" w:line="279" w:lineRule="auto"/>
        <w:tabs>
          <w:tab w:leader="none" w:pos="1029"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Board may at any time and from time to time amend the Plan in whole or in part; provided, however, that if an amendment to the Plan must be approved by the stockholders of Inseego in order to comply with applicable law or the rules of the Nasdaq Stock Market or, if the Shares are not traded on the Nasdaq Stock Market, the principal national securities exchange upon which the Shares are traded or quoted, then, such amendment will be subject to stockholder approval and will not be effective unless and until such approval has been obtained.</w:t>
      </w:r>
    </w:p>
    <w:p>
      <w:pPr>
        <w:spacing w:after="0" w:line="184" w:lineRule="exact"/>
        <w:rPr>
          <w:rFonts w:ascii="Arial" w:cs="Arial" w:eastAsia="Arial" w:hAnsi="Arial"/>
          <w:sz w:val="17"/>
          <w:szCs w:val="17"/>
          <w:color w:val="auto"/>
        </w:rPr>
      </w:pPr>
    </w:p>
    <w:p>
      <w:pPr>
        <w:ind w:left="4" w:firstLine="644"/>
        <w:spacing w:after="0" w:line="291" w:lineRule="auto"/>
        <w:tabs>
          <w:tab w:leader="none" w:pos="1042" w:val="left"/>
        </w:tabs>
        <w:numPr>
          <w:ilvl w:val="1"/>
          <w:numId w:val="65"/>
        </w:numPr>
        <w:rPr>
          <w:rFonts w:ascii="Arial" w:cs="Arial" w:eastAsia="Arial" w:hAnsi="Arial"/>
          <w:sz w:val="16"/>
          <w:szCs w:val="16"/>
          <w:color w:val="auto"/>
        </w:rPr>
      </w:pPr>
      <w:r>
        <w:rPr>
          <w:rFonts w:ascii="Arial" w:cs="Arial" w:eastAsia="Arial" w:hAnsi="Arial"/>
          <w:sz w:val="16"/>
          <w:szCs w:val="16"/>
          <w:color w:val="auto"/>
        </w:rPr>
        <w:t>Except in connection with a corporate transaction or event described in Section 11 of the Plan, the terms of outstanding Awards may not be amended to reduce the Option Price of outstanding Option Rights or the Base Price of outstanding Appreciation Rights, and no outstanding Option Rights or Appreciation Rights may be cancelled in exchange for other Awards, or cancelled in exchange for Option Rights or Appreciation Rights with an Option Price or Base Price, as applicable, that is less than the Option Price of the original Option Rights or Base Price of the original Appreciation Rights, as applicable, or cancelled in exchange for cash, without stockholder approval. This Section 15(b) is intended to prohibit (without stockholder approval) the repricing of “underwater” Option Rights and Appreciation Rights and will not be construed to prohibit the adjustments provided for in Section 11 of the Plan. Notwithstanding any provision of the Plan to the contrary, this Section 15(b) may not be amended without approval by Inseego’s stockholders.</w:t>
      </w:r>
    </w:p>
    <w:p>
      <w:pPr>
        <w:spacing w:after="0" w:line="180" w:lineRule="exact"/>
        <w:rPr>
          <w:rFonts w:ascii="Arial" w:cs="Arial" w:eastAsia="Arial" w:hAnsi="Arial"/>
          <w:sz w:val="16"/>
          <w:szCs w:val="16"/>
          <w:color w:val="auto"/>
        </w:rPr>
      </w:pPr>
    </w:p>
    <w:p>
      <w:pPr>
        <w:ind w:left="4" w:right="20" w:firstLine="644"/>
        <w:spacing w:after="0" w:line="270" w:lineRule="auto"/>
        <w:tabs>
          <w:tab w:leader="none" w:pos="1032"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permitted by Section 409A of the Code and Section 162(m) in the case of a Qualified Performance-Based Award, in case of termination of employment by reason of death, disability or normal or early retirement, or in the case of unforeseeable emergency or other special circumstances, of a Participant who holds an Option Right or Appreciation Right not immediately exercisable in full, or any Restricted Stock or any Restricted Stock Units as to which the Restriction Period has not been completed, or any Annual Incentive Awards, Performance Shares or Performance Units which have not been fully earned, or any Other Awards subject to any vesting schedule or transfer restriction, or who holds Shares subject to any transfer restriction imposed pursuant to Section 10(b) of the Plan, the Board may, in its sole discretion, accelerate the time at which such Option Right, Appreciation Right or Other Award may be exercised or the time when such Restriction Period will end or the time at which such Annual Incentive Awards, Performance Shares or Performance Units will be deemed to have been fully earned or the time when such transfer restriction will terminate or may waive any other limitation or requirement under any such Award.</w:t>
      </w:r>
    </w:p>
    <w:p>
      <w:pPr>
        <w:spacing w:after="0" w:line="195" w:lineRule="exact"/>
        <w:rPr>
          <w:rFonts w:ascii="Arial" w:cs="Arial" w:eastAsia="Arial" w:hAnsi="Arial"/>
          <w:sz w:val="17"/>
          <w:szCs w:val="17"/>
          <w:color w:val="auto"/>
        </w:rPr>
      </w:pPr>
    </w:p>
    <w:p>
      <w:pPr>
        <w:jc w:val="both"/>
        <w:ind w:left="4" w:right="560" w:firstLine="644"/>
        <w:spacing w:after="0" w:line="312" w:lineRule="auto"/>
        <w:tabs>
          <w:tab w:leader="none" w:pos="1042" w:val="left"/>
        </w:tabs>
        <w:numPr>
          <w:ilvl w:val="1"/>
          <w:numId w:val="65"/>
        </w:numPr>
        <w:rPr>
          <w:rFonts w:ascii="Arial" w:cs="Arial" w:eastAsia="Arial" w:hAnsi="Arial"/>
          <w:sz w:val="16"/>
          <w:szCs w:val="16"/>
          <w:color w:val="auto"/>
        </w:rPr>
      </w:pPr>
      <w:r>
        <w:rPr>
          <w:rFonts w:ascii="Arial" w:cs="Arial" w:eastAsia="Arial" w:hAnsi="Arial"/>
          <w:sz w:val="16"/>
          <w:szCs w:val="16"/>
          <w:color w:val="auto"/>
        </w:rPr>
        <w:t>Subject to Section 16(d) of the Plan, the Board may amend the terms of any award theretofore granted under the Plan prospectively or retroactively, but subject to Section 11 of the Plan, no such amendment shall impair the rights of any Participant without his or her consent, except as necessary to comply with changes in law or accounting rules applicable to Inseego. The Board may, in its discretion, terminate the Plan at any time.</w:t>
      </w:r>
    </w:p>
    <w:p>
      <w:pPr>
        <w:spacing w:after="0" w:line="160" w:lineRule="exact"/>
        <w:rPr>
          <w:sz w:val="20"/>
          <w:szCs w:val="20"/>
          <w:color w:val="auto"/>
        </w:rPr>
      </w:pPr>
    </w:p>
    <w:p>
      <w:pPr>
        <w:ind w:left="4" w:right="680" w:firstLine="648"/>
        <w:spacing w:after="0" w:line="277" w:lineRule="auto"/>
        <w:rPr>
          <w:sz w:val="20"/>
          <w:szCs w:val="20"/>
          <w:color w:val="auto"/>
        </w:rPr>
      </w:pPr>
      <w:r>
        <w:rPr>
          <w:rFonts w:ascii="Arial" w:cs="Arial" w:eastAsia="Arial" w:hAnsi="Arial"/>
          <w:sz w:val="18"/>
          <w:szCs w:val="18"/>
          <w:color w:val="auto"/>
        </w:rPr>
        <w:t>Termination of the Plan will not affect the rights of Participants or their successors under any Awards outstanding hereunder on the date of termination.</w:t>
      </w:r>
    </w:p>
    <w:p>
      <w:pPr>
        <w:spacing w:after="0" w:line="302" w:lineRule="exact"/>
        <w:rPr>
          <w:sz w:val="20"/>
          <w:szCs w:val="20"/>
          <w:color w:val="auto"/>
        </w:rPr>
      </w:pPr>
    </w:p>
    <w:p>
      <w:pPr>
        <w:ind w:left="404" w:hanging="404"/>
        <w:spacing w:after="0"/>
        <w:tabs>
          <w:tab w:leader="none" w:pos="404"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Compliance with Section 409A of the Code.</w:t>
      </w:r>
    </w:p>
    <w:p>
      <w:pPr>
        <w:spacing w:after="0" w:line="242" w:lineRule="exact"/>
        <w:rPr>
          <w:rFonts w:ascii="Arial" w:cs="Arial" w:eastAsia="Arial" w:hAnsi="Arial"/>
          <w:sz w:val="18"/>
          <w:szCs w:val="18"/>
          <w:color w:val="auto"/>
        </w:rPr>
      </w:pPr>
    </w:p>
    <w:p>
      <w:pPr>
        <w:ind w:left="4" w:right="40" w:firstLine="644"/>
        <w:spacing w:after="0" w:line="302" w:lineRule="auto"/>
        <w:tabs>
          <w:tab w:leader="none" w:pos="1029" w:val="left"/>
        </w:tabs>
        <w:numPr>
          <w:ilvl w:val="1"/>
          <w:numId w:val="66"/>
        </w:numPr>
        <w:rPr>
          <w:rFonts w:ascii="Arial" w:cs="Arial" w:eastAsia="Arial" w:hAnsi="Arial"/>
          <w:sz w:val="16"/>
          <w:szCs w:val="16"/>
          <w:color w:val="auto"/>
        </w:rPr>
      </w:pPr>
      <w:r>
        <w:rPr>
          <w:rFonts w:ascii="Arial" w:cs="Arial" w:eastAsia="Arial" w:hAnsi="Arial"/>
          <w:sz w:val="16"/>
          <w:szCs w:val="16"/>
          <w:color w:val="auto"/>
        </w:rPr>
        <w:t>To the extent applicable, it is intended that the Plan and any grants made hereunder comply with the provisions of Section 409A of the Code, so that the income inclusion provisions of Section 409A(a)(1) of the Code do not apply to the Participants. The Plan and any grants made hereunder shall be administered in a manner consistent with this intent. Any reference in the Plan to Section 409A of the Code will also include any regulations or any other formal guidance promulgated with respect to such Section by the U.S. Department of the Treasury or the Internal Revenue Service.</w:t>
      </w:r>
    </w:p>
    <w:p>
      <w:pPr>
        <w:sectPr>
          <w:pgSz w:w="11900" w:h="16838" w:orient="portrait"/>
          <w:cols w:equalWidth="0" w:num="1">
            <w:col w:w="11284"/>
          </w:cols>
          <w:pgMar w:left="356" w:top="584" w:right="259" w:bottom="1440" w:gutter="0" w:footer="0" w:header="0"/>
        </w:sectPr>
      </w:pPr>
    </w:p>
    <w:bookmarkStart w:id="116" w:name="page117"/>
    <w:bookmarkEnd w:id="116"/>
    <w:p>
      <w:pPr>
        <w:ind w:left="4" w:right="100" w:firstLine="644"/>
        <w:spacing w:after="0" w:line="276" w:lineRule="auto"/>
        <w:tabs>
          <w:tab w:leader="none" w:pos="1042" w:val="left"/>
        </w:tabs>
        <w:numPr>
          <w:ilvl w:val="1"/>
          <w:numId w:val="67"/>
        </w:numPr>
        <w:rPr>
          <w:rFonts w:ascii="Arial" w:cs="Arial" w:eastAsia="Arial" w:hAnsi="Arial"/>
          <w:sz w:val="17"/>
          <w:szCs w:val="17"/>
          <w:color w:val="auto"/>
        </w:rPr>
      </w:pPr>
      <w:r>
        <w:rPr>
          <w:rFonts w:ascii="Arial" w:cs="Arial" w:eastAsia="Arial" w:hAnsi="Arial"/>
          <w:sz w:val="17"/>
          <w:szCs w:val="17"/>
          <w:color w:val="auto"/>
        </w:rPr>
        <w:t>Neither a Participant nor any of a Participant’s creditors or beneficiaries shall have the right to subject any deferred compensation (within the meaning of Section 409A of the Code) payable under the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the Plan and grants hereunder may not be reduced by, or offset against, any amount owing by a Participant to the Company or any of its Affiliates.</w:t>
      </w:r>
    </w:p>
    <w:p>
      <w:pPr>
        <w:spacing w:after="0" w:line="172" w:lineRule="exact"/>
        <w:rPr>
          <w:rFonts w:ascii="Arial" w:cs="Arial" w:eastAsia="Arial" w:hAnsi="Arial"/>
          <w:sz w:val="17"/>
          <w:szCs w:val="17"/>
          <w:color w:val="auto"/>
        </w:rPr>
      </w:pPr>
    </w:p>
    <w:p>
      <w:pPr>
        <w:ind w:left="4" w:right="180" w:firstLine="644"/>
        <w:spacing w:after="0" w:line="291" w:lineRule="auto"/>
        <w:tabs>
          <w:tab w:leader="none" w:pos="103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at the time of a Participant’s separation from service (within the meaning of Section 409A of the Code), (i) the Participant shall be a specified employee (within the meaning of Section 409A of the Code and using the identification methodology selected by Inseego from time to time) and</w:t>
      </w:r>
    </w:p>
    <w:p>
      <w:pPr>
        <w:ind w:left="4" w:hanging="4"/>
        <w:spacing w:after="0" w:line="254" w:lineRule="auto"/>
        <w:tabs>
          <w:tab w:leader="none" w:pos="2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Inseego shall make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Inseego shall not pay such amount on the otherwise scheduled payment date but shall instead pay it, without interest, on the tenth business day of the month after such six-month period.</w:t>
      </w:r>
    </w:p>
    <w:p>
      <w:pPr>
        <w:spacing w:after="0" w:line="203" w:lineRule="exact"/>
        <w:rPr>
          <w:rFonts w:ascii="Arial" w:cs="Arial" w:eastAsia="Arial" w:hAnsi="Arial"/>
          <w:sz w:val="18"/>
          <w:szCs w:val="18"/>
          <w:color w:val="auto"/>
        </w:rPr>
      </w:pPr>
    </w:p>
    <w:p>
      <w:pPr>
        <w:ind w:left="4" w:right="40" w:firstLine="644"/>
        <w:spacing w:after="0" w:line="293" w:lineRule="auto"/>
        <w:tabs>
          <w:tab w:leader="none" w:pos="1042" w:val="left"/>
        </w:tabs>
        <w:numPr>
          <w:ilvl w:val="1"/>
          <w:numId w:val="68"/>
        </w:numPr>
        <w:rPr>
          <w:rFonts w:ascii="Arial" w:cs="Arial" w:eastAsia="Arial" w:hAnsi="Arial"/>
          <w:sz w:val="16"/>
          <w:szCs w:val="16"/>
          <w:color w:val="auto"/>
        </w:rPr>
      </w:pPr>
      <w:r>
        <w:rPr>
          <w:rFonts w:ascii="Arial" w:cs="Arial" w:eastAsia="Arial" w:hAnsi="Arial"/>
          <w:sz w:val="16"/>
          <w:szCs w:val="16"/>
          <w:color w:val="auto"/>
        </w:rPr>
        <w:t>Notwithstanding any provision of the Plan and grants hereunder to the contrary, in light of the uncertainty with respect to the proper application of Section 409A of the Code, Inseego reserves the right to make amendments to the Plan and grants hereunder as Inseego deems necessary or desirable to avoid the imposition of taxes or penalties under Section 409A of the Code without Participant consent. In any case, a Participant shall be solely responsible and liable for the satisfaction of all taxes and penalties that may be imposed on a Participant or for a Participant’s account in connection with the Plan and grants hereunder (including any taxes and penalties under Section 409A of the Code), and neither the Company nor any of its Affiliates shall have any obligation to indemnify or otherwise hold a Participant harmless from any or all of such taxes or penalties.</w:t>
      </w:r>
    </w:p>
    <w:p>
      <w:pPr>
        <w:spacing w:after="0" w:line="174" w:lineRule="exact"/>
        <w:rPr>
          <w:sz w:val="20"/>
          <w:szCs w:val="20"/>
          <w:color w:val="auto"/>
        </w:rPr>
      </w:pPr>
    </w:p>
    <w:p>
      <w:pPr>
        <w:ind w:left="4" w:right="80" w:hanging="4"/>
        <w:spacing w:after="0" w:line="282" w:lineRule="auto"/>
        <w:tabs>
          <w:tab w:leader="none" w:pos="409"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and all grants and Awards and actions taken thereunder shall be governed by and construed in accordance with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substantive laws of the State of Delaware, without regard to principles of conflicts of laws.</w:t>
      </w:r>
    </w:p>
    <w:p>
      <w:pPr>
        <w:spacing w:after="0" w:line="175" w:lineRule="exact"/>
        <w:rPr>
          <w:rFonts w:ascii="Arial" w:cs="Arial" w:eastAsia="Arial" w:hAnsi="Arial"/>
          <w:sz w:val="18"/>
          <w:szCs w:val="18"/>
          <w:color w:val="auto"/>
        </w:rPr>
      </w:pPr>
    </w:p>
    <w:p>
      <w:pPr>
        <w:ind w:left="4" w:right="220" w:hanging="4"/>
        <w:spacing w:after="0" w:line="266" w:lineRule="auto"/>
        <w:tabs>
          <w:tab w:leader="none" w:pos="409"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Effective Date/Termination</w:t>
      </w:r>
      <w:r>
        <w:rPr>
          <w:rFonts w:ascii="Arial" w:cs="Arial" w:eastAsia="Arial" w:hAnsi="Arial"/>
          <w:sz w:val="18"/>
          <w:szCs w:val="18"/>
          <w:color w:val="auto"/>
        </w:rPr>
        <w:t>. The Plan will be effective as of the Effective Date. No grant will be made under the Plan more than 10 years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but all grants made on or prior to such date will continue in effect thereafter subject to the terms of the Evidence of Award conveying such grants and of the Plan.</w:t>
      </w:r>
    </w:p>
    <w:p>
      <w:pPr>
        <w:spacing w:after="0" w:line="176" w:lineRule="exact"/>
        <w:rPr>
          <w:rFonts w:ascii="Arial" w:cs="Arial" w:eastAsia="Arial" w:hAnsi="Arial"/>
          <w:sz w:val="18"/>
          <w:szCs w:val="18"/>
          <w:color w:val="auto"/>
        </w:rPr>
      </w:pPr>
    </w:p>
    <w:p>
      <w:pPr>
        <w:ind w:left="404" w:hanging="404"/>
        <w:spacing w:after="0"/>
        <w:tabs>
          <w:tab w:leader="none" w:pos="404"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42" w:lineRule="exact"/>
        <w:rPr>
          <w:rFonts w:ascii="Arial" w:cs="Arial" w:eastAsia="Arial" w:hAnsi="Arial"/>
          <w:sz w:val="18"/>
          <w:szCs w:val="18"/>
          <w:color w:val="auto"/>
        </w:rPr>
      </w:pPr>
    </w:p>
    <w:p>
      <w:pPr>
        <w:ind w:left="4" w:right="220" w:firstLine="644"/>
        <w:spacing w:after="0" w:line="277" w:lineRule="auto"/>
        <w:tabs>
          <w:tab w:leader="none" w:pos="1032"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grant of an Award will be evidenced by an Evidence of Award and will contain such terms and provisions, consistent with the Plan, as the Board may approve.</w:t>
      </w:r>
    </w:p>
    <w:p>
      <w:pPr>
        <w:spacing w:after="0" w:line="183" w:lineRule="exact"/>
        <w:rPr>
          <w:rFonts w:ascii="Arial" w:cs="Arial" w:eastAsia="Arial" w:hAnsi="Arial"/>
          <w:sz w:val="18"/>
          <w:szCs w:val="18"/>
          <w:color w:val="auto"/>
        </w:rPr>
      </w:pPr>
    </w:p>
    <w:p>
      <w:pPr>
        <w:ind w:left="4" w:right="500" w:firstLine="644"/>
        <w:spacing w:after="0" w:line="277" w:lineRule="auto"/>
        <w:tabs>
          <w:tab w:leader="none" w:pos="1042"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Inseego will not be required to issue any fractional Shares pursuant to the Plan. The Board may provide for the elimination of fractional Shares or for the settlement of fractional Shares in cash.</w:t>
      </w:r>
    </w:p>
    <w:p>
      <w:pPr>
        <w:spacing w:after="0" w:line="183" w:lineRule="exact"/>
        <w:rPr>
          <w:rFonts w:ascii="Arial" w:cs="Arial" w:eastAsia="Arial" w:hAnsi="Arial"/>
          <w:sz w:val="18"/>
          <w:szCs w:val="18"/>
          <w:color w:val="auto"/>
        </w:rPr>
      </w:pPr>
    </w:p>
    <w:p>
      <w:pPr>
        <w:ind w:left="4" w:right="520" w:firstLine="644"/>
        <w:spacing w:after="0" w:line="264" w:lineRule="auto"/>
        <w:tabs>
          <w:tab w:leader="none" w:pos="1029"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Plan will not confer upon any Participant any right with respect to continuance of employment or other service with Inseego or any Subsidiary or Affiliate, nor will it interfere in any way with any right Inseego or any Subsidiary or Affiliate would otherwise have to terminate such Participant’s employment or other service at any time.</w:t>
      </w:r>
    </w:p>
    <w:p>
      <w:pPr>
        <w:spacing w:after="0" w:line="181" w:lineRule="exact"/>
        <w:rPr>
          <w:rFonts w:ascii="Arial" w:cs="Arial" w:eastAsia="Arial" w:hAnsi="Arial"/>
          <w:sz w:val="18"/>
          <w:szCs w:val="18"/>
          <w:color w:val="auto"/>
        </w:rPr>
      </w:pPr>
    </w:p>
    <w:p>
      <w:pPr>
        <w:ind w:left="4" w:right="80" w:firstLine="644"/>
        <w:spacing w:after="0" w:line="279" w:lineRule="auto"/>
        <w:tabs>
          <w:tab w:leader="none" w:pos="1042" w:val="left"/>
        </w:tabs>
        <w:numPr>
          <w:ilvl w:val="1"/>
          <w:numId w:val="69"/>
        </w:numPr>
        <w:rPr>
          <w:rFonts w:ascii="Arial" w:cs="Arial" w:eastAsia="Arial" w:hAnsi="Arial"/>
          <w:sz w:val="17"/>
          <w:szCs w:val="17"/>
          <w:color w:val="auto"/>
        </w:rPr>
      </w:pPr>
      <w:r>
        <w:rPr>
          <w:rFonts w:ascii="Arial" w:cs="Arial" w:eastAsia="Arial" w:hAnsi="Arial"/>
          <w:sz w:val="17"/>
          <w:szCs w:val="17"/>
          <w:color w:val="auto"/>
        </w:rPr>
        <w:t>No person shall have any claim to be granted any Award under the Plan. Without limiting the generality of the foregoing, the fact that a target Award is established for the job value or level for an Employee shall not entitle any Employee to an Award hereunder. Except as provided specifically herein, a Participant or a transferee of an Award shall have no rights as a stockholder with respect to any Shares covered by any Award until the date as of which he or she is actually recorded as the holder of such Shares upon the stock records of the Company.</w:t>
      </w:r>
    </w:p>
    <w:p>
      <w:pPr>
        <w:spacing w:after="0" w:line="171" w:lineRule="exact"/>
        <w:rPr>
          <w:rFonts w:ascii="Arial" w:cs="Arial" w:eastAsia="Arial" w:hAnsi="Arial"/>
          <w:sz w:val="17"/>
          <w:szCs w:val="17"/>
          <w:color w:val="auto"/>
        </w:rPr>
      </w:pPr>
    </w:p>
    <w:p>
      <w:pPr>
        <w:ind w:left="4" w:right="240" w:firstLine="644"/>
        <w:spacing w:after="0" w:line="264" w:lineRule="auto"/>
        <w:tabs>
          <w:tab w:leader="none" w:pos="1032"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Determinations by the Board or the Committee under the Plan relating to the form, amount and terms and conditions of grants and Awards need not be uniform, and may be made selectively among persons who receive or are eligible to receive grants and Awards under the Plan, whether or not such persons are similarly situated.</w:t>
      </w:r>
    </w:p>
    <w:p>
      <w:pPr>
        <w:spacing w:after="0" w:line="194" w:lineRule="exact"/>
        <w:rPr>
          <w:rFonts w:ascii="Arial" w:cs="Arial" w:eastAsia="Arial" w:hAnsi="Arial"/>
          <w:sz w:val="18"/>
          <w:szCs w:val="18"/>
          <w:color w:val="auto"/>
        </w:rPr>
      </w:pPr>
    </w:p>
    <w:p>
      <w:pPr>
        <w:jc w:val="both"/>
        <w:ind w:left="4" w:right="260" w:firstLine="644"/>
        <w:spacing w:after="0" w:line="264" w:lineRule="auto"/>
        <w:tabs>
          <w:tab w:leader="none" w:pos="1009"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the extent that any provision of the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the Plan.</w:t>
      </w:r>
    </w:p>
    <w:p>
      <w:pPr>
        <w:sectPr>
          <w:pgSz w:w="11900" w:h="16838" w:orient="portrait"/>
          <w:cols w:equalWidth="0" w:num="1">
            <w:col w:w="11304"/>
          </w:cols>
          <w:pgMar w:left="356" w:top="584" w:right="239" w:bottom="1440" w:gutter="0" w:footer="0" w:header="0"/>
        </w:sectPr>
      </w:pPr>
    </w:p>
    <w:bookmarkStart w:id="117" w:name="page118"/>
    <w:bookmarkEnd w:id="117"/>
    <w:p>
      <w:pPr>
        <w:ind w:left="-644" w:right="40" w:firstLine="644"/>
        <w:spacing w:after="0" w:line="342" w:lineRule="auto"/>
        <w:tabs>
          <w:tab w:leader="none" w:pos="394"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Award under the Plan may be exercised by the holder thereof if such exercise, and the receipt of cash or stock thereunder, would be, in the opinion of counsel selected by the Board, contrary to law or the regulations of any duly constituted authority having jurisdiction over the Plan.</w:t>
      </w:r>
    </w:p>
    <w:p>
      <w:pPr>
        <w:spacing w:after="0" w:line="123" w:lineRule="exact"/>
        <w:rPr>
          <w:rFonts w:ascii="Arial" w:cs="Arial" w:eastAsia="Arial" w:hAnsi="Arial"/>
          <w:sz w:val="16"/>
          <w:szCs w:val="16"/>
          <w:color w:val="auto"/>
        </w:rPr>
      </w:pPr>
    </w:p>
    <w:p>
      <w:pPr>
        <w:ind w:left="-644" w:right="820" w:firstLine="644"/>
        <w:spacing w:after="0" w:line="277" w:lineRule="auto"/>
        <w:tabs>
          <w:tab w:leader="none" w:pos="38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Absence or leave approved by a duly constituted officer of Inseego or any of its Subsidiaries shall not be considered interruption or termination of service of any Employee for any purposes of the Plan or Awards granted hereunder.</w:t>
      </w:r>
    </w:p>
    <w:p>
      <w:pPr>
        <w:spacing w:after="0" w:line="170" w:lineRule="exact"/>
        <w:rPr>
          <w:rFonts w:ascii="Arial" w:cs="Arial" w:eastAsia="Arial" w:hAnsi="Arial"/>
          <w:sz w:val="18"/>
          <w:szCs w:val="18"/>
          <w:color w:val="auto"/>
        </w:rPr>
      </w:pPr>
    </w:p>
    <w:p>
      <w:pPr>
        <w:ind w:left="-644" w:firstLine="644"/>
        <w:spacing w:after="0" w:line="308" w:lineRule="auto"/>
        <w:tabs>
          <w:tab w:leader="none" w:pos="417"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Board may condition the grant of any Award or combination of Awards authorized under the Plan on the surrender or deferral by the Participant of his or her right to receive a cash bonus or other compensation otherwise payable by Inseego or a Subsidiary to the Participant.</w:t>
      </w:r>
    </w:p>
    <w:p>
      <w:pPr>
        <w:spacing w:after="0" w:line="146" w:lineRule="exact"/>
        <w:rPr>
          <w:rFonts w:ascii="Arial" w:cs="Arial" w:eastAsia="Arial" w:hAnsi="Arial"/>
          <w:sz w:val="17"/>
          <w:szCs w:val="17"/>
          <w:color w:val="auto"/>
        </w:rPr>
      </w:pPr>
    </w:p>
    <w:p>
      <w:pPr>
        <w:ind w:left="-644" w:right="120" w:firstLine="644"/>
        <w:spacing w:after="0" w:line="286" w:lineRule="auto"/>
        <w:tabs>
          <w:tab w:leader="none" w:pos="354"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any provision of the Plan is or becomes invalid, illegal or unenforceable in any jurisdiction, or would disqualify the Plan or any Award under any law deemed applicable by the Board, such provision shall be construed or deemed amended or limited in scope to conform to applicable laws or, in the discretion of the Board, it shall be stricken and the remainder of the Plan shall remain in full force and effect.</w:t>
      </w:r>
    </w:p>
    <w:p>
      <w:pPr>
        <w:spacing w:after="0" w:line="179" w:lineRule="exact"/>
        <w:rPr>
          <w:rFonts w:ascii="Arial" w:cs="Arial" w:eastAsia="Arial" w:hAnsi="Arial"/>
          <w:sz w:val="17"/>
          <w:szCs w:val="17"/>
          <w:color w:val="auto"/>
        </w:rPr>
      </w:pPr>
    </w:p>
    <w:p>
      <w:pPr>
        <w:ind w:left="-644" w:firstLine="644"/>
        <w:spacing w:after="0" w:line="255" w:lineRule="auto"/>
        <w:tabs>
          <w:tab w:leader="none" w:pos="38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Evidence of Award may: (i) provide for recoupment by the Company of all or any portion of an Award upon such terms and conditions as the Board or Committee may specify in such Evidence of Award; or (ii) include restrictive covenants, including, without limitation, non-competition, non-disparagement and confidentiality conditions or restrictions, that the Participant must comply with during employment by or service to the Company and/or within a specified period after termination as a condition to the Participant’s receipt or retention of all or any portion of an Award. This Section 19(k) shall not be the Company’s exclusive remedy with respect to such matters. This Section 19(k) shall not apply after a Change in Control, unless otherwise specifically provided in the Evidence of Award.</w:t>
      </w:r>
    </w:p>
    <w:p>
      <w:pPr>
        <w:sectPr>
          <w:pgSz w:w="11900" w:h="16838" w:orient="portrait"/>
          <w:cols w:equalWidth="0" w:num="1">
            <w:col w:w="10656"/>
          </w:cols>
          <w:pgMar w:left="1004" w:top="80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color w:val="auto"/>
        </w:rPr>
        <w:t>GRANT NO.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OMNIBUS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NONSTATUTORY STOCK OPTION GRANT</w:t>
      </w:r>
    </w:p>
    <w:p>
      <w:pPr>
        <w:spacing w:after="0" w:line="211"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Inseego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options (the “</w:t>
      </w:r>
      <w:r>
        <w:rPr>
          <w:rFonts w:ascii="Arial" w:cs="Arial" w:eastAsia="Arial" w:hAnsi="Arial"/>
          <w:sz w:val="18"/>
          <w:szCs w:val="18"/>
          <w:u w:val="single" w:color="auto"/>
          <w:color w:val="auto"/>
        </w:rPr>
        <w:t>Options</w:t>
      </w:r>
      <w:r>
        <w:rPr>
          <w:rFonts w:ascii="Arial" w:cs="Arial" w:eastAsia="Arial" w:hAnsi="Arial"/>
          <w:sz w:val="18"/>
          <w:szCs w:val="18"/>
          <w:color w:val="auto"/>
        </w:rPr>
        <w:t>”) to purchase shares of its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to the individual named below (the “</w:t>
      </w:r>
      <w:r>
        <w:rPr>
          <w:rFonts w:ascii="Arial" w:cs="Arial" w:eastAsia="Arial" w:hAnsi="Arial"/>
          <w:sz w:val="18"/>
          <w:szCs w:val="18"/>
          <w:u w:val="single" w:color="auto"/>
          <w:color w:val="auto"/>
        </w:rPr>
        <w:t>Optionee</w:t>
      </w:r>
      <w:r>
        <w:rPr>
          <w:rFonts w:ascii="Arial" w:cs="Arial" w:eastAsia="Arial" w:hAnsi="Arial"/>
          <w:sz w:val="18"/>
          <w:szCs w:val="18"/>
          <w:color w:val="auto"/>
        </w:rPr>
        <w:t>”). The terms and conditions of the Options are set forth in the attached agreement (the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in the Company’s 2009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210185</wp:posOffset>
            </wp:positionV>
            <wp:extent cx="6603365" cy="1886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
                      <a:extLst>
                        <a:ext uri="{28A0092B-C50C-407E-A947-70E740481C1C}"/>
                      </a:extLst>
                    </a:blip>
                    <a:srcRect/>
                    <a:stretch>
                      <a:fillRect/>
                    </a:stretch>
                  </pic:blipFill>
                  <pic:spPr bwMode="auto">
                    <a:xfrm>
                      <a:off x="0" y="0"/>
                      <a:ext cx="6603365" cy="1886585"/>
                    </a:xfrm>
                    <a:prstGeom prst="rect">
                      <a:avLst/>
                    </a:prstGeom>
                    <a:noFill/>
                  </pic:spPr>
                </pic:pic>
              </a:graphicData>
            </a:graphic>
          </wp:anchor>
        </w:drawing>
      </w:r>
    </w:p>
    <w:p>
      <w:pPr>
        <w:spacing w:after="0" w:line="3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of Optionee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Number of Options Granted</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 Price per Share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 of Option Grant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Vesting Commencement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 Expiration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in its discretion, may accelerate the vesting of any unvested Options in the event of a Change in Control. Except as otherwise provided in the Award Agreement, no Options shall vest after the Optionee’s service with or for the Company or any Subsidiary or Affiliate thereof has terminated for any reason.</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By accepting this Option Grant, the Optionee hereby agrees to all the terms and conditions set forth in this Option Grant, the attached Award Agreement, and in the Plan, a copy of which is available on the Company’s intranet site.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31750</wp:posOffset>
            </wp:positionV>
            <wp:extent cx="2435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31750</wp:posOffset>
            </wp:positionV>
            <wp:extent cx="2435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31750</wp:posOffset>
            </wp:positionV>
            <wp:extent cx="24352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31750</wp:posOffset>
            </wp:positionV>
            <wp:extent cx="2435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420"/>
          </w:cols>
          <w:pgMar w:left="240" w:top="80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948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w w:val="97"/>
              </w:rPr>
              <w:t>INSEEGO CORP.</w:t>
            </w:r>
          </w:p>
        </w:tc>
      </w:tr>
      <w:tr>
        <w:trPr>
          <w:trHeight w:val="216"/>
        </w:trPr>
        <w:tc>
          <w:tcPr>
            <w:tcW w:w="1840" w:type="dxa"/>
            <w:vAlign w:val="bottom"/>
          </w:tcPr>
          <w:p>
            <w:pPr>
              <w:spacing w:after="0"/>
              <w:rPr>
                <w:sz w:val="18"/>
                <w:szCs w:val="18"/>
                <w:color w:val="auto"/>
              </w:rPr>
            </w:pPr>
          </w:p>
        </w:tc>
        <w:tc>
          <w:tcPr>
            <w:tcW w:w="94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rPr>
              <w:t>2009 OMNIBUS INCENTIVE COMPENSATION PLAN</w:t>
            </w:r>
          </w:p>
        </w:tc>
      </w:tr>
      <w:tr>
        <w:trPr>
          <w:trHeight w:val="234"/>
        </w:trPr>
        <w:tc>
          <w:tcPr>
            <w:tcW w:w="1840" w:type="dxa"/>
            <w:vAlign w:val="bottom"/>
          </w:tcPr>
          <w:p>
            <w:pPr>
              <w:spacing w:after="0"/>
              <w:rPr>
                <w:sz w:val="20"/>
                <w:szCs w:val="20"/>
                <w:color w:val="auto"/>
              </w:rPr>
            </w:pPr>
          </w:p>
        </w:tc>
        <w:tc>
          <w:tcPr>
            <w:tcW w:w="94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rPr>
              <w:t>NONSTATUTORY STOCK OPTION AGREEMENT</w:t>
            </w:r>
          </w:p>
        </w:tc>
      </w:tr>
      <w:tr>
        <w:trPr>
          <w:trHeight w:val="738"/>
        </w:trPr>
        <w:tc>
          <w:tcPr>
            <w:tcW w:w="1840" w:type="dxa"/>
            <w:vAlign w:val="bottom"/>
          </w:tcPr>
          <w:p>
            <w:pPr>
              <w:spacing w:after="0"/>
              <w:rPr>
                <w:sz w:val="20"/>
                <w:szCs w:val="20"/>
                <w:color w:val="auto"/>
              </w:rPr>
            </w:pPr>
            <w:r>
              <w:rPr>
                <w:rFonts w:ascii="Arial" w:cs="Arial" w:eastAsia="Arial" w:hAnsi="Arial"/>
                <w:sz w:val="18"/>
                <w:szCs w:val="18"/>
                <w:b w:val="1"/>
                <w:bCs w:val="1"/>
                <w:color w:val="auto"/>
              </w:rPr>
              <w:t>The Plan and Other</w:t>
            </w: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93"/>
              </w:rPr>
              <w:t>The text of the Plan is incorporated into this Award Agreement by reference. In the event of any inconsistency between the</w:t>
            </w:r>
          </w:p>
        </w:tc>
      </w:tr>
      <w:tr>
        <w:trPr>
          <w:trHeight w:val="220"/>
        </w:trPr>
        <w:tc>
          <w:tcPr>
            <w:tcW w:w="1840" w:type="dxa"/>
            <w:vAlign w:val="bottom"/>
          </w:tcPr>
          <w:p>
            <w:pPr>
              <w:spacing w:after="0"/>
              <w:rPr>
                <w:sz w:val="20"/>
                <w:szCs w:val="20"/>
                <w:color w:val="auto"/>
              </w:rPr>
            </w:pPr>
            <w:r>
              <w:rPr>
                <w:rFonts w:ascii="Arial" w:cs="Arial" w:eastAsia="Arial" w:hAnsi="Arial"/>
                <w:sz w:val="18"/>
                <w:szCs w:val="18"/>
                <w:b w:val="1"/>
                <w:bCs w:val="1"/>
                <w:color w:val="auto"/>
              </w:rPr>
              <w:t>Agreements</w:t>
            </w: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92"/>
              </w:rPr>
              <w:t>provisions of this Award Agreement and the Plan, the Plan shall govern. Capitalized terms used but not otherwise defined in</w:t>
            </w:r>
          </w:p>
        </w:tc>
      </w:tr>
      <w:tr>
        <w:trPr>
          <w:trHeight w:val="230"/>
        </w:trPr>
        <w:tc>
          <w:tcPr>
            <w:tcW w:w="1840" w:type="dxa"/>
            <w:vAlign w:val="bottom"/>
          </w:tcPr>
          <w:p>
            <w:pPr>
              <w:spacing w:after="0"/>
              <w:rPr>
                <w:sz w:val="20"/>
                <w:szCs w:val="20"/>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rPr>
              <w:t>this Award Agreement are defined in the Plan.</w:t>
            </w:r>
          </w:p>
        </w:tc>
      </w:tr>
      <w:tr>
        <w:trPr>
          <w:trHeight w:val="526"/>
        </w:trPr>
        <w:tc>
          <w:tcPr>
            <w:tcW w:w="1840" w:type="dxa"/>
            <w:vAlign w:val="bottom"/>
          </w:tcPr>
          <w:p>
            <w:pPr>
              <w:spacing w:after="0"/>
              <w:rPr>
                <w:sz w:val="24"/>
                <w:szCs w:val="24"/>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89"/>
              </w:rPr>
              <w:t>Any amendment to the Plan shall be deemed to be an amendment to this Award Agreement to the extent that the amendment is</w:t>
            </w:r>
          </w:p>
        </w:tc>
      </w:tr>
      <w:tr>
        <w:trPr>
          <w:trHeight w:val="216"/>
        </w:trPr>
        <w:tc>
          <w:tcPr>
            <w:tcW w:w="1840" w:type="dxa"/>
            <w:vAlign w:val="bottom"/>
          </w:tcPr>
          <w:p>
            <w:pPr>
              <w:spacing w:after="0"/>
              <w:rPr>
                <w:sz w:val="18"/>
                <w:szCs w:val="18"/>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95"/>
              </w:rPr>
              <w:t xml:space="preserve">applicable hereto; </w:t>
            </w:r>
            <w:r>
              <w:rPr>
                <w:rFonts w:ascii="Arial" w:cs="Arial" w:eastAsia="Arial" w:hAnsi="Arial"/>
                <w:sz w:val="18"/>
                <w:szCs w:val="18"/>
                <w:i w:val="1"/>
                <w:iCs w:val="1"/>
                <w:color w:val="auto"/>
                <w:w w:val="95"/>
              </w:rPr>
              <w:t>provided, however</w:t>
            </w:r>
            <w:r>
              <w:rPr>
                <w:rFonts w:ascii="Arial" w:cs="Arial" w:eastAsia="Arial" w:hAnsi="Arial"/>
                <w:sz w:val="18"/>
                <w:szCs w:val="18"/>
                <w:color w:val="auto"/>
                <w:w w:val="95"/>
              </w:rPr>
              <w:t>, that no amendment shall adversely affect your rights under this Award Agreement</w:t>
            </w:r>
          </w:p>
        </w:tc>
      </w:tr>
      <w:tr>
        <w:trPr>
          <w:trHeight w:val="216"/>
        </w:trPr>
        <w:tc>
          <w:tcPr>
            <w:tcW w:w="1840" w:type="dxa"/>
            <w:vAlign w:val="bottom"/>
          </w:tcPr>
          <w:p>
            <w:pPr>
              <w:spacing w:after="0"/>
              <w:rPr>
                <w:sz w:val="18"/>
                <w:szCs w:val="18"/>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89"/>
              </w:rPr>
              <w:t>without your consent (provided, however, that your consent shall not be required to an amendment that is deemed necessary by</w:t>
            </w:r>
          </w:p>
        </w:tc>
      </w:tr>
      <w:tr>
        <w:trPr>
          <w:trHeight w:val="190"/>
        </w:trPr>
        <w:tc>
          <w:tcPr>
            <w:tcW w:w="1840" w:type="dxa"/>
            <w:vAlign w:val="bottom"/>
          </w:tcPr>
          <w:p>
            <w:pPr>
              <w:spacing w:after="0"/>
              <w:rPr>
                <w:sz w:val="16"/>
                <w:szCs w:val="16"/>
                <w:color w:val="auto"/>
              </w:rPr>
            </w:pPr>
          </w:p>
        </w:tc>
        <w:tc>
          <w:tcPr>
            <w:tcW w:w="9480" w:type="dxa"/>
            <w:vAlign w:val="bottom"/>
            <w:gridSpan w:val="5"/>
          </w:tcPr>
          <w:p>
            <w:pPr>
              <w:ind w:left="320"/>
              <w:spacing w:after="0" w:line="190" w:lineRule="exact"/>
              <w:rPr>
                <w:sz w:val="20"/>
                <w:szCs w:val="20"/>
                <w:color w:val="auto"/>
              </w:rPr>
            </w:pPr>
            <w:r>
              <w:rPr>
                <w:rFonts w:ascii="Arial" w:cs="Arial" w:eastAsia="Arial" w:hAnsi="Arial"/>
                <w:sz w:val="18"/>
                <w:szCs w:val="18"/>
                <w:color w:val="auto"/>
                <w:w w:val="97"/>
              </w:rPr>
              <w:t>the Company to ensure compliance with Section 409A of the U.S. Internal Revenue Code, as amended (the “Code”)).</w:t>
            </w:r>
          </w:p>
        </w:tc>
      </w:tr>
      <w:tr>
        <w:trPr>
          <w:trHeight w:val="20"/>
        </w:trPr>
        <w:tc>
          <w:tcPr>
            <w:tcW w:w="18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546"/>
        </w:trPr>
        <w:tc>
          <w:tcPr>
            <w:tcW w:w="1840" w:type="dxa"/>
            <w:vAlign w:val="bottom"/>
          </w:tcPr>
          <w:p>
            <w:pPr>
              <w:spacing w:after="0"/>
              <w:rPr>
                <w:sz w:val="24"/>
                <w:szCs w:val="24"/>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94"/>
              </w:rPr>
              <w:t>The Option Grant, this Award Agreement and the Plan constitute the entire understanding between you and the Company</w:t>
            </w:r>
          </w:p>
        </w:tc>
      </w:tr>
      <w:tr>
        <w:trPr>
          <w:trHeight w:val="216"/>
        </w:trPr>
        <w:tc>
          <w:tcPr>
            <w:tcW w:w="1840" w:type="dxa"/>
            <w:vAlign w:val="bottom"/>
          </w:tcPr>
          <w:p>
            <w:pPr>
              <w:spacing w:after="0"/>
              <w:rPr>
                <w:sz w:val="18"/>
                <w:szCs w:val="18"/>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90"/>
              </w:rPr>
              <w:t>regarding these Options. Any prior agreements, commitments or negotiations concerning these Options are hereby superseded</w:t>
            </w:r>
          </w:p>
        </w:tc>
      </w:tr>
      <w:tr>
        <w:trPr>
          <w:trHeight w:val="216"/>
        </w:trPr>
        <w:tc>
          <w:tcPr>
            <w:tcW w:w="1840" w:type="dxa"/>
            <w:vAlign w:val="bottom"/>
          </w:tcPr>
          <w:p>
            <w:pPr>
              <w:spacing w:after="0"/>
              <w:rPr>
                <w:sz w:val="18"/>
                <w:szCs w:val="18"/>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98"/>
              </w:rPr>
              <w:t>entirely. Notwithstanding the foregoing, to the extent a written employment agreement, change-in-control agreement,</w:t>
            </w:r>
          </w:p>
        </w:tc>
      </w:tr>
      <w:tr>
        <w:trPr>
          <w:trHeight w:val="190"/>
        </w:trPr>
        <w:tc>
          <w:tcPr>
            <w:tcW w:w="1840" w:type="dxa"/>
            <w:vAlign w:val="bottom"/>
          </w:tcPr>
          <w:p>
            <w:pPr>
              <w:spacing w:after="0"/>
              <w:rPr>
                <w:sz w:val="16"/>
                <w:szCs w:val="16"/>
                <w:color w:val="auto"/>
              </w:rPr>
            </w:pPr>
          </w:p>
        </w:tc>
        <w:tc>
          <w:tcPr>
            <w:tcW w:w="9480" w:type="dxa"/>
            <w:vAlign w:val="bottom"/>
            <w:gridSpan w:val="5"/>
          </w:tcPr>
          <w:p>
            <w:pPr>
              <w:ind w:left="320"/>
              <w:spacing w:after="0" w:line="190" w:lineRule="exact"/>
              <w:rPr>
                <w:sz w:val="20"/>
                <w:szCs w:val="20"/>
                <w:color w:val="auto"/>
              </w:rPr>
            </w:pPr>
            <w:r>
              <w:rPr>
                <w:rFonts w:ascii="Arial" w:cs="Arial" w:eastAsia="Arial" w:hAnsi="Arial"/>
                <w:sz w:val="18"/>
                <w:szCs w:val="18"/>
                <w:color w:val="auto"/>
                <w:w w:val="95"/>
              </w:rPr>
              <w:t>severance agreement or other similar written agreement or arrangement (an “Employment Arrangement”) that has been</w:t>
            </w:r>
          </w:p>
        </w:tc>
      </w:tr>
      <w:tr>
        <w:trPr>
          <w:trHeight w:val="20"/>
        </w:trPr>
        <w:tc>
          <w:tcPr>
            <w:tcW w:w="18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r>
      <w:tr>
        <w:trPr>
          <w:trHeight w:val="222"/>
        </w:trPr>
        <w:tc>
          <w:tcPr>
            <w:tcW w:w="1840" w:type="dxa"/>
            <w:vAlign w:val="bottom"/>
          </w:tcPr>
          <w:p>
            <w:pPr>
              <w:spacing w:after="0"/>
              <w:rPr>
                <w:sz w:val="19"/>
                <w:szCs w:val="19"/>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91"/>
              </w:rPr>
              <w:t>approved by the Board or a committee thereof provides for greater benefits to the Optionee than provided in the Option Grant,</w:t>
            </w:r>
          </w:p>
        </w:tc>
      </w:tr>
      <w:tr>
        <w:trPr>
          <w:trHeight w:val="216"/>
        </w:trPr>
        <w:tc>
          <w:tcPr>
            <w:tcW w:w="1840" w:type="dxa"/>
            <w:vAlign w:val="bottom"/>
          </w:tcPr>
          <w:p>
            <w:pPr>
              <w:spacing w:after="0"/>
              <w:rPr>
                <w:sz w:val="18"/>
                <w:szCs w:val="18"/>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91"/>
              </w:rPr>
              <w:t>this Award Agreement or the Plan with respect to (a) vesting of the Options upon termination of employment or in the event of</w:t>
            </w:r>
          </w:p>
        </w:tc>
      </w:tr>
      <w:tr>
        <w:trPr>
          <w:trHeight w:val="216"/>
        </w:trPr>
        <w:tc>
          <w:tcPr>
            <w:tcW w:w="1840" w:type="dxa"/>
            <w:vAlign w:val="bottom"/>
          </w:tcPr>
          <w:p>
            <w:pPr>
              <w:spacing w:after="0"/>
              <w:rPr>
                <w:sz w:val="18"/>
                <w:szCs w:val="18"/>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rPr>
              <w:t>a Change in Control, or (b) exercisability of the Options following termination of employment, then the terms of the</w:t>
            </w:r>
          </w:p>
        </w:tc>
      </w:tr>
      <w:tr>
        <w:trPr>
          <w:trHeight w:val="216"/>
        </w:trPr>
        <w:tc>
          <w:tcPr>
            <w:tcW w:w="1840" w:type="dxa"/>
            <w:vAlign w:val="bottom"/>
          </w:tcPr>
          <w:p>
            <w:pPr>
              <w:spacing w:after="0"/>
              <w:rPr>
                <w:sz w:val="18"/>
                <w:szCs w:val="18"/>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w w:val="97"/>
              </w:rPr>
              <w:t>Employment Arrangement with respect to these matters shall supersede the terms of the Option Grant and this Award</w:t>
            </w:r>
          </w:p>
        </w:tc>
      </w:tr>
      <w:tr>
        <w:trPr>
          <w:trHeight w:val="230"/>
        </w:trPr>
        <w:tc>
          <w:tcPr>
            <w:tcW w:w="1840" w:type="dxa"/>
            <w:vAlign w:val="bottom"/>
          </w:tcPr>
          <w:p>
            <w:pPr>
              <w:spacing w:after="0"/>
              <w:rPr>
                <w:sz w:val="20"/>
                <w:szCs w:val="20"/>
                <w:color w:val="auto"/>
              </w:rPr>
            </w:pPr>
          </w:p>
        </w:tc>
        <w:tc>
          <w:tcPr>
            <w:tcW w:w="9480" w:type="dxa"/>
            <w:vAlign w:val="bottom"/>
            <w:gridSpan w:val="5"/>
          </w:tcPr>
          <w:p>
            <w:pPr>
              <w:ind w:left="320"/>
              <w:spacing w:after="0"/>
              <w:rPr>
                <w:sz w:val="20"/>
                <w:szCs w:val="20"/>
                <w:color w:val="auto"/>
              </w:rPr>
            </w:pPr>
            <w:r>
              <w:rPr>
                <w:rFonts w:ascii="Arial" w:cs="Arial" w:eastAsia="Arial" w:hAnsi="Arial"/>
                <w:sz w:val="18"/>
                <w:szCs w:val="18"/>
                <w:color w:val="auto"/>
              </w:rPr>
              <w:t>Agreement to the extent permitted by the Plan.</w:t>
            </w:r>
          </w:p>
        </w:tc>
      </w:tr>
    </w:tbl>
    <w:p>
      <w:pPr>
        <w:spacing w:after="0" w:line="360" w:lineRule="exact"/>
        <w:rPr>
          <w:sz w:val="20"/>
          <w:szCs w:val="20"/>
          <w:color w:val="auto"/>
        </w:rPr>
      </w:pPr>
    </w:p>
    <w:p>
      <w:pPr>
        <w:ind w:left="2160" w:right="840" w:hanging="2173"/>
        <w:spacing w:after="0" w:line="282" w:lineRule="auto"/>
        <w:rPr>
          <w:sz w:val="20"/>
          <w:szCs w:val="20"/>
          <w:color w:val="auto"/>
        </w:rPr>
      </w:pPr>
      <w:r>
        <w:rPr>
          <w:rFonts w:ascii="Arial" w:cs="Arial" w:eastAsia="Arial" w:hAnsi="Arial"/>
          <w:sz w:val="18"/>
          <w:szCs w:val="18"/>
          <w:b w:val="1"/>
          <w:bCs w:val="1"/>
          <w:color w:val="auto"/>
        </w:rPr>
        <w:t xml:space="preserve">Nonstatutory Stock Option </w:t>
      </w:r>
      <w:r>
        <w:rPr>
          <w:rFonts w:ascii="Arial" w:cs="Arial" w:eastAsia="Arial" w:hAnsi="Arial"/>
          <w:sz w:val="18"/>
          <w:szCs w:val="18"/>
          <w:color w:val="auto"/>
        </w:rPr>
        <w:t>These Options are not intended to be Incentive Stock Options under section 422 of the Code and will be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60" w:type="dxa"/>
            <w:vAlign w:val="bottom"/>
          </w:tcPr>
          <w:p>
            <w:pPr>
              <w:spacing w:after="0"/>
              <w:rPr>
                <w:sz w:val="20"/>
                <w:szCs w:val="20"/>
                <w:color w:val="auto"/>
              </w:rPr>
            </w:pPr>
            <w:r>
              <w:rPr>
                <w:rFonts w:ascii="Arial" w:cs="Arial" w:eastAsia="Arial" w:hAnsi="Arial"/>
                <w:sz w:val="18"/>
                <w:szCs w:val="18"/>
                <w:b w:val="1"/>
                <w:bCs w:val="1"/>
                <w:color w:val="auto"/>
              </w:rPr>
              <w:t>Vesting</w:t>
            </w: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1"/>
              </w:rPr>
              <w:t>These Options are exercisable only before they expire and then only with respect to those that are vested. These Options will</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rPr>
              <w:t>vest according to the Vesting Schedule on the attached cover sheet.</w:t>
            </w:r>
          </w:p>
        </w:tc>
        <w:tc>
          <w:tcPr>
            <w:tcW w:w="0" w:type="dxa"/>
            <w:vAlign w:val="bottom"/>
          </w:tcPr>
          <w:p>
            <w:pPr>
              <w:spacing w:after="0"/>
              <w:rPr>
                <w:sz w:val="1"/>
                <w:szCs w:val="1"/>
                <w:color w:val="auto"/>
              </w:rPr>
            </w:pPr>
          </w:p>
        </w:tc>
      </w:tr>
      <w:tr>
        <w:trPr>
          <w:trHeight w:val="580"/>
        </w:trPr>
        <w:tc>
          <w:tcPr>
            <w:tcW w:w="196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89"/>
              </w:rPr>
              <w:t>These Options will expire in any event at the close of business at Company headquarters on the 10th anniversary of the Date of</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3"/>
              </w:rPr>
              <w:t>Option Grant, as shown on the cover sheet. These Options will expire earlier if your service terminates, as described below.</w:t>
            </w:r>
          </w:p>
        </w:tc>
        <w:tc>
          <w:tcPr>
            <w:tcW w:w="0" w:type="dxa"/>
            <w:vAlign w:val="bottom"/>
          </w:tcPr>
          <w:p>
            <w:pPr>
              <w:spacing w:after="0"/>
              <w:rPr>
                <w:sz w:val="1"/>
                <w:szCs w:val="1"/>
                <w:color w:val="auto"/>
              </w:rPr>
            </w:pPr>
          </w:p>
        </w:tc>
      </w:tr>
      <w:tr>
        <w:trPr>
          <w:trHeight w:val="580"/>
        </w:trPr>
        <w:tc>
          <w:tcPr>
            <w:tcW w:w="1960" w:type="dxa"/>
            <w:vAlign w:val="bottom"/>
          </w:tcPr>
          <w:p>
            <w:pPr>
              <w:spacing w:after="0"/>
              <w:rPr>
                <w:sz w:val="20"/>
                <w:szCs w:val="20"/>
                <w:color w:val="auto"/>
              </w:rPr>
            </w:pPr>
            <w:r>
              <w:rPr>
                <w:rFonts w:ascii="Arial" w:cs="Arial" w:eastAsia="Arial" w:hAnsi="Arial"/>
                <w:sz w:val="18"/>
                <w:szCs w:val="18"/>
                <w:b w:val="1"/>
                <w:bCs w:val="1"/>
                <w:color w:val="auto"/>
              </w:rPr>
              <w:t>Regular Termination</w:t>
            </w: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3"/>
              </w:rPr>
              <w:t>If your service terminates for any reason, other than death, Disability (as defined below), or Cause (as defined below), then,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2"/>
              </w:rPr>
              <w:t>except as otherwise provided in an Employment Arrangement, these Options will expire at the close of business at Company</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rPr>
              <w:t>headquarters on the 90th calendar day after your service termination date.</w:t>
            </w:r>
          </w:p>
        </w:tc>
        <w:tc>
          <w:tcPr>
            <w:tcW w:w="0" w:type="dxa"/>
            <w:vAlign w:val="bottom"/>
          </w:tcPr>
          <w:p>
            <w:pPr>
              <w:spacing w:after="0"/>
              <w:rPr>
                <w:sz w:val="1"/>
                <w:szCs w:val="1"/>
                <w:color w:val="auto"/>
              </w:rPr>
            </w:pPr>
          </w:p>
        </w:tc>
      </w:tr>
      <w:tr>
        <w:trPr>
          <w:trHeight w:val="580"/>
        </w:trPr>
        <w:tc>
          <w:tcPr>
            <w:tcW w:w="1960" w:type="dxa"/>
            <w:vAlign w:val="bottom"/>
          </w:tcPr>
          <w:p>
            <w:pPr>
              <w:spacing w:after="0"/>
              <w:rPr>
                <w:sz w:val="20"/>
                <w:szCs w:val="20"/>
                <w:color w:val="auto"/>
              </w:rPr>
            </w:pPr>
            <w:r>
              <w:rPr>
                <w:rFonts w:ascii="Arial" w:cs="Arial" w:eastAsia="Arial" w:hAnsi="Arial"/>
                <w:sz w:val="18"/>
                <w:szCs w:val="18"/>
                <w:b w:val="1"/>
                <w:bCs w:val="1"/>
                <w:color w:val="auto"/>
              </w:rPr>
              <w:t>Termination for Cause</w:t>
            </w: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3"/>
              </w:rPr>
              <w:t>If your service is terminated for Cause, as determined by the Board in its sole discretion, then immediately upon such event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2"/>
              </w:rPr>
              <w:t>you automatically forfeit all rights to these Options and they shall immediately expire. For purposes of this Award Agreement,</w:t>
            </w: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9360" w:type="dxa"/>
            <w:vAlign w:val="bottom"/>
            <w:gridSpan w:val="5"/>
          </w:tcPr>
          <w:p>
            <w:pPr>
              <w:ind w:left="200"/>
              <w:spacing w:after="0" w:line="190" w:lineRule="exact"/>
              <w:rPr>
                <w:sz w:val="20"/>
                <w:szCs w:val="20"/>
                <w:color w:val="auto"/>
              </w:rPr>
            </w:pPr>
            <w:r>
              <w:rPr>
                <w:rFonts w:ascii="Arial" w:cs="Arial" w:eastAsia="Arial" w:hAnsi="Arial"/>
                <w:sz w:val="18"/>
                <w:szCs w:val="18"/>
                <w:color w:val="auto"/>
                <w:w w:val="92"/>
              </w:rPr>
              <w:t>“Cause” shall mean the termination of your service due to your commission of any act of fraud, embezzlement or dishonesty;</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60" w:type="dxa"/>
            <w:vAlign w:val="bottom"/>
          </w:tcPr>
          <w:p>
            <w:pPr>
              <w:spacing w:after="0"/>
              <w:rPr>
                <w:sz w:val="19"/>
                <w:szCs w:val="19"/>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3"/>
              </w:rPr>
              <w:t>any unauthorized use or disclosure by you of confidential information or trade secrets of the Company or any Subsidiary or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1"/>
              </w:rPr>
              <w:t>Affiliate thereof; or any other intentional misconduct on your part that adversely affects the business or affairs of the Company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3"/>
              </w:rPr>
              <w:t>or any Subsidiary or Affiliate thereof in a material manner. This definition shall not restrict in any way the Company’s or any</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2"/>
              </w:rPr>
              <w:t>Subsidiary’s or Affiliate’s right to discharge you for any other reason, nor shall this definition be deemed to be inclusive of all</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rPr>
              <w:t>the acts or omissions which constitute “Cause” for purposes other than this Award Agreement.</w:t>
            </w:r>
          </w:p>
        </w:tc>
        <w:tc>
          <w:tcPr>
            <w:tcW w:w="0" w:type="dxa"/>
            <w:vAlign w:val="bottom"/>
          </w:tcPr>
          <w:p>
            <w:pPr>
              <w:spacing w:after="0"/>
              <w:rPr>
                <w:sz w:val="1"/>
                <w:szCs w:val="1"/>
                <w:color w:val="auto"/>
              </w:rPr>
            </w:pPr>
          </w:p>
        </w:tc>
      </w:tr>
      <w:tr>
        <w:trPr>
          <w:trHeight w:val="580"/>
        </w:trPr>
        <w:tc>
          <w:tcPr>
            <w:tcW w:w="1960" w:type="dxa"/>
            <w:vAlign w:val="bottom"/>
          </w:tcPr>
          <w:p>
            <w:pPr>
              <w:spacing w:after="0"/>
              <w:rPr>
                <w:sz w:val="20"/>
                <w:szCs w:val="20"/>
                <w:color w:val="auto"/>
              </w:rPr>
            </w:pPr>
            <w:r>
              <w:rPr>
                <w:rFonts w:ascii="Arial" w:cs="Arial" w:eastAsia="Arial" w:hAnsi="Arial"/>
                <w:sz w:val="18"/>
                <w:szCs w:val="18"/>
                <w:b w:val="1"/>
                <w:bCs w:val="1"/>
                <w:color w:val="auto"/>
              </w:rPr>
              <w:t>Death</w:t>
            </w: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2"/>
              </w:rPr>
              <w:t>If your service terminates because of your death, then, except as otherwise provided in an Employment Arrangement, these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0"/>
              </w:rPr>
              <w:t>Options will expire at the close of business at Company headquarters on the date twelve (12) months after the date of death. At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3"/>
              </w:rPr>
              <w:t>any time during that twelve (12) month period, your estate or heirs may exercise those Options which were vested as of the</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rPr>
              <w:t>date of your death.</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18"/>
                <w:szCs w:val="18"/>
                <w:b w:val="1"/>
                <w:bCs w:val="1"/>
                <w:color w:val="auto"/>
              </w:rPr>
              <w:t>Disability</w:t>
            </w:r>
          </w:p>
        </w:tc>
        <w:tc>
          <w:tcPr>
            <w:tcW w:w="9360" w:type="dxa"/>
            <w:vAlign w:val="bottom"/>
            <w:gridSpan w:val="5"/>
            <w:vMerge w:val="restart"/>
          </w:tcPr>
          <w:p>
            <w:pPr>
              <w:ind w:left="200"/>
              <w:spacing w:after="0"/>
              <w:rPr>
                <w:sz w:val="20"/>
                <w:szCs w:val="20"/>
                <w:color w:val="auto"/>
              </w:rPr>
            </w:pPr>
            <w:r>
              <w:rPr>
                <w:rFonts w:ascii="Arial" w:cs="Arial" w:eastAsia="Arial" w:hAnsi="Arial"/>
                <w:sz w:val="18"/>
                <w:szCs w:val="18"/>
                <w:color w:val="auto"/>
                <w:w w:val="94"/>
              </w:rPr>
              <w:t>If your service terminates because of your Disability, then, except as otherwise provided in an Employment Arrangement,</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3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1"/>
              </w:rPr>
              <w:t>these Options will expire at the close of business at Company headquarters on the date twelve (12) months after your service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2"/>
              </w:rPr>
              <w:t>termination date. At any time during that twelve (12) month period, you may exercise those Options which were vested as of</w:t>
            </w: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9360" w:type="dxa"/>
            <w:vAlign w:val="bottom"/>
            <w:gridSpan w:val="5"/>
          </w:tcPr>
          <w:p>
            <w:pPr>
              <w:ind w:left="200"/>
              <w:spacing w:after="0" w:line="190" w:lineRule="exact"/>
              <w:rPr>
                <w:sz w:val="20"/>
                <w:szCs w:val="20"/>
                <w:color w:val="auto"/>
              </w:rPr>
            </w:pPr>
            <w:r>
              <w:rPr>
                <w:rFonts w:ascii="Arial" w:cs="Arial" w:eastAsia="Arial" w:hAnsi="Arial"/>
                <w:sz w:val="18"/>
                <w:szCs w:val="18"/>
                <w:color w:val="auto"/>
                <w:w w:val="94"/>
              </w:rPr>
              <w:t>the date your service terminated because of your Disability. For purposes of this Award Agreement, “Disability” shall mean</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60" w:type="dxa"/>
            <w:vAlign w:val="bottom"/>
          </w:tcPr>
          <w:p>
            <w:pPr>
              <w:spacing w:after="0"/>
              <w:rPr>
                <w:sz w:val="19"/>
                <w:szCs w:val="19"/>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3"/>
              </w:rPr>
              <w:t>that you are unable to engage in any substantial gainful activity by reason of any medically determinable physical or mental</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w w:val="91"/>
              </w:rPr>
              <w:t>impairment which can be expected to result in death or which has lasted or can be expected to last for a continuous period of</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200"/>
              <w:spacing w:after="0"/>
              <w:rPr>
                <w:sz w:val="20"/>
                <w:szCs w:val="20"/>
                <w:color w:val="auto"/>
              </w:rPr>
            </w:pPr>
            <w:r>
              <w:rPr>
                <w:rFonts w:ascii="Arial" w:cs="Arial" w:eastAsia="Arial" w:hAnsi="Arial"/>
                <w:sz w:val="18"/>
                <w:szCs w:val="18"/>
                <w:color w:val="auto"/>
              </w:rPr>
              <w:t>not less than 12 months.</w:t>
            </w:r>
          </w:p>
        </w:tc>
        <w:tc>
          <w:tcPr>
            <w:tcW w:w="0" w:type="dxa"/>
            <w:vAlign w:val="bottom"/>
          </w:tcPr>
          <w:p>
            <w:pPr>
              <w:spacing w:after="0"/>
              <w:rPr>
                <w:sz w:val="1"/>
                <w:szCs w:val="1"/>
                <w:color w:val="auto"/>
              </w:rPr>
            </w:pPr>
          </w:p>
        </w:tc>
      </w:tr>
    </w:tbl>
    <w:p>
      <w:pPr>
        <w:sectPr>
          <w:pgSz w:w="11900" w:h="16838" w:orient="portrait"/>
          <w:cols w:equalWidth="0" w:num="1">
            <w:col w:w="11320"/>
          </w:cols>
          <w:pgMar w:left="280" w:top="580" w:right="2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Leave of Absence</w:t>
      </w:r>
    </w:p>
    <w:p>
      <w:pPr>
        <w:ind w:left="2160" w:right="320"/>
        <w:spacing w:after="0" w:line="253" w:lineRule="auto"/>
        <w:rPr>
          <w:sz w:val="20"/>
          <w:szCs w:val="20"/>
          <w:color w:val="auto"/>
        </w:rPr>
      </w:pPr>
      <w:r>
        <w:rPr>
          <w:rFonts w:ascii="Arial" w:cs="Arial" w:eastAsia="Arial" w:hAnsi="Arial"/>
          <w:sz w:val="18"/>
          <w:szCs w:val="18"/>
          <w:color w:val="auto"/>
        </w:rPr>
        <w:t>For purposes of these Options, your service is not interrupted or terminated when you go on a leave of absence that was approved in writing by a duly constituted officer of the Company or any Subsidiary or Affiliate thereof. Your service terminates in any event when the approved leave ends unless you immediately return to active work at the Company or any Subsidiary or Affiliate thereof.</w:t>
      </w:r>
    </w:p>
    <w:p>
      <w:pPr>
        <w:spacing w:after="0" w:line="300" w:lineRule="exact"/>
        <w:rPr>
          <w:sz w:val="20"/>
          <w:szCs w:val="20"/>
          <w:color w:val="auto"/>
        </w:rPr>
      </w:pPr>
    </w:p>
    <w:p>
      <w:pPr>
        <w:ind w:left="2160" w:right="220"/>
        <w:spacing w:after="0" w:line="277" w:lineRule="auto"/>
        <w:rPr>
          <w:sz w:val="20"/>
          <w:szCs w:val="20"/>
          <w:color w:val="auto"/>
        </w:rPr>
      </w:pPr>
      <w:r>
        <w:rPr>
          <w:rFonts w:ascii="Arial" w:cs="Arial" w:eastAsia="Arial" w:hAnsi="Arial"/>
          <w:sz w:val="18"/>
          <w:szCs w:val="18"/>
          <w:color w:val="auto"/>
        </w:rPr>
        <w:t>The Company, in its sole discretion, determines which leaves count for this purpose, as well as the point in time your service terminates for all purposes under the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Exercise</w:t>
      </w:r>
    </w:p>
    <w:p>
      <w:pPr>
        <w:jc w:val="both"/>
        <w:ind w:left="2160" w:right="40"/>
        <w:spacing w:after="0" w:line="295" w:lineRule="auto"/>
        <w:rPr>
          <w:sz w:val="20"/>
          <w:szCs w:val="20"/>
          <w:color w:val="auto"/>
        </w:rPr>
      </w:pPr>
      <w:r>
        <w:rPr>
          <w:rFonts w:ascii="Arial" w:cs="Arial" w:eastAsia="Arial" w:hAnsi="Arial"/>
          <w:sz w:val="16"/>
          <w:szCs w:val="16"/>
          <w:color w:val="auto"/>
        </w:rPr>
        <w:t>When you wish to exercise any of these Options, you must provide written notice to the Company, or use such other method of exercise as may be specified by the Company, including exercise by electronic means on the web site of the Company’s third-party equity plan administrator, which will specify how many Options you wish to exercise. If someone else wants to exercise these Options after your death, that person must prove to the Company’s satisfaction that he or she is entitled to do so.</w:t>
      </w:r>
    </w:p>
    <w:p>
      <w:pPr>
        <w:sectPr>
          <w:pgSz w:w="11900" w:h="16838" w:orient="portrait"/>
          <w:cols w:equalWidth="0" w:num="1">
            <w:col w:w="11360"/>
          </w:cols>
          <w:pgMar w:left="280" w:top="717" w:right="259"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of Payment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When you exercise Options, you must remit payment of the Option Price for the Shares you are purchasing at that time and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Tax-Related Items (as defined below). Payment may be made in one or a combination of the following forms:</w:t>
      </w:r>
    </w:p>
    <w:p>
      <w:pPr>
        <w:spacing w:after="0" w:line="200" w:lineRule="exact"/>
        <w:rPr>
          <w:sz w:val="20"/>
          <w:szCs w:val="20"/>
          <w:color w:val="auto"/>
        </w:rPr>
      </w:pPr>
    </w:p>
    <w:p>
      <w:pPr>
        <w:sectPr>
          <w:pgSz w:w="11900" w:h="16838" w:orient="portrait"/>
          <w:cols w:equalWidth="0" w:num="2">
            <w:col w:w="1440" w:space="720"/>
            <w:col w:w="9200"/>
          </w:cols>
          <w:pgMar w:left="280" w:top="717" w:right="259" w:bottom="1440" w:gutter="0" w:footer="0" w:header="0"/>
          <w:type w:val="continuous"/>
        </w:sectPr>
      </w:pPr>
    </w:p>
    <w:p>
      <w:pPr>
        <w:spacing w:after="0" w:line="11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Cash, your personal check, a cashier’s check or a money order.</w:t>
      </w:r>
    </w:p>
    <w:p>
      <w:pPr>
        <w:spacing w:after="0" w:line="333" w:lineRule="exact"/>
        <w:rPr>
          <w:sz w:val="20"/>
          <w:szCs w:val="20"/>
          <w:color w:val="auto"/>
        </w:rPr>
      </w:pPr>
    </w:p>
    <w:p>
      <w:pPr>
        <w:ind w:left="2160" w:right="80"/>
        <w:spacing w:after="0" w:line="264" w:lineRule="auto"/>
        <w:rPr>
          <w:sz w:val="20"/>
          <w:szCs w:val="20"/>
          <w:color w:val="auto"/>
        </w:rPr>
      </w:pPr>
      <w:r>
        <w:rPr>
          <w:rFonts w:ascii="Arial" w:cs="Arial" w:eastAsia="Arial" w:hAnsi="Arial"/>
          <w:sz w:val="18"/>
          <w:szCs w:val="18"/>
          <w:color w:val="auto"/>
        </w:rPr>
        <w:t>By delivery (on a form or by electronic means prescribed by the Company) of an irrevocable direction to a securities broker to sell Shares and to deliver all or part of the sale proceeds to the Company in payment of the aggregate Option Price and any Tax-Related Items.</w:t>
      </w:r>
    </w:p>
    <w:p>
      <w:pPr>
        <w:sectPr>
          <w:pgSz w:w="11900" w:h="16838" w:orient="portrait"/>
          <w:cols w:equalWidth="0" w:num="1">
            <w:col w:w="11360"/>
          </w:cols>
          <w:pgMar w:left="280" w:top="717" w:right="25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Withholding Taxes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Regardless of any action the Company or your employer (the “Employer”) takes with respect to any or all income tax, social insurance, payroll tax, payment on account or other tax-related items related to your participation in the Plan and legally applicable to you (“Tax-Related Items”), you acknowledge that the ultimate liability for all Tax-Related Items is and remains your responsibility and may exceed the amount actually withheld by the Company or the Employer. You further acknowledge that the Company and/or the Employer (a) make no representations or undertakings regarding the treatment of any Tax-Related Items in connection with any aspect of the Options, including, but not limited to, the grant, vesting or exercise of the Options, the subsequent sale of Shares acquired pursuant to such exercise and the receipt of any dividends; and (b) do not commit to and are under no obligation to structure the terms of the grant or any aspect of the Options to reduce or eliminate your liability for Tax-Related Items or achieve any particular tax result. You acknowledge that neither the Company nor the Employer shall have any obligation to indemnify or otherwise hold you harmless from any or all of such Tax-Related Items. Further, if you are subject to tax in more than one jurisdiction, you acknowledge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ectPr>
          <w:pgSz w:w="11900" w:h="16838" w:orient="portrait"/>
          <w:cols w:equalWidth="0" w:num="2">
            <w:col w:w="1440" w:space="720"/>
            <w:col w:w="9200"/>
          </w:cols>
          <w:pgMar w:left="280" w:top="717" w:right="259" w:bottom="1440" w:gutter="0" w:footer="0" w:header="0"/>
          <w:type w:val="continuous"/>
        </w:sectPr>
      </w:pPr>
    </w:p>
    <w:p>
      <w:pPr>
        <w:spacing w:after="0" w:line="77" w:lineRule="exact"/>
        <w:rPr>
          <w:sz w:val="20"/>
          <w:szCs w:val="20"/>
          <w:color w:val="auto"/>
        </w:rPr>
      </w:pPr>
    </w:p>
    <w:p>
      <w:pPr>
        <w:ind w:left="2160" w:right="20"/>
        <w:spacing w:after="0" w:line="259" w:lineRule="auto"/>
        <w:rPr>
          <w:sz w:val="20"/>
          <w:szCs w:val="20"/>
          <w:color w:val="auto"/>
        </w:rPr>
      </w:pPr>
      <w:r>
        <w:rPr>
          <w:rFonts w:ascii="Arial" w:cs="Arial" w:eastAsia="Arial" w:hAnsi="Arial"/>
          <w:sz w:val="18"/>
          <w:szCs w:val="18"/>
          <w:color w:val="auto"/>
        </w:rPr>
        <w:t>Prior to any relevant taxable or tax withholding event, as applicable, you will pay or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w:t>
      </w:r>
    </w:p>
    <w:p>
      <w:pPr>
        <w:sectPr>
          <w:pgSz w:w="11900" w:h="16838" w:orient="portrait"/>
          <w:cols w:equalWidth="0" w:num="1">
            <w:col w:w="11360"/>
          </w:cols>
          <w:pgMar w:left="280" w:top="717" w:right="259" w:bottom="1440" w:gutter="0" w:footer="0" w:header="0"/>
          <w:type w:val="continuous"/>
        </w:sectPr>
      </w:pPr>
    </w:p>
    <w:p>
      <w:pPr>
        <w:spacing w:after="0" w:line="295" w:lineRule="exact"/>
        <w:rPr>
          <w:sz w:val="20"/>
          <w:szCs w:val="20"/>
          <w:color w:val="auto"/>
        </w:rPr>
      </w:pPr>
    </w:p>
    <w:p>
      <w:pPr>
        <w:ind w:left="2680" w:hanging="186"/>
        <w:spacing w:after="0"/>
        <w:tabs>
          <w:tab w:leader="none" w:pos="2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withholding from your wages or other cash compensation paid to you by the Company and/or the Employer; or</w:t>
      </w:r>
    </w:p>
    <w:p>
      <w:pPr>
        <w:spacing w:after="0" w:line="344" w:lineRule="exact"/>
        <w:rPr>
          <w:rFonts w:ascii="Arial" w:cs="Arial" w:eastAsia="Arial" w:hAnsi="Arial"/>
          <w:sz w:val="17"/>
          <w:szCs w:val="17"/>
          <w:color w:val="auto"/>
        </w:rPr>
      </w:pPr>
    </w:p>
    <w:p>
      <w:pPr>
        <w:ind w:left="2660" w:right="220" w:hanging="166"/>
        <w:spacing w:after="0" w:line="277" w:lineRule="auto"/>
        <w:tabs>
          <w:tab w:leader="none" w:pos="26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at exercise, either through a voluntary sale or through a sale arranged by the Company (on your behalf pursuant to this authorization); or</w:t>
      </w:r>
    </w:p>
    <w:p>
      <w:pPr>
        <w:spacing w:after="0" w:line="278" w:lineRule="exact"/>
        <w:rPr>
          <w:rFonts w:ascii="Arial" w:cs="Arial" w:eastAsia="Arial" w:hAnsi="Arial"/>
          <w:sz w:val="18"/>
          <w:szCs w:val="18"/>
          <w:color w:val="auto"/>
        </w:rPr>
      </w:pPr>
    </w:p>
    <w:p>
      <w:pPr>
        <w:ind w:left="2680" w:hanging="186"/>
        <w:spacing w:after="0"/>
        <w:tabs>
          <w:tab w:leader="none" w:pos="2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withholding in Shares to be issued at exercise.</w:t>
      </w:r>
    </w:p>
    <w:p>
      <w:pPr>
        <w:spacing w:after="0" w:line="333" w:lineRule="exact"/>
        <w:rPr>
          <w:sz w:val="20"/>
          <w:szCs w:val="20"/>
          <w:color w:val="auto"/>
        </w:rPr>
      </w:pPr>
    </w:p>
    <w:p>
      <w:pPr>
        <w:ind w:left="2160" w:right="120"/>
        <w:spacing w:after="0" w:line="276" w:lineRule="auto"/>
        <w:rPr>
          <w:sz w:val="20"/>
          <w:szCs w:val="20"/>
          <w:color w:val="auto"/>
        </w:rPr>
      </w:pPr>
      <w:r>
        <w:rPr>
          <w:rFonts w:ascii="Arial" w:cs="Arial" w:eastAsia="Arial" w:hAnsi="Arial"/>
          <w:sz w:val="17"/>
          <w:szCs w:val="17"/>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are deemed to have been issued the full number of Shares subject to the Options exercised, notwithstanding that a number of Shares is retained solely for the purpose of paying the Tax-Related Items due as a result of any aspect of your participation in the Plan.</w:t>
      </w:r>
    </w:p>
    <w:p>
      <w:pPr>
        <w:spacing w:after="0" w:line="281" w:lineRule="exact"/>
        <w:rPr>
          <w:sz w:val="20"/>
          <w:szCs w:val="20"/>
          <w:color w:val="auto"/>
        </w:rPr>
      </w:pPr>
    </w:p>
    <w:p>
      <w:pPr>
        <w:ind w:left="2160" w:right="100"/>
        <w:spacing w:after="0" w:line="259" w:lineRule="auto"/>
        <w:rPr>
          <w:sz w:val="20"/>
          <w:szCs w:val="20"/>
          <w:color w:val="auto"/>
        </w:rPr>
      </w:pPr>
      <w:r>
        <w:rPr>
          <w:rFonts w:ascii="Arial" w:cs="Arial" w:eastAsia="Arial" w:hAnsi="Arial"/>
          <w:sz w:val="18"/>
          <w:szCs w:val="18"/>
          <w:color w:val="auto"/>
        </w:rPr>
        <w:t>Finally, you will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Shares or the proceeds from the sale of Shares if you fail to comply with your obligations in connection with the Tax-Related Items.</w:t>
      </w:r>
    </w:p>
    <w:p>
      <w:pPr>
        <w:sectPr>
          <w:pgSz w:w="11900" w:h="16838" w:orient="portrait"/>
          <w:cols w:equalWidth="0" w:num="1">
            <w:col w:w="11360"/>
          </w:cols>
          <w:pgMar w:left="280" w:top="717" w:right="25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Transfer of Options</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7"/>
          <w:szCs w:val="17"/>
          <w:color w:val="auto"/>
        </w:rPr>
        <w:t>Prior to your death, only you may exercise these Options, or in the case of legal incapacity, your guardian or legal representative may act on your behalf. You cannot transfer or assign these Options. For instance, you may not sell the Options themselves or use them as security for a loan. If you attempt to do any of these things, the Options will immediately become invalid. You may, however, dispose of these Options in your will. Regardless of any marital property settlement agreement, the Company is not obligated to honor your spouse’s interest in these Options in any way.</w:t>
      </w:r>
    </w:p>
    <w:p>
      <w:pPr>
        <w:spacing w:after="0" w:line="200" w:lineRule="exact"/>
        <w:rPr>
          <w:sz w:val="20"/>
          <w:szCs w:val="20"/>
          <w:color w:val="auto"/>
        </w:rPr>
      </w:pPr>
    </w:p>
    <w:p>
      <w:pPr>
        <w:sectPr>
          <w:pgSz w:w="11900" w:h="16838" w:orient="portrait"/>
          <w:cols w:equalWidth="0" w:num="2">
            <w:col w:w="1520" w:space="640"/>
            <w:col w:w="9180"/>
          </w:cols>
          <w:pgMar w:left="280" w:top="905" w:right="27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Retention Rights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Options or this Award Agreement do not give you the right to be retained or to continue to be retained by the Company or any Subsidiary or Affiliate thereof in any employment or other capacity. The Company or any Subsidiary or Affiliate thereof reserves the right to terminate your service at any time and for any reason.</w:t>
      </w:r>
    </w:p>
    <w:p>
      <w:pPr>
        <w:spacing w:after="0" w:line="200" w:lineRule="exact"/>
        <w:rPr>
          <w:sz w:val="20"/>
          <w:szCs w:val="20"/>
          <w:color w:val="auto"/>
        </w:rPr>
      </w:pPr>
    </w:p>
    <w:p>
      <w:pPr>
        <w:sectPr>
          <w:pgSz w:w="11900" w:h="16838" w:orient="portrait"/>
          <w:cols w:equalWidth="0" w:num="2">
            <w:col w:w="1440" w:space="720"/>
            <w:col w:w="9180"/>
          </w:cols>
          <w:pgMar w:left="280" w:top="905" w:right="27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Rights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You, or your estate or heirs, have no rights as a stockholder of the Company until you are recorded as the holder of the Shares upon the stock records of the Company. No adjustments are made for dividends or other rights if the applicable record date occurs before you are recorded as the holder of the Shares, except as otherwise described in the Plan.</w:t>
      </w:r>
    </w:p>
    <w:p>
      <w:pPr>
        <w:spacing w:after="0" w:line="200" w:lineRule="exact"/>
        <w:rPr>
          <w:sz w:val="20"/>
          <w:szCs w:val="20"/>
          <w:color w:val="auto"/>
        </w:rPr>
      </w:pPr>
    </w:p>
    <w:p>
      <w:pPr>
        <w:sectPr>
          <w:pgSz w:w="11900" w:h="16838" w:orient="portrait"/>
          <w:cols w:equalWidth="0" w:num="2">
            <w:col w:w="1480" w:space="680"/>
            <w:col w:w="9180"/>
          </w:cols>
          <w:pgMar w:left="280" w:top="905" w:right="27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of a stock split, a stock dividend or a similar change in the Company stock, the number of Shares covered by these Options and the Option Price may be adjusted (and rounded down to the nearest whole number) pursuant to the Plan. These Options shall be subject to the terms of the agreement of merger, liquidation or reorganization in the event the Company is subject to such corporate activity.</w:t>
      </w:r>
    </w:p>
    <w:p>
      <w:pPr>
        <w:spacing w:after="0" w:line="200" w:lineRule="exact"/>
        <w:rPr>
          <w:sz w:val="20"/>
          <w:szCs w:val="20"/>
          <w:color w:val="auto"/>
        </w:rPr>
      </w:pPr>
    </w:p>
    <w:p>
      <w:pPr>
        <w:sectPr>
          <w:pgSz w:w="11900" w:h="16838" w:orient="portrait"/>
          <w:cols w:equalWidth="0" w:num="2">
            <w:col w:w="1440" w:space="720"/>
            <w:col w:w="9180"/>
          </w:cols>
          <w:pgMar w:left="280" w:top="905" w:right="279" w:bottom="1440" w:gutter="0" w:footer="0" w:header="0"/>
          <w:type w:val="continuous"/>
        </w:sectPr>
      </w:pPr>
    </w:p>
    <w:p>
      <w:pPr>
        <w:spacing w:after="0" w:line="14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 Advice Regarding Grant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your participation in the Plan, or your acquisition or sale of the underlying Shares. You are hereby advised to consult your own personal tax, legal and financial advisors regarding your participation in the Plan and before taking any action related to the Plan.</w:t>
      </w:r>
    </w:p>
    <w:p>
      <w:pPr>
        <w:spacing w:after="0" w:line="200" w:lineRule="exact"/>
        <w:rPr>
          <w:sz w:val="20"/>
          <w:szCs w:val="20"/>
          <w:color w:val="auto"/>
        </w:rPr>
      </w:pPr>
    </w:p>
    <w:p>
      <w:pPr>
        <w:sectPr>
          <w:pgSz w:w="11900" w:h="16838" w:orient="portrait"/>
          <w:cols w:equalWidth="0" w:num="2">
            <w:col w:w="1640" w:space="520"/>
            <w:col w:w="9180"/>
          </w:cols>
          <w:pgMar w:left="280" w:top="905" w:right="279" w:bottom="1440" w:gutter="0" w:footer="0" w:header="0"/>
          <w:type w:val="continuous"/>
        </w:sectPr>
      </w:pPr>
    </w:p>
    <w:p>
      <w:pPr>
        <w:spacing w:after="0" w:line="14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Not a Contract of Employment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By accepting this Award Agreement, you acknowledge and agree that (a) any person whose service is terminated before full vesting of an award, such as the one granted to you by this Option grant, could claim that his or her service was terminated to preclude vesting; (b) you will never make such a claim; (c) nothing in this Award Agreement or the Plan confers on you any right to continue a service relationship with the Company, nor shall anything in this Award Agreement or the Plan affect in any way your right or the rights of the Company or the Employer to terminate your service at any time, with or without cause; and (d) the Company would not have granted this Option to you but for these acknowledgments and agreements.</w:t>
      </w:r>
    </w:p>
    <w:p>
      <w:pPr>
        <w:spacing w:after="0" w:line="200" w:lineRule="exact"/>
        <w:rPr>
          <w:sz w:val="20"/>
          <w:szCs w:val="20"/>
          <w:color w:val="auto"/>
        </w:rPr>
      </w:pPr>
    </w:p>
    <w:p>
      <w:pPr>
        <w:sectPr>
          <w:pgSz w:w="11900" w:h="16838" w:orient="portrait"/>
          <w:cols w:equalWidth="0" w:num="2">
            <w:col w:w="1440" w:space="720"/>
            <w:col w:w="9180"/>
          </w:cols>
          <w:pgMar w:left="280" w:top="905" w:right="27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Option grant and the provisions of this Award Agreement are governed by, and subject to, the internal substantive laws but not the choice of law rules of the State of Delaware, as provided in the Plan. For purposes of litigating any dispute that arises directly or indirectly from the relationship of the parties evidenced by this grant or this Award Agreement, the parties hereby submit to and consent to the exclusive jurisdiction of the State of California, and agree that such litigation shall be conducted only in the courts of San Diego County, California, or the federal courts of the United States for the Southern District of California, and no other courts, where this grant is made and/or to be performed.</w:t>
      </w:r>
    </w:p>
    <w:p>
      <w:pPr>
        <w:spacing w:after="0" w:line="200" w:lineRule="exact"/>
        <w:rPr>
          <w:sz w:val="20"/>
          <w:szCs w:val="20"/>
          <w:color w:val="auto"/>
        </w:rPr>
      </w:pPr>
    </w:p>
    <w:p>
      <w:pPr>
        <w:sectPr>
          <w:pgSz w:w="11900" w:h="16838" w:orient="portrait"/>
          <w:cols w:equalWidth="0" w:num="2">
            <w:col w:w="1440" w:space="720"/>
            <w:col w:w="9180"/>
          </w:cols>
          <w:pgMar w:left="280" w:top="905" w:right="27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Delivery</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may, in its sole discretion, decide to deliver any documents related to the Options granted under and participation in the Plan or future options that may be granted under the Plan by electronic means. You hereby consent to receive such documents by electronic delivery and to agree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ectPr>
          <w:pgSz w:w="11900" w:h="16838" w:orient="portrait"/>
          <w:cols w:equalWidth="0" w:num="2">
            <w:col w:w="1480" w:space="680"/>
            <w:col w:w="9180"/>
          </w:cols>
          <w:pgMar w:left="280" w:top="905" w:right="27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Severability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provisions of this Award Agreement are severable and if any one or more provisions are determined to be illegal or otherwise unenforceable, in whole or in part, the remaining provisions shall nevertheless be binding and enforceable.</w:t>
      </w:r>
    </w:p>
    <w:p>
      <w:pPr>
        <w:sectPr>
          <w:pgSz w:w="11900" w:h="16838" w:orient="portrait"/>
          <w:cols w:equalWidth="0" w:num="2">
            <w:col w:w="1440" w:space="720"/>
            <w:col w:w="9180"/>
          </w:cols>
          <w:pgMar w:left="280" w:top="905" w:right="279" w:bottom="1440" w:gutter="0" w:footer="0" w:header="0"/>
          <w:type w:val="continuous"/>
        </w:sectPr>
      </w:pPr>
    </w:p>
    <w:bookmarkStart w:id="122" w:name="page123"/>
    <w:bookmarkEnd w:id="122"/>
    <w:p>
      <w:pPr>
        <w:jc w:val="center"/>
        <w:ind w:right="-5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2009 OMNIBUS INCENTIVE COMPENSATION PLAN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Unit Grant</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_____________________________________</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Award No.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Inseego Corp.,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Stock Units (the “</w:t>
      </w:r>
      <w:r>
        <w:rPr>
          <w:rFonts w:ascii="Arial" w:cs="Arial" w:eastAsia="Arial" w:hAnsi="Arial"/>
          <w:sz w:val="17"/>
          <w:szCs w:val="17"/>
          <w:u w:val="single" w:color="auto"/>
          <w:color w:val="auto"/>
        </w:rPr>
        <w:t>Stock Units</w:t>
      </w:r>
      <w:r>
        <w:rPr>
          <w:rFonts w:ascii="Arial" w:cs="Arial" w:eastAsia="Arial" w:hAnsi="Arial"/>
          <w:sz w:val="17"/>
          <w:szCs w:val="17"/>
          <w:color w:val="auto"/>
        </w:rPr>
        <w:t>”) to the individual named below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The terms and conditions of the Stock Units are set forth in the attached Stock Unit Award Agreement (“</w:t>
      </w:r>
      <w:r>
        <w:rPr>
          <w:rFonts w:ascii="Arial" w:cs="Arial" w:eastAsia="Arial" w:hAnsi="Arial"/>
          <w:sz w:val="16"/>
          <w:szCs w:val="16"/>
          <w:u w:val="single" w:color="auto"/>
          <w:color w:val="auto"/>
        </w:rPr>
        <w:t>Award Agreement</w:t>
      </w:r>
      <w:r>
        <w:rPr>
          <w:rFonts w:ascii="Arial" w:cs="Arial" w:eastAsia="Arial" w:hAnsi="Arial"/>
          <w:sz w:val="16"/>
          <w:szCs w:val="16"/>
          <w:color w:val="auto"/>
        </w:rPr>
        <w:t>” or “</w:t>
      </w:r>
      <w:r>
        <w:rPr>
          <w:rFonts w:ascii="Arial" w:cs="Arial" w:eastAsia="Arial" w:hAnsi="Arial"/>
          <w:sz w:val="16"/>
          <w:szCs w:val="16"/>
          <w:u w:val="single" w:color="auto"/>
          <w:color w:val="auto"/>
        </w:rPr>
        <w:t>Award</w:t>
      </w:r>
      <w:r>
        <w:rPr>
          <w:rFonts w:ascii="Arial" w:cs="Arial" w:eastAsia="Arial" w:hAnsi="Arial"/>
          <w:sz w:val="16"/>
          <w:szCs w:val="16"/>
          <w:color w:val="auto"/>
        </w:rPr>
        <w:t>”),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Inseego Corp. 2009 Omnibus Incentive Compensation Plan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which is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A summary of the Plan appears in the related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Prospectus, which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228600</wp:posOffset>
            </wp:positionV>
            <wp:extent cx="6612255" cy="1800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a:extLst>
                        <a:ext uri="{28A0092B-C50C-407E-A947-70E740481C1C}"/>
                      </a:extLst>
                    </a:blip>
                    <a:srcRect/>
                    <a:stretch>
                      <a:fillRect/>
                    </a:stretch>
                  </pic:blipFill>
                  <pic:spPr bwMode="auto">
                    <a:xfrm>
                      <a:off x="0" y="0"/>
                      <a:ext cx="6612255" cy="1800860"/>
                    </a:xfrm>
                    <a:prstGeom prst="rect">
                      <a:avLst/>
                    </a:prstGeom>
                    <a:noFill/>
                  </pic:spPr>
                </pic:pic>
              </a:graphicData>
            </a:graphic>
          </wp:anchor>
        </w:drawing>
      </w:r>
    </w:p>
    <w:p>
      <w:pPr>
        <w:spacing w:after="0" w:line="3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of Recipient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Number of Stock Units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Award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Purchase Price per Share (if</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applicable)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 of Grant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Board, in its discretion, may accelerate the vesting of any unvested Stock Units in the event of a Change in Control. Except as otherwise provided in the Award Agreement, no Stock Units shall vest after the Grantee’s service with or for the Company or any Subsidiary or Affiliate thereof has terminated for any reason.</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BY ACCEPTING THIS STOCK UNIT GRANT, you and the Company agree that the Stock Units are hereby awarded under and governed by the terms and conditions of this Stock Unit Grant, the attached Award Agreement, and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INSEEGO CORP.</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31750</wp:posOffset>
            </wp:positionV>
            <wp:extent cx="24352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31750</wp:posOffset>
            </wp:positionV>
            <wp:extent cx="24352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31750</wp:posOffset>
            </wp:positionV>
            <wp:extent cx="24352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Grantee</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4352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3" w:name="page124"/>
    <w:bookmarkEnd w:id="123"/>
    <w:p>
      <w:pPr>
        <w:jc w:val="center"/>
        <w:ind w:right="312"/>
        <w:spacing w:after="0"/>
        <w:rPr>
          <w:sz w:val="20"/>
          <w:szCs w:val="20"/>
          <w:color w:val="auto"/>
        </w:rPr>
      </w:pPr>
      <w:r>
        <w:rPr>
          <w:rFonts w:ascii="Arial" w:cs="Arial" w:eastAsia="Arial" w:hAnsi="Arial"/>
          <w:sz w:val="18"/>
          <w:szCs w:val="18"/>
          <w:b w:val="1"/>
          <w:bCs w:val="1"/>
          <w:color w:val="auto"/>
        </w:rPr>
        <w:t>INSEEGO CORP.</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2009 OMNIBUS INCENTIVE COMPENSATION PLAN</w:t>
      </w:r>
    </w:p>
    <w:p>
      <w:pPr>
        <w:spacing w:after="0" w:line="225" w:lineRule="exact"/>
        <w:rPr>
          <w:sz w:val="20"/>
          <w:szCs w:val="20"/>
          <w:color w:val="auto"/>
        </w:rPr>
      </w:pPr>
    </w:p>
    <w:p>
      <w:pPr>
        <w:ind w:left="3668"/>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Stock Unit Award Agreement</w:t>
      </w:r>
    </w:p>
    <w:p>
      <w:pPr>
        <w:spacing w:after="0" w:line="387" w:lineRule="exact"/>
        <w:rPr>
          <w:sz w:val="20"/>
          <w:szCs w:val="20"/>
          <w:color w:val="auto"/>
        </w:rPr>
      </w:pPr>
    </w:p>
    <w:p>
      <w:pPr>
        <w:ind w:left="328" w:hanging="328"/>
        <w:spacing w:after="0" w:line="269" w:lineRule="auto"/>
        <w:tabs>
          <w:tab w:leader="none" w:pos="328"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The Plan and Other Agreements</w:t>
      </w:r>
      <w:r>
        <w:rPr>
          <w:rFonts w:ascii="Arial" w:cs="Arial" w:eastAsia="Arial" w:hAnsi="Arial"/>
          <w:sz w:val="17"/>
          <w:szCs w:val="17"/>
          <w:color w:val="auto"/>
        </w:rPr>
        <w:t>. The text of the Plan is incorporated into this Award Agreement by reference. In the event of any inconsistency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the provisions of this Award Agreement and the Plan, the Plan shall govern. Capitalized terms used but not otherwise defined in this Award Agreement are defined in the Plan. Any amendment to the Plan shall be deemed to be an amendment to this Award Agreement to the extent that the amendment is applicable hereto;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amendment shall adversely affect your rights under this Award Agreement without your consent (provided, however, that your consent shall not be required to an amendment that is deemed necessary by the Company to ensure compliance with Section 409A of the U.S. Internal Revenue Code,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The Stock Unit Grant, this Award Agreement and the Plan constitute the entire understanding between you and the Company regarding these Stock Units. Any prior agreements, commitments or negotiations concerning these Stock Units are hereby superseded entirely. Notwithstanding the foregoing, to the extent a written employment agreement, change-in-control agreement, severance agreement or other similar written agreement or arrangement (an “</w:t>
      </w:r>
      <w:r>
        <w:rPr>
          <w:rFonts w:ascii="Arial" w:cs="Arial" w:eastAsia="Arial" w:hAnsi="Arial"/>
          <w:sz w:val="17"/>
          <w:szCs w:val="17"/>
          <w:u w:val="single" w:color="auto"/>
          <w:color w:val="auto"/>
        </w:rPr>
        <w:t>Employment Arrangement</w:t>
      </w:r>
      <w:r>
        <w:rPr>
          <w:rFonts w:ascii="Arial" w:cs="Arial" w:eastAsia="Arial" w:hAnsi="Arial"/>
          <w:sz w:val="17"/>
          <w:szCs w:val="17"/>
          <w:color w:val="auto"/>
        </w:rPr>
        <w:t>”) that has been approved by the Board or a committee thereof provides for greater benefits to the Grantee than provided in the Stock Unit Grant, this Award Agreement or the Plan with respect to vesting of the Stock Units upon termination of employment or in the event of a Change in Control, then the terms of the Employment Arrangement with respect to these matters shall supersede the terms of the Stock Unit Grant and this Award Agreement to the extent permitted by the Plan.</w:t>
      </w:r>
    </w:p>
    <w:p>
      <w:pPr>
        <w:spacing w:after="0" w:line="285" w:lineRule="exact"/>
        <w:rPr>
          <w:rFonts w:ascii="Arial" w:cs="Arial" w:eastAsia="Arial" w:hAnsi="Arial"/>
          <w:sz w:val="17"/>
          <w:szCs w:val="17"/>
          <w:color w:val="auto"/>
        </w:rPr>
      </w:pPr>
    </w:p>
    <w:p>
      <w:pPr>
        <w:ind w:left="328" w:right="100" w:hanging="328"/>
        <w:spacing w:after="0" w:line="273" w:lineRule="auto"/>
        <w:tabs>
          <w:tab w:leader="none" w:pos="328"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Service; Leaves of Absence</w:t>
      </w:r>
      <w:r>
        <w:rPr>
          <w:rFonts w:ascii="Arial" w:cs="Arial" w:eastAsia="Arial" w:hAnsi="Arial"/>
          <w:sz w:val="17"/>
          <w:szCs w:val="17"/>
          <w:color w:val="auto"/>
        </w:rPr>
        <w:t>. Subject to Section 1 above, this Award shall be canceled and become automatically null and void</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upon termination of your service to the Company or its Subsidiary or Affiliate for any reason, but only to the extent you have not become vested, pursuant to the foregoing terms, on or at the time your service to the Company or any Subsidiary or Affiliate thereof ends. For purposes of the Award, your service is not interrupted or terminated when you go on a leave of absence that is approved in writing by a duly constituted officer of the Company or any Subsidiary or Affiliate thereof. Your service terminates in any event when the approved leave ends unless you immediately return to active work at the Company or any Subsidiary or Affiliate thereof. The Company, in its sole discretion, determines which leaves count for this purpose, as well as the point in time your service terminates for all purposes under the Plan.</w:t>
      </w:r>
    </w:p>
    <w:p>
      <w:pPr>
        <w:spacing w:after="0" w:line="280" w:lineRule="exact"/>
        <w:rPr>
          <w:rFonts w:ascii="Arial" w:cs="Arial" w:eastAsia="Arial" w:hAnsi="Arial"/>
          <w:sz w:val="17"/>
          <w:szCs w:val="17"/>
          <w:color w:val="auto"/>
        </w:rPr>
      </w:pPr>
    </w:p>
    <w:p>
      <w:pPr>
        <w:ind w:left="328" w:right="20" w:hanging="328"/>
        <w:spacing w:after="0" w:line="281" w:lineRule="auto"/>
        <w:tabs>
          <w:tab w:leader="none" w:pos="328"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Satisfaction of Vesting Restrictions</w:t>
      </w:r>
      <w:r>
        <w:rPr>
          <w:rFonts w:ascii="Arial" w:cs="Arial" w:eastAsia="Arial" w:hAnsi="Arial"/>
          <w:sz w:val="17"/>
          <w:szCs w:val="17"/>
          <w:color w:val="auto"/>
        </w:rPr>
        <w:t>. No Shares will be issued before you complete the requirements that are necessary for you to vest in your Stock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Units. As soon as practicable after the date on which your Stock Units vest in whole or in part, the Company will issue to you, free from vesting restrictions (but subject to such legends as the Company determines to be appropriate), one Share for each vested Stock Unit;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by accepting this Award Agreement, you authorize the Company to withhold taxes pursuant to Section 7 below.</w:t>
      </w:r>
    </w:p>
    <w:p>
      <w:pPr>
        <w:spacing w:after="0" w:line="272" w:lineRule="exact"/>
        <w:rPr>
          <w:rFonts w:ascii="Arial" w:cs="Arial" w:eastAsia="Arial" w:hAnsi="Arial"/>
          <w:sz w:val="17"/>
          <w:szCs w:val="17"/>
          <w:color w:val="auto"/>
        </w:rPr>
      </w:pPr>
    </w:p>
    <w:p>
      <w:pPr>
        <w:ind w:left="328" w:right="60" w:hanging="328"/>
        <w:spacing w:after="0" w:line="258" w:lineRule="auto"/>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Purposes</w:t>
      </w:r>
      <w:r>
        <w:rPr>
          <w:rFonts w:ascii="Arial" w:cs="Arial" w:eastAsia="Arial" w:hAnsi="Arial"/>
          <w:sz w:val="18"/>
          <w:szCs w:val="18"/>
          <w:color w:val="auto"/>
        </w:rPr>
        <w:t>. By accepting this Award, you represent and warrant to the Company that any Shares issued to you pursuant to your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will be for investment for your own account and not with a view to, for resale in connection with, or with an intent of participating directly or indirectly in, any distribution of such Shares within the meaning of the U.S. Securities Act of 1933, as amended. You further acknowledge and agree that your ability to sell any Shares issued to you pursuant to your Stock Units may be limited by applicable securities laws and the Company’s Insider Trading Policy then in effect.</w:t>
      </w:r>
    </w:p>
    <w:p>
      <w:pPr>
        <w:spacing w:after="0" w:line="292" w:lineRule="exact"/>
        <w:rPr>
          <w:rFonts w:ascii="Arial" w:cs="Arial" w:eastAsia="Arial" w:hAnsi="Arial"/>
          <w:sz w:val="18"/>
          <w:szCs w:val="18"/>
          <w:color w:val="auto"/>
        </w:rPr>
      </w:pPr>
    </w:p>
    <w:p>
      <w:pPr>
        <w:ind w:left="328" w:right="80" w:hanging="328"/>
        <w:spacing w:after="0" w:line="255" w:lineRule="auto"/>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 When Shares are delivered to you pursuant to the vesting of your Stock Units, you shall also be entitled to receive,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each Share issued or withheld by the Company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(a) a number of Shares equal to the per Share stock dividends which were declared and paid to the holders of Shares between the Date of Grant and the date such Shares are delivered to you, and (b) a number of Shares having a Fair Market Value (on the date of each cash dividend payment date) equal to any per Share cash dividends that were paid to the holders of Shares based on a record date falling between the Date of Grant and the date such Shares are delivered to you. To the extent that your service ends before vesting of all the Stock Units, you will forfeit all dividend equivalents (whether paid in cash or in stock) attributable to all Shares underlying such unvested Stock Units.</w:t>
      </w:r>
    </w:p>
    <w:p>
      <w:pPr>
        <w:spacing w:after="0" w:line="297" w:lineRule="exact"/>
        <w:rPr>
          <w:rFonts w:ascii="Arial" w:cs="Arial" w:eastAsia="Arial" w:hAnsi="Arial"/>
          <w:sz w:val="18"/>
          <w:szCs w:val="18"/>
          <w:color w:val="auto"/>
        </w:rPr>
      </w:pPr>
    </w:p>
    <w:p>
      <w:pPr>
        <w:ind w:left="328" w:right="120" w:hanging="328"/>
        <w:spacing w:after="0" w:line="266" w:lineRule="auto"/>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Transfer of Award</w:t>
      </w:r>
      <w:r>
        <w:rPr>
          <w:rFonts w:ascii="Arial" w:cs="Arial" w:eastAsia="Arial" w:hAnsi="Arial"/>
          <w:sz w:val="18"/>
          <w:szCs w:val="18"/>
          <w:color w:val="auto"/>
        </w:rPr>
        <w:t>. Your rights under this Award Agreement may not be sold, pledged, or otherwise transferred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Board. If you attempt to do any of these things, the Stock Units will immediately become invalid. You may, however, dispose of these Stock Units in your will. Regardless of any</w:t>
      </w:r>
    </w:p>
    <w:p>
      <w:pPr>
        <w:sectPr>
          <w:pgSz w:w="11900" w:h="16838" w:orient="portrait"/>
          <w:cols w:equalWidth="0" w:num="1">
            <w:col w:w="11088"/>
          </w:cols>
          <w:pgMar w:left="572" w:top="580" w:right="239" w:bottom="1440" w:gutter="0" w:footer="0" w:header="0"/>
        </w:sectPr>
      </w:pPr>
    </w:p>
    <w:bookmarkStart w:id="124" w:name="page125"/>
    <w:bookmarkEnd w:id="124"/>
    <w:p>
      <w:pPr>
        <w:ind w:left="328"/>
        <w:spacing w:after="0"/>
        <w:rPr>
          <w:sz w:val="20"/>
          <w:szCs w:val="20"/>
          <w:color w:val="auto"/>
        </w:rPr>
      </w:pPr>
      <w:r>
        <w:rPr>
          <w:rFonts w:ascii="Arial" w:cs="Arial" w:eastAsia="Arial" w:hAnsi="Arial"/>
          <w:sz w:val="18"/>
          <w:szCs w:val="18"/>
          <w:color w:val="auto"/>
        </w:rPr>
        <w:t>marital property settlement agreement, the Company is not obligated to honor your spouse’s interest in these Stock Units in any way.</w:t>
      </w:r>
    </w:p>
    <w:p>
      <w:pPr>
        <w:spacing w:after="0" w:line="343" w:lineRule="exact"/>
        <w:rPr>
          <w:sz w:val="20"/>
          <w:szCs w:val="20"/>
          <w:color w:val="auto"/>
        </w:rPr>
      </w:pPr>
    </w:p>
    <w:p>
      <w:pPr>
        <w:ind w:left="328" w:hanging="328"/>
        <w:spacing w:after="0" w:line="270" w:lineRule="auto"/>
        <w:tabs>
          <w:tab w:leader="none" w:pos="328" w:val="left"/>
        </w:tabs>
        <w:numPr>
          <w:ilvl w:val="0"/>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Income Taxes and Deferred Compensation</w:t>
      </w:r>
      <w:r>
        <w:rPr>
          <w:rFonts w:ascii="Arial" w:cs="Arial" w:eastAsia="Arial" w:hAnsi="Arial"/>
          <w:sz w:val="17"/>
          <w:szCs w:val="17"/>
          <w:color w:val="auto"/>
        </w:rPr>
        <w:t>. Regardless of any action the Company or your employer (the “</w:t>
      </w:r>
      <w:r>
        <w:rPr>
          <w:rFonts w:ascii="Arial" w:cs="Arial" w:eastAsia="Arial" w:hAnsi="Arial"/>
          <w:sz w:val="17"/>
          <w:szCs w:val="17"/>
          <w:u w:val="single" w:color="auto"/>
          <w:color w:val="auto"/>
        </w:rPr>
        <w:t>Employer</w:t>
      </w:r>
      <w:r>
        <w:rPr>
          <w:rFonts w:ascii="Arial" w:cs="Arial" w:eastAsia="Arial" w:hAnsi="Arial"/>
          <w:sz w:val="17"/>
          <w:szCs w:val="17"/>
          <w:color w:val="auto"/>
        </w:rPr>
        <w:t>”) takes with respect to any or</w:t>
      </w:r>
      <w:r>
        <w:rPr>
          <w:rFonts w:ascii="Arial" w:cs="Arial" w:eastAsia="Arial" w:hAnsi="Arial"/>
          <w:sz w:val="17"/>
          <w:szCs w:val="17"/>
          <w:b w:val="1"/>
          <w:bCs w:val="1"/>
          <w:color w:val="auto"/>
        </w:rPr>
        <w:t xml:space="preserve"> </w:t>
      </w:r>
      <w:r>
        <w:rPr>
          <w:rFonts w:ascii="Arial" w:cs="Arial" w:eastAsia="Arial" w:hAnsi="Arial"/>
          <w:sz w:val="17"/>
          <w:szCs w:val="17"/>
          <w:color w:val="auto"/>
        </w:rPr>
        <w:t>all income tax, social insurance, payroll tax, payment on account or other tax-related items related to your participation in the Plan and legally applicable to you (“</w:t>
      </w:r>
      <w:r>
        <w:rPr>
          <w:rFonts w:ascii="Arial" w:cs="Arial" w:eastAsia="Arial" w:hAnsi="Arial"/>
          <w:sz w:val="17"/>
          <w:szCs w:val="17"/>
          <w:u w:val="single" w:color="auto"/>
          <w:color w:val="auto"/>
        </w:rPr>
        <w:t>Tax-Related Items</w:t>
      </w:r>
      <w:r>
        <w:rPr>
          <w:rFonts w:ascii="Arial" w:cs="Arial" w:eastAsia="Arial" w:hAnsi="Arial"/>
          <w:sz w:val="17"/>
          <w:szCs w:val="17"/>
          <w:color w:val="auto"/>
        </w:rPr>
        <w:t>”), you acknowledge that the ultimate liability for all Tax-Related Items legally due by you is and remains your responsibility and may exceed the amount actually withheld by the Company or the Employer. You further acknowledge that the Company and/or the Employer (a) make no representations or undertakings regarding the treatment of any Tax-Related Items in connection with any aspect of the Stock Units, including the grant of the Stock Units, the vesting of Stock Units, the settlement of the Stock Units with Shares, the subsequent sale of any Shares acquired at vesting and the receipt of any dividends; and (b) do not commit to structure the terms of the grant or any aspect of the Stock Units to reduce or eliminate your liability for Tax-Related Items or achieve any particular tax result. You acknowledge that neither the Company nor the Employer shall have any obligation to indemnify or otherwise hold you harmless from any or all of such Tax-Related Items. Further, if you are subject to tax in more than one jurisdiction, you acknowledge that the Company and/or the Employer (or former Employer, as applicable) may be required to withhold or account for Tax-Related Items in more than one jurisdiction.</w:t>
      </w:r>
    </w:p>
    <w:p>
      <w:pPr>
        <w:spacing w:after="0" w:line="286" w:lineRule="exact"/>
        <w:rPr>
          <w:rFonts w:ascii="Arial" w:cs="Arial" w:eastAsia="Arial" w:hAnsi="Arial"/>
          <w:sz w:val="17"/>
          <w:szCs w:val="17"/>
          <w:color w:val="auto"/>
        </w:rPr>
      </w:pPr>
    </w:p>
    <w:p>
      <w:pPr>
        <w:ind w:left="328" w:right="20"/>
        <w:spacing w:after="0" w:line="293" w:lineRule="auto"/>
        <w:rPr>
          <w:rFonts w:ascii="Arial" w:cs="Arial" w:eastAsia="Arial" w:hAnsi="Arial"/>
          <w:sz w:val="17"/>
          <w:szCs w:val="17"/>
          <w:color w:val="auto"/>
        </w:rPr>
      </w:pPr>
      <w:r>
        <w:rPr>
          <w:rFonts w:ascii="Arial" w:cs="Arial" w:eastAsia="Arial" w:hAnsi="Arial"/>
          <w:sz w:val="16"/>
          <w:szCs w:val="16"/>
          <w:color w:val="auto"/>
        </w:rPr>
        <w:t>The Board shall have the sole discretion to interpret the requirements of the Code for purposes of the Plan and this Award Agreement. The Board has the discretion to unilaterally modify this Award as necessary to conform with U.S. law. This includes the right, to the extent the Company deems necessary or advisable in its sole discretion, of the Board to unilaterally amend or modify the Plan and/or this Award Agreement to conform with applicable U.S. law, including to ensure that the grant and administration of this Award qualifies for exemption from the application of the taxes imposed by Section 409A of the Code. Notwithstanding the previous sentence, the Company makes no representation that this Award is not now, nor in the future, subject to the taxes imposed by Section 409A of the Code nor undertakes to preclude such taxes from applying to this Award.</w:t>
      </w:r>
    </w:p>
    <w:p>
      <w:pPr>
        <w:spacing w:after="0" w:line="272" w:lineRule="exact"/>
        <w:rPr>
          <w:rFonts w:ascii="Arial" w:cs="Arial" w:eastAsia="Arial" w:hAnsi="Arial"/>
          <w:sz w:val="17"/>
          <w:szCs w:val="17"/>
          <w:color w:val="auto"/>
        </w:rPr>
      </w:pPr>
    </w:p>
    <w:p>
      <w:pPr>
        <w:ind w:left="328" w:right="60"/>
        <w:spacing w:after="0" w:line="312" w:lineRule="auto"/>
        <w:rPr>
          <w:rFonts w:ascii="Arial" w:cs="Arial" w:eastAsia="Arial" w:hAnsi="Arial"/>
          <w:sz w:val="17"/>
          <w:szCs w:val="17"/>
          <w:color w:val="auto"/>
        </w:rPr>
      </w:pPr>
      <w:r>
        <w:rPr>
          <w:rFonts w:ascii="Arial" w:cs="Arial" w:eastAsia="Arial" w:hAnsi="Arial"/>
          <w:sz w:val="16"/>
          <w:szCs w:val="16"/>
          <w:color w:val="auto"/>
        </w:rPr>
        <w:t>Prior to the relevant taxable or tax withholding event, as applicable, you shall pay, or make adequate arrangements satisfactory to the Company or to the Employer (in their sole discretion) to satisfy all Tax-Related Items. In this regard, you authorize the Company or the Employer, or their respective agents, at their discretion, to satisfy the obligations with regard to Tax-Related Items by one or a combination of the following:</w:t>
      </w:r>
    </w:p>
    <w:p>
      <w:pPr>
        <w:spacing w:after="0" w:line="254" w:lineRule="exact"/>
        <w:rPr>
          <w:rFonts w:ascii="Arial" w:cs="Arial" w:eastAsia="Arial" w:hAnsi="Arial"/>
          <w:sz w:val="17"/>
          <w:szCs w:val="17"/>
          <w:color w:val="auto"/>
        </w:rPr>
      </w:pPr>
    </w:p>
    <w:p>
      <w:pPr>
        <w:ind w:left="508" w:hanging="184"/>
        <w:spacing w:after="0"/>
        <w:tabs>
          <w:tab w:leader="none" w:pos="508" w:val="left"/>
        </w:tabs>
        <w:numPr>
          <w:ilvl w:val="1"/>
          <w:numId w:val="73"/>
        </w:numPr>
        <w:rPr>
          <w:rFonts w:ascii="Arial" w:cs="Arial" w:eastAsia="Arial" w:hAnsi="Arial"/>
          <w:sz w:val="17"/>
          <w:szCs w:val="17"/>
          <w:color w:val="auto"/>
        </w:rPr>
      </w:pPr>
      <w:r>
        <w:rPr>
          <w:rFonts w:ascii="Arial" w:cs="Arial" w:eastAsia="Arial" w:hAnsi="Arial"/>
          <w:sz w:val="17"/>
          <w:szCs w:val="17"/>
          <w:color w:val="auto"/>
        </w:rPr>
        <w:t>withholding a number of Shares otherwise deliverable to you from time to time equal to the Retained Share Amount (as defined below); or</w:t>
      </w:r>
    </w:p>
    <w:p>
      <w:pPr>
        <w:spacing w:after="0" w:line="344" w:lineRule="exact"/>
        <w:rPr>
          <w:rFonts w:ascii="Arial" w:cs="Arial" w:eastAsia="Arial" w:hAnsi="Arial"/>
          <w:sz w:val="17"/>
          <w:szCs w:val="17"/>
          <w:color w:val="auto"/>
        </w:rPr>
      </w:pPr>
    </w:p>
    <w:p>
      <w:pPr>
        <w:ind w:left="508" w:hanging="184"/>
        <w:spacing w:after="0"/>
        <w:tabs>
          <w:tab w:leader="none" w:pos="508" w:val="left"/>
        </w:tabs>
        <w:numPr>
          <w:ilvl w:val="1"/>
          <w:numId w:val="73"/>
        </w:numPr>
        <w:rPr>
          <w:rFonts w:ascii="Arial" w:cs="Arial" w:eastAsia="Arial" w:hAnsi="Arial"/>
          <w:sz w:val="18"/>
          <w:szCs w:val="18"/>
          <w:color w:val="auto"/>
        </w:rPr>
      </w:pPr>
      <w:r>
        <w:rPr>
          <w:rFonts w:ascii="Arial" w:cs="Arial" w:eastAsia="Arial" w:hAnsi="Arial"/>
          <w:sz w:val="18"/>
          <w:szCs w:val="18"/>
          <w:color w:val="auto"/>
        </w:rPr>
        <w:t>withholding from your wages or other cash compensation paid to you by the Company and/or the Employer; or</w:t>
      </w:r>
    </w:p>
    <w:p>
      <w:pPr>
        <w:spacing w:after="0" w:line="333" w:lineRule="exact"/>
        <w:rPr>
          <w:rFonts w:ascii="Arial" w:cs="Arial" w:eastAsia="Arial" w:hAnsi="Arial"/>
          <w:sz w:val="18"/>
          <w:szCs w:val="18"/>
          <w:color w:val="auto"/>
        </w:rPr>
      </w:pPr>
    </w:p>
    <w:p>
      <w:pPr>
        <w:ind w:left="328" w:right="380" w:hanging="4"/>
        <w:spacing w:after="0" w:line="277" w:lineRule="auto"/>
        <w:tabs>
          <w:tab w:leader="none" w:pos="508" w:val="left"/>
        </w:tabs>
        <w:numPr>
          <w:ilvl w:val="1"/>
          <w:numId w:val="73"/>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settlement of the Stock Units, either through a voluntary sale or through a sale arranged by the Company (on your behalf pursuant to this authorization).</w:t>
      </w:r>
    </w:p>
    <w:p>
      <w:pPr>
        <w:spacing w:after="0" w:line="279" w:lineRule="exact"/>
        <w:rPr>
          <w:sz w:val="20"/>
          <w:szCs w:val="20"/>
          <w:color w:val="auto"/>
        </w:rPr>
      </w:pPr>
    </w:p>
    <w:p>
      <w:pPr>
        <w:ind w:left="328" w:right="80"/>
        <w:spacing w:after="0" w:line="302" w:lineRule="auto"/>
        <w:rPr>
          <w:sz w:val="20"/>
          <w:szCs w:val="20"/>
          <w:color w:val="auto"/>
        </w:rPr>
      </w:pPr>
      <w:r>
        <w:rPr>
          <w:rFonts w:ascii="Arial" w:cs="Arial" w:eastAsia="Arial" w:hAnsi="Arial"/>
          <w:sz w:val="16"/>
          <w:szCs w:val="16"/>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are deemed to have been issued the full number of Shares subject to the Stock Units, notwithstanding that a number of Shares is retained solely for the purpose of paying the Tax-Related Items due as a result of any aspect of your participation in the Plan.</w:t>
      </w:r>
    </w:p>
    <w:p>
      <w:pPr>
        <w:spacing w:after="0" w:line="262" w:lineRule="exact"/>
        <w:rPr>
          <w:sz w:val="20"/>
          <w:szCs w:val="20"/>
          <w:color w:val="auto"/>
        </w:rPr>
      </w:pPr>
    </w:p>
    <w:p>
      <w:pPr>
        <w:ind w:left="328" w:right="20"/>
        <w:spacing w:after="0" w:line="297"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Retained Share Amount</w:t>
      </w:r>
      <w:r>
        <w:rPr>
          <w:rFonts w:ascii="Arial" w:cs="Arial" w:eastAsia="Arial" w:hAnsi="Arial"/>
          <w:sz w:val="16"/>
          <w:szCs w:val="16"/>
          <w:color w:val="auto"/>
        </w:rPr>
        <w:t>” shall mean a number of Shares equal to the quotient of the minimum statutory tax withholding obligation of the Company triggered by the vesting of your Award on the relevant Vesting Date, divided by the Fair Market Value of one Share on the relevant Vesting Date or as otherwise provided in the Plan. If the obligation for Tax-Related Items is satisfied by withholding a number of Shares as described herein, you understand that you will be deemed to have been issued the full number of Shares subject to the settled Stock Units, notwithstanding that a number of Shares are held back solely for the purpose of paying the Tax-Related Items due as a result of the settlement of the Stock Units.</w:t>
      </w:r>
    </w:p>
    <w:p>
      <w:pPr>
        <w:spacing w:after="0" w:line="266" w:lineRule="exact"/>
        <w:rPr>
          <w:sz w:val="20"/>
          <w:szCs w:val="20"/>
          <w:color w:val="auto"/>
        </w:rPr>
      </w:pPr>
    </w:p>
    <w:p>
      <w:pPr>
        <w:ind w:left="328" w:right="100"/>
        <w:spacing w:after="0" w:line="259" w:lineRule="auto"/>
        <w:rPr>
          <w:sz w:val="20"/>
          <w:szCs w:val="20"/>
          <w:color w:val="auto"/>
        </w:rPr>
      </w:pPr>
      <w:r>
        <w:rPr>
          <w:rFonts w:ascii="Arial" w:cs="Arial" w:eastAsia="Arial" w:hAnsi="Arial"/>
          <w:sz w:val="18"/>
          <w:szCs w:val="18"/>
          <w:color w:val="auto"/>
        </w:rPr>
        <w:t>You shall pay to the Company or to the Employer any amount of Tax-Related Items that the Company or the Employer may be required to withhold as a result of your receipt of Stock Units, the vesting of Stock Units, or the settlement of vested Stock Units with Shares that cannot be satisfied by the means previously described. The Company may refuse to deliver Shares to you if you fail to comply with your obligation in connection with the Tax-Related Items.</w:t>
      </w:r>
    </w:p>
    <w:p>
      <w:pPr>
        <w:spacing w:after="0" w:line="291" w:lineRule="exact"/>
        <w:rPr>
          <w:sz w:val="20"/>
          <w:szCs w:val="20"/>
          <w:color w:val="auto"/>
        </w:rPr>
      </w:pPr>
    </w:p>
    <w:p>
      <w:pPr>
        <w:ind w:left="328" w:right="260" w:hanging="328"/>
        <w:spacing w:after="0" w:line="282"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communication required or permitted by any provision of this Award Agreement to be given to you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delivered electronically, personally, or sent by certified mail, return receipt</w:t>
      </w:r>
    </w:p>
    <w:p>
      <w:pPr>
        <w:sectPr>
          <w:pgSz w:w="11900" w:h="16838" w:orient="portrait"/>
          <w:cols w:equalWidth="0" w:num="1">
            <w:col w:w="11088"/>
          </w:cols>
          <w:pgMar w:left="572" w:top="773" w:right="239" w:bottom="1440" w:gutter="0" w:footer="0" w:header="0"/>
        </w:sectPr>
      </w:pPr>
    </w:p>
    <w:bookmarkStart w:id="125" w:name="page126"/>
    <w:bookmarkEnd w:id="125"/>
    <w:p>
      <w:pPr>
        <w:jc w:val="both"/>
        <w:ind w:left="328" w:right="120"/>
        <w:spacing w:after="0" w:line="311" w:lineRule="auto"/>
        <w:rPr>
          <w:sz w:val="20"/>
          <w:szCs w:val="20"/>
          <w:color w:val="auto"/>
        </w:rPr>
      </w:pPr>
      <w:r>
        <w:rPr>
          <w:rFonts w:ascii="Arial" w:cs="Arial" w:eastAsia="Arial" w:hAnsi="Arial"/>
          <w:sz w:val="18"/>
          <w:szCs w:val="18"/>
          <w:color w:val="auto"/>
        </w:rPr>
        <w:t>requested, addressed to you at the last address that the Company or the Employer had for you on its records. Each party may, from time to time, by notice to the other party hereto, specify a new address for delivery of notices relating to this Award Agreement. Any such notice shall be deemed to be given as of the date such notice is personally delivered or properly mailed.</w:t>
      </w:r>
    </w:p>
    <w:p>
      <w:pPr>
        <w:spacing w:after="0" w:line="262" w:lineRule="exact"/>
        <w:rPr>
          <w:sz w:val="20"/>
          <w:szCs w:val="20"/>
          <w:color w:val="auto"/>
        </w:rPr>
      </w:pPr>
    </w:p>
    <w:p>
      <w:pPr>
        <w:ind w:left="328"/>
        <w:spacing w:after="0" w:line="259" w:lineRule="auto"/>
        <w:rPr>
          <w:sz w:val="20"/>
          <w:szCs w:val="20"/>
          <w:color w:val="auto"/>
        </w:rPr>
      </w:pPr>
      <w:r>
        <w:rPr>
          <w:rFonts w:ascii="Arial" w:cs="Arial" w:eastAsia="Arial" w:hAnsi="Arial"/>
          <w:sz w:val="18"/>
          <w:szCs w:val="18"/>
          <w:color w:val="auto"/>
        </w:rPr>
        <w:t>The Company may, in its sole discretion, decide to deliver any documents related to Stock Units awarded under the Plan or future Stock Units that may be awarded under the Plan by electronic means or request your consent to participate in the Plan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291" w:lineRule="exact"/>
        <w:rPr>
          <w:sz w:val="20"/>
          <w:szCs w:val="20"/>
          <w:color w:val="auto"/>
        </w:rPr>
      </w:pPr>
    </w:p>
    <w:p>
      <w:pPr>
        <w:ind w:left="328" w:hanging="328"/>
        <w:spacing w:after="0" w:line="266" w:lineRule="auto"/>
        <w:tabs>
          <w:tab w:leader="none" w:pos="328"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Except as otherwise provided in this Award Agreement or in the Plan, every covenant, term, and provision of this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binding upon and inure to the benefit of the parties hereto and their respective heirs, legatees, legal representatives, successors, transferees, and assigns.</w:t>
      </w:r>
    </w:p>
    <w:p>
      <w:pPr>
        <w:spacing w:after="0" w:line="284" w:lineRule="exact"/>
        <w:rPr>
          <w:rFonts w:ascii="Arial" w:cs="Arial" w:eastAsia="Arial" w:hAnsi="Arial"/>
          <w:sz w:val="18"/>
          <w:szCs w:val="18"/>
          <w:color w:val="auto"/>
        </w:rPr>
      </w:pPr>
    </w:p>
    <w:p>
      <w:pPr>
        <w:ind w:left="328" w:hanging="328"/>
        <w:spacing w:after="0"/>
        <w:tabs>
          <w:tab w:leader="none" w:pos="328"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Modifications</w:t>
      </w:r>
      <w:r>
        <w:rPr>
          <w:rFonts w:ascii="Arial" w:cs="Arial" w:eastAsia="Arial" w:hAnsi="Arial"/>
          <w:sz w:val="18"/>
          <w:szCs w:val="18"/>
          <w:color w:val="auto"/>
        </w:rPr>
        <w:t>. Subject to Section 7 hereof, this Award Agreement may not be modified or amended without your prior consent.</w:t>
      </w:r>
    </w:p>
    <w:p>
      <w:pPr>
        <w:spacing w:after="0" w:line="333" w:lineRule="exact"/>
        <w:rPr>
          <w:rFonts w:ascii="Arial" w:cs="Arial" w:eastAsia="Arial" w:hAnsi="Arial"/>
          <w:sz w:val="18"/>
          <w:szCs w:val="18"/>
          <w:color w:val="auto"/>
        </w:rPr>
      </w:pPr>
    </w:p>
    <w:p>
      <w:pPr>
        <w:ind w:left="328" w:right="20" w:hanging="328"/>
        <w:spacing w:after="0" w:line="282" w:lineRule="auto"/>
        <w:tabs>
          <w:tab w:leader="none" w:pos="328"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and other headings contained in this Award Agreement are for reference purposes only and are not intended to describe, interpret,</w:t>
      </w:r>
      <w:r>
        <w:rPr>
          <w:rFonts w:ascii="Arial" w:cs="Arial" w:eastAsia="Arial" w:hAnsi="Arial"/>
          <w:sz w:val="18"/>
          <w:szCs w:val="18"/>
          <w:b w:val="1"/>
          <w:bCs w:val="1"/>
          <w:color w:val="auto"/>
        </w:rPr>
        <w:t xml:space="preserve"> </w:t>
      </w:r>
      <w:r>
        <w:rPr>
          <w:rFonts w:ascii="Arial" w:cs="Arial" w:eastAsia="Arial" w:hAnsi="Arial"/>
          <w:sz w:val="18"/>
          <w:szCs w:val="18"/>
          <w:color w:val="auto"/>
        </w:rPr>
        <w:t>define or limit the scope or intent of this Award Agreement or any provision hereof.</w:t>
      </w:r>
    </w:p>
    <w:p>
      <w:pPr>
        <w:spacing w:after="0" w:line="269" w:lineRule="exact"/>
        <w:rPr>
          <w:rFonts w:ascii="Arial" w:cs="Arial" w:eastAsia="Arial" w:hAnsi="Arial"/>
          <w:sz w:val="18"/>
          <w:szCs w:val="18"/>
          <w:color w:val="auto"/>
        </w:rPr>
      </w:pPr>
    </w:p>
    <w:p>
      <w:pPr>
        <w:ind w:left="328" w:right="380" w:hanging="328"/>
        <w:spacing w:after="0" w:line="282" w:lineRule="auto"/>
        <w:tabs>
          <w:tab w:leader="none" w:pos="328"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of this Award Agreement are severable and if any one or more provisions are determined to be illegal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269" w:lineRule="exact"/>
        <w:rPr>
          <w:rFonts w:ascii="Arial" w:cs="Arial" w:eastAsia="Arial" w:hAnsi="Arial"/>
          <w:sz w:val="18"/>
          <w:szCs w:val="18"/>
          <w:color w:val="auto"/>
        </w:rPr>
      </w:pPr>
    </w:p>
    <w:p>
      <w:pPr>
        <w:ind w:left="328" w:right="120" w:hanging="328"/>
        <w:spacing w:after="0" w:line="266" w:lineRule="auto"/>
        <w:tabs>
          <w:tab w:leader="none" w:pos="328"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Rights</w:t>
      </w:r>
      <w:r>
        <w:rPr>
          <w:rFonts w:ascii="Arial" w:cs="Arial" w:eastAsia="Arial" w:hAnsi="Arial"/>
          <w:sz w:val="18"/>
          <w:szCs w:val="18"/>
          <w:color w:val="auto"/>
        </w:rPr>
        <w:t>. You, or your estate or heirs, have no rights as a stockholder of the Company until you are recorded as the holder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stock records of the Company. No adjustments are made for dividends or other rights if the applicable record date occurs before you are recorded as the holder of the Shares, except as otherwise described in the Plan.</w:t>
      </w:r>
    </w:p>
    <w:p>
      <w:pPr>
        <w:spacing w:after="0" w:line="284" w:lineRule="exact"/>
        <w:rPr>
          <w:rFonts w:ascii="Arial" w:cs="Arial" w:eastAsia="Arial" w:hAnsi="Arial"/>
          <w:sz w:val="18"/>
          <w:szCs w:val="18"/>
          <w:color w:val="auto"/>
        </w:rPr>
      </w:pPr>
    </w:p>
    <w:p>
      <w:pPr>
        <w:ind w:left="328" w:right="80" w:hanging="328"/>
        <w:spacing w:after="0" w:line="289" w:lineRule="auto"/>
        <w:tabs>
          <w:tab w:leader="none" w:pos="328"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Adjustments</w:t>
      </w:r>
      <w:r>
        <w:rPr>
          <w:rFonts w:ascii="Arial" w:cs="Arial" w:eastAsia="Arial" w:hAnsi="Arial"/>
          <w:sz w:val="17"/>
          <w:szCs w:val="17"/>
          <w:color w:val="auto"/>
        </w:rPr>
        <w:t>. In the event of a stock split, a stock dividend or a similar change in the Company stock, the number of Shares covered by these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may be adjusted (and rounded down to the nearest whole number) pursuant to the Plan. These Stock Units shall be subject to the terms of the agreement of merger, liquidation or reorganization in the event the Company is subject to such corporate activity.</w:t>
      </w:r>
    </w:p>
    <w:p>
      <w:pPr>
        <w:spacing w:after="0" w:line="266" w:lineRule="exact"/>
        <w:rPr>
          <w:rFonts w:ascii="Arial" w:cs="Arial" w:eastAsia="Arial" w:hAnsi="Arial"/>
          <w:sz w:val="17"/>
          <w:szCs w:val="17"/>
          <w:color w:val="auto"/>
        </w:rPr>
      </w:pPr>
    </w:p>
    <w:p>
      <w:pPr>
        <w:jc w:val="both"/>
        <w:ind w:left="328" w:right="220" w:hanging="328"/>
        <w:spacing w:after="0" w:line="314" w:lineRule="auto"/>
        <w:tabs>
          <w:tab w:leader="none" w:pos="328"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your participation in the Plan, or your acquisition or sale of the underlying Shares. You are hereby advised to consult your own personal tax, legal and financial advisors regarding your participation in the Plan and before taking any action related to the Plan.</w:t>
      </w:r>
    </w:p>
    <w:p>
      <w:pPr>
        <w:spacing w:after="0" w:line="250" w:lineRule="exact"/>
        <w:rPr>
          <w:rFonts w:ascii="Arial" w:cs="Arial" w:eastAsia="Arial" w:hAnsi="Arial"/>
          <w:sz w:val="16"/>
          <w:szCs w:val="16"/>
          <w:color w:val="auto"/>
        </w:rPr>
      </w:pPr>
    </w:p>
    <w:p>
      <w:pPr>
        <w:jc w:val="both"/>
        <w:ind w:left="328" w:right="80" w:hanging="328"/>
        <w:spacing w:after="0" w:line="293" w:lineRule="auto"/>
        <w:tabs>
          <w:tab w:leader="none" w:pos="328"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Not a Contract of Employment</w:t>
      </w:r>
      <w:r>
        <w:rPr>
          <w:rFonts w:ascii="Arial" w:cs="Arial" w:eastAsia="Arial" w:hAnsi="Arial"/>
          <w:sz w:val="16"/>
          <w:szCs w:val="16"/>
          <w:color w:val="auto"/>
        </w:rPr>
        <w:t>. By accepting this Award Agreement, you acknowledge and agree that (a) any person whose service is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before full vesting of an award, such as the one granted to you by this Award, could claim that his or her service was terminated to preclude vesting;</w:t>
      </w:r>
    </w:p>
    <w:p>
      <w:pPr>
        <w:spacing w:after="0" w:line="1" w:lineRule="exact"/>
        <w:rPr>
          <w:rFonts w:ascii="Arial" w:cs="Arial" w:eastAsia="Arial" w:hAnsi="Arial"/>
          <w:sz w:val="16"/>
          <w:szCs w:val="16"/>
          <w:color w:val="auto"/>
        </w:rPr>
      </w:pPr>
    </w:p>
    <w:p>
      <w:pPr>
        <w:ind w:left="328" w:right="80"/>
        <w:spacing w:after="0" w:line="254" w:lineRule="auto"/>
        <w:rPr>
          <w:rFonts w:ascii="Arial" w:cs="Arial" w:eastAsia="Arial" w:hAnsi="Arial"/>
          <w:sz w:val="16"/>
          <w:szCs w:val="16"/>
          <w:color w:val="auto"/>
        </w:rPr>
      </w:pPr>
      <w:r>
        <w:rPr>
          <w:rFonts w:ascii="Arial" w:cs="Arial" w:eastAsia="Arial" w:hAnsi="Arial"/>
          <w:sz w:val="18"/>
          <w:szCs w:val="18"/>
          <w:color w:val="auto"/>
        </w:rPr>
        <w:t>(b) you will never make such a claim; (c) nothing in this Award Agreement or the Plan confers on you any right to continue a service relationship with the Company, nor shall anything in this Award Agreement or the Plan affect in any way your right or the rights of the Company or the Employer to terminate your service at any time, with or without cause; and (d) the Company would not have granted this Award to you but for these acknowledgements and agreements.</w:t>
      </w:r>
    </w:p>
    <w:p>
      <w:pPr>
        <w:spacing w:after="0" w:line="293" w:lineRule="exact"/>
        <w:rPr>
          <w:rFonts w:ascii="Arial" w:cs="Arial" w:eastAsia="Arial" w:hAnsi="Arial"/>
          <w:sz w:val="16"/>
          <w:szCs w:val="16"/>
          <w:color w:val="auto"/>
        </w:rPr>
      </w:pPr>
    </w:p>
    <w:p>
      <w:pPr>
        <w:ind w:left="328" w:hanging="328"/>
        <w:spacing w:after="0" w:line="256" w:lineRule="auto"/>
        <w:tabs>
          <w:tab w:leader="none" w:pos="328"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Award Agreement, the construction of its terms, and the interpretation of the rights and duties of the parties hereto are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subject to, the internal substantive laws but not the choice of law rules of the State of Delaware, as provided in the Plan. For purposes of litigating any dispute that arises directly or indirectly from the relationship of the parties evidenced by this Award Agreement, the parties hereby submit to and consent to the exclusive jurisdiction of the State of California and agree that such litigation shall be conducted only in the courts of San Diego County, California, or the federal courts of the United States for the Southern District of California, and no other courts, where this Award is made and/or to be performed.</w:t>
      </w:r>
    </w:p>
    <w:p>
      <w:pPr>
        <w:sectPr>
          <w:pgSz w:w="11900" w:h="16838" w:orient="portrait"/>
          <w:cols w:equalWidth="0" w:num="1">
            <w:col w:w="11068"/>
          </w:cols>
          <w:pgMar w:left="572" w:top="773" w:right="2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10.26</w:t>
      </w:r>
    </w:p>
    <w:p>
      <w:pPr>
        <w:spacing w:after="0" w:line="306"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INSEEGO CORP.</w:t>
      </w:r>
    </w:p>
    <w:p>
      <w:pPr>
        <w:spacing w:after="0" w:line="225"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2015 Incentive Compensation Plan</w:t>
      </w:r>
    </w:p>
    <w:p>
      <w:pPr>
        <w:spacing w:after="0" w:line="200" w:lineRule="exact"/>
        <w:rPr>
          <w:sz w:val="20"/>
          <w:szCs w:val="20"/>
          <w:color w:val="auto"/>
        </w:rPr>
      </w:pPr>
    </w:p>
    <w:p>
      <w:pPr>
        <w:spacing w:after="0" w:line="255" w:lineRule="exact"/>
        <w:rPr>
          <w:sz w:val="20"/>
          <w:szCs w:val="20"/>
          <w:color w:val="auto"/>
        </w:rPr>
      </w:pPr>
    </w:p>
    <w:p>
      <w:pPr>
        <w:ind w:left="4" w:right="20" w:hanging="4"/>
        <w:spacing w:after="0" w:line="272" w:lineRule="auto"/>
        <w:tabs>
          <w:tab w:leader="none" w:pos="319"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Inseego Corp. hereby amends and restates the Novatel Wireless, Inc. 2015 Incentive Compensation Plan into this Inseego Corp. 2015</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Compensation Plan. The purpose of the Plan is to promote the long-term success of the Company and the creation of stockholder value by offering certain employees of the Company an opportunity to acquire a proprietary interest in the success of the Company. This Plan may be used to grant “inducement” grants to individuals to induce them to become employees of the Company, or, in conjunction with a merger or acquisition, to convert, replace or adjust outstanding options or other equity compensation awards to reflect the merger or acquisition, or for any other reason for which there is an applicable exception from the shareholder approval requirements of Nasdaq Listing Rule 5635 (such as the assumption of the available share reserve under certain equity plans acquired in acquisitions and mergers, after appropriate adjustment of the number of shares to reflect the transaction), in each such case, subject to the applicable Nasdaq Listing Rule requirements.</w:t>
      </w:r>
    </w:p>
    <w:p>
      <w:pPr>
        <w:spacing w:after="0" w:line="388" w:lineRule="exact"/>
        <w:rPr>
          <w:rFonts w:ascii="Arial" w:cs="Arial" w:eastAsia="Arial" w:hAnsi="Arial"/>
          <w:sz w:val="17"/>
          <w:szCs w:val="17"/>
          <w:b w:val="1"/>
          <w:bCs w:val="1"/>
          <w:color w:val="auto"/>
        </w:rPr>
      </w:pPr>
    </w:p>
    <w:p>
      <w:pPr>
        <w:ind w:left="324" w:hanging="324"/>
        <w:spacing w:after="0"/>
        <w:tabs>
          <w:tab w:leader="none" w:pos="32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1024" w:hanging="376"/>
        <w:spacing w:after="0"/>
        <w:tabs>
          <w:tab w:leader="none" w:pos="1024" w:val="left"/>
        </w:tabs>
        <w:numPr>
          <w:ilvl w:val="1"/>
          <w:numId w:val="76"/>
        </w:numPr>
        <w:rPr>
          <w:rFonts w:ascii="Arial" w:cs="Arial" w:eastAsia="Arial" w:hAnsi="Arial"/>
          <w:sz w:val="16"/>
          <w:szCs w:val="16"/>
          <w:color w:val="auto"/>
        </w:rPr>
      </w:pPr>
      <w:r>
        <w:rPr>
          <w:rFonts w:ascii="Arial" w:cs="Arial" w:eastAsia="Arial" w:hAnsi="Arial"/>
          <w:sz w:val="16"/>
          <w:szCs w:val="16"/>
          <w:color w:val="auto"/>
        </w:rPr>
        <w:t>“Affiliate” means any entity other than a Subsidiary, if the Company and/or one or more Subsidiaries owns not less than 50 percent of such</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1044" w:hanging="396"/>
        <w:spacing w:after="0"/>
        <w:tabs>
          <w:tab w:leader="none" w:pos="1044" w:val="left"/>
        </w:tabs>
        <w:numPr>
          <w:ilvl w:val="1"/>
          <w:numId w:val="76"/>
        </w:numPr>
        <w:rPr>
          <w:rFonts w:ascii="Arial" w:cs="Arial" w:eastAsia="Arial" w:hAnsi="Arial"/>
          <w:sz w:val="16"/>
          <w:szCs w:val="16"/>
          <w:color w:val="auto"/>
        </w:rPr>
      </w:pPr>
      <w:r>
        <w:rPr>
          <w:rFonts w:ascii="Arial" w:cs="Arial" w:eastAsia="Arial" w:hAnsi="Arial"/>
          <w:sz w:val="16"/>
          <w:szCs w:val="16"/>
          <w:color w:val="auto"/>
        </w:rPr>
        <w:t>“Aggregate Share Limit” means the aggregate maximum number of shares available under the Plan pursuant to Section 3(a)(i) of the Plan.</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4" w:right="680" w:firstLine="644"/>
        <w:spacing w:after="0" w:line="277" w:lineRule="auto"/>
        <w:tabs>
          <w:tab w:leader="none" w:pos="103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“Annual Incentive Award” means a cash award granted pursuant to Section 8 of the Plan, where such award is based on Management Objectives and a Performance Period of one year or less.</w:t>
      </w:r>
    </w:p>
    <w:p>
      <w:pPr>
        <w:spacing w:after="0" w:line="386" w:lineRule="exact"/>
        <w:rPr>
          <w:rFonts w:ascii="Arial" w:cs="Arial" w:eastAsia="Arial" w:hAnsi="Arial"/>
          <w:sz w:val="18"/>
          <w:szCs w:val="18"/>
          <w:color w:val="auto"/>
        </w:rPr>
      </w:pPr>
    </w:p>
    <w:p>
      <w:pPr>
        <w:ind w:left="1044" w:hanging="396"/>
        <w:spacing w:after="0"/>
        <w:tabs>
          <w:tab w:leader="none" w:pos="1044" w:val="left"/>
        </w:tabs>
        <w:numPr>
          <w:ilvl w:val="1"/>
          <w:numId w:val="76"/>
        </w:numPr>
        <w:rPr>
          <w:rFonts w:ascii="Arial" w:cs="Arial" w:eastAsia="Arial" w:hAnsi="Arial"/>
          <w:sz w:val="18"/>
          <w:szCs w:val="18"/>
          <w:color w:val="auto"/>
        </w:rPr>
      </w:pPr>
      <w:r>
        <w:rPr>
          <w:rFonts w:ascii="Arial" w:cs="Arial" w:eastAsia="Arial" w:hAnsi="Arial"/>
          <w:sz w:val="18"/>
          <w:szCs w:val="18"/>
          <w:color w:val="auto"/>
        </w:rPr>
        <w:t>“Appreciation Right” means a right granted pursuant to Section 5 of the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 w:right="100" w:firstLine="644"/>
        <w:spacing w:after="0" w:line="277" w:lineRule="auto"/>
        <w:tabs>
          <w:tab w:leader="none" w:pos="103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“Award” means any Annual Incentive Award, Option Right, Restricted Stock, Restricted Stock Unit, Appreciation Right, Performance Share, Performance Unit or Other Award granted pursuant to the terms of the Plan.</w:t>
      </w:r>
    </w:p>
    <w:p>
      <w:pPr>
        <w:spacing w:after="0" w:line="386" w:lineRule="exact"/>
        <w:rPr>
          <w:rFonts w:ascii="Arial" w:cs="Arial" w:eastAsia="Arial" w:hAnsi="Arial"/>
          <w:sz w:val="18"/>
          <w:szCs w:val="18"/>
          <w:color w:val="auto"/>
        </w:rPr>
      </w:pPr>
    </w:p>
    <w:p>
      <w:pPr>
        <w:ind w:left="1004" w:hanging="356"/>
        <w:spacing w:after="0"/>
        <w:tabs>
          <w:tab w:leader="none" w:pos="10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“Base Price” means the price to be used as the basis for determining the Spread upon the exercise of an Appreciation Right.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 w:right="280" w:firstLine="644"/>
        <w:spacing w:after="0" w:line="277" w:lineRule="auto"/>
        <w:tabs>
          <w:tab w:leader="none" w:pos="1042" w:val="left"/>
        </w:tabs>
        <w:numPr>
          <w:ilvl w:val="1"/>
          <w:numId w:val="76"/>
        </w:numPr>
        <w:rPr>
          <w:rFonts w:ascii="Arial" w:cs="Arial" w:eastAsia="Arial" w:hAnsi="Arial"/>
          <w:sz w:val="18"/>
          <w:szCs w:val="18"/>
          <w:color w:val="auto"/>
        </w:rPr>
      </w:pPr>
      <w:r>
        <w:rPr>
          <w:rFonts w:ascii="Arial" w:cs="Arial" w:eastAsia="Arial" w:hAnsi="Arial"/>
          <w:sz w:val="18"/>
          <w:szCs w:val="18"/>
          <w:color w:val="auto"/>
        </w:rPr>
        <w:t>“Beneficial Owner” or “Beneficial Ownership” has the meaning ascribed to such term in Rule 13d-3 of the General Rules and Regulations under the Exchange Act.</w:t>
      </w:r>
    </w:p>
    <w:p>
      <w:pPr>
        <w:spacing w:after="0" w:line="386" w:lineRule="exact"/>
        <w:rPr>
          <w:rFonts w:ascii="Arial" w:cs="Arial" w:eastAsia="Arial" w:hAnsi="Arial"/>
          <w:sz w:val="18"/>
          <w:szCs w:val="18"/>
          <w:color w:val="auto"/>
        </w:rPr>
      </w:pPr>
    </w:p>
    <w:p>
      <w:pPr>
        <w:ind w:left="1044" w:hanging="396"/>
        <w:spacing w:after="0"/>
        <w:tabs>
          <w:tab w:leader="none" w:pos="1044" w:val="left"/>
        </w:tabs>
        <w:numPr>
          <w:ilvl w:val="1"/>
          <w:numId w:val="76"/>
        </w:numPr>
        <w:rPr>
          <w:rFonts w:ascii="Arial" w:cs="Arial" w:eastAsia="Arial" w:hAnsi="Arial"/>
          <w:sz w:val="18"/>
          <w:szCs w:val="18"/>
          <w:color w:val="auto"/>
        </w:rPr>
      </w:pPr>
      <w:r>
        <w:rPr>
          <w:rFonts w:ascii="Arial" w:cs="Arial" w:eastAsia="Arial" w:hAnsi="Arial"/>
          <w:sz w:val="18"/>
          <w:szCs w:val="18"/>
          <w:color w:val="auto"/>
        </w:rPr>
        <w:t>“Board” means the Board of Directors of Inseego, as constituted from time to time.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 w:right="80" w:firstLine="644"/>
        <w:spacing w:after="0" w:line="342" w:lineRule="auto"/>
        <w:tabs>
          <w:tab w:leader="none" w:pos="1002" w:val="left"/>
        </w:tabs>
        <w:numPr>
          <w:ilvl w:val="1"/>
          <w:numId w:val="76"/>
        </w:numPr>
        <w:rPr>
          <w:rFonts w:ascii="Arial" w:cs="Arial" w:eastAsia="Arial" w:hAnsi="Arial"/>
          <w:sz w:val="16"/>
          <w:szCs w:val="16"/>
          <w:color w:val="auto"/>
        </w:rPr>
      </w:pPr>
      <w:r>
        <w:rPr>
          <w:rFonts w:ascii="Arial" w:cs="Arial" w:eastAsia="Arial" w:hAnsi="Arial"/>
          <w:sz w:val="16"/>
          <w:szCs w:val="16"/>
          <w:color w:val="auto"/>
        </w:rPr>
        <w:t>“Change in Control” means, except as may otherwise be provided in an Evidence of Award or in a Participant’s written employment agreement, change-in-control agreement, severance agreement, or other similar written agreement or arrangement, the first to occur of the following events:</w:t>
      </w:r>
    </w:p>
    <w:p>
      <w:pPr>
        <w:spacing w:after="0" w:line="231" w:lineRule="exact"/>
        <w:rPr>
          <w:rFonts w:ascii="Arial" w:cs="Arial" w:eastAsia="Arial" w:hAnsi="Arial"/>
          <w:sz w:val="16"/>
          <w:szCs w:val="16"/>
          <w:color w:val="auto"/>
        </w:rPr>
      </w:pPr>
    </w:p>
    <w:p>
      <w:pPr>
        <w:ind w:left="1264" w:right="80" w:firstLine="654"/>
        <w:spacing w:after="0" w:line="277" w:lineRule="auto"/>
        <w:tabs>
          <w:tab w:leader="none" w:pos="2262"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Person is or becomes the Beneficial Owner of 50 percent or more of the combined voting power of the then-outstanding Voting Stock of Inseego; provided, however, that:</w:t>
      </w:r>
    </w:p>
    <w:p>
      <w:pPr>
        <w:spacing w:after="0" w:line="170" w:lineRule="exact"/>
        <w:rPr>
          <w:rFonts w:ascii="Arial" w:cs="Arial" w:eastAsia="Arial" w:hAnsi="Arial"/>
          <w:sz w:val="18"/>
          <w:szCs w:val="18"/>
          <w:color w:val="auto"/>
        </w:rPr>
      </w:pPr>
    </w:p>
    <w:p>
      <w:pPr>
        <w:ind w:left="1924" w:right="60" w:firstLine="1290"/>
        <w:spacing w:after="0" w:line="302" w:lineRule="auto"/>
        <w:tabs>
          <w:tab w:leader="none" w:pos="3610" w:val="left"/>
        </w:tabs>
        <w:numPr>
          <w:ilvl w:val="3"/>
          <w:numId w:val="76"/>
        </w:numPr>
        <w:rPr>
          <w:rFonts w:ascii="Arial" w:cs="Arial" w:eastAsia="Arial" w:hAnsi="Arial"/>
          <w:sz w:val="16"/>
          <w:szCs w:val="16"/>
          <w:color w:val="auto"/>
        </w:rPr>
      </w:pPr>
      <w:r>
        <w:rPr>
          <w:rFonts w:ascii="Arial" w:cs="Arial" w:eastAsia="Arial" w:hAnsi="Arial"/>
          <w:sz w:val="16"/>
          <w:szCs w:val="16"/>
          <w:color w:val="auto"/>
        </w:rPr>
        <w:t>the following acquisitions will not constitute a Change in Control: (A) any acquisition of Voting Stock of Inseego directly from Inseego that is approved by a majority of the Incumbent Directors, (B) any acquisition of Voting Stock of Inseego by the Company, (C) any acquisition of Voting Stock of Inseego by the trustee or other fiduciary holding securities under any employee benefit plan (or related trust) sponsored or maintained by the Company, and (D) any acquisition of Voting Stock</w:t>
      </w:r>
    </w:p>
    <w:p>
      <w:pPr>
        <w:sectPr>
          <w:pgSz w:w="11900" w:h="16838" w:orient="portrait"/>
          <w:cols w:equalWidth="0" w:num="1">
            <w:col w:w="11304"/>
          </w:cols>
          <w:pgMar w:left="356" w:top="580" w:right="239" w:bottom="1440" w:gutter="0" w:footer="0" w:header="0"/>
        </w:sectPr>
      </w:pPr>
    </w:p>
    <w:bookmarkStart w:id="127" w:name="page128"/>
    <w:bookmarkEnd w:id="127"/>
    <w:p>
      <w:pPr>
        <w:ind w:left="1303"/>
        <w:spacing w:after="0"/>
        <w:rPr>
          <w:sz w:val="20"/>
          <w:szCs w:val="20"/>
          <w:color w:val="auto"/>
        </w:rPr>
      </w:pPr>
      <w:r>
        <w:rPr>
          <w:rFonts w:ascii="Arial" w:cs="Arial" w:eastAsia="Arial" w:hAnsi="Arial"/>
          <w:sz w:val="17"/>
          <w:szCs w:val="17"/>
          <w:color w:val="auto"/>
        </w:rPr>
        <w:t>of Inseego by any Person pursuant to a Business Transaction that complies with clauses (A), (B) and (C) of Section 2(i)(iii)</w:t>
      </w:r>
    </w:p>
    <w:p>
      <w:pPr>
        <w:spacing w:after="0" w:line="35" w:lineRule="exact"/>
        <w:rPr>
          <w:sz w:val="20"/>
          <w:szCs w:val="20"/>
          <w:color w:val="auto"/>
        </w:rPr>
      </w:pPr>
    </w:p>
    <w:p>
      <w:pPr>
        <w:ind w:left="1303"/>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1303" w:right="120" w:firstLine="1290"/>
        <w:spacing w:after="0" w:line="255" w:lineRule="auto"/>
        <w:tabs>
          <w:tab w:leader="none" w:pos="2989" w:val="left"/>
        </w:tabs>
        <w:numPr>
          <w:ilvl w:val="2"/>
          <w:numId w:val="77"/>
        </w:numPr>
        <w:rPr>
          <w:rFonts w:ascii="Arial" w:cs="Arial" w:eastAsia="Arial" w:hAnsi="Arial"/>
          <w:sz w:val="18"/>
          <w:szCs w:val="18"/>
          <w:color w:val="auto"/>
        </w:rPr>
      </w:pPr>
      <w:r>
        <w:rPr>
          <w:rFonts w:ascii="Arial" w:cs="Arial" w:eastAsia="Arial" w:hAnsi="Arial"/>
          <w:sz w:val="18"/>
          <w:szCs w:val="18"/>
          <w:color w:val="auto"/>
        </w:rPr>
        <w:t>if any Person is or becomes the Beneficial Owner of 50 percent or more of the combined voting power of the then-outstanding Voting Stock of Inseego as a result of a transaction described in clause (A) of Section 2 (i)(i)(1) above and such Person thereafter becomes the Beneficial Owner of any additional shares of Voting Stock of Inseego representing one percent or more of the then-outstanding Voting Stock of Inseego, other than in an acquisition directly from Inseego that is approved by a majority of the Incumbent Directors or other than as a result of a stock dividend, stock split or similar transaction effected by Inseego in which all holders of Voting Stock are treated equally, such subsequent acquisition will be treated as a Change in Control;</w:t>
      </w:r>
    </w:p>
    <w:p>
      <w:pPr>
        <w:spacing w:after="0" w:line="189" w:lineRule="exact"/>
        <w:rPr>
          <w:rFonts w:ascii="Arial" w:cs="Arial" w:eastAsia="Arial" w:hAnsi="Arial"/>
          <w:sz w:val="18"/>
          <w:szCs w:val="18"/>
          <w:color w:val="auto"/>
        </w:rPr>
      </w:pPr>
    </w:p>
    <w:p>
      <w:pPr>
        <w:ind w:left="1303" w:right="80" w:firstLine="1290"/>
        <w:spacing w:after="0" w:line="293" w:lineRule="auto"/>
        <w:tabs>
          <w:tab w:leader="none" w:pos="2989" w:val="left"/>
        </w:tabs>
        <w:numPr>
          <w:ilvl w:val="2"/>
          <w:numId w:val="77"/>
        </w:numPr>
        <w:rPr>
          <w:rFonts w:ascii="Arial" w:cs="Arial" w:eastAsia="Arial" w:hAnsi="Arial"/>
          <w:sz w:val="16"/>
          <w:szCs w:val="16"/>
          <w:color w:val="auto"/>
        </w:rPr>
      </w:pPr>
      <w:r>
        <w:rPr>
          <w:rFonts w:ascii="Arial" w:cs="Arial" w:eastAsia="Arial" w:hAnsi="Arial"/>
          <w:sz w:val="16"/>
          <w:szCs w:val="16"/>
          <w:color w:val="auto"/>
        </w:rPr>
        <w:t>a Change in Control will not be deemed to have occurred if a Person is or becomes the Beneficial Owner of 50 percent or more of the Voting Stock of Inseego as a result of a reduction in the number of shares of Voting Stock of Inseego outstanding pursuant to a transaction or series of transactions that is approved by a majority of the Incumbent Directors unless and until such Person thereafter becomes the Beneficial Owner of any additional shares of Voting Stock of Inseego representing one percent or more of the then-outstanding Voting Stock of Inseego, other than as a result of a stock dividend, stock split or similar transaction effected by Inseego in which all holders of Voting Stock are treated equally; and</w:t>
      </w:r>
    </w:p>
    <w:p>
      <w:pPr>
        <w:spacing w:after="0" w:line="164" w:lineRule="exact"/>
        <w:rPr>
          <w:rFonts w:ascii="Arial" w:cs="Arial" w:eastAsia="Arial" w:hAnsi="Arial"/>
          <w:sz w:val="16"/>
          <w:szCs w:val="16"/>
          <w:color w:val="auto"/>
        </w:rPr>
      </w:pPr>
    </w:p>
    <w:p>
      <w:pPr>
        <w:ind w:left="1303" w:right="80" w:firstLine="1290"/>
        <w:spacing w:after="0" w:line="257" w:lineRule="auto"/>
        <w:tabs>
          <w:tab w:leader="none" w:pos="2989" w:val="left"/>
        </w:tabs>
        <w:numPr>
          <w:ilvl w:val="2"/>
          <w:numId w:val="77"/>
        </w:numPr>
        <w:rPr>
          <w:rFonts w:ascii="Arial" w:cs="Arial" w:eastAsia="Arial" w:hAnsi="Arial"/>
          <w:sz w:val="18"/>
          <w:szCs w:val="18"/>
          <w:color w:val="auto"/>
        </w:rPr>
      </w:pPr>
      <w:r>
        <w:rPr>
          <w:rFonts w:ascii="Arial" w:cs="Arial" w:eastAsia="Arial" w:hAnsi="Arial"/>
          <w:sz w:val="18"/>
          <w:szCs w:val="18"/>
          <w:color w:val="auto"/>
        </w:rPr>
        <w:t>if at least a majority of the Incumbent Directors determine in good faith that a Person has acquired Beneficial Ownership of 50 percent or more of the Voting Stock of Inseego inadvertently, and such Person divests as promptly as practicable but no later than the date, if any, set by the Incumbent Board a sufficient number of shares so that such Person has Beneficial Ownership of less than 50 percent of the Voting Stock of Inseego, then no Change in Control will have occurred as a result of such Person’s acquisition; or</w:t>
      </w:r>
    </w:p>
    <w:p>
      <w:pPr>
        <w:spacing w:after="0" w:line="188" w:lineRule="exact"/>
        <w:rPr>
          <w:rFonts w:ascii="Arial" w:cs="Arial" w:eastAsia="Arial" w:hAnsi="Arial"/>
          <w:sz w:val="18"/>
          <w:szCs w:val="18"/>
          <w:color w:val="auto"/>
        </w:rPr>
      </w:pPr>
    </w:p>
    <w:p>
      <w:pPr>
        <w:ind w:left="1703" w:hanging="406"/>
        <w:spacing w:after="0"/>
        <w:tabs>
          <w:tab w:leader="none" w:pos="1703"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majority of the Board ceases to be comprised of Incumbent Directors; or</w:t>
      </w:r>
    </w:p>
    <w:p>
      <w:pPr>
        <w:spacing w:after="0" w:line="333" w:lineRule="exact"/>
        <w:rPr>
          <w:rFonts w:ascii="Arial" w:cs="Arial" w:eastAsia="Arial" w:hAnsi="Arial"/>
          <w:sz w:val="18"/>
          <w:szCs w:val="18"/>
          <w:color w:val="auto"/>
        </w:rPr>
      </w:pPr>
    </w:p>
    <w:p>
      <w:pPr>
        <w:ind w:left="643" w:firstLine="654"/>
        <w:spacing w:after="0" w:line="283" w:lineRule="auto"/>
        <w:tabs>
          <w:tab w:leader="none" w:pos="1741"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consummation of a reorganization, merger or consolidation, or sale or other disposition of all or substantially all of the assets of Inseego or the acquisition of the stock or assets of another corporation, or other transaction (each, a “Business Transaction”), unless, in each case, immediately following such Business Transaction (A) the Voting Stock of Inseego outstanding immediately prior to such Business Transaction continues to represent (either by remaining outstanding or by being converted into Voting Stock of the surviving entity or any parent thereof), more than 50 percent of the combined voting power of the then outstanding shares of Voting Stock of the entity resulting from such Business Transaction (including, without limitation, an entity which as a result of such transaction owns Inseego or all or substantially all of Inseego’s assets either directly or through one or more subsidiaries) in substantially the same proportions relative to each other as their ownership, immediately prior to such Business Transaction, of the Voting Stock of Inseego, (B) no Person (other than Inseego, such entity resulting from such Business Transaction, or any employee benefit plan (or related trust) sponsored or maintained by the Company or such entity resulting from such Business Transaction) has Beneficial Ownership, directly or indirectly, of</w:t>
      </w:r>
    </w:p>
    <w:p>
      <w:pPr>
        <w:spacing w:after="0" w:line="5" w:lineRule="exact"/>
        <w:rPr>
          <w:rFonts w:ascii="Arial" w:cs="Arial" w:eastAsia="Arial" w:hAnsi="Arial"/>
          <w:sz w:val="16"/>
          <w:szCs w:val="16"/>
          <w:color w:val="auto"/>
        </w:rPr>
      </w:pPr>
    </w:p>
    <w:p>
      <w:pPr>
        <w:ind w:left="643" w:right="40"/>
        <w:spacing w:after="0" w:line="254" w:lineRule="auto"/>
        <w:rPr>
          <w:rFonts w:ascii="Arial" w:cs="Arial" w:eastAsia="Arial" w:hAnsi="Arial"/>
          <w:sz w:val="16"/>
          <w:szCs w:val="16"/>
          <w:color w:val="auto"/>
        </w:rPr>
      </w:pPr>
      <w:r>
        <w:rPr>
          <w:rFonts w:ascii="Arial" w:cs="Arial" w:eastAsia="Arial" w:hAnsi="Arial"/>
          <w:sz w:val="18"/>
          <w:szCs w:val="18"/>
          <w:color w:val="auto"/>
        </w:rPr>
        <w:t>50 percent or more of the combined voting power of the then outstanding shares of Voting Stock of the entity resulting from such Business Transaction, and (C) at least a majority of the members of the Board of Directors of the entity resulting from such Business Transaction were Incumbent Directors at the time of the execution of the initial agreement or of the action of the Board providing for such Business Transaction; or</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643" w:right="180" w:firstLine="654"/>
        <w:spacing w:after="0" w:line="277" w:lineRule="auto"/>
        <w:tabs>
          <w:tab w:leader="none" w:pos="1731" w:val="left"/>
        </w:tabs>
        <w:numPr>
          <w:ilvl w:val="1"/>
          <w:numId w:val="78"/>
        </w:numPr>
        <w:rPr>
          <w:rFonts w:ascii="Arial" w:cs="Arial" w:eastAsia="Arial" w:hAnsi="Arial"/>
          <w:sz w:val="18"/>
          <w:szCs w:val="18"/>
          <w:color w:val="auto"/>
        </w:rPr>
      </w:pPr>
      <w:r>
        <w:rPr>
          <w:rFonts w:ascii="Arial" w:cs="Arial" w:eastAsia="Arial" w:hAnsi="Arial"/>
          <w:sz w:val="18"/>
          <w:szCs w:val="18"/>
          <w:color w:val="auto"/>
        </w:rPr>
        <w:t>approval by the stockholders of Inseego of a complete liquidation or dissolution of Inseego, except pursuant to a Business Transaction that complies with clauses (A), (B) and (C) of Section 2(i)(iii).</w:t>
      </w:r>
    </w:p>
    <w:p>
      <w:pPr>
        <w:spacing w:after="0" w:line="386" w:lineRule="exact"/>
        <w:rPr>
          <w:rFonts w:ascii="Arial" w:cs="Arial" w:eastAsia="Arial" w:hAnsi="Arial"/>
          <w:sz w:val="18"/>
          <w:szCs w:val="18"/>
          <w:color w:val="auto"/>
        </w:rPr>
      </w:pPr>
    </w:p>
    <w:p>
      <w:pPr>
        <w:ind w:left="-657" w:right="140" w:firstLine="657"/>
        <w:spacing w:after="0" w:line="277" w:lineRule="auto"/>
        <w:tabs>
          <w:tab w:leader="none" w:pos="341"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promulgated thereunder, as such law and regulations may be amended from time to time.</w:t>
      </w:r>
    </w:p>
    <w:p>
      <w:pPr>
        <w:sectPr>
          <w:pgSz w:w="11900" w:h="16838" w:orient="portrait"/>
          <w:cols w:equalWidth="0" w:num="1">
            <w:col w:w="10683"/>
          </w:cols>
          <w:pgMar w:left="977" w:top="692" w:right="239" w:bottom="1440" w:gutter="0" w:footer="0" w:header="0"/>
        </w:sectPr>
      </w:pPr>
    </w:p>
    <w:bookmarkStart w:id="128" w:name="page129"/>
    <w:bookmarkEnd w:id="128"/>
    <w:p>
      <w:pPr>
        <w:ind w:left="-657" w:right="120" w:firstLine="657"/>
        <w:spacing w:after="0" w:line="277" w:lineRule="auto"/>
        <w:tabs>
          <w:tab w:leader="none" w:pos="381"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“Committee” means a committee consisting of one or more members of the Board that is appointed by the Board (as described in Section 12) to administer the Plan.</w:t>
      </w:r>
    </w:p>
    <w:p>
      <w:pPr>
        <w:spacing w:after="0" w:line="386" w:lineRule="exact"/>
        <w:rPr>
          <w:rFonts w:ascii="Arial" w:cs="Arial" w:eastAsia="Arial" w:hAnsi="Arial"/>
          <w:sz w:val="18"/>
          <w:szCs w:val="18"/>
          <w:color w:val="auto"/>
        </w:rPr>
      </w:pPr>
    </w:p>
    <w:p>
      <w:pPr>
        <w:ind w:left="343" w:hanging="343"/>
        <w:spacing w:after="0"/>
        <w:tabs>
          <w:tab w:leader="none" w:pos="343"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“Company” means, collectively, Inseego and its Subsidiaries.</w:t>
      </w:r>
    </w:p>
    <w:p>
      <w:pPr>
        <w:spacing w:after="0" w:line="225" w:lineRule="exact"/>
        <w:rPr>
          <w:rFonts w:ascii="Arial" w:cs="Arial" w:eastAsia="Arial" w:hAnsi="Arial"/>
          <w:sz w:val="18"/>
          <w:szCs w:val="18"/>
          <w:color w:val="auto"/>
        </w:rPr>
      </w:pPr>
    </w:p>
    <w:p>
      <w:pPr>
        <w:ind w:left="443" w:hanging="443"/>
        <w:spacing w:after="0"/>
        <w:tabs>
          <w:tab w:leader="none" w:pos="443"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“Consultant” means an individual who performs bona fide services to the Company or an Affiliate, other than as an Employee or Director.</w:t>
      </w:r>
    </w:p>
    <w:p>
      <w:pPr>
        <w:spacing w:after="0" w:line="248" w:lineRule="exact"/>
        <w:rPr>
          <w:rFonts w:ascii="Arial" w:cs="Arial" w:eastAsia="Arial" w:hAnsi="Arial"/>
          <w:sz w:val="16"/>
          <w:szCs w:val="16"/>
          <w:color w:val="auto"/>
        </w:rPr>
      </w:pPr>
    </w:p>
    <w:p>
      <w:pPr>
        <w:ind w:left="-657" w:right="20" w:firstLine="657"/>
        <w:spacing w:after="0" w:line="277" w:lineRule="auto"/>
        <w:tabs>
          <w:tab w:leader="none" w:pos="381"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“Date of Grant” means the date specified by the Board on which a grant of an Award will become effective (which date will not be earlier than the date on which the Board takes action with respect thereto).</w:t>
      </w:r>
    </w:p>
    <w:p>
      <w:pPr>
        <w:spacing w:after="0" w:line="386" w:lineRule="exact"/>
        <w:rPr>
          <w:rFonts w:ascii="Arial" w:cs="Arial" w:eastAsia="Arial" w:hAnsi="Arial"/>
          <w:sz w:val="18"/>
          <w:szCs w:val="18"/>
          <w:color w:val="auto"/>
        </w:rPr>
      </w:pPr>
    </w:p>
    <w:p>
      <w:pPr>
        <w:ind w:left="383" w:hanging="383"/>
        <w:spacing w:after="0"/>
        <w:tabs>
          <w:tab w:leader="none" w:pos="383"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“Director” means a member of the Board of Directors of Inseego.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23" w:hanging="396"/>
        <w:spacing w:after="0"/>
        <w:tabs>
          <w:tab w:leader="none" w:pos="423" w:val="left"/>
        </w:tabs>
        <w:numPr>
          <w:ilvl w:val="1"/>
          <w:numId w:val="80"/>
        </w:numPr>
        <w:rPr>
          <w:rFonts w:ascii="Arial" w:cs="Arial" w:eastAsia="Arial" w:hAnsi="Arial"/>
          <w:sz w:val="18"/>
          <w:szCs w:val="18"/>
          <w:color w:val="auto"/>
        </w:rPr>
      </w:pPr>
      <w:r>
        <w:rPr>
          <w:rFonts w:ascii="Arial" w:cs="Arial" w:eastAsia="Arial" w:hAnsi="Arial"/>
          <w:sz w:val="18"/>
          <w:szCs w:val="18"/>
          <w:color w:val="auto"/>
        </w:rPr>
        <w:t>“EBIT” means earnings before interest and taxes.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23" w:hanging="396"/>
        <w:spacing w:after="0"/>
        <w:tabs>
          <w:tab w:leader="none" w:pos="423" w:val="left"/>
        </w:tabs>
        <w:numPr>
          <w:ilvl w:val="1"/>
          <w:numId w:val="80"/>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83" w:hanging="356"/>
        <w:spacing w:after="0"/>
        <w:tabs>
          <w:tab w:leader="none" w:pos="383" w:val="left"/>
        </w:tabs>
        <w:numPr>
          <w:ilvl w:val="1"/>
          <w:numId w:val="80"/>
        </w:numPr>
        <w:rPr>
          <w:rFonts w:ascii="Arial" w:cs="Arial" w:eastAsia="Arial" w:hAnsi="Arial"/>
          <w:sz w:val="18"/>
          <w:szCs w:val="18"/>
          <w:color w:val="auto"/>
        </w:rPr>
      </w:pPr>
      <w:r>
        <w:rPr>
          <w:rFonts w:ascii="Arial" w:cs="Arial" w:eastAsia="Arial" w:hAnsi="Arial"/>
          <w:sz w:val="18"/>
          <w:szCs w:val="18"/>
          <w:color w:val="auto"/>
        </w:rPr>
        <w:t>“EBT” means earnings before taxes.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3" w:hanging="376"/>
        <w:spacing w:after="0"/>
        <w:tabs>
          <w:tab w:leader="none" w:pos="403" w:val="left"/>
        </w:tabs>
        <w:numPr>
          <w:ilvl w:val="1"/>
          <w:numId w:val="80"/>
        </w:numPr>
        <w:rPr>
          <w:rFonts w:ascii="Arial" w:cs="Arial" w:eastAsia="Arial" w:hAnsi="Arial"/>
          <w:sz w:val="18"/>
          <w:szCs w:val="18"/>
          <w:color w:val="auto"/>
        </w:rPr>
      </w:pPr>
      <w:r>
        <w:rPr>
          <w:rFonts w:ascii="Arial" w:cs="Arial" w:eastAsia="Arial" w:hAnsi="Arial"/>
          <w:sz w:val="18"/>
          <w:szCs w:val="18"/>
          <w:color w:val="auto"/>
        </w:rPr>
        <w:t>“Effective Date” means April 1, 2015.</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83" w:hanging="356"/>
        <w:spacing w:after="0"/>
        <w:tabs>
          <w:tab w:leader="none" w:pos="383" w:val="left"/>
        </w:tabs>
        <w:numPr>
          <w:ilvl w:val="1"/>
          <w:numId w:val="80"/>
        </w:numPr>
        <w:rPr>
          <w:rFonts w:ascii="Arial" w:cs="Arial" w:eastAsia="Arial" w:hAnsi="Arial"/>
          <w:sz w:val="18"/>
          <w:szCs w:val="18"/>
          <w:color w:val="auto"/>
        </w:rPr>
      </w:pPr>
      <w:r>
        <w:rPr>
          <w:rFonts w:ascii="Arial" w:cs="Arial" w:eastAsia="Arial" w:hAnsi="Arial"/>
          <w:sz w:val="18"/>
          <w:szCs w:val="18"/>
          <w:color w:val="auto"/>
        </w:rPr>
        <w:t>“Employee” means an individual who is an employee of the Company or an Affiliate.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17" w:right="40" w:firstLine="644"/>
        <w:spacing w:after="0" w:line="312" w:lineRule="auto"/>
        <w:tabs>
          <w:tab w:leader="none" w:pos="421"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“Evidence of Award” means an agreement, certificate, resolution, notification or other type or form of writing or other evidence approved by the Board that sets forth the terms and conditions of the Awards granted. An Evidence of Award may be in an electronic medium, may be limited to notation on the books and records of Inseego and, unless otherwise determined by the Board, need not be signed by a representative of Inseego or a Participant.</w:t>
      </w:r>
    </w:p>
    <w:p>
      <w:pPr>
        <w:spacing w:after="0" w:line="362" w:lineRule="exact"/>
        <w:rPr>
          <w:rFonts w:ascii="Arial" w:cs="Arial" w:eastAsia="Arial" w:hAnsi="Arial"/>
          <w:sz w:val="16"/>
          <w:szCs w:val="16"/>
          <w:color w:val="auto"/>
        </w:rPr>
      </w:pPr>
    </w:p>
    <w:p>
      <w:pPr>
        <w:ind w:left="-617" w:right="360" w:firstLine="644"/>
        <w:spacing w:after="0" w:line="277" w:lineRule="auto"/>
        <w:tabs>
          <w:tab w:leader="none" w:pos="421"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the rules and regulations thereunder, as such law, rules and regulations may be amended from time to time.</w:t>
      </w:r>
    </w:p>
    <w:p>
      <w:pPr>
        <w:spacing w:after="0" w:line="386" w:lineRule="exact"/>
        <w:rPr>
          <w:rFonts w:ascii="Arial" w:cs="Arial" w:eastAsia="Arial" w:hAnsi="Arial"/>
          <w:sz w:val="18"/>
          <w:szCs w:val="18"/>
          <w:color w:val="auto"/>
        </w:rPr>
      </w:pPr>
    </w:p>
    <w:p>
      <w:pPr>
        <w:ind w:left="463" w:hanging="436"/>
        <w:spacing w:after="0"/>
        <w:tabs>
          <w:tab w:leader="none" w:pos="463" w:val="left"/>
        </w:tabs>
        <w:numPr>
          <w:ilvl w:val="1"/>
          <w:numId w:val="80"/>
        </w:numPr>
        <w:rPr>
          <w:rFonts w:ascii="Arial" w:cs="Arial" w:eastAsia="Arial" w:hAnsi="Arial"/>
          <w:sz w:val="18"/>
          <w:szCs w:val="18"/>
          <w:color w:val="auto"/>
        </w:rPr>
      </w:pPr>
      <w:r>
        <w:rPr>
          <w:rFonts w:ascii="Arial" w:cs="Arial" w:eastAsia="Arial" w:hAnsi="Arial"/>
          <w:sz w:val="18"/>
          <w:szCs w:val="18"/>
          <w:color w:val="auto"/>
        </w:rPr>
        <w:t>“GAAP” means accounting principles generally accepted in the United States of America as in effect from time to time.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17" w:right="20" w:firstLine="644"/>
        <w:spacing w:after="0" w:line="277" w:lineRule="auto"/>
        <w:tabs>
          <w:tab w:leader="none" w:pos="421"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“Incentive Stock Options” means Option Rights that are intended to qualify as “incentive stock options” under Section 422 of the Code or any successor provision.</w:t>
      </w:r>
    </w:p>
    <w:p>
      <w:pPr>
        <w:spacing w:after="0" w:line="386" w:lineRule="exact"/>
        <w:rPr>
          <w:rFonts w:ascii="Arial" w:cs="Arial" w:eastAsia="Arial" w:hAnsi="Arial"/>
          <w:sz w:val="18"/>
          <w:szCs w:val="18"/>
          <w:color w:val="auto"/>
        </w:rPr>
      </w:pPr>
    </w:p>
    <w:p>
      <w:pPr>
        <w:ind w:left="-617" w:firstLine="644"/>
        <w:spacing w:after="0" w:line="273" w:lineRule="auto"/>
        <w:tabs>
          <w:tab w:leader="none" w:pos="421" w:val="left"/>
        </w:tabs>
        <w:numPr>
          <w:ilvl w:val="1"/>
          <w:numId w:val="80"/>
        </w:numPr>
        <w:rPr>
          <w:rFonts w:ascii="Arial" w:cs="Arial" w:eastAsia="Arial" w:hAnsi="Arial"/>
          <w:sz w:val="17"/>
          <w:szCs w:val="17"/>
          <w:color w:val="auto"/>
        </w:rPr>
      </w:pPr>
      <w:r>
        <w:rPr>
          <w:rFonts w:ascii="Arial" w:cs="Arial" w:eastAsia="Arial" w:hAnsi="Arial"/>
          <w:sz w:val="17"/>
          <w:szCs w:val="17"/>
          <w:color w:val="auto"/>
        </w:rPr>
        <w:t>“Incumbent Directors” means the individuals who, as of the date hereof, are Directors of Inseego and any individual becoming a Director subsequent to the date hereof whose election, nomination for election by Inseego’s stockholders, or appointment, was approved by a vote of at least two-thirds of the then Incumbent Directors (either by a specific vote or by approval of the proxy statement of Inseego in which such person is named as a nominee for director, without objection to such nomination); provided, however, that an individual will not be an Incumbent Director if such individual’s election or appointment to the Board occurs as a result of an actual or threatened election contest with respect to the election or removal of Directors or other actual or threatened solicitation of proxies or consents by or on behalf of a Person other than the Board.</w:t>
      </w:r>
    </w:p>
    <w:p>
      <w:pPr>
        <w:spacing w:after="0" w:line="394" w:lineRule="exact"/>
        <w:rPr>
          <w:rFonts w:ascii="Arial" w:cs="Arial" w:eastAsia="Arial" w:hAnsi="Arial"/>
          <w:sz w:val="17"/>
          <w:szCs w:val="17"/>
          <w:color w:val="auto"/>
        </w:rPr>
      </w:pPr>
    </w:p>
    <w:p>
      <w:pPr>
        <w:ind w:left="403" w:hanging="376"/>
        <w:spacing w:after="0"/>
        <w:tabs>
          <w:tab w:leader="none" w:pos="403"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“Inseego” means Inseego Corp., a Delaware corporation, and any successors thereto.</w:t>
      </w:r>
    </w:p>
    <w:p>
      <w:pPr>
        <w:spacing w:after="0" w:line="200" w:lineRule="exact"/>
        <w:rPr>
          <w:sz w:val="20"/>
          <w:szCs w:val="20"/>
          <w:color w:val="auto"/>
        </w:rPr>
      </w:pPr>
    </w:p>
    <w:p>
      <w:pPr>
        <w:spacing w:after="0" w:line="241" w:lineRule="exact"/>
        <w:rPr>
          <w:sz w:val="20"/>
          <w:szCs w:val="20"/>
          <w:color w:val="auto"/>
        </w:rPr>
      </w:pPr>
    </w:p>
    <w:p>
      <w:pPr>
        <w:ind w:left="-617" w:right="20" w:firstLine="644"/>
        <w:spacing w:after="0" w:line="272" w:lineRule="auto"/>
        <w:tabs>
          <w:tab w:leader="none" w:pos="491"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“Management Objectives” means the performance objective or objectives established pursuant to the Plan for Participants who have received grants of Annual Incentive Awards, Performance Shares or Performance Units or, when so determined by the Board, Option Rights, Appreciation Rights, Restricted Stock, Restricted Stock Units, dividend equivalents or Other Awards pursuant to the Plan. Management Objectives may be described in terms of Inseego-wide objectives or objectives that are related to the performance of the individual Participant or a Subsidiary, division, business unit, region or function within Inseego or any Subsidiary. The Management Objectives may be made relative to the performance of other companies. At the Board’s discretion, any Management Objective may be measured before special items, and may or may not be determined in accordance with GAAP. The Board shall have the authority to make equitable adjustments to the Management</w:t>
      </w:r>
    </w:p>
    <w:p>
      <w:pPr>
        <w:sectPr>
          <w:pgSz w:w="11900" w:h="16838" w:orient="portrait"/>
          <w:cols w:equalWidth="0" w:num="1">
            <w:col w:w="10683"/>
          </w:cols>
          <w:pgMar w:left="977" w:top="800" w:right="239" w:bottom="1440" w:gutter="0" w:footer="0" w:header="0"/>
        </w:sectPr>
      </w:pPr>
    </w:p>
    <w:bookmarkStart w:id="129" w:name="page130"/>
    <w:bookmarkEnd w:id="129"/>
    <w:p>
      <w:pPr>
        <w:ind w:left="4" w:right="140"/>
        <w:spacing w:after="0" w:line="255" w:lineRule="auto"/>
        <w:rPr>
          <w:sz w:val="20"/>
          <w:szCs w:val="20"/>
          <w:color w:val="auto"/>
        </w:rPr>
      </w:pPr>
      <w:r>
        <w:rPr>
          <w:rFonts w:ascii="Arial" w:cs="Arial" w:eastAsia="Arial" w:hAnsi="Arial"/>
          <w:sz w:val="18"/>
          <w:szCs w:val="18"/>
          <w:color w:val="auto"/>
        </w:rPr>
        <w:t>Objectives (and to the related minimum, target and maximum levels of achievement or performance) as follows: in recognition of unusual or non-recurring events affecting Inseego or any Subsidiary or Affiliate or the financial statements of Inseego or any Subsidiary or Affiliate; in response to changes in applicable laws or regulations; to account for items of gain, loss or expense determined to be extraordinary or unusual in nature or infrequent in occurrence or related to the disposal of a segment of a business or related to a change in accounting principles; or in recognition of any events or circumstances (including, without limitation, changes in the business, operations, corporate or capital structure of the Company or the manner in which it conducts its business) that render the Management Objectives unsuitable.</w:t>
      </w:r>
    </w:p>
    <w:p>
      <w:pPr>
        <w:spacing w:after="0" w:line="355" w:lineRule="exact"/>
        <w:rPr>
          <w:sz w:val="20"/>
          <w:szCs w:val="20"/>
          <w:color w:val="auto"/>
        </w:rPr>
      </w:pPr>
    </w:p>
    <w:p>
      <w:pPr>
        <w:ind w:left="4" w:firstLine="644"/>
        <w:spacing w:after="0" w:line="273" w:lineRule="auto"/>
        <w:tabs>
          <w:tab w:leader="none" w:pos="1132" w:val="left"/>
        </w:tabs>
        <w:numPr>
          <w:ilvl w:val="1"/>
          <w:numId w:val="82"/>
        </w:numPr>
        <w:rPr>
          <w:rFonts w:ascii="Arial" w:cs="Arial" w:eastAsia="Arial" w:hAnsi="Arial"/>
          <w:sz w:val="17"/>
          <w:szCs w:val="17"/>
          <w:color w:val="auto"/>
        </w:rPr>
      </w:pPr>
      <w:r>
        <w:rPr>
          <w:rFonts w:ascii="Arial" w:cs="Arial" w:eastAsia="Arial" w:hAnsi="Arial"/>
          <w:sz w:val="17"/>
          <w:szCs w:val="17"/>
          <w:color w:val="auto"/>
        </w:rPr>
        <w:t>“Market Value Per Share” means as of any particular date the closing sale price of a Share as reported on the Nasdaq Stock Market or, if not listed on such exchange, on any other national securities exchange on which the Shares are listed. If the Shares are not traded as of any given date, the Market Value Per Share means the closing price for the Shares on the principal exchange on which the Shares are traded for the immediately preceding date on which the Shares were traded. If there is no regular public trading market for the Shares, the Market Value Per Share of the Shares shall be the fair market value of the Shares as determined in good faith by the Board. The Board is authorized to adopt another fair market value pricing method, provided such method is in compliance with the fair market value pricing rules set forth in Section 409A of the Code.</w:t>
      </w:r>
    </w:p>
    <w:p>
      <w:pPr>
        <w:spacing w:after="0" w:line="286" w:lineRule="exact"/>
        <w:rPr>
          <w:rFonts w:ascii="Arial" w:cs="Arial" w:eastAsia="Arial" w:hAnsi="Arial"/>
          <w:sz w:val="17"/>
          <w:szCs w:val="17"/>
          <w:color w:val="auto"/>
        </w:rPr>
      </w:pPr>
    </w:p>
    <w:p>
      <w:pPr>
        <w:ind w:left="1104" w:hanging="456"/>
        <w:spacing w:after="0"/>
        <w:tabs>
          <w:tab w:leader="none" w:pos="1104" w:val="left"/>
        </w:tabs>
        <w:numPr>
          <w:ilvl w:val="1"/>
          <w:numId w:val="82"/>
        </w:numPr>
        <w:rPr>
          <w:rFonts w:ascii="Arial" w:cs="Arial" w:eastAsia="Arial" w:hAnsi="Arial"/>
          <w:sz w:val="18"/>
          <w:szCs w:val="18"/>
          <w:color w:val="auto"/>
        </w:rPr>
      </w:pPr>
      <w:r>
        <w:rPr>
          <w:rFonts w:ascii="Arial" w:cs="Arial" w:eastAsia="Arial" w:hAnsi="Arial"/>
          <w:sz w:val="18"/>
          <w:szCs w:val="18"/>
          <w:color w:val="auto"/>
        </w:rPr>
        <w:t>“Optionee” means the optionee named in an Evidence of Award evidencing an outstanding Option Right.</w:t>
      </w:r>
    </w:p>
    <w:p>
      <w:pPr>
        <w:spacing w:after="0" w:line="333" w:lineRule="exact"/>
        <w:rPr>
          <w:rFonts w:ascii="Arial" w:cs="Arial" w:eastAsia="Arial" w:hAnsi="Arial"/>
          <w:sz w:val="18"/>
          <w:szCs w:val="18"/>
          <w:color w:val="auto"/>
        </w:rPr>
      </w:pPr>
    </w:p>
    <w:p>
      <w:pPr>
        <w:ind w:left="1124" w:hanging="476"/>
        <w:spacing w:after="0"/>
        <w:tabs>
          <w:tab w:leader="none" w:pos="1124" w:val="left"/>
        </w:tabs>
        <w:numPr>
          <w:ilvl w:val="1"/>
          <w:numId w:val="82"/>
        </w:numPr>
        <w:rPr>
          <w:rFonts w:ascii="Arial" w:cs="Arial" w:eastAsia="Arial" w:hAnsi="Arial"/>
          <w:sz w:val="18"/>
          <w:szCs w:val="18"/>
          <w:color w:val="auto"/>
        </w:rPr>
      </w:pPr>
      <w:r>
        <w:rPr>
          <w:rFonts w:ascii="Arial" w:cs="Arial" w:eastAsia="Arial" w:hAnsi="Arial"/>
          <w:sz w:val="18"/>
          <w:szCs w:val="18"/>
          <w:color w:val="auto"/>
        </w:rPr>
        <w:t>“Option Price” means the purchase price payable on exercise of an Option Right.</w:t>
      </w:r>
    </w:p>
    <w:p>
      <w:pPr>
        <w:spacing w:after="0" w:line="333" w:lineRule="exact"/>
        <w:rPr>
          <w:rFonts w:ascii="Arial" w:cs="Arial" w:eastAsia="Arial" w:hAnsi="Arial"/>
          <w:sz w:val="18"/>
          <w:szCs w:val="18"/>
          <w:color w:val="auto"/>
        </w:rPr>
      </w:pPr>
    </w:p>
    <w:p>
      <w:pPr>
        <w:ind w:left="1104" w:hanging="456"/>
        <w:spacing w:after="0"/>
        <w:tabs>
          <w:tab w:leader="none" w:pos="1104" w:val="left"/>
        </w:tabs>
        <w:numPr>
          <w:ilvl w:val="1"/>
          <w:numId w:val="82"/>
        </w:numPr>
        <w:rPr>
          <w:rFonts w:ascii="Arial" w:cs="Arial" w:eastAsia="Arial" w:hAnsi="Arial"/>
          <w:sz w:val="18"/>
          <w:szCs w:val="18"/>
          <w:color w:val="auto"/>
        </w:rPr>
      </w:pPr>
      <w:r>
        <w:rPr>
          <w:rFonts w:ascii="Arial" w:cs="Arial" w:eastAsia="Arial" w:hAnsi="Arial"/>
          <w:sz w:val="18"/>
          <w:szCs w:val="18"/>
          <w:color w:val="auto"/>
        </w:rPr>
        <w:t>“Option Right” means the right to purchase Shares upon exercise of an option granted pursuant to Section 4 of the Plan.</w:t>
      </w:r>
    </w:p>
    <w:p>
      <w:pPr>
        <w:spacing w:after="0" w:line="333" w:lineRule="exact"/>
        <w:rPr>
          <w:rFonts w:ascii="Arial" w:cs="Arial" w:eastAsia="Arial" w:hAnsi="Arial"/>
          <w:sz w:val="18"/>
          <w:szCs w:val="18"/>
          <w:color w:val="auto"/>
        </w:rPr>
      </w:pPr>
    </w:p>
    <w:p>
      <w:pPr>
        <w:ind w:left="1064" w:hanging="416"/>
        <w:spacing w:after="0"/>
        <w:tabs>
          <w:tab w:leader="none" w:pos="1064" w:val="left"/>
        </w:tabs>
        <w:numPr>
          <w:ilvl w:val="1"/>
          <w:numId w:val="82"/>
        </w:numPr>
        <w:rPr>
          <w:rFonts w:ascii="Arial" w:cs="Arial" w:eastAsia="Arial" w:hAnsi="Arial"/>
          <w:sz w:val="18"/>
          <w:szCs w:val="18"/>
          <w:color w:val="auto"/>
        </w:rPr>
      </w:pPr>
      <w:r>
        <w:rPr>
          <w:rFonts w:ascii="Arial" w:cs="Arial" w:eastAsia="Arial" w:hAnsi="Arial"/>
          <w:sz w:val="18"/>
          <w:szCs w:val="18"/>
          <w:color w:val="auto"/>
        </w:rPr>
        <w:t>“Other Award” means an Award granted pursuant to Section 9 of the Plan.</w:t>
      </w:r>
    </w:p>
    <w:p>
      <w:pPr>
        <w:spacing w:after="0" w:line="333" w:lineRule="exact"/>
        <w:rPr>
          <w:rFonts w:ascii="Arial" w:cs="Arial" w:eastAsia="Arial" w:hAnsi="Arial"/>
          <w:sz w:val="18"/>
          <w:szCs w:val="18"/>
          <w:color w:val="auto"/>
        </w:rPr>
      </w:pPr>
    </w:p>
    <w:p>
      <w:pPr>
        <w:ind w:left="1124" w:hanging="476"/>
        <w:spacing w:after="0"/>
        <w:tabs>
          <w:tab w:leader="none" w:pos="1124" w:val="left"/>
        </w:tabs>
        <w:numPr>
          <w:ilvl w:val="1"/>
          <w:numId w:val="82"/>
        </w:numPr>
        <w:rPr>
          <w:rFonts w:ascii="Arial" w:cs="Arial" w:eastAsia="Arial" w:hAnsi="Arial"/>
          <w:sz w:val="16"/>
          <w:szCs w:val="16"/>
          <w:color w:val="auto"/>
        </w:rPr>
      </w:pPr>
      <w:r>
        <w:rPr>
          <w:rFonts w:ascii="Arial" w:cs="Arial" w:eastAsia="Arial" w:hAnsi="Arial"/>
          <w:sz w:val="16"/>
          <w:szCs w:val="16"/>
          <w:color w:val="auto"/>
        </w:rPr>
        <w:t>“Participant” means a person who is selected by the Board to receive Awards under the Plan and who is (i) an Employee, (ii) a Director, or</w:t>
      </w:r>
    </w:p>
    <w:p>
      <w:pPr>
        <w:spacing w:after="0" w:line="46" w:lineRule="exact"/>
        <w:rPr>
          <w:rFonts w:ascii="Arial" w:cs="Arial" w:eastAsia="Arial" w:hAnsi="Arial"/>
          <w:sz w:val="16"/>
          <w:szCs w:val="16"/>
          <w:color w:val="auto"/>
        </w:rPr>
      </w:pPr>
    </w:p>
    <w:p>
      <w:pPr>
        <w:ind w:left="324" w:hanging="324"/>
        <w:spacing w:after="0"/>
        <w:tabs>
          <w:tab w:leader="none" w:pos="3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Consultant.</w:t>
      </w:r>
    </w:p>
    <w:p>
      <w:pPr>
        <w:spacing w:after="0" w:line="372" w:lineRule="exact"/>
        <w:rPr>
          <w:rFonts w:ascii="Arial" w:cs="Arial" w:eastAsia="Arial" w:hAnsi="Arial"/>
          <w:sz w:val="18"/>
          <w:szCs w:val="18"/>
          <w:color w:val="auto"/>
        </w:rPr>
      </w:pPr>
    </w:p>
    <w:p>
      <w:pPr>
        <w:jc w:val="both"/>
        <w:ind w:left="4" w:right="140" w:firstLine="644"/>
        <w:spacing w:after="0" w:line="264" w:lineRule="auto"/>
        <w:tabs>
          <w:tab w:leader="none" w:pos="1132" w:val="left"/>
        </w:tabs>
        <w:numPr>
          <w:ilvl w:val="1"/>
          <w:numId w:val="83"/>
        </w:numPr>
        <w:rPr>
          <w:rFonts w:ascii="Arial" w:cs="Arial" w:eastAsia="Arial" w:hAnsi="Arial"/>
          <w:sz w:val="18"/>
          <w:szCs w:val="18"/>
          <w:color w:val="auto"/>
        </w:rPr>
      </w:pPr>
      <w:r>
        <w:rPr>
          <w:rFonts w:ascii="Arial" w:cs="Arial" w:eastAsia="Arial" w:hAnsi="Arial"/>
          <w:sz w:val="18"/>
          <w:szCs w:val="18"/>
          <w:color w:val="auto"/>
        </w:rPr>
        <w:t>“Performance Period” means, in respect of an Award, a period of time within which the Management Objectives relating to such Award are to be achieved, as determined by the Board in its sole discretion. The Board may establish different Performance Periods for different Participants, and the Board may establish concurrent or overlapping Performance Periods.</w:t>
      </w:r>
    </w:p>
    <w:p>
      <w:pPr>
        <w:spacing w:after="0" w:line="397" w:lineRule="exact"/>
        <w:rPr>
          <w:rFonts w:ascii="Arial" w:cs="Arial" w:eastAsia="Arial" w:hAnsi="Arial"/>
          <w:sz w:val="18"/>
          <w:szCs w:val="18"/>
          <w:color w:val="auto"/>
        </w:rPr>
      </w:pPr>
    </w:p>
    <w:p>
      <w:pPr>
        <w:ind w:left="1044" w:hanging="396"/>
        <w:spacing w:after="0"/>
        <w:tabs>
          <w:tab w:leader="none" w:pos="1044" w:val="left"/>
        </w:tabs>
        <w:numPr>
          <w:ilvl w:val="1"/>
          <w:numId w:val="83"/>
        </w:numPr>
        <w:rPr>
          <w:rFonts w:ascii="Arial" w:cs="Arial" w:eastAsia="Arial" w:hAnsi="Arial"/>
          <w:sz w:val="16"/>
          <w:szCs w:val="16"/>
          <w:color w:val="auto"/>
        </w:rPr>
      </w:pPr>
      <w:r>
        <w:rPr>
          <w:rFonts w:ascii="Arial" w:cs="Arial" w:eastAsia="Arial" w:hAnsi="Arial"/>
          <w:sz w:val="16"/>
          <w:szCs w:val="16"/>
          <w:color w:val="auto"/>
        </w:rPr>
        <w:t>“Performance Share” means an Award under the Plan equivalent to the right to receive one Share awarded pursuant to Section 8 of the Plan.</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44" w:hanging="396"/>
        <w:spacing w:after="0"/>
        <w:tabs>
          <w:tab w:leader="none" w:pos="1044" w:val="left"/>
        </w:tabs>
        <w:numPr>
          <w:ilvl w:val="1"/>
          <w:numId w:val="83"/>
        </w:numPr>
        <w:rPr>
          <w:rFonts w:ascii="Arial" w:cs="Arial" w:eastAsia="Arial" w:hAnsi="Arial"/>
          <w:sz w:val="16"/>
          <w:szCs w:val="16"/>
          <w:color w:val="auto"/>
        </w:rPr>
      </w:pPr>
      <w:r>
        <w:rPr>
          <w:rFonts w:ascii="Arial" w:cs="Arial" w:eastAsia="Arial" w:hAnsi="Arial"/>
          <w:sz w:val="16"/>
          <w:szCs w:val="16"/>
          <w:color w:val="auto"/>
        </w:rPr>
        <w:t>“Performance Unit” means a unit awarded pursuant to Section 8 of the Plan that is equivalent to $1.00 or such other value as is determined by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Board.</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4" w:firstLine="644"/>
        <w:spacing w:after="0" w:line="277" w:lineRule="auto"/>
        <w:tabs>
          <w:tab w:leader="none" w:pos="1138" w:val="left"/>
        </w:tabs>
        <w:numPr>
          <w:ilvl w:val="1"/>
          <w:numId w:val="83"/>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or any successor provision thereto, as modified and used in Sections 13(d) and 14(d) thereof and the rules thereunder.</w:t>
      </w:r>
    </w:p>
    <w:p>
      <w:pPr>
        <w:spacing w:after="0" w:line="386" w:lineRule="exact"/>
        <w:rPr>
          <w:rFonts w:ascii="Arial" w:cs="Arial" w:eastAsia="Arial" w:hAnsi="Arial"/>
          <w:sz w:val="18"/>
          <w:szCs w:val="18"/>
          <w:color w:val="auto"/>
        </w:rPr>
      </w:pPr>
    </w:p>
    <w:p>
      <w:pPr>
        <w:ind w:left="1044" w:hanging="396"/>
        <w:spacing w:after="0"/>
        <w:tabs>
          <w:tab w:leader="none" w:pos="1044" w:val="left"/>
        </w:tabs>
        <w:numPr>
          <w:ilvl w:val="1"/>
          <w:numId w:val="83"/>
        </w:numPr>
        <w:rPr>
          <w:rFonts w:ascii="Arial" w:cs="Arial" w:eastAsia="Arial" w:hAnsi="Arial"/>
          <w:sz w:val="18"/>
          <w:szCs w:val="18"/>
          <w:color w:val="auto"/>
        </w:rPr>
      </w:pPr>
      <w:r>
        <w:rPr>
          <w:rFonts w:ascii="Arial" w:cs="Arial" w:eastAsia="Arial" w:hAnsi="Arial"/>
          <w:sz w:val="18"/>
          <w:szCs w:val="18"/>
          <w:color w:val="auto"/>
        </w:rPr>
        <w:t>“Plan” means this Inseego Corp. 2015 Incentive Compensation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 w:right="440" w:firstLine="644"/>
        <w:spacing w:after="0" w:line="277" w:lineRule="auto"/>
        <w:tabs>
          <w:tab w:leader="none" w:pos="1232"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“Restricted Stock” means Shares granted pursuant to Section 6 of the Plan as to which neither the substantial risk of forfeiture nor the prohibition on transfers has expired.</w:t>
      </w:r>
    </w:p>
    <w:p>
      <w:pPr>
        <w:spacing w:after="0" w:line="386" w:lineRule="exact"/>
        <w:rPr>
          <w:rFonts w:ascii="Arial" w:cs="Arial" w:eastAsia="Arial" w:hAnsi="Arial"/>
          <w:sz w:val="18"/>
          <w:szCs w:val="18"/>
          <w:color w:val="auto"/>
        </w:rPr>
      </w:pPr>
    </w:p>
    <w:p>
      <w:pPr>
        <w:ind w:left="4" w:firstLine="644"/>
        <w:spacing w:after="0" w:line="277" w:lineRule="auto"/>
        <w:tabs>
          <w:tab w:leader="none" w:pos="1197"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“Restriction Period” means the period of time during which Restricted Stock or Restricted Stock Units may be subject to restrictions, as provided in Section 6 and Section 7 of the Plan.</w:t>
      </w:r>
    </w:p>
    <w:p>
      <w:pPr>
        <w:spacing w:after="0" w:line="386" w:lineRule="exact"/>
        <w:rPr>
          <w:rFonts w:ascii="Arial" w:cs="Arial" w:eastAsia="Arial" w:hAnsi="Arial"/>
          <w:sz w:val="18"/>
          <w:szCs w:val="18"/>
          <w:color w:val="auto"/>
        </w:rPr>
      </w:pPr>
    </w:p>
    <w:p>
      <w:pPr>
        <w:ind w:left="1124" w:hanging="476"/>
        <w:spacing w:after="0"/>
        <w:tabs>
          <w:tab w:leader="none" w:pos="1124"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“Restricted Stock Unit” means an Award made pursuant to Section 7 of the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 w:firstLine="644"/>
        <w:spacing w:after="0" w:line="308" w:lineRule="auto"/>
        <w:tabs>
          <w:tab w:leader="none" w:pos="1206" w:val="left"/>
        </w:tabs>
        <w:numPr>
          <w:ilvl w:val="1"/>
          <w:numId w:val="83"/>
        </w:numPr>
        <w:rPr>
          <w:rFonts w:ascii="Arial" w:cs="Arial" w:eastAsia="Arial" w:hAnsi="Arial"/>
          <w:sz w:val="17"/>
          <w:szCs w:val="17"/>
          <w:color w:val="auto"/>
        </w:rPr>
      </w:pPr>
      <w:r>
        <w:rPr>
          <w:rFonts w:ascii="Arial" w:cs="Arial" w:eastAsia="Arial" w:hAnsi="Arial"/>
          <w:sz w:val="17"/>
          <w:szCs w:val="17"/>
          <w:color w:val="auto"/>
        </w:rPr>
        <w:t>“Secondary Committee” means one or more senior officers of Inseego (who need not be members of the Board), acting as a committee established by the Board pursuant to Section 12(b) of the Plan, subject to such conditions and limitations as the Board shall prescribe.</w:t>
      </w:r>
    </w:p>
    <w:p>
      <w:pPr>
        <w:sectPr>
          <w:pgSz w:w="11900" w:h="16838" w:orient="portrait"/>
          <w:cols w:equalWidth="0" w:num="1">
            <w:col w:w="11304"/>
          </w:cols>
          <w:pgMar w:left="356" w:top="801" w:right="239" w:bottom="1440" w:gutter="0" w:footer="0" w:header="0"/>
        </w:sectPr>
      </w:pPr>
    </w:p>
    <w:p>
      <w:pPr>
        <w:spacing w:after="0" w:line="363" w:lineRule="exact"/>
        <w:rPr>
          <w:sz w:val="20"/>
          <w:szCs w:val="20"/>
          <w:color w:val="auto"/>
        </w:rPr>
      </w:pPr>
    </w:p>
    <w:p>
      <w:pPr>
        <w:ind w:left="644"/>
        <w:spacing w:after="0"/>
        <w:tabs>
          <w:tab w:leader="none" w:pos="1104" w:val="left"/>
        </w:tabs>
        <w:rPr>
          <w:sz w:val="20"/>
          <w:szCs w:val="20"/>
          <w:color w:val="auto"/>
        </w:rPr>
      </w:pPr>
      <w:r>
        <w:rPr>
          <w:rFonts w:ascii="Arial" w:cs="Arial" w:eastAsia="Arial" w:hAnsi="Arial"/>
          <w:sz w:val="18"/>
          <w:szCs w:val="18"/>
          <w:color w:val="auto"/>
        </w:rPr>
        <w:t>(qq)</w:t>
      </w:r>
      <w:r>
        <w:rPr>
          <w:sz w:val="20"/>
          <w:szCs w:val="20"/>
          <w:color w:val="auto"/>
        </w:rPr>
        <w:tab/>
      </w:r>
      <w:r>
        <w:rPr>
          <w:rFonts w:ascii="Arial" w:cs="Arial" w:eastAsia="Arial" w:hAnsi="Arial"/>
          <w:sz w:val="16"/>
          <w:szCs w:val="16"/>
          <w:color w:val="auto"/>
        </w:rPr>
        <w:t>“Shares” means the shares of common stock, par value $0.001 per share, of Inseego or any</w:t>
      </w:r>
    </w:p>
    <w:p>
      <w:pPr>
        <w:sectPr>
          <w:pgSz w:w="11900" w:h="16838" w:orient="portrait"/>
          <w:cols w:equalWidth="0" w:num="1">
            <w:col w:w="11304"/>
          </w:cols>
          <w:pgMar w:left="356" w:top="801" w:right="239" w:bottom="1440" w:gutter="0" w:footer="0" w:header="0"/>
          <w:type w:val="continuous"/>
        </w:sectPr>
      </w:pPr>
    </w:p>
    <w:bookmarkStart w:id="130" w:name="page131"/>
    <w:bookmarkEnd w:id="130"/>
    <w:p>
      <w:pPr>
        <w:ind w:left="31"/>
        <w:spacing w:after="0"/>
        <w:rPr>
          <w:sz w:val="20"/>
          <w:szCs w:val="20"/>
          <w:color w:val="auto"/>
        </w:rPr>
      </w:pPr>
      <w:r>
        <w:rPr>
          <w:rFonts w:ascii="Arial" w:cs="Arial" w:eastAsia="Arial" w:hAnsi="Arial"/>
          <w:sz w:val="18"/>
          <w:szCs w:val="18"/>
          <w:color w:val="auto"/>
        </w:rPr>
        <w:t>security into which such Shares may be changed by reason of any transaction or event of the type referred to in Section 11 of the Plan.</w:t>
      </w:r>
    </w:p>
    <w:p>
      <w:pPr>
        <w:spacing w:after="0" w:line="200" w:lineRule="exact"/>
        <w:rPr>
          <w:sz w:val="20"/>
          <w:szCs w:val="20"/>
          <w:color w:val="auto"/>
        </w:rPr>
      </w:pPr>
    </w:p>
    <w:p>
      <w:pPr>
        <w:spacing w:after="0" w:line="241" w:lineRule="exact"/>
        <w:rPr>
          <w:sz w:val="20"/>
          <w:szCs w:val="20"/>
          <w:color w:val="auto"/>
        </w:rPr>
      </w:pPr>
    </w:p>
    <w:p>
      <w:pPr>
        <w:jc w:val="both"/>
        <w:ind w:left="31" w:right="180" w:firstLine="644"/>
        <w:spacing w:after="0" w:line="264" w:lineRule="auto"/>
        <w:tabs>
          <w:tab w:leader="none" w:pos="1099" w:val="left"/>
        </w:tabs>
        <w:numPr>
          <w:ilvl w:val="3"/>
          <w:numId w:val="84"/>
        </w:numPr>
        <w:rPr>
          <w:rFonts w:ascii="Arial" w:cs="Arial" w:eastAsia="Arial" w:hAnsi="Arial"/>
          <w:sz w:val="18"/>
          <w:szCs w:val="18"/>
          <w:color w:val="auto"/>
        </w:rPr>
      </w:pPr>
      <w:r>
        <w:rPr>
          <w:rFonts w:ascii="Arial" w:cs="Arial" w:eastAsia="Arial" w:hAnsi="Arial"/>
          <w:sz w:val="18"/>
          <w:szCs w:val="18"/>
          <w:color w:val="auto"/>
        </w:rPr>
        <w:t>“Spread” means the excess of the Market Value Per Share on the date when an Appreciation Right is exercised, or on the date when Option Rights are surrendered in payment of the Option Price of other Option Rights, over the Option Price or Base Price provided for in the related Option Right or Appreciation Right, respectively.</w:t>
      </w:r>
    </w:p>
    <w:p>
      <w:pPr>
        <w:spacing w:after="0" w:line="397" w:lineRule="exact"/>
        <w:rPr>
          <w:rFonts w:ascii="Arial" w:cs="Arial" w:eastAsia="Arial" w:hAnsi="Arial"/>
          <w:sz w:val="18"/>
          <w:szCs w:val="18"/>
          <w:color w:val="auto"/>
        </w:rPr>
      </w:pPr>
    </w:p>
    <w:p>
      <w:pPr>
        <w:ind w:left="31" w:firstLine="644"/>
        <w:spacing w:after="0" w:line="255" w:lineRule="auto"/>
        <w:tabs>
          <w:tab w:leader="none" w:pos="1119" w:val="left"/>
        </w:tabs>
        <w:numPr>
          <w:ilvl w:val="3"/>
          <w:numId w:val="84"/>
        </w:numPr>
        <w:rPr>
          <w:rFonts w:ascii="Arial" w:cs="Arial" w:eastAsia="Arial" w:hAnsi="Arial"/>
          <w:sz w:val="18"/>
          <w:szCs w:val="18"/>
          <w:color w:val="auto"/>
        </w:rPr>
      </w:pPr>
      <w:r>
        <w:rPr>
          <w:rFonts w:ascii="Arial" w:cs="Arial" w:eastAsia="Arial" w:hAnsi="Arial"/>
          <w:sz w:val="18"/>
          <w:szCs w:val="18"/>
          <w:color w:val="auto"/>
        </w:rPr>
        <w:t>“Subsidiary” means a corporation, company or other entity (i) more than 50 percent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50 percent of whose ownership interest representing the right generally to make decisions for such other entity is, now or hereafter, owned or controlled, directly or indirectly, by Inseego; except that, for purposes of determining whether any person may be a Participant for purposes of any grant of Incentive Stock Options, “Subsidiary” means any corporation in which at the time Inseego owns or controls, directly or indirectly, more than 50 percent of the total combined voting power represented by all classes of stock issued by such corporation.</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071" w:hanging="396"/>
        <w:spacing w:after="0"/>
        <w:tabs>
          <w:tab w:leader="none" w:pos="1071" w:val="left"/>
        </w:tabs>
        <w:numPr>
          <w:ilvl w:val="3"/>
          <w:numId w:val="84"/>
        </w:numPr>
        <w:rPr>
          <w:rFonts w:ascii="Arial" w:cs="Arial" w:eastAsia="Arial" w:hAnsi="Arial"/>
          <w:sz w:val="18"/>
          <w:szCs w:val="18"/>
          <w:color w:val="auto"/>
        </w:rPr>
      </w:pPr>
      <w:r>
        <w:rPr>
          <w:rFonts w:ascii="Arial" w:cs="Arial" w:eastAsia="Arial" w:hAnsi="Arial"/>
          <w:sz w:val="18"/>
          <w:szCs w:val="18"/>
          <w:color w:val="auto"/>
        </w:rPr>
        <w:t>“Voting Stock” means securities entitled to vote generally in the election of directors.</w:t>
      </w:r>
    </w:p>
    <w:p>
      <w:pPr>
        <w:spacing w:after="0" w:line="396" w:lineRule="exact"/>
        <w:rPr>
          <w:rFonts w:ascii="Arial" w:cs="Arial" w:eastAsia="Arial" w:hAnsi="Arial"/>
          <w:sz w:val="18"/>
          <w:szCs w:val="18"/>
          <w:color w:val="auto"/>
        </w:rPr>
      </w:pPr>
    </w:p>
    <w:p>
      <w:pPr>
        <w:ind w:left="351" w:hanging="324"/>
        <w:spacing w:after="0"/>
        <w:tabs>
          <w:tab w:leader="none" w:pos="351"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Shares Available Under the Plan.</w:t>
      </w:r>
    </w:p>
    <w:p>
      <w:pPr>
        <w:spacing w:after="0" w:line="360" w:lineRule="exact"/>
        <w:rPr>
          <w:rFonts w:ascii="Arial" w:cs="Arial" w:eastAsia="Arial" w:hAnsi="Arial"/>
          <w:sz w:val="18"/>
          <w:szCs w:val="18"/>
          <w:b w:val="1"/>
          <w:bCs w:val="1"/>
          <w:color w:val="auto"/>
        </w:rPr>
      </w:pPr>
    </w:p>
    <w:p>
      <w:pPr>
        <w:ind w:left="1051" w:hanging="376"/>
        <w:spacing w:after="0"/>
        <w:tabs>
          <w:tab w:leader="none" w:pos="1051" w:val="left"/>
        </w:tabs>
        <w:numPr>
          <w:ilvl w:val="3"/>
          <w:numId w:val="85"/>
        </w:numPr>
        <w:rPr>
          <w:rFonts w:ascii="Arial" w:cs="Arial" w:eastAsia="Arial" w:hAnsi="Arial"/>
          <w:sz w:val="18"/>
          <w:szCs w:val="18"/>
          <w:color w:val="auto"/>
        </w:rPr>
      </w:pPr>
      <w:r>
        <w:rPr>
          <w:rFonts w:ascii="Arial" w:cs="Arial" w:eastAsia="Arial" w:hAnsi="Arial"/>
          <w:sz w:val="18"/>
          <w:szCs w:val="18"/>
          <w:b w:val="1"/>
          <w:bCs w:val="1"/>
          <w:color w:val="auto"/>
        </w:rPr>
        <w:t>Maximum Shares Available Under Plan.</w:t>
      </w:r>
    </w:p>
    <w:p>
      <w:pPr>
        <w:spacing w:after="0" w:line="364" w:lineRule="exact"/>
        <w:rPr>
          <w:rFonts w:ascii="Arial" w:cs="Arial" w:eastAsia="Arial" w:hAnsi="Arial"/>
          <w:sz w:val="18"/>
          <w:szCs w:val="18"/>
          <w:color w:val="auto"/>
        </w:rPr>
      </w:pPr>
    </w:p>
    <w:p>
      <w:pPr>
        <w:ind w:left="671" w:right="200" w:firstLine="558"/>
        <w:spacing w:after="0" w:line="259" w:lineRule="auto"/>
        <w:tabs>
          <w:tab w:leader="none" w:pos="1575" w:val="left"/>
        </w:tabs>
        <w:numPr>
          <w:ilvl w:val="5"/>
          <w:numId w:val="85"/>
        </w:numPr>
        <w:rPr>
          <w:rFonts w:ascii="Arial" w:cs="Arial" w:eastAsia="Arial" w:hAnsi="Arial"/>
          <w:sz w:val="18"/>
          <w:szCs w:val="18"/>
          <w:color w:val="auto"/>
        </w:rPr>
      </w:pPr>
      <w:r>
        <w:rPr>
          <w:rFonts w:ascii="Arial" w:cs="Arial" w:eastAsia="Arial" w:hAnsi="Arial"/>
          <w:sz w:val="18"/>
          <w:szCs w:val="18"/>
          <w:color w:val="auto"/>
        </w:rPr>
        <w:t>Subject to adjustment as provided in Section 11 of the Plan, the maximum number of Shares that may be issued pursuant to this Plan will not exceed 4,000,000 Shares (the “Aggregate Share Limit”). Shares issued under any plan assumed by Inseego in any corporate transaction will not count against the Aggregate Share Limit to the extent permitted by Nasdaq Listing Rule 5635 and shall be issued in a similar form as permitted by such assumed plan.</w:t>
      </w:r>
    </w:p>
    <w:p>
      <w:pPr>
        <w:spacing w:after="0" w:line="186" w:lineRule="exact"/>
        <w:rPr>
          <w:rFonts w:ascii="Arial" w:cs="Arial" w:eastAsia="Arial" w:hAnsi="Arial"/>
          <w:sz w:val="18"/>
          <w:szCs w:val="18"/>
          <w:color w:val="auto"/>
        </w:rPr>
      </w:pPr>
    </w:p>
    <w:p>
      <w:pPr>
        <w:ind w:left="651" w:right="140" w:firstLine="497"/>
        <w:spacing w:after="0" w:line="289" w:lineRule="auto"/>
        <w:tabs>
          <w:tab w:leader="none" w:pos="1551" w:val="left"/>
        </w:tabs>
        <w:numPr>
          <w:ilvl w:val="4"/>
          <w:numId w:val="85"/>
        </w:numPr>
        <w:rPr>
          <w:rFonts w:ascii="Arial" w:cs="Arial" w:eastAsia="Arial" w:hAnsi="Arial"/>
          <w:sz w:val="16"/>
          <w:szCs w:val="16"/>
          <w:color w:val="auto"/>
        </w:rPr>
      </w:pPr>
      <w:r>
        <w:rPr>
          <w:rFonts w:ascii="Arial" w:cs="Arial" w:eastAsia="Arial" w:hAnsi="Arial"/>
          <w:sz w:val="16"/>
          <w:szCs w:val="16"/>
          <w:color w:val="auto"/>
        </w:rPr>
        <w:t>Shares covered by an Award granted under the Plan shall not be counted against the Aggregate Share Limit unless and until they are actually issued and delivered to a Participant and, therefore, the total number of Shares available under the Plan as of a given date shall not be reduced by any Shares relating to prior Awards that have expired or have been forfeited or cancelled or terminated for any reason other than being exercised or settled, and to the extent of payment in cash of the benefit provided by any Award granted under the Plan, any Shares that were covered by that Award will be available for issue or transfer hereunder. If, under the Plan, a Participant has elected to give up the right to receive compensation in exchange for Shares based on fair market value, such Shares will not count against the Aggregate Share Limit. In addition, upon the full or partial payment of any Option Price by the transfer to the Company of Shares or upon satisfaction of tax withholding provisions in connection with any such exercise or any other payment made or benefit realized under this Plan by the transfer or relinquishment of Shares, there shall be deemed to have been issued under this Plan only the net number of Shares actually issued by the Company.</w:t>
      </w:r>
    </w:p>
    <w:p>
      <w:pPr>
        <w:spacing w:after="0" w:line="162" w:lineRule="exact"/>
        <w:rPr>
          <w:rFonts w:ascii="Arial" w:cs="Arial" w:eastAsia="Arial" w:hAnsi="Arial"/>
          <w:sz w:val="16"/>
          <w:szCs w:val="16"/>
          <w:color w:val="auto"/>
        </w:rPr>
      </w:pPr>
    </w:p>
    <w:p>
      <w:pPr>
        <w:ind w:left="-9" w:right="820" w:firstLine="657"/>
        <w:spacing w:after="0" w:line="282" w:lineRule="auto"/>
        <w:tabs>
          <w:tab w:leader="none" w:pos="1029" w:val="left"/>
        </w:tabs>
        <w:numPr>
          <w:ilvl w:val="2"/>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Individual Participant Limits. </w:t>
      </w:r>
      <w:r>
        <w:rPr>
          <w:rFonts w:ascii="Arial" w:cs="Arial" w:eastAsia="Arial" w:hAnsi="Arial"/>
          <w:sz w:val="18"/>
          <w:szCs w:val="18"/>
          <w:color w:val="auto"/>
        </w:rPr>
        <w:t>Notwithstanding anything in this Section 3, or elsewhere in the Plan, to the contrary,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as provided in Section 11 of the Plan:</w:t>
      </w:r>
    </w:p>
    <w:p>
      <w:pPr>
        <w:spacing w:after="0" w:line="165" w:lineRule="exact"/>
        <w:rPr>
          <w:rFonts w:ascii="Arial" w:cs="Arial" w:eastAsia="Arial" w:hAnsi="Arial"/>
          <w:sz w:val="18"/>
          <w:szCs w:val="18"/>
          <w:color w:val="auto"/>
        </w:rPr>
      </w:pPr>
    </w:p>
    <w:p>
      <w:pPr>
        <w:ind w:left="651" w:right="440" w:firstLine="551"/>
        <w:spacing w:after="0" w:line="277" w:lineRule="auto"/>
        <w:tabs>
          <w:tab w:leader="none" w:pos="1555" w:val="left"/>
        </w:tabs>
        <w:numPr>
          <w:ilvl w:val="4"/>
          <w:numId w:val="86"/>
        </w:numPr>
        <w:rPr>
          <w:rFonts w:ascii="Arial" w:cs="Arial" w:eastAsia="Arial" w:hAnsi="Arial"/>
          <w:sz w:val="18"/>
          <w:szCs w:val="18"/>
          <w:color w:val="auto"/>
        </w:rPr>
      </w:pPr>
      <w:r>
        <w:rPr>
          <w:rFonts w:ascii="Arial" w:cs="Arial" w:eastAsia="Arial" w:hAnsi="Arial"/>
          <w:sz w:val="18"/>
          <w:szCs w:val="18"/>
          <w:color w:val="auto"/>
        </w:rPr>
        <w:t>No Participant will be granted Option Rights or Appreciation Rights, in the aggregate, for more than 1,500,000 Shares during any calendar year.</w:t>
      </w:r>
    </w:p>
    <w:p>
      <w:pPr>
        <w:spacing w:after="0" w:line="166" w:lineRule="exact"/>
        <w:rPr>
          <w:rFonts w:ascii="Arial" w:cs="Arial" w:eastAsia="Arial" w:hAnsi="Arial"/>
          <w:sz w:val="18"/>
          <w:szCs w:val="18"/>
          <w:color w:val="auto"/>
        </w:rPr>
      </w:pPr>
    </w:p>
    <w:p>
      <w:pPr>
        <w:ind w:left="-9" w:right="280" w:firstLine="9"/>
        <w:spacing w:after="0" w:line="282" w:lineRule="auto"/>
        <w:tabs>
          <w:tab w:leader="none" w:pos="306"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Rights. </w:t>
      </w:r>
      <w:r>
        <w:rPr>
          <w:rFonts w:ascii="Arial" w:cs="Arial" w:eastAsia="Arial" w:hAnsi="Arial"/>
          <w:sz w:val="18"/>
          <w:szCs w:val="18"/>
          <w:color w:val="auto"/>
        </w:rPr>
        <w:t>The Board may, from time to time, authorize the granting to Participants of Option Rights upon such terms and conditions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following provisions as it may determine:</w:t>
      </w:r>
    </w:p>
    <w:p>
      <w:pPr>
        <w:spacing w:after="0" w:line="165" w:lineRule="exact"/>
        <w:rPr>
          <w:rFonts w:ascii="Arial" w:cs="Arial" w:eastAsia="Arial" w:hAnsi="Arial"/>
          <w:sz w:val="18"/>
          <w:szCs w:val="18"/>
          <w:b w:val="1"/>
          <w:bCs w:val="1"/>
          <w:color w:val="auto"/>
        </w:rPr>
      </w:pPr>
    </w:p>
    <w:p>
      <w:pPr>
        <w:ind w:left="1031" w:hanging="383"/>
        <w:spacing w:after="0"/>
        <w:tabs>
          <w:tab w:leader="none" w:pos="1031" w:val="left"/>
        </w:tabs>
        <w:numPr>
          <w:ilvl w:val="2"/>
          <w:numId w:val="87"/>
        </w:numPr>
        <w:rPr>
          <w:rFonts w:ascii="Arial" w:cs="Arial" w:eastAsia="Arial" w:hAnsi="Arial"/>
          <w:sz w:val="18"/>
          <w:szCs w:val="18"/>
          <w:color w:val="auto"/>
        </w:rPr>
      </w:pPr>
      <w:r>
        <w:rPr>
          <w:rFonts w:ascii="Arial" w:cs="Arial" w:eastAsia="Arial" w:hAnsi="Arial"/>
          <w:sz w:val="18"/>
          <w:szCs w:val="18"/>
          <w:color w:val="auto"/>
        </w:rPr>
        <w:t>Each grant will specify the number of Shares to which it pertains subject to the limitations set forth in Section 3 of the Plan.</w:t>
      </w:r>
    </w:p>
    <w:p>
      <w:pPr>
        <w:spacing w:after="0" w:line="225" w:lineRule="exact"/>
        <w:rPr>
          <w:rFonts w:ascii="Arial" w:cs="Arial" w:eastAsia="Arial" w:hAnsi="Arial"/>
          <w:sz w:val="18"/>
          <w:szCs w:val="18"/>
          <w:color w:val="auto"/>
        </w:rPr>
      </w:pPr>
    </w:p>
    <w:p>
      <w:pPr>
        <w:ind w:left="1031" w:hanging="383"/>
        <w:spacing w:after="0"/>
        <w:tabs>
          <w:tab w:leader="none" w:pos="1031" w:val="left"/>
        </w:tabs>
        <w:numPr>
          <w:ilvl w:val="2"/>
          <w:numId w:val="87"/>
        </w:numPr>
        <w:rPr>
          <w:rFonts w:ascii="Arial" w:cs="Arial" w:eastAsia="Arial" w:hAnsi="Arial"/>
          <w:sz w:val="18"/>
          <w:szCs w:val="18"/>
          <w:color w:val="auto"/>
        </w:rPr>
      </w:pPr>
      <w:r>
        <w:rPr>
          <w:rFonts w:ascii="Arial" w:cs="Arial" w:eastAsia="Arial" w:hAnsi="Arial"/>
          <w:sz w:val="18"/>
          <w:szCs w:val="18"/>
          <w:color w:val="auto"/>
        </w:rPr>
        <w:t>Each grant will specify an Option Price per share, which may not be less than the Market Value Per Share on the Date of Grant.</w:t>
      </w:r>
    </w:p>
    <w:p>
      <w:pPr>
        <w:sectPr>
          <w:pgSz w:w="11900" w:h="16838" w:orient="portrait"/>
          <w:cols w:equalWidth="0" w:num="1">
            <w:col w:w="11331"/>
          </w:cols>
          <w:pgMar w:left="329" w:top="800" w:right="239" w:bottom="1440" w:gutter="0" w:footer="0" w:header="0"/>
        </w:sectPr>
      </w:pPr>
    </w:p>
    <w:bookmarkStart w:id="131" w:name="page132"/>
    <w:bookmarkEnd w:id="131"/>
    <w:p>
      <w:pPr>
        <w:ind w:right="160" w:firstLine="657"/>
        <w:spacing w:after="0" w:line="276" w:lineRule="auto"/>
        <w:tabs>
          <w:tab w:leader="none" w:pos="1028" w:val="left"/>
        </w:tabs>
        <w:numPr>
          <w:ilvl w:val="1"/>
          <w:numId w:val="88"/>
        </w:numPr>
        <w:rPr>
          <w:rFonts w:ascii="Arial" w:cs="Arial" w:eastAsia="Arial" w:hAnsi="Arial"/>
          <w:sz w:val="17"/>
          <w:szCs w:val="17"/>
          <w:color w:val="auto"/>
        </w:rPr>
      </w:pPr>
      <w:r>
        <w:rPr>
          <w:rFonts w:ascii="Arial" w:cs="Arial" w:eastAsia="Arial" w:hAnsi="Arial"/>
          <w:sz w:val="17"/>
          <w:szCs w:val="17"/>
          <w:color w:val="auto"/>
        </w:rPr>
        <w:t>Each grant will specify whether the Option Price will be payable (i) in cash or by check acceptable to Inseego or by wire transfer of immediately available funds, (ii) by the actual or constructive transfer to Inseego of Shares owned by the Optionee (or other consideration authorized pursuant to Section 4(d)) having a value at the time of exercise equal to the total Option Price, (iii) by withholding by Inseego from the Shares otherwise deliverable to the Optionee upon the exercise of such Option, a number of Shares having a value at the time of exercise equal to the total Option Price, (iv) by a combination of such methods of payment, or (v) by such other methods as may be approved by the Board.</w:t>
      </w:r>
    </w:p>
    <w:p>
      <w:pPr>
        <w:spacing w:after="0" w:line="172" w:lineRule="exact"/>
        <w:rPr>
          <w:rFonts w:ascii="Arial" w:cs="Arial" w:eastAsia="Arial" w:hAnsi="Arial"/>
          <w:sz w:val="17"/>
          <w:szCs w:val="17"/>
          <w:color w:val="auto"/>
        </w:rPr>
      </w:pPr>
    </w:p>
    <w:p>
      <w:pPr>
        <w:ind w:right="200" w:firstLine="657"/>
        <w:spacing w:after="0" w:line="277" w:lineRule="auto"/>
        <w:tabs>
          <w:tab w:leader="none" w:pos="10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deferred payment of the Option Price from the proceeds of sale through a bank or broker on a date satisfactory to Inseego of some or all of the Shares to which such exercise relates.</w:t>
      </w:r>
    </w:p>
    <w:p>
      <w:pPr>
        <w:spacing w:after="0" w:line="170" w:lineRule="exact"/>
        <w:rPr>
          <w:rFonts w:ascii="Arial" w:cs="Arial" w:eastAsia="Arial" w:hAnsi="Arial"/>
          <w:sz w:val="18"/>
          <w:szCs w:val="18"/>
          <w:color w:val="auto"/>
        </w:rPr>
      </w:pPr>
    </w:p>
    <w:p>
      <w:pPr>
        <w:ind w:left="1040" w:hanging="383"/>
        <w:spacing w:after="0"/>
        <w:tabs>
          <w:tab w:leader="none" w:pos="10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Successive grants may be made to the same Participant whether or not any Option Rights previously granted to such Participant remain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unexercised.</w:t>
      </w:r>
    </w:p>
    <w:p>
      <w:pPr>
        <w:spacing w:after="0" w:line="210" w:lineRule="exact"/>
        <w:rPr>
          <w:rFonts w:ascii="Arial" w:cs="Arial" w:eastAsia="Arial" w:hAnsi="Arial"/>
          <w:sz w:val="17"/>
          <w:szCs w:val="17"/>
          <w:color w:val="auto"/>
        </w:rPr>
      </w:pPr>
    </w:p>
    <w:p>
      <w:pPr>
        <w:ind w:right="40" w:firstLine="657"/>
        <w:spacing w:after="0" w:line="277" w:lineRule="auto"/>
        <w:tabs>
          <w:tab w:leader="none" w:pos="1008" w:val="left"/>
        </w:tabs>
        <w:numPr>
          <w:ilvl w:val="1"/>
          <w:numId w:val="88"/>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Optionee with Inseego or any Subsidiary that is necessary before the Option Rights or installments thereof will become exercisable.</w:t>
      </w:r>
    </w:p>
    <w:p>
      <w:pPr>
        <w:spacing w:after="0" w:line="170" w:lineRule="exact"/>
        <w:rPr>
          <w:rFonts w:ascii="Arial" w:cs="Arial" w:eastAsia="Arial" w:hAnsi="Arial"/>
          <w:sz w:val="18"/>
          <w:szCs w:val="18"/>
          <w:color w:val="auto"/>
        </w:rPr>
      </w:pPr>
    </w:p>
    <w:p>
      <w:pPr>
        <w:ind w:left="1040" w:hanging="383"/>
        <w:spacing w:after="0"/>
        <w:tabs>
          <w:tab w:leader="none" w:pos="10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Any grant of Option Rights may specify Management Objectives that must be achieved as a condition to the exercise of such rights.</w:t>
      </w:r>
    </w:p>
    <w:p>
      <w:pPr>
        <w:spacing w:after="0" w:line="236" w:lineRule="exact"/>
        <w:rPr>
          <w:rFonts w:ascii="Arial" w:cs="Arial" w:eastAsia="Arial" w:hAnsi="Arial"/>
          <w:sz w:val="17"/>
          <w:szCs w:val="17"/>
          <w:color w:val="auto"/>
        </w:rPr>
      </w:pPr>
    </w:p>
    <w:p>
      <w:pPr>
        <w:ind w:firstLine="657"/>
        <w:spacing w:after="0" w:line="255" w:lineRule="auto"/>
        <w:tabs>
          <w:tab w:leader="none" w:pos="1038" w:val="left"/>
        </w:tabs>
        <w:numPr>
          <w:ilvl w:val="1"/>
          <w:numId w:val="88"/>
        </w:numPr>
        <w:rPr>
          <w:rFonts w:ascii="Arial" w:cs="Arial" w:eastAsia="Arial" w:hAnsi="Arial"/>
          <w:sz w:val="18"/>
          <w:szCs w:val="18"/>
          <w:color w:val="auto"/>
        </w:rPr>
      </w:pPr>
      <w:r>
        <w:rPr>
          <w:rFonts w:ascii="Arial" w:cs="Arial" w:eastAsia="Arial" w:hAnsi="Arial"/>
          <w:sz w:val="18"/>
          <w:szCs w:val="18"/>
          <w:color w:val="auto"/>
        </w:rPr>
        <w:t>Option Rights granted under the Plan may be (i) Incentive Stock Options (but only as replacement options in connection with a merger or acquisition or similar transaction), (ii) options that are not intended to qualify as Incentive Stock Options, or (iii) combinations of the foregoing. Incentive Stock Options may only be granted to individuals entitled to receive them under the relevant provisions of the Internal Revenue Code. Any Option Right designated as an Incentive Stock Option will not be an Incentive Stock Option to the extent the Option Right fails to meet the requirements of Section 422 of the Code. Each grant will specify whether the Option Right is an Incentive Stock Option or an option that is not intended to qualify as an Incentive Stock Option.</w:t>
      </w:r>
    </w:p>
    <w:p>
      <w:pPr>
        <w:spacing w:after="0" w:line="193" w:lineRule="exact"/>
        <w:rPr>
          <w:rFonts w:ascii="Arial" w:cs="Arial" w:eastAsia="Arial" w:hAnsi="Arial"/>
          <w:sz w:val="18"/>
          <w:szCs w:val="18"/>
          <w:color w:val="auto"/>
        </w:rPr>
      </w:pPr>
    </w:p>
    <w:p>
      <w:pPr>
        <w:ind w:right="60" w:firstLine="657"/>
        <w:spacing w:after="0" w:line="273" w:lineRule="auto"/>
        <w:tabs>
          <w:tab w:leader="none" w:pos="995"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The Board may substitute, without receiving Participant permission, Appreciation Rights payable only in Shares (or Appreciation Rights payable in Shares or cash, or a combination of both, at the Board’s discretion) for outstanding Option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terms of the substituted Appreciation Rights are substantially the same as the terms for the Option Rights at the date of substitution and the difference between the Market Value Per Share of the underlying Shares and the Base Price of the Appreciation Rights is equivalent to the difference between the Market Value Per Share of the underlying Shares and the Option Price of the Option Rights. If the Board determines, based upon advice from Inseego’s accountants, that this provision creates adverse accounting consequences for Inseego, it shall be considered null and void.</w:t>
      </w:r>
    </w:p>
    <w:p>
      <w:pPr>
        <w:spacing w:after="0" w:line="178" w:lineRule="exact"/>
        <w:rPr>
          <w:rFonts w:ascii="Arial" w:cs="Arial" w:eastAsia="Arial" w:hAnsi="Arial"/>
          <w:sz w:val="17"/>
          <w:szCs w:val="17"/>
          <w:color w:val="auto"/>
        </w:rPr>
      </w:pPr>
    </w:p>
    <w:p>
      <w:pPr>
        <w:ind w:left="1000" w:hanging="343"/>
        <w:spacing w:after="0"/>
        <w:tabs>
          <w:tab w:leader="none" w:pos="10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 Option Right will be exercisable more than 10 years from the Date of Grant.</w:t>
      </w:r>
    </w:p>
    <w:p>
      <w:pPr>
        <w:spacing w:after="0" w:line="225" w:lineRule="exact"/>
        <w:rPr>
          <w:rFonts w:ascii="Arial" w:cs="Arial" w:eastAsia="Arial" w:hAnsi="Arial"/>
          <w:sz w:val="18"/>
          <w:szCs w:val="18"/>
          <w:color w:val="auto"/>
        </w:rPr>
      </w:pPr>
    </w:p>
    <w:p>
      <w:pPr>
        <w:ind w:left="1040" w:hanging="383"/>
        <w:spacing w:after="0"/>
        <w:tabs>
          <w:tab w:leader="none" w:pos="10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No grant of Option Rights may provide for dividends, dividend equivalents or other similar distributions to be paid on such Option Rights.</w:t>
      </w:r>
    </w:p>
    <w:p>
      <w:pPr>
        <w:spacing w:after="0" w:line="232" w:lineRule="exact"/>
        <w:rPr>
          <w:rFonts w:ascii="Arial" w:cs="Arial" w:eastAsia="Arial" w:hAnsi="Arial"/>
          <w:sz w:val="17"/>
          <w:szCs w:val="17"/>
          <w:color w:val="auto"/>
        </w:rPr>
      </w:pPr>
    </w:p>
    <w:p>
      <w:pPr>
        <w:ind w:left="40" w:right="660" w:hanging="4"/>
        <w:spacing w:after="0" w:line="282" w:lineRule="auto"/>
        <w:tabs>
          <w:tab w:leader="none" w:pos="355"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Appreciation Rights. </w:t>
      </w:r>
      <w:r>
        <w:rPr>
          <w:rFonts w:ascii="Arial" w:cs="Arial" w:eastAsia="Arial" w:hAnsi="Arial"/>
          <w:sz w:val="18"/>
          <w:szCs w:val="18"/>
          <w:color w:val="auto"/>
        </w:rPr>
        <w:t>The Board may, from time to time, authorize the granting to any Participant of Appreciation Rights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consistent with the following provisions as it may determine:</w:t>
      </w:r>
    </w:p>
    <w:p>
      <w:pPr>
        <w:spacing w:after="0" w:line="165" w:lineRule="exact"/>
        <w:rPr>
          <w:rFonts w:ascii="Arial" w:cs="Arial" w:eastAsia="Arial" w:hAnsi="Arial"/>
          <w:sz w:val="18"/>
          <w:szCs w:val="18"/>
          <w:b w:val="1"/>
          <w:bCs w:val="1"/>
          <w:color w:val="auto"/>
        </w:rPr>
      </w:pPr>
    </w:p>
    <w:p>
      <w:pPr>
        <w:ind w:left="40" w:right="80" w:firstLine="644"/>
        <w:spacing w:after="0" w:line="277" w:lineRule="auto"/>
        <w:tabs>
          <w:tab w:leader="none" w:pos="1058"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 Appreciation Right will be a right of the Participant to receive from Inseego an amount determined by the Board, which will be expressed as a percentage of the Spread (not exceeding 100 percent) at the time of exercise.</w:t>
      </w:r>
    </w:p>
    <w:p>
      <w:pPr>
        <w:spacing w:after="0" w:line="170" w:lineRule="exact"/>
        <w:rPr>
          <w:rFonts w:ascii="Arial" w:cs="Arial" w:eastAsia="Arial" w:hAnsi="Arial"/>
          <w:sz w:val="18"/>
          <w:szCs w:val="18"/>
          <w:color w:val="auto"/>
        </w:rPr>
      </w:pPr>
    </w:p>
    <w:p>
      <w:pPr>
        <w:ind w:left="1080" w:hanging="396"/>
        <w:spacing w:after="0"/>
        <w:tabs>
          <w:tab w:leader="none" w:pos="10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Each grant will specify the Base Price, which may not be less than the Market Value Per Share on the Date of Grant.</w:t>
      </w:r>
    </w:p>
    <w:p>
      <w:pPr>
        <w:spacing w:after="0" w:line="225" w:lineRule="exact"/>
        <w:rPr>
          <w:rFonts w:ascii="Arial" w:cs="Arial" w:eastAsia="Arial" w:hAnsi="Arial"/>
          <w:sz w:val="18"/>
          <w:szCs w:val="18"/>
          <w:color w:val="auto"/>
        </w:rPr>
      </w:pPr>
    </w:p>
    <w:p>
      <w:pPr>
        <w:ind w:left="40" w:right="400" w:firstLine="644"/>
        <w:spacing w:after="0" w:line="277" w:lineRule="auto"/>
        <w:tabs>
          <w:tab w:leader="none" w:pos="1058"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be paid by Inseego in cash, in Shares or in any combination thereof and may retain for the Board the right to elect among those alternatives.</w:t>
      </w:r>
    </w:p>
    <w:p>
      <w:pPr>
        <w:spacing w:after="0" w:line="170" w:lineRule="exact"/>
        <w:rPr>
          <w:rFonts w:ascii="Arial" w:cs="Arial" w:eastAsia="Arial" w:hAnsi="Arial"/>
          <w:sz w:val="18"/>
          <w:szCs w:val="18"/>
          <w:color w:val="auto"/>
        </w:rPr>
      </w:pPr>
    </w:p>
    <w:p>
      <w:pPr>
        <w:ind w:left="1060" w:hanging="376"/>
        <w:spacing w:after="0"/>
        <w:tabs>
          <w:tab w:leader="none" w:pos="106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not</w:t>
      </w:r>
    </w:p>
    <w:p>
      <w:pPr>
        <w:sectPr>
          <w:pgSz w:w="11900" w:h="16838" w:orient="portrait"/>
          <w:cols w:equalWidth="0" w:num="1">
            <w:col w:w="11320"/>
          </w:cols>
          <w:pgMar w:left="320" w:top="584" w:right="259" w:bottom="1440" w:gutter="0" w:footer="0" w:header="0"/>
        </w:sectPr>
      </w:pPr>
    </w:p>
    <w:bookmarkStart w:id="132" w:name="page133"/>
    <w:bookmarkEnd w:id="132"/>
    <w:p>
      <w:pPr>
        <w:ind w:left="4"/>
        <w:spacing w:after="0"/>
        <w:rPr>
          <w:sz w:val="20"/>
          <w:szCs w:val="20"/>
          <w:color w:val="auto"/>
        </w:rPr>
      </w:pPr>
      <w:r>
        <w:rPr>
          <w:rFonts w:ascii="Arial" w:cs="Arial" w:eastAsia="Arial" w:hAnsi="Arial"/>
          <w:sz w:val="18"/>
          <w:szCs w:val="18"/>
          <w:color w:val="auto"/>
        </w:rPr>
        <w:t>exceed a maximum specified by the Board at the Date of Grant.</w:t>
      </w:r>
    </w:p>
    <w:p>
      <w:pPr>
        <w:spacing w:after="0" w:line="225" w:lineRule="exact"/>
        <w:rPr>
          <w:sz w:val="20"/>
          <w:szCs w:val="20"/>
          <w:color w:val="auto"/>
        </w:rPr>
      </w:pPr>
    </w:p>
    <w:p>
      <w:pPr>
        <w:ind w:left="1024" w:hanging="376"/>
        <w:spacing w:after="0"/>
        <w:tabs>
          <w:tab w:leader="none" w:pos="1024"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grant may specify waiting periods before exercise and permissible exercise dates or periods.</w:t>
      </w:r>
    </w:p>
    <w:p>
      <w:pPr>
        <w:spacing w:after="0" w:line="225" w:lineRule="exact"/>
        <w:rPr>
          <w:rFonts w:ascii="Arial" w:cs="Arial" w:eastAsia="Arial" w:hAnsi="Arial"/>
          <w:sz w:val="18"/>
          <w:szCs w:val="18"/>
          <w:color w:val="auto"/>
        </w:rPr>
      </w:pPr>
    </w:p>
    <w:p>
      <w:pPr>
        <w:ind w:left="4" w:right="180" w:firstLine="644"/>
        <w:spacing w:after="0" w:line="277" w:lineRule="auto"/>
        <w:tabs>
          <w:tab w:leader="none" w:pos="1012" w:val="left"/>
        </w:tabs>
        <w:numPr>
          <w:ilvl w:val="1"/>
          <w:numId w:val="90"/>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Participant with Inseego or any Subsidiary that is necessary before such Appreciation Right or installments thereof will become exercisable.</w:t>
      </w:r>
    </w:p>
    <w:p>
      <w:pPr>
        <w:spacing w:after="0" w:line="170" w:lineRule="exact"/>
        <w:rPr>
          <w:rFonts w:ascii="Arial" w:cs="Arial" w:eastAsia="Arial" w:hAnsi="Arial"/>
          <w:sz w:val="18"/>
          <w:szCs w:val="18"/>
          <w:color w:val="auto"/>
        </w:rPr>
      </w:pPr>
    </w:p>
    <w:p>
      <w:pPr>
        <w:ind w:left="4" w:right="820" w:firstLine="644"/>
        <w:spacing w:after="0" w:line="277" w:lineRule="auto"/>
        <w:tabs>
          <w:tab w:leader="none" w:pos="1032"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grant of Appreciation Rights may specify Management Objectives that must be achieved as a condition of the exercise of such Appreciation Rights.</w:t>
      </w:r>
    </w:p>
    <w:p>
      <w:pPr>
        <w:spacing w:after="0" w:line="170" w:lineRule="exact"/>
        <w:rPr>
          <w:rFonts w:ascii="Arial" w:cs="Arial" w:eastAsia="Arial" w:hAnsi="Arial"/>
          <w:sz w:val="18"/>
          <w:szCs w:val="18"/>
          <w:color w:val="auto"/>
        </w:rPr>
      </w:pPr>
    </w:p>
    <w:p>
      <w:pPr>
        <w:ind w:left="4" w:right="240" w:firstLine="644"/>
        <w:spacing w:after="0" w:line="277" w:lineRule="auto"/>
        <w:tabs>
          <w:tab w:leader="none" w:pos="1042" w:val="left"/>
        </w:tabs>
        <w:numPr>
          <w:ilvl w:val="1"/>
          <w:numId w:val="90"/>
        </w:numPr>
        <w:rPr>
          <w:rFonts w:ascii="Arial" w:cs="Arial" w:eastAsia="Arial" w:hAnsi="Arial"/>
          <w:sz w:val="18"/>
          <w:szCs w:val="18"/>
          <w:color w:val="auto"/>
        </w:rPr>
      </w:pPr>
      <w:r>
        <w:rPr>
          <w:rFonts w:ascii="Arial" w:cs="Arial" w:eastAsia="Arial" w:hAnsi="Arial"/>
          <w:sz w:val="18"/>
          <w:szCs w:val="18"/>
          <w:color w:val="auto"/>
        </w:rPr>
        <w:t>Successive grants may be made to the same Participant regardless of whether any Appreciation Rights previously granted to the Participant remain unexercised.</w:t>
      </w:r>
    </w:p>
    <w:p>
      <w:pPr>
        <w:spacing w:after="0" w:line="170" w:lineRule="exact"/>
        <w:rPr>
          <w:rFonts w:ascii="Arial" w:cs="Arial" w:eastAsia="Arial" w:hAnsi="Arial"/>
          <w:sz w:val="18"/>
          <w:szCs w:val="18"/>
          <w:color w:val="auto"/>
        </w:rPr>
      </w:pPr>
    </w:p>
    <w:p>
      <w:pPr>
        <w:ind w:left="1004" w:hanging="356"/>
        <w:spacing w:after="0"/>
        <w:tabs>
          <w:tab w:leader="none" w:pos="1004"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 Appreciation Right granted under the Plan may be exercised more than 10 years from the Date of Grant.</w:t>
      </w:r>
    </w:p>
    <w:p>
      <w:pPr>
        <w:spacing w:after="0" w:line="225" w:lineRule="exact"/>
        <w:rPr>
          <w:rFonts w:ascii="Arial" w:cs="Arial" w:eastAsia="Arial" w:hAnsi="Arial"/>
          <w:sz w:val="18"/>
          <w:szCs w:val="18"/>
          <w:color w:val="auto"/>
        </w:rPr>
      </w:pPr>
    </w:p>
    <w:p>
      <w:pPr>
        <w:ind w:left="1004" w:hanging="356"/>
        <w:spacing w:after="0"/>
        <w:tabs>
          <w:tab w:leader="none" w:pos="1004"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 grant of Appreciation Rights may provide for dividends, dividend equivalents or other similar distributions to be paid on such Appreciation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74" w:lineRule="exact"/>
        <w:rPr>
          <w:rFonts w:ascii="Arial" w:cs="Arial" w:eastAsia="Arial" w:hAnsi="Arial"/>
          <w:sz w:val="16"/>
          <w:szCs w:val="16"/>
          <w:color w:val="auto"/>
        </w:rPr>
      </w:pPr>
    </w:p>
    <w:p>
      <w:pPr>
        <w:ind w:left="4" w:right="680" w:hanging="4"/>
        <w:spacing w:after="0" w:line="282" w:lineRule="auto"/>
        <w:tabs>
          <w:tab w:leader="none" w:pos="319"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The Board may, from time to time, authorize the granting of Restricted Stock to Participants upon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following provisions as it may determine:</w:t>
      </w:r>
    </w:p>
    <w:p>
      <w:pPr>
        <w:spacing w:after="0" w:line="165" w:lineRule="exact"/>
        <w:rPr>
          <w:rFonts w:ascii="Arial" w:cs="Arial" w:eastAsia="Arial" w:hAnsi="Arial"/>
          <w:sz w:val="18"/>
          <w:szCs w:val="18"/>
          <w:b w:val="1"/>
          <w:bCs w:val="1"/>
          <w:color w:val="auto"/>
        </w:rPr>
      </w:pPr>
    </w:p>
    <w:p>
      <w:pPr>
        <w:ind w:left="4" w:right="160" w:firstLine="644"/>
        <w:spacing w:after="0" w:line="312" w:lineRule="auto"/>
        <w:tabs>
          <w:tab w:leader="none" w:pos="1032" w:val="left"/>
        </w:tabs>
        <w:numPr>
          <w:ilvl w:val="1"/>
          <w:numId w:val="91"/>
        </w:numPr>
        <w:rPr>
          <w:rFonts w:ascii="Arial" w:cs="Arial" w:eastAsia="Arial" w:hAnsi="Arial"/>
          <w:sz w:val="16"/>
          <w:szCs w:val="16"/>
          <w:color w:val="auto"/>
        </w:rPr>
      </w:pPr>
      <w:r>
        <w:rPr>
          <w:rFonts w:ascii="Arial" w:cs="Arial" w:eastAsia="Arial" w:hAnsi="Arial"/>
          <w:sz w:val="16"/>
          <w:szCs w:val="16"/>
          <w:color w:val="auto"/>
        </w:rPr>
        <w:t>Each such grant will constitute an immediate transfer of the ownership of Shares to the Participant in consideration of the performance of services, entitling such Participant to voting, dividend and other ownership rights, but such rights shall be subject to such restrictions and the fulfillment of such conditions (which may include the achievement of Management Objectives) during the Restriction Period as the Board may determine.</w:t>
      </w:r>
    </w:p>
    <w:p>
      <w:pPr>
        <w:spacing w:after="0" w:line="146" w:lineRule="exact"/>
        <w:rPr>
          <w:rFonts w:ascii="Arial" w:cs="Arial" w:eastAsia="Arial" w:hAnsi="Arial"/>
          <w:sz w:val="16"/>
          <w:szCs w:val="16"/>
          <w:color w:val="auto"/>
        </w:rPr>
      </w:pPr>
    </w:p>
    <w:p>
      <w:pPr>
        <w:ind w:left="4" w:right="520" w:firstLine="644"/>
        <w:spacing w:after="0" w:line="277" w:lineRule="auto"/>
        <w:tabs>
          <w:tab w:leader="none" w:pos="1042" w:val="left"/>
        </w:tabs>
        <w:numPr>
          <w:ilvl w:val="1"/>
          <w:numId w:val="91"/>
        </w:numPr>
        <w:rPr>
          <w:rFonts w:ascii="Arial" w:cs="Arial" w:eastAsia="Arial" w:hAnsi="Arial"/>
          <w:sz w:val="18"/>
          <w:szCs w:val="18"/>
          <w:color w:val="auto"/>
        </w:rPr>
      </w:pPr>
      <w:r>
        <w:rPr>
          <w:rFonts w:ascii="Arial" w:cs="Arial" w:eastAsia="Arial" w:hAnsi="Arial"/>
          <w:sz w:val="18"/>
          <w:szCs w:val="18"/>
          <w:color w:val="auto"/>
        </w:rPr>
        <w:t>Each such grant may be made without additional consideration or in consideration of a payment by such Participant that is less than the Market Value Per Share at the Date of Grant.</w:t>
      </w:r>
    </w:p>
    <w:p>
      <w:pPr>
        <w:spacing w:after="0" w:line="170" w:lineRule="exact"/>
        <w:rPr>
          <w:rFonts w:ascii="Arial" w:cs="Arial" w:eastAsia="Arial" w:hAnsi="Arial"/>
          <w:sz w:val="18"/>
          <w:szCs w:val="18"/>
          <w:color w:val="auto"/>
        </w:rPr>
      </w:pPr>
    </w:p>
    <w:p>
      <w:pPr>
        <w:ind w:left="4" w:right="180" w:firstLine="644"/>
        <w:spacing w:after="0" w:line="264" w:lineRule="auto"/>
        <w:tabs>
          <w:tab w:leader="none" w:pos="1032" w:val="left"/>
        </w:tabs>
        <w:numPr>
          <w:ilvl w:val="1"/>
          <w:numId w:val="91"/>
        </w:numPr>
        <w:rPr>
          <w:rFonts w:ascii="Arial" w:cs="Arial" w:eastAsia="Arial" w:hAnsi="Arial"/>
          <w:sz w:val="18"/>
          <w:szCs w:val="18"/>
          <w:color w:val="auto"/>
        </w:rPr>
      </w:pPr>
      <w:r>
        <w:rPr>
          <w:rFonts w:ascii="Arial" w:cs="Arial" w:eastAsia="Arial" w:hAnsi="Arial"/>
          <w:sz w:val="18"/>
          <w:szCs w:val="18"/>
          <w:color w:val="auto"/>
        </w:rPr>
        <w:t>Each such grant will provide that the Restricted Stock covered by such grant that vests upon the passage of time will be subject to a “substantial risk of forfeiture” within the meaning of Section 83 of the Code for a Restriction Period to be determined by the Board at the Date of Grant or upon achievement of Management Objectives referred to in subparagraph (e) below.</w:t>
      </w:r>
    </w:p>
    <w:p>
      <w:pPr>
        <w:spacing w:after="0" w:line="181" w:lineRule="exact"/>
        <w:rPr>
          <w:rFonts w:ascii="Arial" w:cs="Arial" w:eastAsia="Arial" w:hAnsi="Arial"/>
          <w:sz w:val="18"/>
          <w:szCs w:val="18"/>
          <w:color w:val="auto"/>
        </w:rPr>
      </w:pPr>
    </w:p>
    <w:p>
      <w:pPr>
        <w:ind w:left="4" w:right="140" w:firstLine="644"/>
        <w:spacing w:after="0" w:line="259" w:lineRule="auto"/>
        <w:tabs>
          <w:tab w:leader="none" w:pos="1042" w:val="left"/>
        </w:tabs>
        <w:numPr>
          <w:ilvl w:val="1"/>
          <w:numId w:val="91"/>
        </w:numPr>
        <w:rPr>
          <w:rFonts w:ascii="Arial" w:cs="Arial" w:eastAsia="Arial" w:hAnsi="Arial"/>
          <w:sz w:val="18"/>
          <w:szCs w:val="18"/>
          <w:color w:val="auto"/>
        </w:rPr>
      </w:pPr>
      <w:r>
        <w:rPr>
          <w:rFonts w:ascii="Arial" w:cs="Arial" w:eastAsia="Arial" w:hAnsi="Arial"/>
          <w:sz w:val="18"/>
          <w:szCs w:val="18"/>
          <w:color w:val="auto"/>
        </w:rPr>
        <w:t>Each such grant will provide that during, and may provide that after, the Restriction Period, the transferability of the Restricted Stock will be prohibited or restricted in the manner and to the extent prescribed by the Board at the Date of Grant (which restrictions may include, without limitation, rights of repurchase or first refusal in Inseego or provisions subjecting the Restricted Stock to a continuing substantial risk of forfeiture in the hands of any transferee).</w:t>
      </w:r>
    </w:p>
    <w:p>
      <w:pPr>
        <w:spacing w:after="0" w:line="186" w:lineRule="exact"/>
        <w:rPr>
          <w:rFonts w:ascii="Arial" w:cs="Arial" w:eastAsia="Arial" w:hAnsi="Arial"/>
          <w:sz w:val="18"/>
          <w:szCs w:val="18"/>
          <w:color w:val="auto"/>
        </w:rPr>
      </w:pPr>
    </w:p>
    <w:p>
      <w:pPr>
        <w:ind w:left="4" w:right="400" w:firstLine="644"/>
        <w:spacing w:after="0" w:line="277" w:lineRule="auto"/>
        <w:tabs>
          <w:tab w:leader="none" w:pos="102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grant of Restricted Stock may specify Management Objectives that, if achieved, will result in termination or early termination of the restrictions applicable to such Restricted Stock.</w:t>
      </w:r>
    </w:p>
    <w:p>
      <w:pPr>
        <w:spacing w:after="0" w:line="170" w:lineRule="exact"/>
        <w:rPr>
          <w:rFonts w:ascii="Arial" w:cs="Arial" w:eastAsia="Arial" w:hAnsi="Arial"/>
          <w:sz w:val="18"/>
          <w:szCs w:val="18"/>
          <w:color w:val="auto"/>
        </w:rPr>
      </w:pPr>
    </w:p>
    <w:p>
      <w:pPr>
        <w:ind w:left="4" w:right="200" w:firstLine="644"/>
        <w:spacing w:after="0" w:line="264" w:lineRule="auto"/>
        <w:tabs>
          <w:tab w:leader="none" w:pos="1012"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any grant of Restricted Stock may provide for the earlier termination of restrictions on such Restricted Stock in the event of the retirement, death or disability, or other termination of employment of a Participant, or a Change in Control.</w:t>
      </w:r>
    </w:p>
    <w:p>
      <w:pPr>
        <w:spacing w:after="0" w:line="181" w:lineRule="exact"/>
        <w:rPr>
          <w:rFonts w:ascii="Arial" w:cs="Arial" w:eastAsia="Arial" w:hAnsi="Arial"/>
          <w:sz w:val="18"/>
          <w:szCs w:val="18"/>
          <w:color w:val="auto"/>
        </w:rPr>
      </w:pPr>
    </w:p>
    <w:p>
      <w:pPr>
        <w:ind w:left="4" w:firstLine="644"/>
        <w:spacing w:after="0" w:line="279" w:lineRule="auto"/>
        <w:tabs>
          <w:tab w:leader="none" w:pos="1032"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Any such grant of Restricted Stock may require that any or all dividends or other distributions paid thereon during the Restriction Period be automatically deferred and reinvested in additional shares of Restricted Stock or paid in cash, which may be subject to the same restrictions as the underlying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dividends or other distributions on Restricted Stock subject to Management Objectives shall be deferred and paid in cash upon the achievement of the applicable Management Objectives and the lapse of all restrictions on such Restricted Stock.</w:t>
      </w:r>
    </w:p>
    <w:p>
      <w:pPr>
        <w:spacing w:after="0" w:line="171" w:lineRule="exact"/>
        <w:rPr>
          <w:rFonts w:ascii="Arial" w:cs="Arial" w:eastAsia="Arial" w:hAnsi="Arial"/>
          <w:sz w:val="17"/>
          <w:szCs w:val="17"/>
          <w:color w:val="auto"/>
        </w:rPr>
      </w:pPr>
    </w:p>
    <w:p>
      <w:pPr>
        <w:ind w:left="4" w:right="140" w:firstLine="644"/>
        <w:spacing w:after="0" w:line="264" w:lineRule="auto"/>
        <w:tabs>
          <w:tab w:leader="none" w:pos="1042" w:val="left"/>
        </w:tabs>
        <w:numPr>
          <w:ilvl w:val="1"/>
          <w:numId w:val="91"/>
        </w:numPr>
        <w:rPr>
          <w:rFonts w:ascii="Arial" w:cs="Arial" w:eastAsia="Arial" w:hAnsi="Arial"/>
          <w:sz w:val="18"/>
          <w:szCs w:val="18"/>
          <w:color w:val="auto"/>
        </w:rPr>
      </w:pPr>
      <w:r>
        <w:rPr>
          <w:rFonts w:ascii="Arial" w:cs="Arial" w:eastAsia="Arial" w:hAnsi="Arial"/>
          <w:sz w:val="18"/>
          <w:szCs w:val="18"/>
          <w:color w:val="auto"/>
        </w:rPr>
        <w:t>Unless otherwise directed by the Board, (i) all certificates representing shares of Restricted Stock will be held in custody by Inseego until all restrictions thereon will have lapsed, together with a stock power or powers executed by the Participant in whose name such certificates are registered, endorsed in blank and covering</w:t>
      </w:r>
    </w:p>
    <w:p>
      <w:pPr>
        <w:sectPr>
          <w:pgSz w:w="11900" w:h="16838" w:orient="portrait"/>
          <w:cols w:equalWidth="0" w:num="1">
            <w:col w:w="11304"/>
          </w:cols>
          <w:pgMar w:left="356" w:top="584" w:right="239" w:bottom="1440" w:gutter="0" w:footer="0" w:header="0"/>
        </w:sectPr>
      </w:pPr>
    </w:p>
    <w:bookmarkStart w:id="133" w:name="page134"/>
    <w:bookmarkEnd w:id="133"/>
    <w:p>
      <w:pPr>
        <w:ind w:left="4" w:right="400"/>
        <w:spacing w:after="0" w:line="277" w:lineRule="auto"/>
        <w:rPr>
          <w:sz w:val="20"/>
          <w:szCs w:val="20"/>
          <w:color w:val="auto"/>
        </w:rPr>
      </w:pPr>
      <w:r>
        <w:rPr>
          <w:rFonts w:ascii="Arial" w:cs="Arial" w:eastAsia="Arial" w:hAnsi="Arial"/>
          <w:sz w:val="18"/>
          <w:szCs w:val="18"/>
          <w:color w:val="auto"/>
        </w:rPr>
        <w:t>such Shares, or (ii) all shares of Restricted Stock will be held at Inseego’s transfer agent in book entry form with appropriate restrictions relating to the transfer of such shares of Restricted Stock.</w:t>
      </w:r>
    </w:p>
    <w:p>
      <w:pPr>
        <w:spacing w:after="0" w:line="166" w:lineRule="exact"/>
        <w:rPr>
          <w:sz w:val="20"/>
          <w:szCs w:val="20"/>
          <w:color w:val="auto"/>
        </w:rPr>
      </w:pPr>
    </w:p>
    <w:p>
      <w:pPr>
        <w:ind w:left="4" w:right="520" w:hanging="4"/>
        <w:spacing w:after="0" w:line="282" w:lineRule="auto"/>
        <w:tabs>
          <w:tab w:leader="none" w:pos="319"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The Board may, from time to time, authorize the granting of Restricted Stock Units to Participants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consistent with the following provisions as it may determine:</w:t>
      </w:r>
    </w:p>
    <w:p>
      <w:pPr>
        <w:spacing w:after="0" w:line="165" w:lineRule="exact"/>
        <w:rPr>
          <w:rFonts w:ascii="Arial" w:cs="Arial" w:eastAsia="Arial" w:hAnsi="Arial"/>
          <w:sz w:val="18"/>
          <w:szCs w:val="18"/>
          <w:b w:val="1"/>
          <w:bCs w:val="1"/>
          <w:color w:val="auto"/>
        </w:rPr>
      </w:pPr>
    </w:p>
    <w:p>
      <w:pPr>
        <w:ind w:left="4" w:right="440" w:firstLine="644"/>
        <w:spacing w:after="0" w:line="264" w:lineRule="auto"/>
        <w:tabs>
          <w:tab w:leader="none" w:pos="10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such grant will constitute the agreement by Inseego to deliver Shares or cash to the Participant in the future in consideration of the performance of services, but subject to such restrictions and the fulfillment of such conditions (which may include the achievement of Management Objectives) during the Restriction Period as the Board may specify.</w:t>
      </w:r>
    </w:p>
    <w:p>
      <w:pPr>
        <w:spacing w:after="0" w:line="181" w:lineRule="exact"/>
        <w:rPr>
          <w:rFonts w:ascii="Arial" w:cs="Arial" w:eastAsia="Arial" w:hAnsi="Arial"/>
          <w:sz w:val="18"/>
          <w:szCs w:val="18"/>
          <w:color w:val="auto"/>
        </w:rPr>
      </w:pPr>
    </w:p>
    <w:p>
      <w:pPr>
        <w:ind w:left="4" w:right="460" w:firstLine="644"/>
        <w:spacing w:after="0" w:line="277" w:lineRule="auto"/>
        <w:tabs>
          <w:tab w:leader="none" w:pos="1042"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such grant may be made without additional consideration or in consideration of a payment by such Participant that is less than the Market Value Per Share at the Date of Grant.</w:t>
      </w:r>
    </w:p>
    <w:p>
      <w:pPr>
        <w:spacing w:after="0" w:line="170" w:lineRule="exact"/>
        <w:rPr>
          <w:rFonts w:ascii="Arial" w:cs="Arial" w:eastAsia="Arial" w:hAnsi="Arial"/>
          <w:sz w:val="18"/>
          <w:szCs w:val="18"/>
          <w:color w:val="auto"/>
        </w:rPr>
      </w:pPr>
    </w:p>
    <w:p>
      <w:pPr>
        <w:ind w:left="4" w:right="40" w:firstLine="644"/>
        <w:spacing w:after="0" w:line="264" w:lineRule="auto"/>
        <w:tabs>
          <w:tab w:leader="none" w:pos="10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any grant of Restricted Stock Units may provide for the earlier lapse or modification of the Restriction Period in the event of the retirement, death or disability, or other termination of employment of a Participant, or a Change in Control.</w:t>
      </w:r>
    </w:p>
    <w:p>
      <w:pPr>
        <w:spacing w:after="0" w:line="181" w:lineRule="exact"/>
        <w:rPr>
          <w:rFonts w:ascii="Arial" w:cs="Arial" w:eastAsia="Arial" w:hAnsi="Arial"/>
          <w:sz w:val="18"/>
          <w:szCs w:val="18"/>
          <w:color w:val="auto"/>
        </w:rPr>
      </w:pPr>
    </w:p>
    <w:p>
      <w:pPr>
        <w:ind w:left="4" w:right="80" w:firstLine="644"/>
        <w:spacing w:after="0" w:line="276" w:lineRule="auto"/>
        <w:tabs>
          <w:tab w:leader="none" w:pos="1042"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During the Restriction Period, the Participant will have no right to transfer any rights under his or her Award and will have no rights of ownership in the Restricted Stock Units and will have no right to vote them, but the Board may at the Date of Grant, authorize the payment of dividend equivalents on such Restricted Stock Units on either a current, deferred or contingent basis either in cash, additional Restricted Stock Units or in additional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dividend equivalents on Restricted Stock Units subject to Management Objectives shall be deferred and paid in cash upon the achievement of the applicable Management Objectives and the lapse of all restrictions on such Restricted Stock Units.</w:t>
      </w:r>
    </w:p>
    <w:p>
      <w:pPr>
        <w:spacing w:after="0" w:line="172" w:lineRule="exact"/>
        <w:rPr>
          <w:rFonts w:ascii="Arial" w:cs="Arial" w:eastAsia="Arial" w:hAnsi="Arial"/>
          <w:sz w:val="17"/>
          <w:szCs w:val="17"/>
          <w:color w:val="auto"/>
        </w:rPr>
      </w:pPr>
    </w:p>
    <w:p>
      <w:pPr>
        <w:ind w:left="1024" w:hanging="376"/>
        <w:spacing w:after="0"/>
        <w:tabs>
          <w:tab w:leader="none" w:pos="1024" w:val="left"/>
        </w:tabs>
        <w:numPr>
          <w:ilvl w:val="1"/>
          <w:numId w:val="92"/>
        </w:numPr>
        <w:rPr>
          <w:rFonts w:ascii="Arial" w:cs="Arial" w:eastAsia="Arial" w:hAnsi="Arial"/>
          <w:sz w:val="17"/>
          <w:szCs w:val="17"/>
          <w:color w:val="auto"/>
        </w:rPr>
      </w:pPr>
      <w:r>
        <w:rPr>
          <w:rFonts w:ascii="Arial" w:cs="Arial" w:eastAsia="Arial" w:hAnsi="Arial"/>
          <w:sz w:val="17"/>
          <w:szCs w:val="17"/>
          <w:color w:val="auto"/>
        </w:rPr>
        <w:t>Each grant of Restricted Stock Units will specify the time and manner of payment of the Restricted Stock Units that have been earned.</w:t>
      </w:r>
    </w:p>
    <w:p>
      <w:pPr>
        <w:spacing w:after="0" w:line="232" w:lineRule="exact"/>
        <w:rPr>
          <w:rFonts w:ascii="Arial" w:cs="Arial" w:eastAsia="Arial" w:hAnsi="Arial"/>
          <w:sz w:val="17"/>
          <w:szCs w:val="17"/>
          <w:color w:val="auto"/>
        </w:rPr>
      </w:pPr>
    </w:p>
    <w:p>
      <w:pPr>
        <w:jc w:val="both"/>
        <w:ind w:left="4" w:right="500" w:hanging="4"/>
        <w:spacing w:after="0" w:line="314" w:lineRule="auto"/>
        <w:tabs>
          <w:tab w:leader="none" w:pos="319"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Annual Incentive Awards, Performance Shares and Performance Units</w:t>
      </w:r>
      <w:r>
        <w:rPr>
          <w:rFonts w:ascii="Arial" w:cs="Arial" w:eastAsia="Arial" w:hAnsi="Arial"/>
          <w:sz w:val="16"/>
          <w:szCs w:val="16"/>
          <w:color w:val="auto"/>
        </w:rPr>
        <w:t>. The Board may, from time to time, authorize the granting of Annual</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Awards, Performance Shares and Performance Units that will become payable to a Participant upon achievement of specified Management Objectives during the Performance Period, upon such terms and conditions consistent with the following provisions as it may determine:</w:t>
      </w:r>
    </w:p>
    <w:p>
      <w:pPr>
        <w:spacing w:after="0" w:line="146" w:lineRule="exact"/>
        <w:rPr>
          <w:rFonts w:ascii="Arial" w:cs="Arial" w:eastAsia="Arial" w:hAnsi="Arial"/>
          <w:sz w:val="16"/>
          <w:szCs w:val="16"/>
          <w:b w:val="1"/>
          <w:bCs w:val="1"/>
          <w:color w:val="auto"/>
        </w:rPr>
      </w:pPr>
    </w:p>
    <w:p>
      <w:pPr>
        <w:ind w:left="4" w:firstLine="644"/>
        <w:spacing w:after="0" w:line="264" w:lineRule="auto"/>
        <w:tabs>
          <w:tab w:leader="none" w:pos="10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grant will specify either the number of shares, or amount of cash, payable with respect to Annual Incentive Awards, Performance Shares or Performance Units to which it pertains, which number or amount payable may be subject to adjustment to reflect changes in compensation or other factors.</w:t>
      </w:r>
    </w:p>
    <w:p>
      <w:pPr>
        <w:spacing w:after="0" w:line="127" w:lineRule="exact"/>
        <w:rPr>
          <w:rFonts w:ascii="Arial" w:cs="Arial" w:eastAsia="Arial" w:hAnsi="Arial"/>
          <w:sz w:val="18"/>
          <w:szCs w:val="18"/>
          <w:color w:val="auto"/>
        </w:rPr>
      </w:pPr>
    </w:p>
    <w:p>
      <w:pPr>
        <w:ind w:left="4" w:right="200" w:firstLine="644"/>
        <w:spacing w:after="0" w:line="259" w:lineRule="auto"/>
        <w:tabs>
          <w:tab w:leader="none" w:pos="1039"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Performance Period with respect to each Annual Incentive Award, Performance Share or Performance Unit will be such period of time (not less than one year in the case of each Performance Share and Performance Unit), as will be determined by the Board at the time of grant, which Performance Period may be subject to earlier lapse or other modification in the event of the retirement, death or disability, or other termination of employment of a Participant, or a Change in Control.</w:t>
      </w:r>
    </w:p>
    <w:p>
      <w:pPr>
        <w:spacing w:after="0" w:line="186" w:lineRule="exact"/>
        <w:rPr>
          <w:rFonts w:ascii="Arial" w:cs="Arial" w:eastAsia="Arial" w:hAnsi="Arial"/>
          <w:sz w:val="18"/>
          <w:szCs w:val="18"/>
          <w:color w:val="auto"/>
        </w:rPr>
      </w:pPr>
    </w:p>
    <w:p>
      <w:pPr>
        <w:jc w:val="both"/>
        <w:ind w:left="4" w:right="40" w:firstLine="644"/>
        <w:spacing w:after="0" w:line="259" w:lineRule="auto"/>
        <w:tabs>
          <w:tab w:leader="none" w:pos="102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grant of Annual Incentive Awards, Performance Shares or Performance Units will specify Management Objectives that, if achieved, will result in payment or early payment of the Award and may set forth a formula for determining the number of shares, or amount of cash, payable with respect to Annual Incentive Awards, Performance Shares or Performance Units that will be earned if performance is at or above the minimum or threshold level or levels.</w:t>
      </w:r>
    </w:p>
    <w:p>
      <w:pPr>
        <w:spacing w:after="0" w:line="146" w:lineRule="exact"/>
        <w:rPr>
          <w:rFonts w:ascii="Arial" w:cs="Arial" w:eastAsia="Arial" w:hAnsi="Arial"/>
          <w:sz w:val="18"/>
          <w:szCs w:val="18"/>
          <w:color w:val="auto"/>
        </w:rPr>
      </w:pPr>
    </w:p>
    <w:p>
      <w:pPr>
        <w:ind w:left="4" w:right="200" w:firstLine="644"/>
        <w:spacing w:after="0" w:line="286" w:lineRule="auto"/>
        <w:tabs>
          <w:tab w:leader="none" w:pos="1042" w:val="left"/>
        </w:tabs>
        <w:numPr>
          <w:ilvl w:val="1"/>
          <w:numId w:val="92"/>
        </w:numPr>
        <w:rPr>
          <w:rFonts w:ascii="Arial" w:cs="Arial" w:eastAsia="Arial" w:hAnsi="Arial"/>
          <w:sz w:val="17"/>
          <w:szCs w:val="17"/>
          <w:color w:val="auto"/>
        </w:rPr>
      </w:pPr>
      <w:r>
        <w:rPr>
          <w:rFonts w:ascii="Arial" w:cs="Arial" w:eastAsia="Arial" w:hAnsi="Arial"/>
          <w:sz w:val="17"/>
          <w:szCs w:val="17"/>
          <w:color w:val="auto"/>
        </w:rPr>
        <w:t>Each grant will specify the time and manner of payment of Annual Incentive Awards, Performance Shares or Performance Units that have been earned. Any grant of Performance Shares or Performance Units may specify that the amount payable with respect thereto may be paid by Inseego in cash, in Shares or in any combination thereof and will retain in the Board the right to elect among those alternatives.</w:t>
      </w:r>
    </w:p>
    <w:p>
      <w:pPr>
        <w:spacing w:after="0" w:line="165" w:lineRule="exact"/>
        <w:rPr>
          <w:rFonts w:ascii="Arial" w:cs="Arial" w:eastAsia="Arial" w:hAnsi="Arial"/>
          <w:sz w:val="17"/>
          <w:szCs w:val="17"/>
          <w:color w:val="auto"/>
        </w:rPr>
      </w:pPr>
    </w:p>
    <w:p>
      <w:pPr>
        <w:ind w:left="4" w:right="360" w:firstLine="644"/>
        <w:spacing w:after="0" w:line="277" w:lineRule="auto"/>
        <w:tabs>
          <w:tab w:leader="none" w:pos="102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grant of Annual Incentive Awards, Performance Shares or Performance Units may specify that the amount payable or the number of Shares issued with respect thereto may not exceed maximums specified by the Board at the Date of Grant.</w:t>
      </w:r>
    </w:p>
    <w:p>
      <w:pPr>
        <w:sectPr>
          <w:pgSz w:w="11900" w:h="16838" w:orient="portrait"/>
          <w:cols w:equalWidth="0" w:num="1">
            <w:col w:w="11244"/>
          </w:cols>
          <w:pgMar w:left="356" w:top="584" w:right="299" w:bottom="1440" w:gutter="0" w:footer="0" w:header="0"/>
        </w:sectPr>
      </w:pPr>
    </w:p>
    <w:bookmarkStart w:id="134" w:name="page135"/>
    <w:bookmarkEnd w:id="134"/>
    <w:p>
      <w:pPr>
        <w:ind w:left="4" w:right="200" w:firstLine="644"/>
        <w:spacing w:after="0" w:line="264" w:lineRule="auto"/>
        <w:tabs>
          <w:tab w:leader="none" w:pos="1009"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The Board may at the Date of Grant of Performance Shares provide for the payment of dividend equivalents to the holder thereof on either a current, deferred or contingent basis, either in cash or in additional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dividend equivalents on Performance Shares shall be deferred and paid in cash upon the achievement of the applicable Management Objectives.</w:t>
      </w:r>
    </w:p>
    <w:p>
      <w:pPr>
        <w:spacing w:after="0" w:line="177" w:lineRule="exact"/>
        <w:rPr>
          <w:rFonts w:ascii="Arial" w:cs="Arial" w:eastAsia="Arial" w:hAnsi="Arial"/>
          <w:sz w:val="18"/>
          <w:szCs w:val="18"/>
          <w:color w:val="auto"/>
        </w:rPr>
      </w:pPr>
    </w:p>
    <w:p>
      <w:pPr>
        <w:ind w:left="324" w:hanging="324"/>
        <w:spacing w:after="0"/>
        <w:tabs>
          <w:tab w:leader="none" w:pos="32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p>
    <w:p>
      <w:pPr>
        <w:spacing w:after="0" w:line="242" w:lineRule="exact"/>
        <w:rPr>
          <w:rFonts w:ascii="Arial" w:cs="Arial" w:eastAsia="Arial" w:hAnsi="Arial"/>
          <w:sz w:val="18"/>
          <w:szCs w:val="18"/>
          <w:b w:val="1"/>
          <w:bCs w:val="1"/>
          <w:color w:val="auto"/>
        </w:rPr>
      </w:pPr>
    </w:p>
    <w:p>
      <w:pPr>
        <w:ind w:left="4" w:right="20" w:firstLine="644"/>
        <w:spacing w:after="0" w:line="290" w:lineRule="auto"/>
        <w:tabs>
          <w:tab w:leader="none" w:pos="1029"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Board may, subject to limitations under applicable law, grant to any Participant such other awards that may be denominated or payable in, valued in whole or in part by reference to, or otherwise based on, or related to, Shares or factors that may influence the value of such Shares, including, without limitation, awards consisting of securities or other rights convertible or exchangeable into Shares, purchase rights for Shares, awards with value and payment contingent upon performance of the Company or specified Subsidiaries, Affiliates or other business units thereof or any other factors designated by the Board, and awards valued by reference to the book value of Shares or the value of securities of, or the performance of specified Subsidiaries or Affiliates or other business units of Inseego. The Board shall determine the terms and conditions of such awards. Shares delivered pursuant to an award in the nature of a purchase right granted under this Section 9 shall be purchased for such consideration, paid for at such time, by such methods, and in such forms, including, without limitation, cash, Shares, Other awards, notes or other property, as the Board shall determine.</w:t>
      </w:r>
    </w:p>
    <w:p>
      <w:pPr>
        <w:spacing w:after="0" w:line="166" w:lineRule="exact"/>
        <w:rPr>
          <w:rFonts w:ascii="Arial" w:cs="Arial" w:eastAsia="Arial" w:hAnsi="Arial"/>
          <w:sz w:val="16"/>
          <w:szCs w:val="16"/>
          <w:color w:val="auto"/>
        </w:rPr>
      </w:pPr>
    </w:p>
    <w:p>
      <w:pPr>
        <w:ind w:left="4" w:right="520" w:firstLine="644"/>
        <w:spacing w:after="0" w:line="277" w:lineRule="auto"/>
        <w:tabs>
          <w:tab w:leader="none" w:pos="1042" w:val="left"/>
        </w:tabs>
        <w:numPr>
          <w:ilvl w:val="1"/>
          <w:numId w:val="94"/>
        </w:numPr>
        <w:rPr>
          <w:rFonts w:ascii="Arial" w:cs="Arial" w:eastAsia="Arial" w:hAnsi="Arial"/>
          <w:sz w:val="18"/>
          <w:szCs w:val="18"/>
          <w:color w:val="auto"/>
        </w:rPr>
      </w:pPr>
      <w:r>
        <w:rPr>
          <w:rFonts w:ascii="Arial" w:cs="Arial" w:eastAsia="Arial" w:hAnsi="Arial"/>
          <w:sz w:val="18"/>
          <w:szCs w:val="18"/>
          <w:color w:val="auto"/>
        </w:rPr>
        <w:t>Cash awards, as independent awards or as an element of or supplement to any other Award granted under the Plan, may also be granted pursuant to this Section 9.</w:t>
      </w:r>
    </w:p>
    <w:p>
      <w:pPr>
        <w:spacing w:after="0" w:line="170" w:lineRule="exact"/>
        <w:rPr>
          <w:rFonts w:ascii="Arial" w:cs="Arial" w:eastAsia="Arial" w:hAnsi="Arial"/>
          <w:sz w:val="18"/>
          <w:szCs w:val="18"/>
          <w:color w:val="auto"/>
        </w:rPr>
      </w:pPr>
    </w:p>
    <w:p>
      <w:pPr>
        <w:ind w:left="4" w:firstLine="644"/>
        <w:spacing w:after="0" w:line="264" w:lineRule="auto"/>
        <w:tabs>
          <w:tab w:leader="none" w:pos="1029"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Board may grant Shares as a bonus, or may grant other Awards in lieu of obligations of Inseego or a Subsidiary to pay cash or deliver other property under the Plan or under other plans or compensatory arrangements, subject to such terms as shall be determined by the Board in a manner that complies with Section 409A of the Code.</w:t>
      </w:r>
    </w:p>
    <w:p>
      <w:pPr>
        <w:spacing w:after="0" w:line="177" w:lineRule="exact"/>
        <w:rPr>
          <w:rFonts w:ascii="Arial" w:cs="Arial" w:eastAsia="Arial" w:hAnsi="Arial"/>
          <w:sz w:val="18"/>
          <w:szCs w:val="18"/>
          <w:color w:val="auto"/>
        </w:rPr>
      </w:pPr>
    </w:p>
    <w:p>
      <w:pPr>
        <w:ind w:left="404" w:hanging="404"/>
        <w:spacing w:after="0"/>
        <w:tabs>
          <w:tab w:leader="none" w:pos="40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242" w:lineRule="exact"/>
        <w:rPr>
          <w:rFonts w:ascii="Arial" w:cs="Arial" w:eastAsia="Arial" w:hAnsi="Arial"/>
          <w:sz w:val="18"/>
          <w:szCs w:val="18"/>
          <w:b w:val="1"/>
          <w:bCs w:val="1"/>
          <w:color w:val="auto"/>
        </w:rPr>
      </w:pPr>
    </w:p>
    <w:p>
      <w:pPr>
        <w:ind w:left="4" w:right="40" w:firstLine="644"/>
        <w:spacing w:after="0" w:line="257" w:lineRule="auto"/>
        <w:tabs>
          <w:tab w:leader="none" w:pos="1032"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as otherwise determined by the Board, no Awards granted under the Plan shall be transferable by the Participant except by will or the laws of descent and distribution, and in no event shall any such Award granted under the Plan be transferred for value. Except as otherwise determined by the Board,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and/or court supervision.</w:t>
      </w:r>
    </w:p>
    <w:p>
      <w:pPr>
        <w:spacing w:after="0" w:line="188" w:lineRule="exact"/>
        <w:rPr>
          <w:rFonts w:ascii="Arial" w:cs="Arial" w:eastAsia="Arial" w:hAnsi="Arial"/>
          <w:sz w:val="18"/>
          <w:szCs w:val="18"/>
          <w:color w:val="auto"/>
        </w:rPr>
      </w:pPr>
    </w:p>
    <w:p>
      <w:pPr>
        <w:ind w:left="4" w:right="320" w:firstLine="644"/>
        <w:spacing w:after="0" w:line="286" w:lineRule="auto"/>
        <w:tabs>
          <w:tab w:leader="none" w:pos="1039"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Board may specify at the Date of Grant that part or all of the Shares that are to be issued by the Company upon the exercise of Option Rights or Appreciation Rights, upon the termination of the Restriction Period applicable to Restricted Stock or Restricted Stock Units or upon payment under any grant of Performance Shares, Performance Units or Other Awards will be subject to further restrictions on transfer.</w:t>
      </w:r>
    </w:p>
    <w:p>
      <w:pPr>
        <w:spacing w:after="0" w:line="161" w:lineRule="exact"/>
        <w:rPr>
          <w:rFonts w:ascii="Arial" w:cs="Arial" w:eastAsia="Arial" w:hAnsi="Arial"/>
          <w:sz w:val="17"/>
          <w:szCs w:val="17"/>
          <w:color w:val="auto"/>
        </w:rPr>
      </w:pPr>
    </w:p>
    <w:p>
      <w:pPr>
        <w:ind w:left="4" w:right="40" w:hanging="4"/>
        <w:spacing w:after="0" w:line="269" w:lineRule="auto"/>
        <w:tabs>
          <w:tab w:leader="none" w:pos="399"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Adjustments. </w:t>
      </w:r>
      <w:r>
        <w:rPr>
          <w:rFonts w:ascii="Arial" w:cs="Arial" w:eastAsia="Arial" w:hAnsi="Arial"/>
          <w:sz w:val="17"/>
          <w:szCs w:val="17"/>
          <w:color w:val="auto"/>
        </w:rPr>
        <w:t>The Board shall make or provide for such adjustments in the numbers of Shares covered by outstanding Option Rights, Appreciation</w:t>
      </w:r>
      <w:r>
        <w:rPr>
          <w:rFonts w:ascii="Arial" w:cs="Arial" w:eastAsia="Arial" w:hAnsi="Arial"/>
          <w:sz w:val="17"/>
          <w:szCs w:val="17"/>
          <w:b w:val="1"/>
          <w:bCs w:val="1"/>
          <w:color w:val="auto"/>
        </w:rPr>
        <w:t xml:space="preserve"> </w:t>
      </w:r>
      <w:r>
        <w:rPr>
          <w:rFonts w:ascii="Arial" w:cs="Arial" w:eastAsia="Arial" w:hAnsi="Arial"/>
          <w:sz w:val="17"/>
          <w:szCs w:val="17"/>
          <w:color w:val="auto"/>
        </w:rPr>
        <w:t>Rights, Restricted Stock, Restricted Stock Units, Performance Shares and Performance Units granted hereunder and, if applicable, in the number of Shares covered by Other Awards, in the Option Price and Base Price provided in outstanding Option Rights or Appreciation Rights, and in the kind of Shares covered thereby, as the Board, in its sole discretion, exercised in good faith, may determine is equitably required to prevent dilution or enlargement of the rights of Participants or Optionees that otherwise would result from (a) any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Board, in its discretion, may provide in substitution for any or all outstanding Awards under the Plan such alternative consideration (including cash), if any, as it, in good faith, may determine to be equitable in the circumstances and may require in connection therewith the surrender of all Awards so replaced in a manner that complies with Section 409A of the Code. In addition, for each Option Right or Appreciation Right with an Option Price or Base Price greater than the consideration offered in connection with any such transaction or event or Change in Control, the Board may in its sole discretion elect to cancel such Option Right or Appreciation Right without any payment to the person holding</w:t>
      </w:r>
    </w:p>
    <w:p>
      <w:pPr>
        <w:sectPr>
          <w:pgSz w:w="11900" w:h="16838" w:orient="portrait"/>
          <w:cols w:equalWidth="0" w:num="1">
            <w:col w:w="11304"/>
          </w:cols>
          <w:pgMar w:left="356" w:top="584" w:right="239" w:bottom="1440" w:gutter="0" w:footer="0" w:header="0"/>
        </w:sectPr>
      </w:pPr>
    </w:p>
    <w:bookmarkStart w:id="135" w:name="page136"/>
    <w:bookmarkEnd w:id="135"/>
    <w:p>
      <w:pPr>
        <w:ind w:left="40" w:right="80"/>
        <w:spacing w:after="0" w:line="279" w:lineRule="auto"/>
        <w:rPr>
          <w:sz w:val="20"/>
          <w:szCs w:val="20"/>
          <w:color w:val="auto"/>
        </w:rPr>
      </w:pPr>
      <w:r>
        <w:rPr>
          <w:rFonts w:ascii="Arial" w:cs="Arial" w:eastAsia="Arial" w:hAnsi="Arial"/>
          <w:sz w:val="17"/>
          <w:szCs w:val="17"/>
          <w:color w:val="auto"/>
        </w:rPr>
        <w:t>such Option Right or Appreciation Right. The Board shall also make or provide for such adjustments in the numbers of shares specified in Section 3 of the Plan as the Board in its sole discretion, exercised in good faith, may determine is appropriate to reflect any transaction or event described in this Section 11; provided, however, that any such adjustment to the number specified in Section 3(a)(iii) will be made only if and to the extent that such adjustment would not cause any Option Right intended to qualify as an Incentive Stock Option to fail so to qualify.</w:t>
      </w:r>
    </w:p>
    <w:p>
      <w:pPr>
        <w:spacing w:after="0" w:line="167" w:lineRule="exact"/>
        <w:rPr>
          <w:sz w:val="20"/>
          <w:szCs w:val="20"/>
          <w:color w:val="auto"/>
        </w:rPr>
      </w:pPr>
    </w:p>
    <w:p>
      <w:pPr>
        <w:ind w:left="420" w:hanging="411"/>
        <w:spacing w:after="0"/>
        <w:tabs>
          <w:tab w:leader="none" w:pos="4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42" w:lineRule="exact"/>
        <w:rPr>
          <w:rFonts w:ascii="Arial" w:cs="Arial" w:eastAsia="Arial" w:hAnsi="Arial"/>
          <w:sz w:val="18"/>
          <w:szCs w:val="18"/>
          <w:b w:val="1"/>
          <w:bCs w:val="1"/>
          <w:color w:val="auto"/>
        </w:rPr>
      </w:pPr>
    </w:p>
    <w:p>
      <w:pPr>
        <w:ind w:right="180" w:firstLine="657"/>
        <w:spacing w:after="0" w:line="259" w:lineRule="auto"/>
        <w:tabs>
          <w:tab w:leader="none" w:pos="1025"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Plan will be administered by the Board, which may from time to time delegate all or any part of its authority under the Plan to the Committee. To the extent of any such delegation, references in the Plan to the Board will be deemed to be references to such Committee. A majority of the Committee will constitute a quorum, and the action of the members of the Committee present at any meeting at which a quorum is present, or acts unanimously approved in writing, will be the acts of the Committee.</w:t>
      </w:r>
    </w:p>
    <w:p>
      <w:pPr>
        <w:spacing w:after="0" w:line="186" w:lineRule="exact"/>
        <w:rPr>
          <w:rFonts w:ascii="Arial" w:cs="Arial" w:eastAsia="Arial" w:hAnsi="Arial"/>
          <w:sz w:val="18"/>
          <w:szCs w:val="18"/>
          <w:color w:val="auto"/>
        </w:rPr>
      </w:pPr>
    </w:p>
    <w:p>
      <w:pPr>
        <w:jc w:val="both"/>
        <w:ind w:right="340" w:firstLine="657"/>
        <w:spacing w:after="0" w:line="291" w:lineRule="auto"/>
        <w:tabs>
          <w:tab w:leader="none" w:pos="1035" w:val="left"/>
        </w:tabs>
        <w:numPr>
          <w:ilvl w:val="2"/>
          <w:numId w:val="95"/>
        </w:numPr>
        <w:rPr>
          <w:rFonts w:ascii="Arial" w:cs="Arial" w:eastAsia="Arial" w:hAnsi="Arial"/>
          <w:sz w:val="16"/>
          <w:szCs w:val="16"/>
          <w:color w:val="auto"/>
        </w:rPr>
      </w:pPr>
      <w:r>
        <w:rPr>
          <w:rFonts w:ascii="Arial" w:cs="Arial" w:eastAsia="Arial" w:hAnsi="Arial"/>
          <w:sz w:val="16"/>
          <w:szCs w:val="16"/>
          <w:color w:val="auto"/>
        </w:rPr>
        <w:t>To the extent permitted by applicable law, including any rule of the Nasdaq Stock Market, the Board or Committee may delegate its duties under the Plan to a Secondary Committee, subject to such conditions and limitations as the Board or Committee shall prescribe; provided, however, that:</w:t>
      </w:r>
    </w:p>
    <w:p>
      <w:pPr>
        <w:spacing w:after="0" w:line="292" w:lineRule="auto"/>
        <w:rPr>
          <w:rFonts w:ascii="Arial" w:cs="Arial" w:eastAsia="Arial" w:hAnsi="Arial"/>
          <w:sz w:val="16"/>
          <w:szCs w:val="16"/>
          <w:color w:val="auto"/>
        </w:rPr>
      </w:pPr>
      <w:r>
        <w:rPr>
          <w:rFonts w:ascii="Arial" w:cs="Arial" w:eastAsia="Arial" w:hAnsi="Arial"/>
          <w:sz w:val="16"/>
          <w:szCs w:val="16"/>
          <w:color w:val="auto"/>
        </w:rPr>
        <w:t>(i) only the Board or Committee may grant an Award to a Participant who is subject to Section 16 of the Exchange Act and (ii) the Secondary Committee shall report periodically to the Board or the Committee, as the case may be, regarding the nature and scope of the Awards granted pursuant to the authority delegated. To the extent of any such delegation, references or deemed references in the Plan to the Committee will be deemed to be references to such Secondary Committee. A majority of the Secondary Committee will constitute a quorum, and the action of the members of the Secondary Committee present at any meeting at which a quorum is present, or acts unanimously approved in writing, will be the acts of the Secondary Committee.</w:t>
      </w:r>
    </w:p>
    <w:p>
      <w:pPr>
        <w:spacing w:after="0" w:line="176" w:lineRule="exact"/>
        <w:rPr>
          <w:rFonts w:ascii="Arial" w:cs="Arial" w:eastAsia="Arial" w:hAnsi="Arial"/>
          <w:sz w:val="16"/>
          <w:szCs w:val="16"/>
          <w:color w:val="auto"/>
        </w:rPr>
      </w:pPr>
    </w:p>
    <w:p>
      <w:pPr>
        <w:ind w:right="60" w:firstLine="657"/>
        <w:spacing w:after="0" w:line="253" w:lineRule="auto"/>
        <w:tabs>
          <w:tab w:leader="none" w:pos="1025"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Board shall have full and exclusive discretionary power to interpret the terms and the intent of this Plan and any Evidence of Award or other agreement or document ancillary to or in connection with this Plan, to determine eligibility for Awards and to adopt such rules, regulations, forms, instruments, and guidelines for administering this Plan as the Board may deem necessary or proper. Such authority shall include, but not be limited to, selecting Award recipients, establishing all Award terms and conditions, including the terms and conditions set forth in an Evidence of Award, granting Awards as an alternative to or as the form of payment for grants or rights earned or due under compensation plans or arrangements of the Company, construing any ambiguous provision of the Plan or any Evidence of Award, and, subject to Sections 15 and 18, adopting modifications and amendments to this Plan or any Evidence of Award, including without limitation, any that are necessary to comply with the laws of the countries and other jurisdictions in which Inseego, its Affiliates, and/or its Subsidiaries operate. The grant of any Award that specifies Management Objectives that must be achieved before such Award can be earned or paid will specify that, before such Award will be earned and paid, the Board must certify that the Management Objectives have been satisfied.</w:t>
      </w:r>
    </w:p>
    <w:p>
      <w:pPr>
        <w:spacing w:after="0" w:line="194" w:lineRule="exact"/>
        <w:rPr>
          <w:rFonts w:ascii="Arial" w:cs="Arial" w:eastAsia="Arial" w:hAnsi="Arial"/>
          <w:sz w:val="18"/>
          <w:szCs w:val="18"/>
          <w:color w:val="auto"/>
        </w:rPr>
      </w:pPr>
    </w:p>
    <w:p>
      <w:pPr>
        <w:jc w:val="both"/>
        <w:ind w:right="220" w:firstLine="657"/>
        <w:spacing w:after="0" w:line="259" w:lineRule="auto"/>
        <w:tabs>
          <w:tab w:leader="none" w:pos="1035"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interpretation and construction by the Board of any provision of this Plan or of any Evidence of Award or other agreement or document ancillary to or in connection with this Plan and any determination by the Board pursuant to any provision of the Plan or of any such Evidence of Award or other agreement or document ancillary to or in connection with this Plan will be final and conclusive. No member of the Board will be liable for any such action or determination made in good faith.</w:t>
      </w:r>
    </w:p>
    <w:p>
      <w:pPr>
        <w:spacing w:after="0" w:line="182" w:lineRule="exact"/>
        <w:rPr>
          <w:rFonts w:ascii="Arial" w:cs="Arial" w:eastAsia="Arial" w:hAnsi="Arial"/>
          <w:sz w:val="18"/>
          <w:szCs w:val="18"/>
          <w:color w:val="auto"/>
        </w:rPr>
      </w:pPr>
    </w:p>
    <w:p>
      <w:pPr>
        <w:ind w:left="40" w:right="120" w:hanging="4"/>
        <w:spacing w:after="0" w:line="295" w:lineRule="auto"/>
        <w:tabs>
          <w:tab w:leader="none" w:pos="445" w:val="left"/>
        </w:tabs>
        <w:numPr>
          <w:ilvl w:val="1"/>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 U.S. Participants. </w:t>
      </w:r>
      <w:r>
        <w:rPr>
          <w:rFonts w:ascii="Arial" w:cs="Arial" w:eastAsia="Arial" w:hAnsi="Arial"/>
          <w:sz w:val="16"/>
          <w:szCs w:val="16"/>
          <w:color w:val="auto"/>
        </w:rPr>
        <w:t>In order to facilitate the making of any grant or combination of grants under the Plan, the Board may provide for such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terms for Awards to Participants who are foreign nationals or who are employed by Inseego or any Subsidiary outside of the United States of America, as the Board may consider necessary or appropriate to accommodate differences in local law, tax policy or custom. Moreover, the Board may approve such supplements to or amendments, restatements or alternative versions of the Plan (including without limitation, sub-plans) as it may consider necessary or appropriate for such purposes, without thereby affecting the terms of the Plan as in effect for any other purpose, and the Secretary or other appropriate officer of Inseego may certify any such document as having been approved and adopted in the same manner as the Plan.</w:t>
      </w:r>
    </w:p>
    <w:p>
      <w:pPr>
        <w:spacing w:after="0" w:line="155" w:lineRule="exact"/>
        <w:rPr>
          <w:rFonts w:ascii="Arial" w:cs="Arial" w:eastAsia="Arial" w:hAnsi="Arial"/>
          <w:sz w:val="16"/>
          <w:szCs w:val="16"/>
          <w:b w:val="1"/>
          <w:bCs w:val="1"/>
          <w:color w:val="auto"/>
        </w:rPr>
      </w:pPr>
    </w:p>
    <w:p>
      <w:pPr>
        <w:jc w:val="both"/>
        <w:ind w:left="40" w:right="40" w:hanging="4"/>
        <w:spacing w:after="0" w:line="314" w:lineRule="auto"/>
        <w:tabs>
          <w:tab w:leader="none" w:pos="445" w:val="left"/>
        </w:tabs>
        <w:numPr>
          <w:ilvl w:val="1"/>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To the extent that the Company is required to withhold federal, state, local or foreign taxes in connection with any payment made</w:t>
      </w:r>
      <w:r>
        <w:rPr>
          <w:rFonts w:ascii="Arial" w:cs="Arial" w:eastAsia="Arial" w:hAnsi="Arial"/>
          <w:sz w:val="16"/>
          <w:szCs w:val="16"/>
          <w:b w:val="1"/>
          <w:bCs w:val="1"/>
          <w:color w:val="auto"/>
        </w:rPr>
        <w:t xml:space="preserve"> </w:t>
      </w:r>
      <w:r>
        <w:rPr>
          <w:rFonts w:ascii="Arial" w:cs="Arial" w:eastAsia="Arial" w:hAnsi="Arial"/>
          <w:sz w:val="16"/>
          <w:szCs w:val="16"/>
          <w:color w:val="auto"/>
        </w:rPr>
        <w:t>or benefit realized by a Participant or other person under the Plan, and the amounts available to the Company for such withholding are insufficient, it will be a condition to the receipt of such payment or the realization of such benefit that the Participant or such other person make arrangements</w:t>
      </w:r>
    </w:p>
    <w:p>
      <w:pPr>
        <w:sectPr>
          <w:pgSz w:w="11900" w:h="16838" w:orient="portrait"/>
          <w:cols w:equalWidth="0" w:num="1">
            <w:col w:w="11340"/>
          </w:cols>
          <w:pgMar w:left="320" w:top="584" w:right="239" w:bottom="1440" w:gutter="0" w:footer="0" w:header="0"/>
        </w:sectPr>
      </w:pPr>
    </w:p>
    <w:bookmarkStart w:id="136" w:name="page137"/>
    <w:bookmarkEnd w:id="136"/>
    <w:p>
      <w:pPr>
        <w:ind w:left="4"/>
        <w:spacing w:after="0" w:line="270" w:lineRule="auto"/>
        <w:rPr>
          <w:sz w:val="20"/>
          <w:szCs w:val="20"/>
          <w:color w:val="auto"/>
        </w:rPr>
      </w:pPr>
      <w:r>
        <w:rPr>
          <w:rFonts w:ascii="Arial" w:cs="Arial" w:eastAsia="Arial" w:hAnsi="Arial"/>
          <w:sz w:val="17"/>
          <w:szCs w:val="17"/>
          <w:color w:val="auto"/>
        </w:rPr>
        <w:t>satisfactory to the Company for payment of the balance of such taxes required to be withheld, which arrangements (in the discretion of the Board) may include relinquishment of a portion of such benefit. If a Participant’s benefit is to be received in the form of Shares, and such Participant fails to make arrangements for the payment of tax, the Company shall withhold such Shares having a value that shall not exceed the statutory maximum amount permitted to be withheld. Notwithstanding the foregoing, when a Participant is required to pay the Company an amount required to be withheld under applicable income and employment tax laws, the Participant may elect, or the Company may require the Participant, to satisfy the obligation, in whole or in part, by electing to have withheld, from the Shares required to be delivered to the Participant, Shares having a value equal to the amount required to be withheld, or by delivering to the Company other Shares held by such Participant. The Shares used for tax withholding will be valued at an amount equal to the Market Value Per Share of such Shares on the date the benefit is to be included in Participant’s income. Participants shall also make such arrangements as the Company may require for the payment of any withholding tax obligation that may arise in connection with the disposition of Shares acquired upon the exercise of Option Rights.</w:t>
      </w:r>
    </w:p>
    <w:p>
      <w:pPr>
        <w:spacing w:after="0" w:line="174" w:lineRule="exact"/>
        <w:rPr>
          <w:sz w:val="20"/>
          <w:szCs w:val="20"/>
          <w:color w:val="auto"/>
        </w:rPr>
      </w:pPr>
    </w:p>
    <w:p>
      <w:pPr>
        <w:ind w:left="404" w:hanging="404"/>
        <w:spacing w:after="0"/>
        <w:tabs>
          <w:tab w:leader="none" w:pos="40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Etc.</w:t>
      </w:r>
    </w:p>
    <w:p>
      <w:pPr>
        <w:spacing w:after="0" w:line="256" w:lineRule="exact"/>
        <w:rPr>
          <w:rFonts w:ascii="Arial" w:cs="Arial" w:eastAsia="Arial" w:hAnsi="Arial"/>
          <w:sz w:val="18"/>
          <w:szCs w:val="18"/>
          <w:b w:val="1"/>
          <w:bCs w:val="1"/>
          <w:color w:val="auto"/>
        </w:rPr>
      </w:pPr>
    </w:p>
    <w:p>
      <w:pPr>
        <w:jc w:val="both"/>
        <w:ind w:left="4" w:right="260" w:firstLine="644"/>
        <w:spacing w:after="0" w:line="279" w:lineRule="auto"/>
        <w:tabs>
          <w:tab w:leader="none" w:pos="1029"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Board may at any time and from time to time amend the Plan in whole or in part; provided, however, that if an amendment to the Plan must be approved by the stockholders of Inseego in order to comply with applicable law or the rules of the Nasdaq Stock Market or, if the Shares are not traded on the Nasdaq Stock Market, the principal national securities exchange upon which the Shares are traded or quoted, then, such amendment will be subject to stockholder approval and will not be effective unless and until such approval has been obtained.</w:t>
      </w:r>
    </w:p>
    <w:p>
      <w:pPr>
        <w:spacing w:after="0" w:line="171" w:lineRule="exact"/>
        <w:rPr>
          <w:rFonts w:ascii="Arial" w:cs="Arial" w:eastAsia="Arial" w:hAnsi="Arial"/>
          <w:sz w:val="17"/>
          <w:szCs w:val="17"/>
          <w:color w:val="auto"/>
        </w:rPr>
      </w:pPr>
    </w:p>
    <w:p>
      <w:pPr>
        <w:ind w:left="4" w:firstLine="644"/>
        <w:spacing w:after="0" w:line="290" w:lineRule="auto"/>
        <w:tabs>
          <w:tab w:leader="none" w:pos="1042"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permitted by Section 409A of the Code, in case of termination of employment by reason of death, disability or normal or early retirement, or in the case of unforeseeable emergency or other special circumstances, of a Participant who holds an Option Right or Appreciation Right not immediately exercisable in full, or any Restricted Stock or any Restricted Stock Units as to which the Restriction Period has not been completed, or any Annual Incentive Awards, Performance Shares or Performance Units which have not been fully earned, or any Other Awards subject to any vesting schedule or transfer restriction, or who holds Shares subject to any transfer restriction imposed pursuant to Section 10(b) of the Plan, the Board may, in its sole discretion, accelerate the time at which such Option Right, Appreciation Right or Other Award may be exercised or the time when such Restriction Period will end or the time at which such Annual Incentive Awards, Performance Shares or Performance Units will be deemed to have been fully earned or the time when such transfer restriction will terminate or may waive any other limitation or requirement under any such Award.</w:t>
      </w:r>
    </w:p>
    <w:p>
      <w:pPr>
        <w:spacing w:after="0" w:line="166" w:lineRule="exact"/>
        <w:rPr>
          <w:rFonts w:ascii="Arial" w:cs="Arial" w:eastAsia="Arial" w:hAnsi="Arial"/>
          <w:sz w:val="16"/>
          <w:szCs w:val="16"/>
          <w:color w:val="auto"/>
        </w:rPr>
      </w:pPr>
    </w:p>
    <w:p>
      <w:pPr>
        <w:jc w:val="both"/>
        <w:ind w:left="4" w:right="560" w:firstLine="644"/>
        <w:spacing w:after="0" w:line="312" w:lineRule="auto"/>
        <w:tabs>
          <w:tab w:leader="none" w:pos="1032" w:val="left"/>
        </w:tabs>
        <w:numPr>
          <w:ilvl w:val="1"/>
          <w:numId w:val="96"/>
        </w:numPr>
        <w:rPr>
          <w:rFonts w:ascii="Arial" w:cs="Arial" w:eastAsia="Arial" w:hAnsi="Arial"/>
          <w:sz w:val="16"/>
          <w:szCs w:val="16"/>
          <w:color w:val="auto"/>
        </w:rPr>
      </w:pPr>
      <w:r>
        <w:rPr>
          <w:rFonts w:ascii="Arial" w:cs="Arial" w:eastAsia="Arial" w:hAnsi="Arial"/>
          <w:sz w:val="16"/>
          <w:szCs w:val="16"/>
          <w:color w:val="auto"/>
        </w:rPr>
        <w:t>Subject to Section 16(d) of the Plan, the Board may amend the terms of any award theretofore granted under the Plan prospectively or retroactively, but subject to Section 11 of the Plan, no such amendment shall impair the rights of any Participant without his or her consent, except as necessary to comply with changes in law or accounting rules applicable to Inseego. The Board may, in its discretion, terminate the Plan at any time.</w:t>
      </w:r>
    </w:p>
    <w:p>
      <w:pPr>
        <w:spacing w:after="0" w:line="147" w:lineRule="exact"/>
        <w:rPr>
          <w:sz w:val="20"/>
          <w:szCs w:val="20"/>
          <w:color w:val="auto"/>
        </w:rPr>
      </w:pPr>
    </w:p>
    <w:p>
      <w:pPr>
        <w:ind w:left="4" w:right="680" w:firstLine="648"/>
        <w:spacing w:after="0" w:line="277" w:lineRule="auto"/>
        <w:rPr>
          <w:sz w:val="20"/>
          <w:szCs w:val="20"/>
          <w:color w:val="auto"/>
        </w:rPr>
      </w:pPr>
      <w:r>
        <w:rPr>
          <w:rFonts w:ascii="Arial" w:cs="Arial" w:eastAsia="Arial" w:hAnsi="Arial"/>
          <w:sz w:val="18"/>
          <w:szCs w:val="18"/>
          <w:color w:val="auto"/>
        </w:rPr>
        <w:t>Termination of the Plan will not affect the rights of Participants or their successors under any Awards outstanding hereunder on the date of termination.</w:t>
      </w:r>
    </w:p>
    <w:p>
      <w:pPr>
        <w:spacing w:after="0" w:line="180" w:lineRule="exact"/>
        <w:rPr>
          <w:sz w:val="20"/>
          <w:szCs w:val="20"/>
          <w:color w:val="auto"/>
        </w:rPr>
      </w:pPr>
    </w:p>
    <w:p>
      <w:pPr>
        <w:ind w:left="404" w:hanging="404"/>
        <w:spacing w:after="0"/>
        <w:tabs>
          <w:tab w:leader="none" w:pos="40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p>
    <w:p>
      <w:pPr>
        <w:spacing w:after="0" w:line="242" w:lineRule="exact"/>
        <w:rPr>
          <w:rFonts w:ascii="Arial" w:cs="Arial" w:eastAsia="Arial" w:hAnsi="Arial"/>
          <w:sz w:val="18"/>
          <w:szCs w:val="18"/>
          <w:b w:val="1"/>
          <w:bCs w:val="1"/>
          <w:color w:val="auto"/>
        </w:rPr>
      </w:pPr>
    </w:p>
    <w:p>
      <w:pPr>
        <w:ind w:left="4" w:right="40" w:firstLine="644"/>
        <w:spacing w:after="0" w:line="302" w:lineRule="auto"/>
        <w:tabs>
          <w:tab w:leader="none" w:pos="1029" w:val="left"/>
        </w:tabs>
        <w:numPr>
          <w:ilvl w:val="1"/>
          <w:numId w:val="97"/>
        </w:numPr>
        <w:rPr>
          <w:rFonts w:ascii="Arial" w:cs="Arial" w:eastAsia="Arial" w:hAnsi="Arial"/>
          <w:sz w:val="16"/>
          <w:szCs w:val="16"/>
          <w:color w:val="auto"/>
        </w:rPr>
      </w:pPr>
      <w:r>
        <w:rPr>
          <w:rFonts w:ascii="Arial" w:cs="Arial" w:eastAsia="Arial" w:hAnsi="Arial"/>
          <w:sz w:val="16"/>
          <w:szCs w:val="16"/>
          <w:color w:val="auto"/>
        </w:rPr>
        <w:t>To the extent applicable, it is intended that the Plan and any grants made hereunder comply with the provisions of Section 409A of the Code, so that the income inclusion provisions of Section 409A(a)(1) of the Code do not apply to the Participants. The Plan and any grants made hereunder shall be administered in a manner consistent with this intent. Any reference in the Plan to Section 409A of the Code will also include any regulations or any other formal guidance promulgated with respect to such Section by the U.S. Department of the Treasury or the Internal Revenue Service.</w:t>
      </w:r>
    </w:p>
    <w:p>
      <w:pPr>
        <w:spacing w:after="0" w:line="154" w:lineRule="exact"/>
        <w:rPr>
          <w:rFonts w:ascii="Arial" w:cs="Arial" w:eastAsia="Arial" w:hAnsi="Arial"/>
          <w:sz w:val="16"/>
          <w:szCs w:val="16"/>
          <w:color w:val="auto"/>
        </w:rPr>
      </w:pPr>
    </w:p>
    <w:p>
      <w:pPr>
        <w:ind w:left="4" w:right="80" w:firstLine="644"/>
        <w:spacing w:after="0" w:line="257" w:lineRule="auto"/>
        <w:tabs>
          <w:tab w:leader="none" w:pos="1042" w:val="left"/>
        </w:tabs>
        <w:numPr>
          <w:ilvl w:val="1"/>
          <w:numId w:val="97"/>
        </w:numPr>
        <w:rPr>
          <w:rFonts w:ascii="Arial" w:cs="Arial" w:eastAsia="Arial" w:hAnsi="Arial"/>
          <w:sz w:val="18"/>
          <w:szCs w:val="18"/>
          <w:color w:val="auto"/>
        </w:rPr>
      </w:pPr>
      <w:r>
        <w:rPr>
          <w:rFonts w:ascii="Arial" w:cs="Arial" w:eastAsia="Arial" w:hAnsi="Arial"/>
          <w:sz w:val="18"/>
          <w:szCs w:val="18"/>
          <w:color w:val="auto"/>
        </w:rPr>
        <w:t>Neither a Participant nor any of a Participant’s creditors or beneficiaries shall have the right to subject any deferred compensation (within the meaning of Section 409A of the Code) payable under the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the Plan and grants hereunder may not be reduced by, or offset against, any amount owing by a Participant to the Company or any of</w:t>
      </w:r>
    </w:p>
    <w:p>
      <w:pPr>
        <w:sectPr>
          <w:pgSz w:w="11900" w:h="16838" w:orient="portrait"/>
          <w:cols w:equalWidth="0" w:num="1">
            <w:col w:w="11284"/>
          </w:cols>
          <w:pgMar w:left="356" w:top="584" w:right="259" w:bottom="1440" w:gutter="0" w:footer="0" w:header="0"/>
        </w:sectPr>
      </w:pPr>
    </w:p>
    <w:bookmarkStart w:id="137" w:name="page138"/>
    <w:bookmarkEnd w:id="137"/>
    <w:p>
      <w:pPr>
        <w:ind w:left="4"/>
        <w:spacing w:after="0"/>
        <w:rPr>
          <w:sz w:val="20"/>
          <w:szCs w:val="20"/>
          <w:color w:val="auto"/>
        </w:rPr>
      </w:pPr>
      <w:r>
        <w:rPr>
          <w:rFonts w:ascii="Arial" w:cs="Arial" w:eastAsia="Arial" w:hAnsi="Arial"/>
          <w:sz w:val="18"/>
          <w:szCs w:val="18"/>
          <w:color w:val="auto"/>
        </w:rPr>
        <w:t>its Affiliates.</w:t>
      </w:r>
    </w:p>
    <w:p>
      <w:pPr>
        <w:spacing w:after="0" w:line="225" w:lineRule="exact"/>
        <w:rPr>
          <w:sz w:val="20"/>
          <w:szCs w:val="20"/>
          <w:color w:val="auto"/>
        </w:rPr>
      </w:pPr>
    </w:p>
    <w:p>
      <w:pPr>
        <w:ind w:left="4" w:right="180" w:firstLine="644"/>
        <w:spacing w:after="0" w:line="291" w:lineRule="auto"/>
        <w:tabs>
          <w:tab w:leader="none" w:pos="1032" w:val="left"/>
        </w:tabs>
        <w:numPr>
          <w:ilvl w:val="1"/>
          <w:numId w:val="98"/>
        </w:numPr>
        <w:rPr>
          <w:rFonts w:ascii="Arial" w:cs="Arial" w:eastAsia="Arial" w:hAnsi="Arial"/>
          <w:sz w:val="16"/>
          <w:szCs w:val="16"/>
          <w:color w:val="auto"/>
        </w:rPr>
      </w:pPr>
      <w:r>
        <w:rPr>
          <w:rFonts w:ascii="Arial" w:cs="Arial" w:eastAsia="Arial" w:hAnsi="Arial"/>
          <w:sz w:val="16"/>
          <w:szCs w:val="16"/>
          <w:color w:val="auto"/>
        </w:rPr>
        <w:t>If, at the time of a Participant’s separation from service (within the meaning of Section 409A of the Code), (i) the Participant shall be a specified employee (within the meaning of Section 409A of the Code and using the identification methodology selected by Inseego from time to time) and</w:t>
      </w:r>
    </w:p>
    <w:p>
      <w:pPr>
        <w:ind w:left="4" w:hanging="4"/>
        <w:spacing w:after="0" w:line="254" w:lineRule="auto"/>
        <w:tabs>
          <w:tab w:leader="none" w:pos="2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Inseego shall make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Inseego shall not pay such amount on the otherwise scheduled payment date but shall instead pay it, without interest, on the tenth business day of the month after such six-month period.</w:t>
      </w:r>
    </w:p>
    <w:p>
      <w:pPr>
        <w:spacing w:after="0" w:line="189" w:lineRule="exact"/>
        <w:rPr>
          <w:rFonts w:ascii="Arial" w:cs="Arial" w:eastAsia="Arial" w:hAnsi="Arial"/>
          <w:sz w:val="18"/>
          <w:szCs w:val="18"/>
          <w:color w:val="auto"/>
        </w:rPr>
      </w:pPr>
    </w:p>
    <w:p>
      <w:pPr>
        <w:ind w:left="4" w:right="40" w:firstLine="644"/>
        <w:spacing w:after="0" w:line="293" w:lineRule="auto"/>
        <w:tabs>
          <w:tab w:leader="none" w:pos="1042" w:val="left"/>
        </w:tabs>
        <w:numPr>
          <w:ilvl w:val="1"/>
          <w:numId w:val="99"/>
        </w:numPr>
        <w:rPr>
          <w:rFonts w:ascii="Arial" w:cs="Arial" w:eastAsia="Arial" w:hAnsi="Arial"/>
          <w:sz w:val="16"/>
          <w:szCs w:val="16"/>
          <w:color w:val="auto"/>
        </w:rPr>
      </w:pPr>
      <w:r>
        <w:rPr>
          <w:rFonts w:ascii="Arial" w:cs="Arial" w:eastAsia="Arial" w:hAnsi="Arial"/>
          <w:sz w:val="16"/>
          <w:szCs w:val="16"/>
          <w:color w:val="auto"/>
        </w:rPr>
        <w:t>Notwithstanding any provision of the Plan and grants hereunder to the contrary, in light of the uncertainty with respect to the proper application of Section 409A of the Code, Inseego reserves the right to make amendments to the Plan and grants hereunder as Inseego deems necessary or desirable to avoid the imposition of taxes or penalties under Section 409A of the Code without Participant consent. In any case, a Participant shall be solely responsible and liable for the satisfaction of all taxes and penalties that may be imposed on a Participant or for a Participant’s account in connection with the Plan and grants hereunder (including any taxes and penalties under Section 409A of the Code), and neither the Company nor any of its Affiliates shall have any obligation to indemnify or otherwise hold a Participant harmless from any or all of such taxes or penalties.</w:t>
      </w:r>
    </w:p>
    <w:p>
      <w:pPr>
        <w:spacing w:after="0" w:line="161" w:lineRule="exact"/>
        <w:rPr>
          <w:sz w:val="20"/>
          <w:szCs w:val="20"/>
          <w:color w:val="auto"/>
        </w:rPr>
      </w:pPr>
    </w:p>
    <w:p>
      <w:pPr>
        <w:ind w:left="4" w:right="100" w:hanging="4"/>
        <w:spacing w:after="0" w:line="282" w:lineRule="auto"/>
        <w:tabs>
          <w:tab w:leader="none" w:pos="409"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and all grants and Awards and actions taken thereunder shall be governed by and construed in accordance with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substantive laws of the State of Delaware, without regard to principles of conflicts of laws.</w:t>
      </w:r>
    </w:p>
    <w:p>
      <w:pPr>
        <w:spacing w:after="0" w:line="161" w:lineRule="exact"/>
        <w:rPr>
          <w:rFonts w:ascii="Arial" w:cs="Arial" w:eastAsia="Arial" w:hAnsi="Arial"/>
          <w:sz w:val="18"/>
          <w:szCs w:val="18"/>
          <w:b w:val="1"/>
          <w:bCs w:val="1"/>
          <w:color w:val="auto"/>
        </w:rPr>
      </w:pPr>
    </w:p>
    <w:p>
      <w:pPr>
        <w:ind w:left="4" w:right="220" w:hanging="4"/>
        <w:spacing w:after="0" w:line="266" w:lineRule="auto"/>
        <w:tabs>
          <w:tab w:leader="none" w:pos="409"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 Date/Termination. </w:t>
      </w:r>
      <w:r>
        <w:rPr>
          <w:rFonts w:ascii="Arial" w:cs="Arial" w:eastAsia="Arial" w:hAnsi="Arial"/>
          <w:sz w:val="18"/>
          <w:szCs w:val="18"/>
          <w:color w:val="auto"/>
        </w:rPr>
        <w:t>The Plan will be effective as of the Effective Date. No grant will be made under the Plan more than 10 years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but all grants made on or prior to such date will continue in effect thereafter subject to the terms of the Evidence of Award conveying such grants and of the Plan.</w:t>
      </w:r>
    </w:p>
    <w:p>
      <w:pPr>
        <w:spacing w:after="0" w:line="176" w:lineRule="exact"/>
        <w:rPr>
          <w:rFonts w:ascii="Arial" w:cs="Arial" w:eastAsia="Arial" w:hAnsi="Arial"/>
          <w:sz w:val="18"/>
          <w:szCs w:val="18"/>
          <w:b w:val="1"/>
          <w:bCs w:val="1"/>
          <w:color w:val="auto"/>
        </w:rPr>
      </w:pPr>
    </w:p>
    <w:p>
      <w:pPr>
        <w:ind w:left="404" w:hanging="404"/>
        <w:spacing w:after="0"/>
        <w:tabs>
          <w:tab w:leader="none" w:pos="40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42" w:lineRule="exact"/>
        <w:rPr>
          <w:rFonts w:ascii="Arial" w:cs="Arial" w:eastAsia="Arial" w:hAnsi="Arial"/>
          <w:sz w:val="18"/>
          <w:szCs w:val="18"/>
          <w:b w:val="1"/>
          <w:bCs w:val="1"/>
          <w:color w:val="auto"/>
        </w:rPr>
      </w:pPr>
    </w:p>
    <w:p>
      <w:pPr>
        <w:ind w:left="4" w:right="220" w:firstLine="644"/>
        <w:spacing w:after="0" w:line="277" w:lineRule="auto"/>
        <w:tabs>
          <w:tab w:leader="none" w:pos="103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Each grant of an Award will be evidenced by an Evidence of Award and will contain such terms and provisions, consistent with the Plan, as the Board may approve.</w:t>
      </w:r>
    </w:p>
    <w:p>
      <w:pPr>
        <w:spacing w:after="0" w:line="170" w:lineRule="exact"/>
        <w:rPr>
          <w:rFonts w:ascii="Arial" w:cs="Arial" w:eastAsia="Arial" w:hAnsi="Arial"/>
          <w:sz w:val="18"/>
          <w:szCs w:val="18"/>
          <w:color w:val="auto"/>
        </w:rPr>
      </w:pPr>
    </w:p>
    <w:p>
      <w:pPr>
        <w:ind w:left="4" w:right="500" w:firstLine="644"/>
        <w:spacing w:after="0" w:line="277" w:lineRule="auto"/>
        <w:tabs>
          <w:tab w:leader="none" w:pos="104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Inseego will not be required to issue any fractional Shares pursuant to the Plan. The Board may provide for the elimination of fractional Shares or for the settlement of fractional Shares in cash.</w:t>
      </w:r>
    </w:p>
    <w:p>
      <w:pPr>
        <w:spacing w:after="0" w:line="170" w:lineRule="exact"/>
        <w:rPr>
          <w:rFonts w:ascii="Arial" w:cs="Arial" w:eastAsia="Arial" w:hAnsi="Arial"/>
          <w:sz w:val="18"/>
          <w:szCs w:val="18"/>
          <w:color w:val="auto"/>
        </w:rPr>
      </w:pPr>
    </w:p>
    <w:p>
      <w:pPr>
        <w:ind w:left="4" w:right="520" w:firstLine="644"/>
        <w:spacing w:after="0" w:line="264" w:lineRule="auto"/>
        <w:tabs>
          <w:tab w:leader="none" w:pos="102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Plan will not confer upon any Participant any right with respect to continuance of employment or other service with Inseego or any Subsidiary or Affiliate, nor will it interfere in any way with any right Inseego or any Subsidiary or Affiliate would otherwise have to terminate such Participant’s employment or other service at any time.</w:t>
      </w:r>
    </w:p>
    <w:p>
      <w:pPr>
        <w:spacing w:after="0" w:line="208" w:lineRule="exact"/>
        <w:rPr>
          <w:rFonts w:ascii="Arial" w:cs="Arial" w:eastAsia="Arial" w:hAnsi="Arial"/>
          <w:sz w:val="18"/>
          <w:szCs w:val="18"/>
          <w:color w:val="auto"/>
        </w:rPr>
      </w:pPr>
    </w:p>
    <w:p>
      <w:pPr>
        <w:ind w:left="4" w:right="80" w:firstLine="644"/>
        <w:spacing w:after="0" w:line="279" w:lineRule="auto"/>
        <w:tabs>
          <w:tab w:leader="none" w:pos="104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No person shall have any claim to be granted any Award under the Plan. Without limiting the generality of the foregoing, the fact that a target Award is established for the job value or level for an Employee shall not entitle any Employee to an Award hereunder. Except as provided specifically herein, a Participant or a transferee of an Award shall have no rights as a stockholder with respect to any Shares covered by any Award until the date as of which he or she is actually recorded as the holder of such Shares upon the stock records of the Company.</w:t>
      </w:r>
    </w:p>
    <w:p>
      <w:pPr>
        <w:spacing w:after="0" w:line="171" w:lineRule="exact"/>
        <w:rPr>
          <w:rFonts w:ascii="Arial" w:cs="Arial" w:eastAsia="Arial" w:hAnsi="Arial"/>
          <w:sz w:val="17"/>
          <w:szCs w:val="17"/>
          <w:color w:val="auto"/>
        </w:rPr>
      </w:pPr>
    </w:p>
    <w:p>
      <w:pPr>
        <w:ind w:left="4" w:right="240" w:firstLine="644"/>
        <w:spacing w:after="0" w:line="264" w:lineRule="auto"/>
        <w:tabs>
          <w:tab w:leader="none" w:pos="103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Determinations by the Board or the Committee under the Plan relating to the form, amount and terms and conditions of grants and Awards need not be uniform, and may be made selectively among persons who receive or are eligible to receive grants and Awards under the Plan, whether or not such persons are similarly situated.</w:t>
      </w:r>
    </w:p>
    <w:p>
      <w:pPr>
        <w:spacing w:after="0" w:line="181" w:lineRule="exact"/>
        <w:rPr>
          <w:rFonts w:ascii="Arial" w:cs="Arial" w:eastAsia="Arial" w:hAnsi="Arial"/>
          <w:sz w:val="18"/>
          <w:szCs w:val="18"/>
          <w:color w:val="auto"/>
        </w:rPr>
      </w:pPr>
    </w:p>
    <w:p>
      <w:pPr>
        <w:jc w:val="both"/>
        <w:ind w:left="4" w:right="260" w:firstLine="644"/>
        <w:spacing w:after="0" w:line="264" w:lineRule="auto"/>
        <w:tabs>
          <w:tab w:leader="none" w:pos="100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the extent that any provision of the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the Plan.</w:t>
      </w:r>
    </w:p>
    <w:p>
      <w:pPr>
        <w:sectPr>
          <w:pgSz w:w="11900" w:h="16838" w:orient="portrait"/>
          <w:cols w:equalWidth="0" w:num="1">
            <w:col w:w="11304"/>
          </w:cols>
          <w:pgMar w:left="356" w:top="584" w:right="239" w:bottom="1440" w:gutter="0" w:footer="0" w:header="0"/>
        </w:sectPr>
      </w:pPr>
    </w:p>
    <w:bookmarkStart w:id="138" w:name="page139"/>
    <w:bookmarkEnd w:id="138"/>
    <w:p>
      <w:pPr>
        <w:ind w:left="-644" w:right="40" w:firstLine="644"/>
        <w:spacing w:after="0" w:line="342" w:lineRule="auto"/>
        <w:tabs>
          <w:tab w:leader="none" w:pos="39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Award under the Plan may be exercised by the holder thereof if such exercise, and the receipt of cash or stock thereunder, would be, in the opinion of counsel selected by the Board, contrary to law or the regulations of any duly constituted authority having jurisdiction over the Plan.</w:t>
      </w:r>
    </w:p>
    <w:p>
      <w:pPr>
        <w:spacing w:after="0" w:line="123" w:lineRule="exact"/>
        <w:rPr>
          <w:rFonts w:ascii="Arial" w:cs="Arial" w:eastAsia="Arial" w:hAnsi="Arial"/>
          <w:sz w:val="16"/>
          <w:szCs w:val="16"/>
          <w:color w:val="auto"/>
        </w:rPr>
      </w:pPr>
    </w:p>
    <w:p>
      <w:pPr>
        <w:ind w:left="-644" w:right="820" w:firstLine="644"/>
        <w:spacing w:after="0" w:line="277" w:lineRule="auto"/>
        <w:tabs>
          <w:tab w:leader="none" w:pos="38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Absence or leave approved by a duly constituted officer of Inseego or any of its Subsidiaries shall not be considered interruption or termination of service of any Employee for any purposes of the Plan or Awards granted hereunder.</w:t>
      </w:r>
    </w:p>
    <w:p>
      <w:pPr>
        <w:spacing w:after="0" w:line="170" w:lineRule="exact"/>
        <w:rPr>
          <w:rFonts w:ascii="Arial" w:cs="Arial" w:eastAsia="Arial" w:hAnsi="Arial"/>
          <w:sz w:val="18"/>
          <w:szCs w:val="18"/>
          <w:color w:val="auto"/>
        </w:rPr>
      </w:pPr>
    </w:p>
    <w:p>
      <w:pPr>
        <w:ind w:left="-644" w:right="460" w:firstLine="644"/>
        <w:spacing w:after="0" w:line="342" w:lineRule="auto"/>
        <w:tabs>
          <w:tab w:leader="none" w:pos="35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Board may condition the grant of any Award or combination of Awards authorized under the Plan on the surrender or deferral by the Participant of his or her right to receive a cash bonus or other compensation otherwise payable by Inseego or a Subsidiary to the Participant.</w:t>
      </w:r>
    </w:p>
    <w:p>
      <w:pPr>
        <w:spacing w:after="0" w:line="123" w:lineRule="exact"/>
        <w:rPr>
          <w:rFonts w:ascii="Arial" w:cs="Arial" w:eastAsia="Arial" w:hAnsi="Arial"/>
          <w:sz w:val="16"/>
          <w:szCs w:val="16"/>
          <w:color w:val="auto"/>
        </w:rPr>
      </w:pPr>
    </w:p>
    <w:p>
      <w:pPr>
        <w:ind w:left="-644" w:right="120" w:firstLine="644"/>
        <w:spacing w:after="0" w:line="286" w:lineRule="auto"/>
        <w:tabs>
          <w:tab w:leader="none" w:pos="35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any provision of the Plan is or becomes invalid, illegal or unenforceable in any jurisdiction, or would disqualify the Plan or any Award under any law deemed applicable by the Board, such provision shall be construed or deemed amended or limited in scope to conform to applicable laws or, in the discretion of the Board, it shall be stricken and the remainder of the Plan shall remain in full force and effect.</w:t>
      </w:r>
    </w:p>
    <w:p>
      <w:pPr>
        <w:spacing w:after="0" w:line="165" w:lineRule="exact"/>
        <w:rPr>
          <w:rFonts w:ascii="Arial" w:cs="Arial" w:eastAsia="Arial" w:hAnsi="Arial"/>
          <w:sz w:val="17"/>
          <w:szCs w:val="17"/>
          <w:color w:val="auto"/>
        </w:rPr>
      </w:pPr>
    </w:p>
    <w:p>
      <w:pPr>
        <w:ind w:left="-644" w:firstLine="644"/>
        <w:spacing w:after="0" w:line="255" w:lineRule="auto"/>
        <w:tabs>
          <w:tab w:leader="none" w:pos="38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Evidence of Award may: (i) provide for recoupment by the Company of all or any portion of an Award upon such terms and conditions as the Board or Committee may specify in such Evidence of Award; or (ii) include restrictive covenants, including, without limitation, non-competition, non-disparagement and confidentiality conditions or restrictions, that the Participant must comply with during employment by or service to the Company and/or within a specified period after termination as a condition to the Participant’s receipt or retention of all or any portion of an Award. This Section 19(k) shall not be the Company’s exclusive remedy with respect to such matters. This Section 19(k) shall not apply after a Change in Control, unless otherwise specifically provided in the Evidence of Award.</w:t>
      </w:r>
    </w:p>
    <w:p>
      <w:pPr>
        <w:sectPr>
          <w:pgSz w:w="11900" w:h="16838" w:orient="portrait"/>
          <w:cols w:equalWidth="0" w:num="1">
            <w:col w:w="10656"/>
          </w:cols>
          <w:pgMar w:left="1004" w:top="58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2015 INCENTIVE COMPENSATION PLAN</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NONSTATUTORY STOCK OPTION GRANT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Inseego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options (the “</w:t>
      </w:r>
      <w:r>
        <w:rPr>
          <w:rFonts w:ascii="Arial" w:cs="Arial" w:eastAsia="Arial" w:hAnsi="Arial"/>
          <w:sz w:val="18"/>
          <w:szCs w:val="18"/>
          <w:u w:val="single" w:color="auto"/>
          <w:color w:val="auto"/>
        </w:rPr>
        <w:t>Options</w:t>
      </w:r>
      <w:r>
        <w:rPr>
          <w:rFonts w:ascii="Arial" w:cs="Arial" w:eastAsia="Arial" w:hAnsi="Arial"/>
          <w:sz w:val="18"/>
          <w:szCs w:val="18"/>
          <w:color w:val="auto"/>
        </w:rPr>
        <w:t>”) to purchase shares of its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to the individual named below (the “</w:t>
      </w:r>
      <w:r>
        <w:rPr>
          <w:rFonts w:ascii="Arial" w:cs="Arial" w:eastAsia="Arial" w:hAnsi="Arial"/>
          <w:sz w:val="18"/>
          <w:szCs w:val="18"/>
          <w:u w:val="single" w:color="auto"/>
          <w:color w:val="auto"/>
        </w:rPr>
        <w:t>Optionee</w:t>
      </w:r>
      <w:r>
        <w:rPr>
          <w:rFonts w:ascii="Arial" w:cs="Arial" w:eastAsia="Arial" w:hAnsi="Arial"/>
          <w:sz w:val="18"/>
          <w:szCs w:val="18"/>
          <w:color w:val="auto"/>
        </w:rPr>
        <w:t>”). The terms and conditions of the Options are set forth in the attached agreement (the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in the Company’s 2015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Optionee: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Option Grant: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Options Granted: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Price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Vesting Commencement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Expiration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in its discretion, may accelerate the vesting of any unvested Options in the event of a Change in Control. No Options shall vest after the Optionee’s service with or for the Company or any Subsidiary or Affiliate thereof has terminated for any reason.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By accepting this Option Grant, the Optionee hereby agrees to all the terms and conditions set forth in this Option Grant, the attached Award Agreement, and in the Plan, a copy of which is available on the Company’s intranet site.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31750</wp:posOffset>
            </wp:positionV>
            <wp:extent cx="24352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7" w:lineRule="exact"/>
        <w:rPr>
          <w:sz w:val="20"/>
          <w:szCs w:val="20"/>
          <w:color w:val="auto"/>
        </w:rPr>
      </w:pPr>
    </w:p>
    <w:p>
      <w:pPr>
        <w:ind w:left="1040"/>
        <w:spacing w:after="0"/>
        <w:tabs>
          <w:tab w:leader="none" w:pos="3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(Signature)</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31750</wp:posOffset>
            </wp:positionV>
            <wp:extent cx="24352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31750</wp:posOffset>
            </wp:positionV>
            <wp:extent cx="2435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420"/>
          </w:cols>
          <w:pgMar w:left="240" w:top="580" w:right="23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8"/>
          <w:szCs w:val="18"/>
          <w:b w:val="1"/>
          <w:bCs w:val="1"/>
          <w:color w:val="auto"/>
        </w:rPr>
        <w:t>INSEEGO CORP.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2015 INCENTIVE COMPENSATION PLAN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NONSTATUTORY STOCK OPTION AGREEMENT</w:t>
      </w:r>
    </w:p>
    <w:p>
      <w:pPr>
        <w:sectPr>
          <w:pgSz w:w="11900" w:h="16838" w:orient="portrait"/>
          <w:cols w:equalWidth="0" w:num="1">
            <w:col w:w="11360"/>
          </w:cols>
          <w:pgMar w:left="280" w:top="580" w:right="259" w:bottom="1440" w:gutter="0" w:footer="0" w:header="0"/>
        </w:sectPr>
      </w:pPr>
    </w:p>
    <w:p>
      <w:pPr>
        <w:spacing w:after="0" w:line="369"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text of the Plan is incorporated into this Award Agreement by reference. In the event of any inconsistency between the provisions of this Award Agreement and the Plan, the Plan shall govern. Capitalized terms used but not otherwise defined in this Award Agreement are defined in the Plan.</w:t>
      </w:r>
    </w:p>
    <w:p>
      <w:pPr>
        <w:spacing w:after="0" w:line="181" w:lineRule="exact"/>
        <w:rPr>
          <w:sz w:val="20"/>
          <w:szCs w:val="20"/>
          <w:color w:val="auto"/>
        </w:rPr>
      </w:pPr>
    </w:p>
    <w:p>
      <w:pPr>
        <w:sectPr>
          <w:pgSz w:w="11900" w:h="16838" w:orient="portrait"/>
          <w:cols w:equalWidth="0" w:num="2">
            <w:col w:w="1680" w:space="720"/>
            <w:col w:w="8960"/>
          </w:cols>
          <w:pgMar w:left="280" w:top="580" w:right="259" w:bottom="1440" w:gutter="0" w:footer="0" w:header="0"/>
          <w:type w:val="continuous"/>
        </w:sectPr>
      </w:pPr>
    </w:p>
    <w:p>
      <w:pPr>
        <w:ind w:left="2400" w:right="100"/>
        <w:spacing w:after="0" w:line="257" w:lineRule="auto"/>
        <w:rPr>
          <w:sz w:val="20"/>
          <w:szCs w:val="20"/>
          <w:color w:val="auto"/>
        </w:rPr>
      </w:pPr>
      <w:r>
        <w:rPr>
          <w:rFonts w:ascii="Arial" w:cs="Arial" w:eastAsia="Arial" w:hAnsi="Arial"/>
          <w:sz w:val="18"/>
          <w:szCs w:val="18"/>
          <w:color w:val="auto"/>
        </w:rPr>
        <w:t>Any amendment to the Plan shall be deemed to be an amendment to this Award Agreement to the extent that the amendment is applicable hereto; provided, however, that no amendment shall adversely affect your rights under this Award Agreement without your consent (provided, however, that your consent shall not be required to an amendment that is deemed necessary by the Company to ensure compliance with Section 409A of the U.S. Internal Revenue Code, as amended (the “Code”)).</w:t>
      </w:r>
    </w:p>
    <w:p>
      <w:pPr>
        <w:spacing w:after="0" w:line="188" w:lineRule="exact"/>
        <w:rPr>
          <w:sz w:val="20"/>
          <w:szCs w:val="20"/>
          <w:color w:val="auto"/>
        </w:rPr>
      </w:pPr>
    </w:p>
    <w:p>
      <w:pPr>
        <w:ind w:left="2400" w:right="60"/>
        <w:spacing w:after="0" w:line="270" w:lineRule="auto"/>
        <w:rPr>
          <w:sz w:val="20"/>
          <w:szCs w:val="20"/>
          <w:color w:val="auto"/>
        </w:rPr>
      </w:pPr>
      <w:r>
        <w:rPr>
          <w:rFonts w:ascii="Arial" w:cs="Arial" w:eastAsia="Arial" w:hAnsi="Arial"/>
          <w:sz w:val="17"/>
          <w:szCs w:val="17"/>
          <w:color w:val="auto"/>
        </w:rPr>
        <w:t>The Option Grant, this Award Agreement and the Plan constitute the entire understanding between you and the Company regarding these Options. Any prior agreements, commitments or negotiations concerning these Options are hereby superseded entirely. Notwithstanding the foregoing, to the extent a written employment agreement, change-in-control agreement, severance agreement or other similar written agreement or arrangement (an “Employment Arrangement”) that has been approved by the Board or a committee thereof provides for greater benefits to the Optionee than provided in the Option Grant, this Award Agreement or the Plan with respect to (a) vesting of the Options upon termination of employment or in the event of a Change in Control, or (b) exercisability of the Options following termination of employment, then the terms of the Employment Arrangement with respect to these matters shall supersede the terms of the Option Grant and this Award Agreement to the extent permitted by the Plan.</w:t>
      </w:r>
    </w:p>
    <w:p>
      <w:pPr>
        <w:sectPr>
          <w:pgSz w:w="11900" w:h="16838" w:orient="portrait"/>
          <w:cols w:equalWidth="0" w:num="1">
            <w:col w:w="11360"/>
          </w:cols>
          <w:pgMar w:left="280" w:top="580" w:right="25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Nonstatutory Stock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These Options are not intended to be Incentive Stock Options under section 422 of the Code and will be interpreted accordingly.</w:t>
      </w:r>
    </w:p>
    <w:p>
      <w:pPr>
        <w:spacing w:after="0" w:line="200" w:lineRule="exact"/>
        <w:rPr>
          <w:sz w:val="20"/>
          <w:szCs w:val="20"/>
          <w:color w:val="auto"/>
        </w:rPr>
      </w:pPr>
    </w:p>
    <w:p>
      <w:pPr>
        <w:sectPr>
          <w:pgSz w:w="11900" w:h="16838" w:orient="portrait"/>
          <w:cols w:equalWidth="0" w:num="2">
            <w:col w:w="2080" w:space="320"/>
            <w:col w:w="8960"/>
          </w:cols>
          <w:pgMar w:left="280" w:top="580" w:right="25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Options are exercisable only before they expire and then only with respect to those that are vested. These Options will vest according to the Vesting Schedule on the attached cover sheet.</w:t>
      </w:r>
    </w:p>
    <w:p>
      <w:pPr>
        <w:spacing w:after="0" w:line="200" w:lineRule="exact"/>
        <w:rPr>
          <w:sz w:val="20"/>
          <w:szCs w:val="20"/>
          <w:color w:val="auto"/>
        </w:rPr>
      </w:pPr>
    </w:p>
    <w:p>
      <w:pPr>
        <w:sectPr>
          <w:pgSz w:w="11900" w:h="16838" w:orient="portrait"/>
          <w:cols w:equalWidth="0" w:num="2">
            <w:col w:w="1680" w:space="720"/>
            <w:col w:w="8960"/>
          </w:cols>
          <w:pgMar w:left="280" w:top="580" w:right="25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Options will expire in any event at the close of business at Company headquarters on the 10th anniversary of the Date of Option Grant, as shown on the cover sheet. These Options will expire earlier if your service terminates, as described below.</w:t>
      </w:r>
    </w:p>
    <w:p>
      <w:pPr>
        <w:spacing w:after="0" w:line="200" w:lineRule="exact"/>
        <w:rPr>
          <w:sz w:val="20"/>
          <w:szCs w:val="20"/>
          <w:color w:val="auto"/>
        </w:rPr>
      </w:pPr>
    </w:p>
    <w:p>
      <w:pPr>
        <w:sectPr>
          <w:pgSz w:w="11900" w:h="16838" w:orient="portrait"/>
          <w:cols w:equalWidth="0" w:num="2">
            <w:col w:w="1680" w:space="720"/>
            <w:col w:w="8960"/>
          </w:cols>
          <w:pgMar w:left="280" w:top="580" w:right="25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Regular Termination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your service terminates for any reason, other than death, Disability (as defined below), or Cause (as defined below), then, except as otherwise provided in an Employment Arrangement, these Options will expire at the close of business at Company headquarters on the 90th calendar day after your service termination date.</w:t>
      </w:r>
    </w:p>
    <w:p>
      <w:pPr>
        <w:spacing w:after="0" w:line="200" w:lineRule="exact"/>
        <w:rPr>
          <w:sz w:val="20"/>
          <w:szCs w:val="20"/>
          <w:color w:val="auto"/>
        </w:rPr>
      </w:pPr>
    </w:p>
    <w:p>
      <w:pPr>
        <w:sectPr>
          <w:pgSz w:w="11900" w:h="16838" w:orient="portrait"/>
          <w:cols w:equalWidth="0" w:num="2">
            <w:col w:w="1680" w:space="720"/>
            <w:col w:w="8960"/>
          </w:cols>
          <w:pgMar w:left="280" w:top="580" w:right="25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for Cause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your service is terminated for Cause, as determined by the Board in its sole discretion, then immediately upon such event you automatically forfeit all rights to these Options and they shall immediately expire. For purposes of this Award Agreement, “Cause” shall mean the termination of your service due to your commission of any act of fraud, embezzlement or dishonesty; any unauthorized use or disclosure by you of confidential information or trade secrets of the Company or any Subsidiary or Affiliate thereof; or any other intentional misconduct on your part that adversely affects the business or affairs of the Company or any Subsidiary or Affiliate thereof in a material manner. This definition shall not restrict in any way the Company’s or any Subsidiary’s or Affiliate’s right to discharge you for any other reason, nor shall this definition be deemed to be inclusive of all the acts or omissions which constitute “Cause” for purposes other than this Award Agreement.</w:t>
      </w:r>
    </w:p>
    <w:p>
      <w:pPr>
        <w:spacing w:after="0" w:line="200" w:lineRule="exact"/>
        <w:rPr>
          <w:sz w:val="20"/>
          <w:szCs w:val="20"/>
          <w:color w:val="auto"/>
        </w:rPr>
      </w:pPr>
    </w:p>
    <w:p>
      <w:pPr>
        <w:sectPr>
          <w:pgSz w:w="11900" w:h="16838" w:orient="portrait"/>
          <w:cols w:equalWidth="0" w:num="2">
            <w:col w:w="1740" w:space="660"/>
            <w:col w:w="8960"/>
          </w:cols>
          <w:pgMar w:left="280" w:top="580" w:right="25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Death</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your service terminates because of your death, then, except as otherwise provided in an Employment Agreement, these Options will expire at the close of business at Company headquarters on the date twelve (12) months after the date of death. At any time during that twelve (12) month period, your estate or heirs may exercise those Options which were vested as of the date of your death.</w:t>
      </w:r>
    </w:p>
    <w:p>
      <w:pPr>
        <w:sectPr>
          <w:pgSz w:w="11900" w:h="16838" w:orient="portrait"/>
          <w:cols w:equalWidth="0" w:num="2">
            <w:col w:w="1680" w:space="720"/>
            <w:col w:w="8960"/>
          </w:cols>
          <w:pgMar w:left="280" w:top="580" w:right="25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6"/>
          <w:szCs w:val="16"/>
          <w:b w:val="1"/>
          <w:bCs w:val="1"/>
          <w:color w:val="auto"/>
        </w:rPr>
        <w:t>Disability</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If your service terminates because of your Disability, then, except as otherwise provided in an Employment Agreement, these Options will expire at the close of business at Company headquarters on the date twelve (12) months after your service termination date. At any time during that twelve (12) month period, you may exercise those Options which were vested as of the date your service terminated because of your Disability. For purposes of this Award Agreement, “Disability” shall mean that you are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200" w:lineRule="exact"/>
        <w:rPr>
          <w:sz w:val="20"/>
          <w:szCs w:val="20"/>
          <w:color w:val="auto"/>
        </w:rPr>
      </w:pPr>
    </w:p>
    <w:p>
      <w:pPr>
        <w:sectPr>
          <w:pgSz w:w="11900" w:h="16838" w:orient="portrait"/>
          <w:cols w:equalWidth="0" w:num="2">
            <w:col w:w="1680" w:space="720"/>
            <w:col w:w="8960"/>
          </w:cols>
          <w:pgMar w:left="280" w:top="742" w:right="259"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Leaves of Absence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purposes of these Options, your service is not interrupted or terminated when you go on a leave of absence that was approved in writing by a duly constituted officer of the Company or any Subsidiary or Affiliate thereof. Your service terminates in any event when the approved leave ends unless you immediately return to active work at the Company or any Subsidiary or Affiliate thereof.</w:t>
      </w:r>
    </w:p>
    <w:p>
      <w:pPr>
        <w:spacing w:after="0" w:line="187" w:lineRule="exact"/>
        <w:rPr>
          <w:sz w:val="20"/>
          <w:szCs w:val="20"/>
          <w:color w:val="auto"/>
        </w:rPr>
      </w:pPr>
    </w:p>
    <w:p>
      <w:pPr>
        <w:sectPr>
          <w:pgSz w:w="11900" w:h="16838" w:orient="portrait"/>
          <w:cols w:equalWidth="0" w:num="2">
            <w:col w:w="1680" w:space="720"/>
            <w:col w:w="8960"/>
          </w:cols>
          <w:pgMar w:left="280" w:top="742" w:right="259" w:bottom="1440" w:gutter="0" w:footer="0" w:header="0"/>
          <w:type w:val="continuous"/>
        </w:sectPr>
      </w:pPr>
    </w:p>
    <w:p>
      <w:pPr>
        <w:ind w:left="2400" w:right="540"/>
        <w:spacing w:after="0" w:line="277" w:lineRule="auto"/>
        <w:rPr>
          <w:sz w:val="20"/>
          <w:szCs w:val="20"/>
          <w:color w:val="auto"/>
        </w:rPr>
      </w:pPr>
      <w:r>
        <w:rPr>
          <w:rFonts w:ascii="Arial" w:cs="Arial" w:eastAsia="Arial" w:hAnsi="Arial"/>
          <w:sz w:val="18"/>
          <w:szCs w:val="18"/>
          <w:color w:val="auto"/>
        </w:rPr>
        <w:t>The Company, in its sole discretion, determines which leaves count for this purpose, as well as the point in time your service terminates for all purposes under the Plan.</w:t>
      </w:r>
    </w:p>
    <w:p>
      <w:pPr>
        <w:sectPr>
          <w:pgSz w:w="11900" w:h="16838" w:orient="portrait"/>
          <w:cols w:equalWidth="0" w:num="1">
            <w:col w:w="11360"/>
          </w:cols>
          <w:pgMar w:left="280" w:top="742" w:right="25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Exercise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you wish to exercise any of these Options, you must provide written notice to the Company, or use such other method of exercise as may be specified by the Company, including exercise by electronic means on the web site of the Company’s third-party equity plan administrator, which will specify how many Options you wish to exercise. If someone else wants to exercise these Options after your death, that person must prove to the Company’s satisfaction that he or she is entitled to do so.</w:t>
      </w:r>
    </w:p>
    <w:p>
      <w:pPr>
        <w:spacing w:after="0" w:line="200" w:lineRule="exact"/>
        <w:rPr>
          <w:sz w:val="20"/>
          <w:szCs w:val="20"/>
          <w:color w:val="auto"/>
        </w:rPr>
      </w:pPr>
    </w:p>
    <w:p>
      <w:pPr>
        <w:sectPr>
          <w:pgSz w:w="11900" w:h="16838" w:orient="portrait"/>
          <w:cols w:equalWidth="0" w:num="2">
            <w:col w:w="1680" w:space="720"/>
            <w:col w:w="8960"/>
          </w:cols>
          <w:pgMar w:left="280" w:top="742" w:right="25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of Payment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When you exercise Options, you must remit payment of the Option Price for the Shares you are purchasing at that time and any Tax-Related Items (as defined below). Payment may be made in one or a combination of the following forms:</w:t>
      </w:r>
    </w:p>
    <w:p>
      <w:pPr>
        <w:spacing w:after="0" w:line="124" w:lineRule="exact"/>
        <w:rPr>
          <w:sz w:val="20"/>
          <w:szCs w:val="20"/>
          <w:color w:val="auto"/>
        </w:rPr>
      </w:pPr>
    </w:p>
    <w:p>
      <w:pPr>
        <w:sectPr>
          <w:pgSz w:w="11900" w:h="16838" w:orient="portrait"/>
          <w:cols w:equalWidth="0" w:num="2">
            <w:col w:w="1680" w:space="720"/>
            <w:col w:w="8960"/>
          </w:cols>
          <w:pgMar w:left="280" w:top="742" w:right="259" w:bottom="1440" w:gutter="0" w:footer="0" w:header="0"/>
          <w:type w:val="continuous"/>
        </w:sectPr>
      </w:pPr>
    </w:p>
    <w:p>
      <w:pPr>
        <w:ind w:left="2800" w:hanging="104"/>
        <w:spacing w:after="0"/>
        <w:tabs>
          <w:tab w:leader="none" w:pos="2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Cash, your personal check, a cashier’s check or a money order.</w:t>
      </w:r>
    </w:p>
    <w:p>
      <w:pPr>
        <w:spacing w:after="0" w:line="225" w:lineRule="exact"/>
        <w:rPr>
          <w:rFonts w:ascii="Arial" w:cs="Arial" w:eastAsia="Arial" w:hAnsi="Arial"/>
          <w:sz w:val="18"/>
          <w:szCs w:val="18"/>
          <w:color w:val="auto"/>
        </w:rPr>
      </w:pPr>
    </w:p>
    <w:p>
      <w:pPr>
        <w:jc w:val="both"/>
        <w:ind w:left="2700" w:right="140" w:hanging="4"/>
        <w:spacing w:after="0" w:line="264" w:lineRule="auto"/>
        <w:tabs>
          <w:tab w:leader="none" w:pos="28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delivery (on a form or by electronic means prescribed by the Company) of an irrevocable direction to a securities broker to sell Shares and to deliver all or part of the sale proceeds to the Company in payment of the aggregate Option Price and any Tax-Related Items.</w:t>
      </w:r>
    </w:p>
    <w:p>
      <w:pPr>
        <w:sectPr>
          <w:pgSz w:w="11900" w:h="16838" w:orient="portrait"/>
          <w:cols w:equalWidth="0" w:num="1">
            <w:col w:w="11360"/>
          </w:cols>
          <w:pgMar w:left="280" w:top="742" w:right="25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b w:val="1"/>
                <w:bCs w:val="1"/>
                <w:color w:val="auto"/>
              </w:rPr>
              <w:t>Withholding Taxes</w:t>
            </w: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5"/>
              </w:rPr>
              <w:t>Regardless of any action the Company or your employer (the “Employer”) takes with respect to any or all income tax,</w:t>
            </w:r>
          </w:p>
        </w:tc>
      </w:tr>
      <w:tr>
        <w:trPr>
          <w:trHeight w:val="20"/>
        </w:trPr>
        <w:tc>
          <w:tcPr>
            <w:tcW w:w="1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22"/>
        </w:trPr>
        <w:tc>
          <w:tcPr>
            <w:tcW w:w="1960" w:type="dxa"/>
            <w:vAlign w:val="bottom"/>
          </w:tcPr>
          <w:p>
            <w:pPr>
              <w:spacing w:after="0"/>
              <w:rPr>
                <w:sz w:val="19"/>
                <w:szCs w:val="19"/>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4"/>
              </w:rPr>
              <w:t>social insurance, payroll tax, payment on account or other tax-related items related to your participation in the Plan and</w:t>
            </w:r>
          </w:p>
        </w:tc>
      </w:tr>
      <w:tr>
        <w:trPr>
          <w:trHeight w:val="190"/>
        </w:trPr>
        <w:tc>
          <w:tcPr>
            <w:tcW w:w="1960" w:type="dxa"/>
            <w:vAlign w:val="bottom"/>
          </w:tcPr>
          <w:p>
            <w:pPr>
              <w:spacing w:after="0"/>
              <w:rPr>
                <w:sz w:val="16"/>
                <w:szCs w:val="16"/>
                <w:color w:val="auto"/>
              </w:rPr>
            </w:pPr>
          </w:p>
        </w:tc>
        <w:tc>
          <w:tcPr>
            <w:tcW w:w="9360" w:type="dxa"/>
            <w:vAlign w:val="bottom"/>
            <w:gridSpan w:val="5"/>
          </w:tcPr>
          <w:p>
            <w:pPr>
              <w:ind w:left="440"/>
              <w:spacing w:after="0" w:line="190" w:lineRule="exact"/>
              <w:rPr>
                <w:sz w:val="20"/>
                <w:szCs w:val="20"/>
                <w:color w:val="auto"/>
              </w:rPr>
            </w:pPr>
            <w:r>
              <w:rPr>
                <w:rFonts w:ascii="Arial" w:cs="Arial" w:eastAsia="Arial" w:hAnsi="Arial"/>
                <w:sz w:val="18"/>
                <w:szCs w:val="18"/>
                <w:color w:val="auto"/>
                <w:w w:val="92"/>
              </w:rPr>
              <w:t>legally applicable to you (“Tax-Related Items”), you acknowledge that the ultimate liability for all Tax-Related Items is and</w:t>
            </w:r>
          </w:p>
        </w:tc>
      </w:tr>
      <w:tr>
        <w:trPr>
          <w:trHeight w:val="20"/>
        </w:trPr>
        <w:tc>
          <w:tcPr>
            <w:tcW w:w="1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r>
      <w:tr>
        <w:trPr>
          <w:trHeight w:val="222"/>
        </w:trPr>
        <w:tc>
          <w:tcPr>
            <w:tcW w:w="1960" w:type="dxa"/>
            <w:vAlign w:val="bottom"/>
          </w:tcPr>
          <w:p>
            <w:pPr>
              <w:spacing w:after="0"/>
              <w:rPr>
                <w:sz w:val="19"/>
                <w:szCs w:val="19"/>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3"/>
              </w:rPr>
              <w:t>remains your responsibility and may exceed the amount actually withheld by the Company or the Employer. You further</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89"/>
              </w:rPr>
              <w:t>acknowledge that the Company and/or the Employer (a) make no representations or undertakings regarding the treatment of</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5"/>
              </w:rPr>
              <w:t>any Tax-Related Items in connection with any aspect of the Options, including, but not limited to, the grant, vesting or</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0"/>
              </w:rPr>
              <w:t>exercise of the Options, the subsequent sale of Shares acquired pursuant to such exercise and the receipt of any dividends;</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4"/>
              </w:rPr>
              <w:t>and (b) do not commit to and are under no obligation to structure the terms of the grant or any aspect of the Options to</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3"/>
              </w:rPr>
              <w:t>reduce or eliminate your liability for Tax-Related Items or achieve any particular tax result. You acknowledge that neither</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4"/>
              </w:rPr>
              <w:t>the Company nor the Employer shall have any obligation to indemnify or otherwise hold you harmless from any or all of</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0"/>
              </w:rPr>
              <w:t>such Tax-Related Items. Further, if you are subject to tax in more than one jurisdiction, you acknowledge that the Company</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2"/>
              </w:rPr>
              <w:t>and/or the Employer (or former Employer, as applicable) may be required to withhold or account for Tax-Related Items in</w:t>
            </w: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rPr>
              <w:t>more than one jurisdiction.</w:t>
            </w:r>
          </w:p>
        </w:tc>
      </w:tr>
      <w:tr>
        <w:trPr>
          <w:trHeight w:val="364"/>
        </w:trPr>
        <w:tc>
          <w:tcPr>
            <w:tcW w:w="1960" w:type="dxa"/>
            <w:vAlign w:val="bottom"/>
          </w:tcPr>
          <w:p>
            <w:pPr>
              <w:spacing w:after="0"/>
              <w:rPr>
                <w:sz w:val="24"/>
                <w:szCs w:val="24"/>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8"/>
              </w:rPr>
              <w:t>Prior to any relevant taxable or tax withholding event, as applicable, you will pay or make adequate arrangements</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8"/>
              </w:rPr>
              <w:t>satisfactory to the Company and/or the Employer to satisfy all Tax-Related Items. In this regard, you authorize the</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4"/>
              </w:rPr>
              <w:t>Company and/or the Employer, or their respective agents, at their discretion, to satisfy the obligations with regard to all</w:t>
            </w: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rPr>
              <w:t>Tax-Related Items by one or a combination of the following:</w:t>
            </w:r>
          </w:p>
        </w:tc>
      </w:tr>
      <w:tr>
        <w:trPr>
          <w:trHeight w:val="432"/>
        </w:trPr>
        <w:tc>
          <w:tcPr>
            <w:tcW w:w="1960" w:type="dxa"/>
            <w:vAlign w:val="bottom"/>
          </w:tcPr>
          <w:p>
            <w:pPr>
              <w:spacing w:after="0"/>
              <w:rPr>
                <w:sz w:val="24"/>
                <w:szCs w:val="24"/>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8"/>
              </w:rPr>
              <w:t>(1) withholding from your wages or other cash compensation paid to you by the Company and/or the Employer; or</w:t>
            </w:r>
          </w:p>
        </w:tc>
      </w:tr>
      <w:tr>
        <w:trPr>
          <w:trHeight w:val="418"/>
        </w:trPr>
        <w:tc>
          <w:tcPr>
            <w:tcW w:w="1960" w:type="dxa"/>
            <w:vAlign w:val="bottom"/>
          </w:tcPr>
          <w:p>
            <w:pPr>
              <w:spacing w:after="0"/>
              <w:rPr>
                <w:sz w:val="24"/>
                <w:szCs w:val="24"/>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2"/>
              </w:rPr>
              <w:t>(2) withholding from proceeds of the sale of Shares acquired at exercise, either through a voluntary sale or through a sale</w:t>
            </w: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rPr>
              <w:t>arranged by the Company (on your behalf pursuant to this authorization); or</w:t>
            </w:r>
          </w:p>
        </w:tc>
      </w:tr>
      <w:tr>
        <w:trPr>
          <w:trHeight w:val="432"/>
        </w:trPr>
        <w:tc>
          <w:tcPr>
            <w:tcW w:w="1960" w:type="dxa"/>
            <w:vAlign w:val="bottom"/>
          </w:tcPr>
          <w:p>
            <w:pPr>
              <w:spacing w:after="0"/>
              <w:rPr>
                <w:sz w:val="24"/>
                <w:szCs w:val="24"/>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rPr>
              <w:t>(3) withholding in Shares to be issued at exercise.</w:t>
            </w:r>
          </w:p>
        </w:tc>
      </w:tr>
      <w:tr>
        <w:trPr>
          <w:trHeight w:val="580"/>
        </w:trPr>
        <w:tc>
          <w:tcPr>
            <w:tcW w:w="1960" w:type="dxa"/>
            <w:vAlign w:val="bottom"/>
          </w:tcPr>
          <w:p>
            <w:pPr>
              <w:spacing w:after="0"/>
              <w:rPr>
                <w:sz w:val="24"/>
                <w:szCs w:val="24"/>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5"/>
              </w:rPr>
              <w:t>To avoid negative accounting treatment, the Company may withhold or account for Tax-Related Items by considering</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3"/>
              </w:rPr>
              <w:t>applicable minimum statutory withholding amounts or other applicable withholding rates. If the obligation for Tax-Related</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0"/>
              </w:rPr>
              <w:t>Items is satisfied by withholding in Shares, for tax purposes, you are deemed to have been issued the full number of Shares</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2"/>
              </w:rPr>
              <w:t>subject to the Options exercised, notwithstanding that a number of Shares is retained solely for the purpose of paying the</w:t>
            </w: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rPr>
              <w:t>Tax-Related Items due as a result of any aspect of your participation in the Plan.</w:t>
            </w:r>
          </w:p>
        </w:tc>
      </w:tr>
      <w:tr>
        <w:trPr>
          <w:trHeight w:val="526"/>
        </w:trPr>
        <w:tc>
          <w:tcPr>
            <w:tcW w:w="1960" w:type="dxa"/>
            <w:vAlign w:val="bottom"/>
          </w:tcPr>
          <w:p>
            <w:pPr>
              <w:spacing w:after="0"/>
              <w:rPr>
                <w:sz w:val="24"/>
                <w:szCs w:val="24"/>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1"/>
              </w:rPr>
              <w:t>Finally, you will pay to the Company or the Employer any amount of Tax-Related Items that the Company or the Employer</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0"/>
              </w:rPr>
              <w:t>may be required to withhold or account for as a result of your participation in the Plan that cannot be satisfied by the means</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0"/>
              </w:rPr>
              <w:t>previously described. The Company may refuse to issue or deliver Shares or the proceeds from the sale of Shares if you fail</w:t>
            </w: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rPr>
              <w:t>to comply with your obligations in connection with the Tax-Related Items.</w:t>
            </w:r>
          </w:p>
        </w:tc>
      </w:tr>
      <w:tr>
        <w:trPr>
          <w:trHeight w:val="647"/>
        </w:trPr>
        <w:tc>
          <w:tcPr>
            <w:tcW w:w="1960" w:type="dxa"/>
            <w:vAlign w:val="bottom"/>
          </w:tcPr>
          <w:p>
            <w:pPr>
              <w:spacing w:after="0"/>
              <w:rPr>
                <w:sz w:val="20"/>
                <w:szCs w:val="20"/>
                <w:color w:val="auto"/>
              </w:rPr>
            </w:pPr>
            <w:r>
              <w:rPr>
                <w:rFonts w:ascii="Arial" w:cs="Arial" w:eastAsia="Arial" w:hAnsi="Arial"/>
                <w:sz w:val="18"/>
                <w:szCs w:val="18"/>
                <w:b w:val="1"/>
                <w:bCs w:val="1"/>
                <w:color w:val="auto"/>
              </w:rPr>
              <w:t>Transfer of Options</w:t>
            </w: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8"/>
              </w:rPr>
              <w:t>Prior to your death, only you may exercise these Options, or in the case of legal incapacity, your guardian or legal</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4"/>
              </w:rPr>
              <w:t>representative may act on your behalf. You cannot transfer or assign these Options. For instance, you may not sell the</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rPr>
              <w:t>Options themselves or use them as security for a loan. If you attempt to do any of these things, the Options will</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2"/>
              </w:rPr>
              <w:t>immediately become invalid. You may, however, dispose of these Options in your will. Regardless of any marital property</w:t>
            </w: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9"/>
              </w:rPr>
              <w:t>settlement agreement, the Company is not obligated to honor your spouse’s interest in these Options in any way.</w:t>
            </w:r>
          </w:p>
        </w:tc>
      </w:tr>
      <w:tr>
        <w:trPr>
          <w:trHeight w:val="958"/>
        </w:trPr>
        <w:tc>
          <w:tcPr>
            <w:tcW w:w="1960" w:type="dxa"/>
            <w:vAlign w:val="bottom"/>
          </w:tcPr>
          <w:p>
            <w:pPr>
              <w:spacing w:after="0"/>
              <w:rPr>
                <w:sz w:val="20"/>
                <w:szCs w:val="20"/>
                <w:color w:val="auto"/>
              </w:rPr>
            </w:pPr>
            <w:r>
              <w:rPr>
                <w:rFonts w:ascii="Arial" w:cs="Arial" w:eastAsia="Arial" w:hAnsi="Arial"/>
                <w:sz w:val="18"/>
                <w:szCs w:val="18"/>
                <w:b w:val="1"/>
                <w:bCs w:val="1"/>
                <w:color w:val="auto"/>
              </w:rPr>
              <w:t>Retention Rights</w:t>
            </w: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7"/>
              </w:rPr>
              <w:t>These Options or this Award Agreement do not give you the right to be retained or to continue to be retained by the</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3"/>
              </w:rPr>
              <w:t>Company or any Subsidiary or Affiliate thereof in any employment or other capacity. The Company or any Subsidiary or</w:t>
            </w: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rPr>
              <w:t>Affiliate thereof reserves the right to terminate your service at any time and for any reason.</w:t>
            </w:r>
          </w:p>
        </w:tc>
      </w:tr>
      <w:tr>
        <w:trPr>
          <w:trHeight w:val="958"/>
        </w:trPr>
        <w:tc>
          <w:tcPr>
            <w:tcW w:w="1960" w:type="dxa"/>
            <w:vAlign w:val="bottom"/>
          </w:tcPr>
          <w:p>
            <w:pPr>
              <w:spacing w:after="0"/>
              <w:rPr>
                <w:sz w:val="20"/>
                <w:szCs w:val="20"/>
                <w:color w:val="auto"/>
              </w:rPr>
            </w:pPr>
            <w:r>
              <w:rPr>
                <w:rFonts w:ascii="Arial" w:cs="Arial" w:eastAsia="Arial" w:hAnsi="Arial"/>
                <w:sz w:val="18"/>
                <w:szCs w:val="18"/>
                <w:b w:val="1"/>
                <w:bCs w:val="1"/>
                <w:color w:val="auto"/>
              </w:rPr>
              <w:t>Stockholder Rights</w:t>
            </w: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4"/>
              </w:rPr>
              <w:t>You, or your estate or heirs, have no rights as a stockholder of the Company until you are recorded as the holder of the</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4"/>
              </w:rPr>
              <w:t>Shares upon the stock records of the Company. No adjustments are made for dividends or other rights if the applicable</w:t>
            </w: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7"/>
              </w:rPr>
              <w:t>record date occurs before you are recorded as the holder of the Shares, except as otherwise described in the Plan.</w:t>
            </w:r>
          </w:p>
        </w:tc>
      </w:tr>
      <w:tr>
        <w:trPr>
          <w:trHeight w:val="958"/>
        </w:trPr>
        <w:tc>
          <w:tcPr>
            <w:tcW w:w="19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2"/>
              </w:rPr>
              <w:t>In the event of a stock split, a stock dividend or a similar change in the Company stock, the number of Shares covered by</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0"/>
              </w:rPr>
              <w:t>these Options and the Option Price may be adjusted (and rounded down to the nearest whole number) pursuant to the Plan.</w:t>
            </w:r>
          </w:p>
        </w:tc>
      </w:tr>
      <w:tr>
        <w:trPr>
          <w:trHeight w:val="216"/>
        </w:trPr>
        <w:tc>
          <w:tcPr>
            <w:tcW w:w="1960" w:type="dxa"/>
            <w:vAlign w:val="bottom"/>
          </w:tcPr>
          <w:p>
            <w:pPr>
              <w:spacing w:after="0"/>
              <w:rPr>
                <w:sz w:val="18"/>
                <w:szCs w:val="18"/>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w w:val="95"/>
              </w:rPr>
              <w:t>These Options shall be subject to the terms of the agreement of merger, liquidation or reorganization in the event the</w:t>
            </w:r>
          </w:p>
        </w:tc>
      </w:tr>
      <w:tr>
        <w:trPr>
          <w:trHeight w:val="230"/>
        </w:trPr>
        <w:tc>
          <w:tcPr>
            <w:tcW w:w="1960" w:type="dxa"/>
            <w:vAlign w:val="bottom"/>
          </w:tcPr>
          <w:p>
            <w:pPr>
              <w:spacing w:after="0"/>
              <w:rPr>
                <w:sz w:val="20"/>
                <w:szCs w:val="20"/>
                <w:color w:val="auto"/>
              </w:rPr>
            </w:pPr>
          </w:p>
        </w:tc>
        <w:tc>
          <w:tcPr>
            <w:tcW w:w="9360" w:type="dxa"/>
            <w:vAlign w:val="bottom"/>
            <w:gridSpan w:val="5"/>
          </w:tcPr>
          <w:p>
            <w:pPr>
              <w:ind w:left="440"/>
              <w:spacing w:after="0"/>
              <w:rPr>
                <w:sz w:val="20"/>
                <w:szCs w:val="20"/>
                <w:color w:val="auto"/>
              </w:rPr>
            </w:pPr>
            <w:r>
              <w:rPr>
                <w:rFonts w:ascii="Arial" w:cs="Arial" w:eastAsia="Arial" w:hAnsi="Arial"/>
                <w:sz w:val="18"/>
                <w:szCs w:val="18"/>
                <w:color w:val="auto"/>
              </w:rPr>
              <w:t>Company is subject to such corporate activity.</w:t>
            </w:r>
          </w:p>
        </w:tc>
      </w:tr>
    </w:tbl>
    <w:p>
      <w:pPr>
        <w:sectPr>
          <w:pgSz w:w="11900" w:h="16838" w:orient="portrait"/>
          <w:cols w:equalWidth="0" w:num="1">
            <w:col w:w="11320"/>
          </w:cols>
          <w:pgMar w:left="280" w:top="729" w:right="299" w:bottom="1440" w:gutter="0" w:footer="0" w:header="0"/>
        </w:sectPr>
      </w:pPr>
    </w:p>
    <w:bookmarkStart w:id="143" w:name="page144"/>
    <w:bookmarkEnd w:id="143"/>
    <w:p>
      <w:pPr>
        <w:spacing w:after="0"/>
        <w:tabs>
          <w:tab w:leader="none" w:pos="2380" w:val="left"/>
        </w:tabs>
        <w:rPr>
          <w:sz w:val="20"/>
          <w:szCs w:val="20"/>
          <w:color w:val="auto"/>
        </w:rPr>
      </w:pPr>
      <w:r>
        <w:rPr>
          <w:rFonts w:ascii="Arial" w:cs="Arial" w:eastAsia="Arial" w:hAnsi="Arial"/>
          <w:sz w:val="18"/>
          <w:szCs w:val="18"/>
          <w:b w:val="1"/>
          <w:bCs w:val="1"/>
          <w:color w:val="auto"/>
        </w:rPr>
        <w:t>No Advice Regarding Grant</w:t>
      </w:r>
      <w:r>
        <w:rPr>
          <w:sz w:val="20"/>
          <w:szCs w:val="20"/>
          <w:color w:val="auto"/>
        </w:rPr>
        <w:tab/>
      </w:r>
      <w:r>
        <w:rPr>
          <w:rFonts w:ascii="Arial" w:cs="Arial" w:eastAsia="Arial" w:hAnsi="Arial"/>
          <w:sz w:val="16"/>
          <w:szCs w:val="16"/>
          <w:color w:val="auto"/>
        </w:rPr>
        <w:t>The Company is not providing any tax, legal or financial advice, nor is the Company making any recommendations</w:t>
      </w:r>
    </w:p>
    <w:p>
      <w:pPr>
        <w:spacing w:after="0" w:line="27" w:lineRule="exact"/>
        <w:rPr>
          <w:sz w:val="20"/>
          <w:szCs w:val="20"/>
          <w:color w:val="auto"/>
        </w:rPr>
      </w:pPr>
    </w:p>
    <w:p>
      <w:pPr>
        <w:ind w:left="2400" w:right="240"/>
        <w:spacing w:after="0" w:line="255" w:lineRule="auto"/>
        <w:rPr>
          <w:sz w:val="20"/>
          <w:szCs w:val="20"/>
          <w:color w:val="auto"/>
        </w:rPr>
      </w:pPr>
      <w:r>
        <w:rPr>
          <w:rFonts w:ascii="Arial" w:cs="Arial" w:eastAsia="Arial" w:hAnsi="Arial"/>
          <w:sz w:val="18"/>
          <w:szCs w:val="18"/>
          <w:color w:val="auto"/>
        </w:rPr>
        <w:t>regarding your participation in the Plan, or your acquisition or sale of the underlying Shares. You are hereby advised to consult your own personal tax, legal and financial advisors regarding your participation in the Plan and before taking any action related to the Plan.</w:t>
      </w:r>
    </w:p>
    <w:p>
      <w:pPr>
        <w:sectPr>
          <w:pgSz w:w="11900" w:h="16838" w:orient="portrait"/>
          <w:cols w:equalWidth="0" w:num="1">
            <w:col w:w="11360"/>
          </w:cols>
          <w:pgMar w:left="280" w:top="743"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Not a Contract of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By accepting this Award Agreement, you acknowledge and agree that (a) any person whose service is terminated before full vesting of an award, such as the one granted to you by this Option grant, could claim that his or her service was terminated to preclude vesting; (b) you will never make such a claim; (c) nothing in this Award Agreement or the Plan confers on you any right to continue a service relationship with the Company, nor shall anything in this Award Agreement or the Plan affect in any way your right or the rights of the Company or the Employer to terminate your service at any time, with or without cause; and (d) the Company would not have granted this Option to you but for these acknowledgments and agreements.</w:t>
      </w:r>
    </w:p>
    <w:p>
      <w:pPr>
        <w:spacing w:after="0" w:line="200" w:lineRule="exact"/>
        <w:rPr>
          <w:sz w:val="20"/>
          <w:szCs w:val="20"/>
          <w:color w:val="auto"/>
        </w:rPr>
      </w:pPr>
    </w:p>
    <w:p>
      <w:pPr>
        <w:sectPr>
          <w:pgSz w:w="11900" w:h="16838" w:orient="portrait"/>
          <w:cols w:equalWidth="0" w:num="2">
            <w:col w:w="1680" w:space="720"/>
            <w:col w:w="8960"/>
          </w:cols>
          <w:pgMar w:left="280" w:top="743" w:right="25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Option grant and the provisions of this Award Agreement are governed by, and subject to, the internal substantive laws but not the choice of law rules of the State of Delaware, as provided in the Plan. For purposes of litigating any dispute that arises directly or indirectly from the relationship of the parties evidenced by this grant or this Award Agreement, the parties hereby submit to and consent to the exclusive jurisdiction of the State of California, and agree that such litigation shall be conducted only in the courts of California, or Delaware, and no other courts, where this grant is made and/or to be performed.</w:t>
      </w:r>
    </w:p>
    <w:p>
      <w:pPr>
        <w:spacing w:after="0" w:line="200" w:lineRule="exact"/>
        <w:rPr>
          <w:sz w:val="20"/>
          <w:szCs w:val="20"/>
          <w:color w:val="auto"/>
        </w:rPr>
      </w:pPr>
    </w:p>
    <w:p>
      <w:pPr>
        <w:sectPr>
          <w:pgSz w:w="11900" w:h="16838" w:orient="portrait"/>
          <w:cols w:equalWidth="0" w:num="2">
            <w:col w:w="1680" w:space="720"/>
            <w:col w:w="8960"/>
          </w:cols>
          <w:pgMar w:left="280" w:top="743" w:right="2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Delivery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may, in its sole discretion, decide to deliver any documents related to the Options granted under and participation in the Plan or future options that may be granted under the Plan by electronic means. You hereby consent to receive such documents by electronic delivery and to agree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ectPr>
          <w:pgSz w:w="11900" w:h="16838" w:orient="portrait"/>
          <w:cols w:equalWidth="0" w:num="2">
            <w:col w:w="1680" w:space="720"/>
            <w:col w:w="8960"/>
          </w:cols>
          <w:pgMar w:left="280" w:top="743" w:right="25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provisions of this Award Agreement are severable and if any one or more provisions are determined to be illegal or otherwise unenforceable, in whole or in part, the remaining provisions shall nevertheless be binding and enforceable.</w:t>
      </w:r>
    </w:p>
    <w:p>
      <w:pPr>
        <w:sectPr>
          <w:pgSz w:w="11900" w:h="16838" w:orient="portrait"/>
          <w:cols w:equalWidth="0" w:num="2">
            <w:col w:w="1680" w:space="720"/>
            <w:col w:w="8960"/>
          </w:cols>
          <w:pgMar w:left="280" w:top="743" w:right="25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Subsidiary</w:t>
            </w:r>
          </w:p>
        </w:tc>
        <w:tc>
          <w:tcPr>
            <w:tcW w:w="120" w:type="dxa"/>
            <w:vAlign w:val="bottom"/>
            <w:vMerge w:val="restart"/>
          </w:tcPr>
          <w:p>
            <w:pPr>
              <w:spacing w:after="0"/>
              <w:rPr>
                <w:sz w:val="14"/>
                <w:szCs w:val="14"/>
                <w:color w:val="auto"/>
              </w:rPr>
            </w:pPr>
          </w:p>
        </w:tc>
        <w:tc>
          <w:tcPr>
            <w:tcW w:w="29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Jurisdiction of Incorporation or Organization</w:t>
            </w:r>
          </w:p>
        </w:tc>
        <w:tc>
          <w:tcPr>
            <w:tcW w:w="100" w:type="dxa"/>
            <w:vAlign w:val="bottom"/>
            <w:vMerge w:val="restart"/>
          </w:tcPr>
          <w:p>
            <w:pPr>
              <w:spacing w:after="0"/>
              <w:rPr>
                <w:sz w:val="14"/>
                <w:szCs w:val="14"/>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2"/>
              </w:rPr>
              <w:t>Name Under Which the Subsidiary Does</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Technologies,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Alberta, Canada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Solutions,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(Italy) S.r.l.</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(UK)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Australia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Australia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Asia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Hong Kong</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(Shanghai) Co.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Technologies,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Enfora, Inc.</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R.E.R. Enterprises,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Oregon</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Feeney Wireless</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Inseego North America, LLC</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Oregon</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Feeney Wireless IC-Disc,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Holdings Limited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Electronics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Properties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SA (Pty)</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Financial Services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Fleet Management SA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Integrated Fare Collections Services (Pty) Limited (IFCS)</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Dedical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Alchemist House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Management Services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Brands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Cellular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International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Investments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Technology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International Holdings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Europe Holdings Limited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UK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Ireland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Ireland</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E. Eur. Holdings Limited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Deutschland GmbH</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Europe BV</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Benelux BV</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Netherlands</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Polska Sp z o.o.</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Poland</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International Holdings BV</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Netherlands</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New Zealand Limited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New Zealand</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Asia SDN BHD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Malaysia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Australia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Finance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Belgium BVBA</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Belgium</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Ctrack France SARL</w:t>
            </w:r>
          </w:p>
        </w:tc>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France</w:t>
            </w:r>
          </w:p>
        </w:tc>
        <w:tc>
          <w:tcPr>
            <w:tcW w:w="2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S-3 No. 333-221404) pertaining to 1,629,115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S-3 No. 333-207255) pertaining to 13,067,382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333-214965) pertaining to the 2009 Omnibus Incentive Compensation Plan;</w:t>
      </w:r>
    </w:p>
    <w:p>
      <w:pPr>
        <w:spacing w:after="0" w:line="225" w:lineRule="exact"/>
        <w:rPr>
          <w:rFonts w:ascii="Arial" w:cs="Arial" w:eastAsia="Arial" w:hAnsi="Arial"/>
          <w:sz w:val="18"/>
          <w:szCs w:val="18"/>
          <w:color w:val="auto"/>
        </w:rPr>
      </w:pPr>
    </w:p>
    <w:p>
      <w:pPr>
        <w:ind w:left="660" w:right="86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333-207233) pertaining to the 2009 Omnibus Incentive Compensation Plan and the 2015 Incentive Compensation Plan;</w:t>
      </w:r>
    </w:p>
    <w:p>
      <w:pPr>
        <w:spacing w:after="0" w:line="170" w:lineRule="exact"/>
        <w:rPr>
          <w:rFonts w:ascii="Arial" w:cs="Arial" w:eastAsia="Arial" w:hAnsi="Arial"/>
          <w:sz w:val="18"/>
          <w:szCs w:val="18"/>
          <w:color w:val="auto"/>
        </w:rPr>
      </w:pPr>
    </w:p>
    <w:p>
      <w:pPr>
        <w:ind w:left="660" w:right="86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333-202648) pertaining to the 2009 Omnibus Incentive Compensation Plan and the 2015 Incentive Compensation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333-221405) pertaining to the Amended and Restated 2000 Employee Stock Purchase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333-190878) pertaining to the Amended and Restated 2000 Employee Stock Purchase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333-190879) pertaining to the 2009 Omnibus Incentive Compensation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333-176490) pertaining to the Amended and Restated 2000 Employee Stock Purchase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333-176489) pertaining to the 2009 Omnibus Incentive Compensation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333-163033) pertaining to the 2009 Omnibus Incentive Compensation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333-163032) pertaining to the Amended and Restated 2000 Employee Stock Purchase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333-159287) pertaining to the Amended and Restated 2000 Employee Stock Purchase Plan;</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333-145482) pertaining to the Amended and Restated 2000 Stock Incentive Plan and the Amended and Restated 2000 Employee Stock Purchase Plan;</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333-139730) pertaining to the Amended and Restated 2000 Stock Incentive Plan and the Amended and Restated 2000 Employee Stock Purchase Plan;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Statement (Form S-8 No. 333-53692) pertaining to the Amended and Restated 2000 Stock Incentive Plan, the Amended and Restated 2000 Employee Stock Purchase Plan and the Amended and Restated 1997 Employee Stock Option Plan;</w:t>
      </w:r>
    </w:p>
    <w:p>
      <w:pPr>
        <w:spacing w:after="0" w:line="17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of our report dated March 15, 2018, with respect to the consolidated financial statements and schedule of Inseego Corp. and the effectiveness of internal control over financial reporting of Inseego Corp., included in this Annual Report (Form 10-K) for the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ectPr>
          <w:pgSz w:w="11900" w:h="16838" w:orient="portrait"/>
          <w:cols w:equalWidth="0" w:num="1">
            <w:col w:w="11420"/>
          </w:cols>
          <w:pgMar w:left="240" w:top="58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ind w:right="3400" w:firstLine="3408"/>
        <w:spacing w:after="0" w:line="512"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88"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Registration Statement (Form S-3 No. 333-207255) of Novatel Wireless, Inc. (predecessor issuer to Inseego Corp.);</w:t>
      </w:r>
    </w:p>
    <w:p>
      <w:pPr>
        <w:spacing w:after="0" w:line="333" w:lineRule="exact"/>
        <w:rPr>
          <w:rFonts w:ascii="Arial" w:cs="Arial" w:eastAsia="Arial" w:hAnsi="Arial"/>
          <w:sz w:val="18"/>
          <w:szCs w:val="18"/>
          <w:color w:val="auto"/>
        </w:rPr>
      </w:pPr>
    </w:p>
    <w:p>
      <w:pPr>
        <w:ind w:left="200" w:hanging="192"/>
        <w:spacing w:after="0"/>
        <w:tabs>
          <w:tab w:leader="none" w:pos="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Registration Statement (Form S-3 No. 333-221404) of Inseego Corp.;</w:t>
      </w:r>
    </w:p>
    <w:p>
      <w:pPr>
        <w:spacing w:after="0" w:line="333" w:lineRule="exact"/>
        <w:rPr>
          <w:rFonts w:ascii="Arial" w:cs="Arial" w:eastAsia="Arial" w:hAnsi="Arial"/>
          <w:sz w:val="18"/>
          <w:szCs w:val="18"/>
          <w:color w:val="auto"/>
        </w:rPr>
      </w:pPr>
    </w:p>
    <w:p>
      <w:pPr>
        <w:ind w:right="180" w:firstLine="8"/>
        <w:spacing w:after="0" w:line="259" w:lineRule="auto"/>
        <w:tabs>
          <w:tab w:leader="none" w:pos="1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Registration Statement (Form S-8 Nos. 333-221405, 333-214965, 333-207233, 333-202648, 333-190878, 333-190879, 333-176490, 333-176489, 333-163033, 333-163032, 333-159287, 333-145482, 333-139730, 333-53692) pertaining to the 2009 Omnibus Incentive Compensation Plan, the 2015 Incentive Compensation Plan, Amended and Restated 2000 Employee Stock Purchase Plan, Amended and Restated 2000 Stock Incentive Plan, and the Amended and Restated 1997 Employee Stock Option Plan;</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our report dated March 14, 2016, with respect to the consolidated financial statements of Novatel Wireless, Inc. included in this Annual Report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ectPr>
          <w:pgSz w:w="11900" w:h="16838" w:orient="portrait"/>
          <w:cols w:equalWidth="0" w:num="1">
            <w:col w:w="11420"/>
          </w:cols>
          <w:pgMar w:left="240" w:top="58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17" w:lineRule="exact"/>
        <w:rPr>
          <w:sz w:val="20"/>
          <w:szCs w:val="20"/>
          <w:color w:val="auto"/>
        </w:rPr>
      </w:pPr>
    </w:p>
    <w:p>
      <w:pPr>
        <w:ind w:left="620" w:hanging="180"/>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17" w:lineRule="exact"/>
        <w:rPr>
          <w:sz w:val="20"/>
          <w:szCs w:val="20"/>
          <w:color w:val="auto"/>
        </w:rPr>
      </w:pPr>
    </w:p>
    <w:p>
      <w:pPr>
        <w:ind w:left="620" w:hanging="180"/>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Stephen Smith</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319" w:lineRule="exact"/>
        <w:rPr>
          <w:sz w:val="20"/>
          <w:szCs w:val="20"/>
          <w:color w:val="auto"/>
        </w:rPr>
      </w:pPr>
    </w:p>
    <w:p>
      <w:pPr>
        <w:ind w:left="1360" w:right="840" w:hanging="305"/>
        <w:spacing w:after="0" w:line="277" w:lineRule="auto"/>
        <w:tabs>
          <w:tab w:leader="none" w:pos="1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2017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60" w:right="840" w:hanging="305"/>
        <w:spacing w:after="0" w:line="277" w:lineRule="auto"/>
        <w:tabs>
          <w:tab w:leader="none" w:pos="13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2017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Stephen Smith</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x"/>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1)"/>
      <w:numFmt w:val="decimal"/>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1)"/>
      <w:numFmt w:val="decimal"/>
      <w:start w:val="2"/>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1)"/>
      <w:numFmt w:val="lowerLetter"/>
      <w:start w:val="2"/>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1)"/>
      <w:numFmt w:val="decimal"/>
      <w:start w:val="1"/>
    </w:lvl>
  </w:abstractNum>
  <w:abstractNum w:abstractNumId="32">
    <w:nsid w:val="98A3148"/>
    <w:multiLevelType w:val="hybridMultilevel"/>
    <w:lvl w:ilvl="0">
      <w:lvlJc w:val="left"/>
      <w:lvlText w:val="(%1)"/>
      <w:numFmt w:val="decimal"/>
      <w:start w:val="1"/>
    </w:lvl>
  </w:abstractNum>
  <w:abstractNum w:abstractNumId="33">
    <w:nsid w:val="799D0247"/>
    <w:multiLevelType w:val="hybridMultilevel"/>
    <w:lvl w:ilvl="0">
      <w:lvlJc w:val="left"/>
      <w:lvlText w:val="(%1)"/>
      <w:numFmt w:val="lowerRoman"/>
      <w:start w:val="1"/>
    </w:lvl>
  </w:abstractNum>
  <w:abstractNum w:abstractNumId="34">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5">
    <w:nsid w:val="42C296BD"/>
    <w:multiLevelType w:val="hybridMultilevel"/>
    <w:lvl w:ilvl="0">
      <w:lvlJc w:val="left"/>
      <w:lvlText w:val="(%1)"/>
      <w:numFmt w:val="lowerLetter"/>
      <w:start w:val="7"/>
    </w:lvl>
    <w:lvl w:ilvl="1">
      <w:lvlJc w:val="left"/>
      <w:lvlText w:val="(%2)"/>
      <w:numFmt w:val="lowerLetter"/>
      <w:start w:val="8"/>
    </w:lvl>
    <w:lvl w:ilvl="2">
      <w:lvlJc w:val="left"/>
      <w:lvlText w:val="(%3)"/>
      <w:numFmt w:val="lowerRoman"/>
      <w:start w:val="1"/>
    </w:lvl>
    <w:lvl w:ilvl="3">
      <w:lvlJc w:val="left"/>
      <w:lvlText w:val="(%4)"/>
      <w:numFmt w:val="decimal"/>
      <w:start w:val="1"/>
    </w:lvl>
  </w:abstractNum>
  <w:abstractNum w:abstractNumId="36">
    <w:nsid w:val="168E121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3"/>
    </w:lvl>
  </w:abstractNum>
  <w:abstractNum w:abstractNumId="37">
    <w:nsid w:val="1EBA5D2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38">
    <w:nsid w:val="661E3F1E"/>
    <w:multiLevelType w:val="hybridMultilevel"/>
    <w:lvl w:ilvl="0">
      <w:lvlJc w:val="left"/>
      <w:lvlText w:val="(%1)"/>
      <w:numFmt w:val="lowerLetter"/>
      <w:start w:val="10"/>
    </w:lvl>
    <w:lvl w:ilvl="1">
      <w:lvlJc w:val="left"/>
      <w:lvlText w:val="(%2)"/>
      <w:numFmt w:val="lowerLetter"/>
      <w:start w:val="14"/>
    </w:lvl>
    <w:lvl w:ilvl="2">
      <w:lvlJc w:val="left"/>
      <w:lvlText w:val="%3"/>
      <w:numFmt w:val="lowerRoman"/>
      <w:start w:val="1"/>
    </w:lvl>
    <w:lvl w:ilvl="3">
      <w:lvlJc w:val="left"/>
      <w:lvlText w:val="%4"/>
      <w:numFmt w:val="decimal"/>
      <w:start w:val="1"/>
    </w:lvl>
  </w:abstractNum>
  <w:abstractNum w:abstractNumId="39">
    <w:nsid w:val="5DC79EA8"/>
    <w:multiLevelType w:val="hybridMultilevel"/>
    <w:lvl w:ilvl="0">
      <w:lvlJc w:val="left"/>
      <w:lvlText w:val="(%1)"/>
      <w:numFmt w:val="lowerLetter"/>
      <w:start w:val="16"/>
    </w:lvl>
  </w:abstractNum>
  <w:abstractNum w:abstractNumId="40">
    <w:nsid w:val="540A471C"/>
    <w:multiLevelType w:val="hybridMultilevel"/>
    <w:lvl w:ilvl="0">
      <w:lvlJc w:val="left"/>
      <w:lvlText w:val="(%1)"/>
      <w:numFmt w:val="lowerLetter"/>
      <w:start w:val="27"/>
    </w:lvl>
    <w:lvl w:ilvl="1">
      <w:lvlJc w:val="left"/>
      <w:lvlText w:val="(%2)"/>
      <w:numFmt w:val="lowerRoman"/>
      <w:start w:val="1"/>
    </w:lvl>
  </w:abstractNum>
  <w:abstractNum w:abstractNumId="41">
    <w:nsid w:val="7BD3EE7B"/>
    <w:multiLevelType w:val="hybridMultilevel"/>
    <w:lvl w:ilvl="0">
      <w:lvlJc w:val="left"/>
      <w:lvlText w:val="(%1)"/>
      <w:numFmt w:val="lowerRoman"/>
      <w:start w:val="5"/>
    </w:lvl>
  </w:abstractNum>
  <w:abstractNum w:abstractNumId="42">
    <w:nsid w:val="51D9C564"/>
    <w:multiLevelType w:val="hybridMultilevel"/>
    <w:lvl w:ilvl="0">
      <w:lvlJc w:val="left"/>
      <w:lvlText w:val="(%1)"/>
      <w:numFmt w:val="lowerRoman"/>
      <w:start w:val="6"/>
    </w:lvl>
    <w:lvl w:ilvl="1">
      <w:lvlJc w:val="left"/>
      <w:lvlText w:val="(%2)"/>
      <w:numFmt w:val="lowerRoman"/>
      <w:start w:val="8"/>
    </w:lvl>
  </w:abstractNum>
  <w:abstractNum w:abstractNumId="43">
    <w:nsid w:val="613EFDC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9"/>
    </w:lvl>
  </w:abstractNum>
  <w:abstractNum w:abstractNumId="44">
    <w:nsid w:val="BF72B14"/>
    <w:multiLevelType w:val="hybridMultilevel"/>
    <w:lvl w:ilvl="0">
      <w:lvlJc w:val="left"/>
      <w:lvlText w:val="%1"/>
      <w:numFmt w:val="lowerLetter"/>
      <w:start w:val="1"/>
    </w:lvl>
    <w:lvl w:ilvl="1">
      <w:lvlJc w:val="left"/>
      <w:lvlText w:val="(%2)"/>
      <w:numFmt w:val="lowerLetter"/>
      <w:start w:val="32"/>
    </w:lvl>
    <w:lvl w:ilvl="2">
      <w:lvlJc w:val="left"/>
      <w:lvlText w:val="(%3)"/>
      <w:numFmt w:val="lowerLetter"/>
      <w:start w:val="33"/>
    </w:lvl>
  </w:abstractNum>
  <w:abstractNum w:abstractNumId="45">
    <w:nsid w:val="11447B73"/>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5"/>
    </w:lvl>
  </w:abstractNum>
  <w:abstractNum w:abstractNumId="46">
    <w:nsid w:val="42963E5A"/>
    <w:multiLevelType w:val="hybridMultilevel"/>
    <w:lvl w:ilvl="0">
      <w:lvlJc w:val="left"/>
      <w:lvlText w:val="(%1)"/>
      <w:numFmt w:val="lowerLetter"/>
      <w:start w:val="37"/>
    </w:lvl>
  </w:abstractNum>
  <w:abstractNum w:abstractNumId="47">
    <w:nsid w:val="A0382C5"/>
    <w:multiLevelType w:val="hybridMultilevel"/>
    <w:lvl w:ilvl="0">
      <w:lvlJc w:val="left"/>
      <w:lvlText w:val="%1"/>
      <w:numFmt w:val="lowerLetter"/>
      <w:start w:val="1"/>
    </w:lvl>
    <w:lvl w:ilvl="1">
      <w:lvlJc w:val="left"/>
      <w:lvlText w:val="(%2)"/>
      <w:numFmt w:val="lowerLetter"/>
      <w:start w:val="38"/>
    </w:lvl>
  </w:abstractNum>
  <w:abstractNum w:abstractNumId="48">
    <w:nsid w:val="8F2B15E"/>
    <w:multiLevelType w:val="hybridMultilevel"/>
    <w:lvl w:ilvl="0">
      <w:lvlJc w:val="left"/>
      <w:lvlText w:val="(%1)"/>
      <w:numFmt w:val="lowerLetter"/>
      <w:start w:val="42"/>
    </w:lvl>
    <w:lvl w:ilvl="1">
      <w:lvlJc w:val="left"/>
      <w:lvlText w:val="(%2)"/>
      <w:numFmt w:val="lowerLetter"/>
      <w:start w:val="43"/>
    </w:lvl>
  </w:abstractNum>
  <w:abstractNum w:abstractNumId="49">
    <w:nsid w:val="1A32234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60"/>
    </w:lvl>
    <w:lvl w:ilvl="4">
      <w:lvlJc w:val="left"/>
      <w:lvlText w:val="(%5)"/>
      <w:numFmt w:val="lowerRoman"/>
      <w:start w:val="1"/>
    </w:lvl>
  </w:abstractNum>
  <w:abstractNum w:abstractNumId="50">
    <w:nsid w:val="3B0FD379"/>
    <w:multiLevelType w:val="hybridMultilevel"/>
    <w:lvl w:ilvl="0">
      <w:lvlJc w:val="left"/>
      <w:lvlText w:val="(%1)"/>
      <w:numFmt w:val="lowerRoman"/>
      <w:start w:val="1"/>
    </w:lvl>
  </w:abstractNum>
  <w:abstractNum w:abstractNumId="51">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lvl w:ilvl="4">
      <w:lvlJc w:val="left"/>
      <w:lvlText w:val="(%5)"/>
      <w:numFmt w:val="lowerRoman"/>
      <w:start w:val="3"/>
    </w:lvl>
  </w:abstractNum>
  <w:abstractNum w:abstractNumId="52">
    <w:nsid w:val="4962813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53">
    <w:nsid w:val="60B6DF70"/>
    <w:multiLevelType w:val="hybridMultilevel"/>
    <w:lvl w:ilvl="0">
      <w:lvlJc w:val="left"/>
      <w:lvlText w:val="%1"/>
      <w:numFmt w:val="decimal"/>
      <w:start w:val="1"/>
    </w:lvl>
    <w:lvl w:ilvl="1">
      <w:lvlJc w:val="left"/>
      <w:lvlText w:val="(%2)"/>
      <w:numFmt w:val="lowerLetter"/>
      <w:start w:val="3"/>
    </w:lvl>
  </w:abstractNum>
  <w:abstractNum w:abstractNumId="54">
    <w:nsid w:val="6A5EE64"/>
    <w:multiLevelType w:val="hybridMultilevel"/>
    <w:lvl w:ilvl="0">
      <w:lvlJc w:val="left"/>
      <w:lvlText w:val="%1."/>
      <w:numFmt w:val="decimal"/>
      <w:start w:val="5"/>
    </w:lvl>
    <w:lvl w:ilvl="1">
      <w:lvlJc w:val="left"/>
      <w:lvlText w:val="(%2)"/>
      <w:numFmt w:val="lowerLetter"/>
      <w:start w:val="1"/>
    </w:lvl>
  </w:abstractNum>
  <w:abstractNum w:abstractNumId="55">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56">
    <w:nsid w:val="7FFFCA1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9"/>
    </w:lvl>
  </w:abstractNum>
  <w:abstractNum w:abstractNumId="57">
    <w:nsid w:val="1A27709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8">
    <w:nsid w:val="71EA110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4"/>
    </w:lvl>
  </w:abstractNum>
  <w:abstractNum w:abstractNumId="59">
    <w:nsid w:val="100F59D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60">
    <w:nsid w:val="7FB7E0A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1">
    <w:nsid w:val="6EB5BD4"/>
    <w:multiLevelType w:val="hybridMultilevel"/>
    <w:lvl w:ilvl="0">
      <w:lvlJc w:val="left"/>
      <w:lvlText w:val="%1"/>
      <w:numFmt w:val="decimal"/>
      <w:start w:val="1"/>
    </w:lvl>
    <w:lvl w:ilvl="1">
      <w:lvlJc w:val="left"/>
      <w:lvlText w:val="(%2)"/>
      <w:numFmt w:val="lowerLetter"/>
      <w:start w:val="6"/>
    </w:lvl>
  </w:abstractNum>
  <w:abstractNum w:abstractNumId="62">
    <w:nsid w:val="6F6DD9AC"/>
    <w:multiLevelType w:val="hybridMultilevel"/>
    <w:lvl w:ilvl="0">
      <w:lvlJc w:val="left"/>
      <w:lvlText w:val="%1."/>
      <w:numFmt w:val="decimal"/>
      <w:start w:val="9"/>
    </w:lvl>
    <w:lvl w:ilvl="1">
      <w:lvlJc w:val="left"/>
      <w:lvlText w:val="(%2)"/>
      <w:numFmt w:val="lowerLetter"/>
      <w:start w:val="1"/>
    </w:lvl>
  </w:abstractNum>
  <w:abstractNum w:abstractNumId="63">
    <w:nsid w:val="94211F2"/>
    <w:multiLevelType w:val="hybridMultilevel"/>
    <w:lvl w:ilvl="0">
      <w:lvlJc w:val="left"/>
      <w:lvlText w:val="%1."/>
      <w:numFmt w:val="decimal"/>
      <w:start w:val="12"/>
    </w:lvl>
    <w:lvl w:ilvl="1">
      <w:lvlJc w:val="left"/>
      <w:lvlText w:val="(%2)"/>
      <w:numFmt w:val="lowerLetter"/>
      <w:start w:val="1"/>
    </w:lvl>
  </w:abstractNum>
  <w:abstractNum w:abstractNumId="64">
    <w:nsid w:val="885E1B"/>
    <w:multiLevelType w:val="hybridMultilevel"/>
    <w:lvl w:ilvl="0">
      <w:lvlJc w:val="left"/>
      <w:lvlText w:val="%1."/>
      <w:numFmt w:val="decimal"/>
      <w:start w:val="15"/>
    </w:lvl>
    <w:lvl w:ilvl="1">
      <w:lvlJc w:val="left"/>
      <w:lvlText w:val="(%2)"/>
      <w:numFmt w:val="lowerLetter"/>
      <w:start w:val="1"/>
    </w:lvl>
  </w:abstractNum>
  <w:abstractNum w:abstractNumId="65">
    <w:nsid w:val="76272110"/>
    <w:multiLevelType w:val="hybridMultilevel"/>
    <w:lvl w:ilvl="0">
      <w:lvlJc w:val="left"/>
      <w:lvlText w:val="%1."/>
      <w:numFmt w:val="decimal"/>
      <w:start w:val="16"/>
    </w:lvl>
    <w:lvl w:ilvl="1">
      <w:lvlJc w:val="left"/>
      <w:lvlText w:val="(%2)"/>
      <w:numFmt w:val="lowerLetter"/>
      <w:start w:val="1"/>
    </w:lvl>
  </w:abstractNum>
  <w:abstractNum w:abstractNumId="66">
    <w:nsid w:val="4C04A8AF"/>
    <w:multiLevelType w:val="hybridMultilevel"/>
    <w:lvl w:ilvl="0">
      <w:lvlJc w:val="left"/>
      <w:lvlText w:val="%1"/>
      <w:numFmt w:val="lowerLetter"/>
      <w:start w:val="1"/>
    </w:lvl>
    <w:lvl w:ilvl="1">
      <w:lvlJc w:val="left"/>
      <w:lvlText w:val="(%2)"/>
      <w:numFmt w:val="lowerLetter"/>
      <w:start w:val="2"/>
    </w:lvl>
  </w:abstractNum>
  <w:abstractNum w:abstractNumId="67">
    <w:nsid w:val="1716703B"/>
    <w:multiLevelType w:val="hybridMultilevel"/>
    <w:lvl w:ilvl="0">
      <w:lvlJc w:val="left"/>
      <w:lvlText w:val="(%1)"/>
      <w:numFmt w:val="lowerLetter"/>
      <w:start w:val="35"/>
    </w:lvl>
    <w:lvl w:ilvl="1">
      <w:lvlJc w:val="left"/>
      <w:lvlText w:val="(%2)"/>
      <w:numFmt w:val="lowerLetter"/>
      <w:start w:val="4"/>
    </w:lvl>
  </w:abstractNum>
  <w:abstractNum w:abstractNumId="68">
    <w:nsid w:val="14E17E33"/>
    <w:multiLevelType w:val="hybridMultilevel"/>
    <w:lvl w:ilvl="0">
      <w:lvlJc w:val="left"/>
      <w:lvlText w:val="%1."/>
      <w:numFmt w:val="decimal"/>
      <w:start w:val="17"/>
    </w:lvl>
    <w:lvl w:ilvl="1">
      <w:lvlJc w:val="left"/>
      <w:lvlText w:val="(%2)"/>
      <w:numFmt w:val="lowerLetter"/>
      <w:start w:val="1"/>
    </w:lvl>
  </w:abstractNum>
  <w:abstractNum w:abstractNumId="69">
    <w:nsid w:val="3222E7CD"/>
    <w:multiLevelType w:val="hybridMultilevel"/>
    <w:lvl w:ilvl="0">
      <w:lvlJc w:val="left"/>
      <w:lvlText w:val="(%1)"/>
      <w:numFmt w:val="lowerLetter"/>
      <w:start w:val="7"/>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1."/>
      <w:numFmt w:val="decimal"/>
      <w:start w:val="1"/>
    </w:lvl>
  </w:abstractNum>
  <w:abstractNum w:abstractNumId="72">
    <w:nsid w:val="2DF6D648"/>
    <w:multiLevelType w:val="hybridMultilevel"/>
    <w:lvl w:ilvl="0">
      <w:lvlJc w:val="left"/>
      <w:lvlText w:val="%1."/>
      <w:numFmt w:val="decimal"/>
      <w:start w:val="7"/>
    </w:lvl>
    <w:lvl w:ilvl="1">
      <w:lvlJc w:val="left"/>
      <w:lvlText w:val="%2."/>
      <w:numFmt w:val="decimal"/>
      <w:start w:val="1"/>
    </w:lvl>
  </w:abstractNum>
  <w:abstractNum w:abstractNumId="73">
    <w:nsid w:val="46B7D447"/>
    <w:multiLevelType w:val="hybridMultilevel"/>
    <w:lvl w:ilvl="0">
      <w:lvlJc w:val="left"/>
      <w:lvlText w:val="%1."/>
      <w:numFmt w:val="decimal"/>
      <w:start w:val="8"/>
    </w:lvl>
  </w:abstractNum>
  <w:abstractNum w:abstractNumId="74">
    <w:nsid w:val="4A2AC315"/>
    <w:multiLevelType w:val="hybridMultilevel"/>
    <w:lvl w:ilvl="0">
      <w:lvlJc w:val="left"/>
      <w:lvlText w:val="%1."/>
      <w:numFmt w:val="decimal"/>
      <w:start w:val="9"/>
    </w:lvl>
  </w:abstractNum>
  <w:abstractNum w:abstractNumId="75">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6">
    <w:nsid w:val="57FC4FB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77">
    <w:nsid w:val="CC1016F"/>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78">
    <w:nsid w:val="43F18422"/>
    <w:multiLevelType w:val="hybridMultilevel"/>
    <w:lvl w:ilvl="0">
      <w:lvlJc w:val="left"/>
      <w:lvlText w:val="(%1)"/>
      <w:numFmt w:val="lowerLetter"/>
      <w:start w:val="10"/>
    </w:lvl>
    <w:lvl w:ilvl="1">
      <w:lvlJc w:val="left"/>
      <w:lvlText w:val="%2"/>
      <w:numFmt w:val="lowerRoman"/>
      <w:start w:val="1"/>
    </w:lvl>
    <w:lvl w:ilvl="2">
      <w:lvlJc w:val="left"/>
      <w:lvlText w:val="%3"/>
      <w:numFmt w:val="decimal"/>
      <w:start w:val="1"/>
    </w:lvl>
  </w:abstractNum>
  <w:abstractNum w:abstractNumId="79">
    <w:nsid w:val="60EF0119"/>
    <w:multiLevelType w:val="hybridMultilevel"/>
    <w:lvl w:ilvl="0">
      <w:lvlJc w:val="left"/>
      <w:lvlText w:val="(%1)"/>
      <w:numFmt w:val="lowerLetter"/>
      <w:start w:val="11"/>
    </w:lvl>
    <w:lvl w:ilvl="1">
      <w:lvlJc w:val="left"/>
      <w:lvlText w:val="(%2)"/>
      <w:numFmt w:val="lowerLetter"/>
      <w:start w:val="16"/>
    </w:lvl>
  </w:abstractNum>
  <w:abstractNum w:abstractNumId="80">
    <w:nsid w:val="26F324BA"/>
    <w:multiLevelType w:val="hybridMultilevel"/>
    <w:lvl w:ilvl="0">
      <w:lvlJc w:val="left"/>
      <w:lvlText w:val="(%1)"/>
      <w:numFmt w:val="lowerLetter"/>
      <w:start w:val="27"/>
    </w:lvl>
  </w:abstractNum>
  <w:abstractNum w:abstractNumId="81">
    <w:nsid w:val="7F01579B"/>
    <w:multiLevelType w:val="hybridMultilevel"/>
    <w:lvl w:ilvl="0">
      <w:lvlJc w:val="left"/>
      <w:lvlText w:val="%1"/>
      <w:numFmt w:val="lowerLetter"/>
      <w:start w:val="1"/>
    </w:lvl>
    <w:lvl w:ilvl="1">
      <w:lvlJc w:val="left"/>
      <w:lvlText w:val="(%2)"/>
      <w:numFmt w:val="lowerLetter"/>
      <w:start w:val="28"/>
    </w:lvl>
  </w:abstractNum>
  <w:abstractNum w:abstractNumId="82">
    <w:nsid w:val="49DA307D"/>
    <w:multiLevelType w:val="hybridMultilevel"/>
    <w:lvl w:ilvl="0">
      <w:lvlJc w:val="left"/>
      <w:lvlText w:val="(%1)"/>
      <w:numFmt w:val="lowerLetter"/>
      <w:start w:val="61"/>
    </w:lvl>
    <w:lvl w:ilvl="1">
      <w:lvlJc w:val="left"/>
      <w:lvlText w:val="(%2)"/>
      <w:numFmt w:val="lowerLetter"/>
      <w:start w:val="34"/>
    </w:lvl>
  </w:abstractNum>
  <w:abstractNum w:abstractNumId="83">
    <w:nsid w:val="7055A5F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4"/>
    </w:lvl>
    <w:lvl w:ilvl="4">
      <w:lvlJc w:val="left"/>
      <w:lvlText w:val="%5"/>
      <w:numFmt w:val="lowerLetter"/>
      <w:start w:val="1"/>
    </w:lvl>
    <w:lvl w:ilvl="5">
      <w:lvlJc w:val="left"/>
      <w:lvlText w:val="%6"/>
      <w:numFmt w:val="lowerRoman"/>
      <w:start w:val="1"/>
    </w:lvl>
  </w:abstractNum>
  <w:abstractNum w:abstractNumId="84">
    <w:nsid w:val="5FB8370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lvl w:ilvl="4">
      <w:lvlJc w:val="left"/>
      <w:lvlText w:val="(%5)"/>
      <w:numFmt w:val="lowerLetter"/>
      <w:start w:val="34"/>
    </w:lvl>
    <w:lvl w:ilvl="5">
      <w:lvlJc w:val="left"/>
      <w:lvlText w:val="(%6)"/>
      <w:numFmt w:val="lowerRoman"/>
      <w:start w:val="1"/>
    </w:lvl>
  </w:abstractNum>
  <w:abstractNum w:abstractNumId="85">
    <w:nsid w:val="50801E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9"/>
    </w:lvl>
    <w:lvl w:ilvl="5">
      <w:lvlJc w:val="left"/>
      <w:lvlText w:val="%6"/>
      <w:numFmt w:val="lowerRoman"/>
      <w:start w:val="1"/>
    </w:lvl>
  </w:abstractNum>
  <w:abstractNum w:abstractNumId="86">
    <w:nsid w:val="488AC1A"/>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Roman"/>
      <w:start w:val="1"/>
    </w:lvl>
  </w:abstractNum>
  <w:abstractNum w:abstractNumId="87">
    <w:nsid w:val="5FB8011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8">
    <w:nsid w:val="6AA78F7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89">
    <w:nsid w:val="7672BD23"/>
    <w:multiLevelType w:val="hybridMultilevel"/>
    <w:lvl w:ilvl="0">
      <w:lvlJc w:val="left"/>
      <w:lvlText w:val="%1"/>
      <w:numFmt w:val="decimal"/>
      <w:start w:val="1"/>
    </w:lvl>
    <w:lvl w:ilvl="1">
      <w:lvlJc w:val="left"/>
      <w:lvlText w:val="(%2)"/>
      <w:numFmt w:val="lowerLetter"/>
      <w:start w:val="5"/>
    </w:lvl>
  </w:abstractNum>
  <w:abstractNum w:abstractNumId="90">
    <w:nsid w:val="6FC75AF8"/>
    <w:multiLevelType w:val="hybridMultilevel"/>
    <w:lvl w:ilvl="0">
      <w:lvlJc w:val="left"/>
      <w:lvlText w:val="%1."/>
      <w:numFmt w:val="decimal"/>
      <w:start w:val="6"/>
    </w:lvl>
    <w:lvl w:ilvl="1">
      <w:lvlJc w:val="left"/>
      <w:lvlText w:val="(%2)"/>
      <w:numFmt w:val="lowerLetter"/>
      <w:start w:val="1"/>
    </w:lvl>
  </w:abstractNum>
  <w:abstractNum w:abstractNumId="91">
    <w:nsid w:val="6A5F7029"/>
    <w:multiLevelType w:val="hybridMultilevel"/>
    <w:lvl w:ilvl="0">
      <w:lvlJc w:val="left"/>
      <w:lvlText w:val="%1."/>
      <w:numFmt w:val="decimal"/>
      <w:start w:val="7"/>
    </w:lvl>
    <w:lvl w:ilvl="1">
      <w:lvlJc w:val="left"/>
      <w:lvlText w:val="(%2)"/>
      <w:numFmt w:val="lowerLetter"/>
      <w:start w:val="1"/>
    </w:lvl>
  </w:abstractNum>
  <w:abstractNum w:abstractNumId="92">
    <w:nsid w:val="7D5E18F8"/>
    <w:multiLevelType w:val="hybridMultilevel"/>
    <w:lvl w:ilvl="0">
      <w:lvlJc w:val="left"/>
      <w:lvlText w:val="%1"/>
      <w:numFmt w:val="decimal"/>
      <w:start w:val="1"/>
    </w:lvl>
    <w:lvl w:ilvl="1">
      <w:lvlJc w:val="left"/>
      <w:lvlText w:val="(%2)"/>
      <w:numFmt w:val="lowerLetter"/>
      <w:start w:val="6"/>
    </w:lvl>
  </w:abstractNum>
  <w:abstractNum w:abstractNumId="93">
    <w:nsid w:val="5F3534A4"/>
    <w:multiLevelType w:val="hybridMultilevel"/>
    <w:lvl w:ilvl="0">
      <w:lvlJc w:val="left"/>
      <w:lvlText w:val="%1."/>
      <w:numFmt w:val="decimal"/>
      <w:start w:val="9"/>
    </w:lvl>
    <w:lvl w:ilvl="1">
      <w:lvlJc w:val="left"/>
      <w:lvlText w:val="(%2)"/>
      <w:numFmt w:val="lowerLetter"/>
      <w:start w:val="1"/>
    </w:lvl>
  </w:abstractNum>
  <w:abstractNum w:abstractNumId="94">
    <w:nsid w:val="73A1821B"/>
    <w:multiLevelType w:val="hybridMultilevel"/>
    <w:lvl w:ilvl="0">
      <w:lvlJc w:val="left"/>
      <w:lvlText w:val="%1."/>
      <w:numFmt w:val="decimal"/>
      <w:start w:val="12"/>
    </w:lvl>
    <w:lvl w:ilvl="1">
      <w:lvlJc w:val="left"/>
      <w:lvlText w:val="%2."/>
      <w:numFmt w:val="decimal"/>
      <w:start w:val="12"/>
    </w:lvl>
    <w:lvl w:ilvl="2">
      <w:lvlJc w:val="left"/>
      <w:lvlText w:val="(%3)"/>
      <w:numFmt w:val="lowerLetter"/>
      <w:start w:val="1"/>
    </w:lvl>
  </w:abstractNum>
  <w:abstractNum w:abstractNumId="95">
    <w:nsid w:val="7DE67713"/>
    <w:multiLevelType w:val="hybridMultilevel"/>
    <w:lvl w:ilvl="0">
      <w:lvlJc w:val="left"/>
      <w:lvlText w:val="%1."/>
      <w:numFmt w:val="decimal"/>
      <w:start w:val="15"/>
    </w:lvl>
    <w:lvl w:ilvl="1">
      <w:lvlJc w:val="left"/>
      <w:lvlText w:val="(%2)"/>
      <w:numFmt w:val="lowerLetter"/>
      <w:start w:val="1"/>
    </w:lvl>
  </w:abstractNum>
  <w:abstractNum w:abstractNumId="96">
    <w:nsid w:val="555C55B5"/>
    <w:multiLevelType w:val="hybridMultilevel"/>
    <w:lvl w:ilvl="0">
      <w:lvlJc w:val="left"/>
      <w:lvlText w:val="%1."/>
      <w:numFmt w:val="decimal"/>
      <w:start w:val="16"/>
    </w:lvl>
    <w:lvl w:ilvl="1">
      <w:lvlJc w:val="left"/>
      <w:lvlText w:val="(%2)"/>
      <w:numFmt w:val="lowerLetter"/>
      <w:start w:val="1"/>
    </w:lvl>
  </w:abstractNum>
  <w:abstractNum w:abstractNumId="97">
    <w:nsid w:val="3FA62ACA"/>
    <w:multiLevelType w:val="hybridMultilevel"/>
    <w:lvl w:ilvl="0">
      <w:lvlJc w:val="left"/>
      <w:lvlText w:val="%1"/>
      <w:numFmt w:val="lowerLetter"/>
      <w:start w:val="1"/>
    </w:lvl>
    <w:lvl w:ilvl="1">
      <w:lvlJc w:val="left"/>
      <w:lvlText w:val="(%2)"/>
      <w:numFmt w:val="lowerLetter"/>
      <w:start w:val="3"/>
    </w:lvl>
  </w:abstractNum>
  <w:abstractNum w:abstractNumId="98">
    <w:nsid w:val="14FCE74E"/>
    <w:multiLevelType w:val="hybridMultilevel"/>
    <w:lvl w:ilvl="0">
      <w:lvlJc w:val="left"/>
      <w:lvlText w:val="(%1)"/>
      <w:numFmt w:val="lowerLetter"/>
      <w:start w:val="35"/>
    </w:lvl>
    <w:lvl w:ilvl="1">
      <w:lvlJc w:val="left"/>
      <w:lvlText w:val="(%2)"/>
      <w:numFmt w:val="lowerLetter"/>
      <w:start w:val="4"/>
    </w:lvl>
  </w:abstractNum>
  <w:abstractNum w:abstractNumId="99">
    <w:nsid w:val="6A3DD3E8"/>
    <w:multiLevelType w:val="hybridMultilevel"/>
    <w:lvl w:ilvl="0">
      <w:lvlJc w:val="left"/>
      <w:lvlText w:val="%1."/>
      <w:numFmt w:val="decimal"/>
      <w:start w:val="17"/>
    </w:lvl>
    <w:lvl w:ilvl="1">
      <w:lvlJc w:val="left"/>
      <w:lvlText w:val="(%2)"/>
      <w:numFmt w:val="lowerLetter"/>
      <w:start w:val="1"/>
    </w:lvl>
  </w:abstractNum>
  <w:abstractNum w:abstractNumId="100">
    <w:nsid w:val="71C91298"/>
    <w:multiLevelType w:val="hybridMultilevel"/>
    <w:lvl w:ilvl="0">
      <w:lvlJc w:val="left"/>
      <w:lvlText w:val="(%1)"/>
      <w:numFmt w:val="lowerLetter"/>
      <w:start w:val="7"/>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decimal"/>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35" Type="http://schemas.openxmlformats.org/officeDocument/2006/relationships/image" Target="media/image2.png"/><Relationship Id="rId60" Type="http://schemas.openxmlformats.org/officeDocument/2006/relationships/image" Target="media/image3.png"/><Relationship Id="rId61" Type="http://schemas.openxmlformats.org/officeDocument/2006/relationships/image" Target="media/image4.png"/><Relationship Id="rId62" Type="http://schemas.openxmlformats.org/officeDocument/2006/relationships/image" Target="media/image5.png"/><Relationship Id="rId63" Type="http://schemas.openxmlformats.org/officeDocument/2006/relationships/image" Target="media/image6.png"/><Relationship Id="rId64" Type="http://schemas.openxmlformats.org/officeDocument/2006/relationships/image" Target="media/image7.png"/><Relationship Id="rId65" Type="http://schemas.openxmlformats.org/officeDocument/2006/relationships/image" Target="media/image8.png"/><Relationship Id="rId66" Type="http://schemas.openxmlformats.org/officeDocument/2006/relationships/image" Target="media/image9.png"/><Relationship Id="rId67" Type="http://schemas.openxmlformats.org/officeDocument/2006/relationships/image" Target="media/image10.png"/><Relationship Id="rId68" Type="http://schemas.openxmlformats.org/officeDocument/2006/relationships/image" Target="media/image11.png"/><Relationship Id="rId69" Type="http://schemas.openxmlformats.org/officeDocument/2006/relationships/image" Target="media/image12.png"/><Relationship Id="rId70" Type="http://schemas.openxmlformats.org/officeDocument/2006/relationships/image" Target="media/image13.png"/><Relationship Id="rId71" Type="http://schemas.openxmlformats.org/officeDocument/2006/relationships/image" Target="media/image14.png"/><Relationship Id="rId72" Type="http://schemas.openxmlformats.org/officeDocument/2006/relationships/image" Target="media/image15.png"/><Relationship Id="rId73" Type="http://schemas.openxmlformats.org/officeDocument/2006/relationships/image" Target="media/image16.png"/><Relationship Id="rId74" Type="http://schemas.openxmlformats.org/officeDocument/2006/relationships/image" Target="media/image17.png"/><Relationship Id="rId75" Type="http://schemas.openxmlformats.org/officeDocument/2006/relationships/image" Target="media/image18.png"/><Relationship Id="rId76" Type="http://schemas.openxmlformats.org/officeDocument/2006/relationships/image" Target="media/image19.png"/><Relationship Id="rId77" Type="http://schemas.openxmlformats.org/officeDocument/2006/relationships/image" Target="media/image20.png"/><Relationship Id="rId78" Type="http://schemas.openxmlformats.org/officeDocument/2006/relationships/image" Target="media/image21.png"/><Relationship Id="rId79" Type="http://schemas.openxmlformats.org/officeDocument/2006/relationships/image" Target="media/image22.png"/><Relationship Id="rId80" Type="http://schemas.openxmlformats.org/officeDocument/2006/relationships/image" Target="media/image23.png"/><Relationship Id="rId9" Type="http://schemas.openxmlformats.org/officeDocument/2006/relationships/hyperlink" Target="http://www.sec.gov/Archives/edgar/data/1022652/000162828015002127/exhibit21-mergeragreement.htm" TargetMode="External"/><Relationship Id="rId10" Type="http://schemas.openxmlformats.org/officeDocument/2006/relationships/hyperlink" Target="http://www.sec.gov/Archives/edgar/data/1022652/000102265216000071/mifi20160105ex21fwmergeram.htm" TargetMode="External"/><Relationship Id="rId11" Type="http://schemas.openxmlformats.org/officeDocument/2006/relationships/hyperlink" Target="http://www.sec.gov/Archives/edgar/data/1022652/000102265215000016/a20150618exhibit21.htm" TargetMode="External"/><Relationship Id="rId12" Type="http://schemas.openxmlformats.org/officeDocument/2006/relationships/hyperlink" Target="http://www.sec.gov/Archives/edgar/data/1022652/000102265216000101/mifi20160331ex25telitapa.htm" TargetMode="External"/><Relationship Id="rId13" Type="http://schemas.openxmlformats.org/officeDocument/2006/relationships/hyperlink" Target="http://www.sec.gov/Archives/edgar/data/1022652/000102265216000122/mifi20160930ex25finalresol.htm" TargetMode="External"/><Relationship Id="rId14" Type="http://schemas.openxmlformats.org/officeDocument/2006/relationships/hyperlink" Target="http://www.sec.gov/Archives/edgar/data/1022652/000119312516717143/d436957dex21.htm" TargetMode="External"/><Relationship Id="rId15" Type="http://schemas.openxmlformats.org/officeDocument/2006/relationships/hyperlink" Target="http://www.sec.gov/Archives/edgar/data/1022652/000119312516763609/d261554dex31.htm" TargetMode="External"/><Relationship Id="rId16" Type="http://schemas.openxmlformats.org/officeDocument/2006/relationships/hyperlink" Target="http://www.sec.gov/Archives/edgar/data/1022652/000119312516763609/d261554dex32.htm" TargetMode="External"/><Relationship Id="rId17" Type="http://schemas.openxmlformats.org/officeDocument/2006/relationships/hyperlink" Target="http://www.sec.gov/Archives/edgar/data/1022652/000119312518015371/d525985dex31.htm" TargetMode="External"/><Relationship Id="rId18" Type="http://schemas.openxmlformats.org/officeDocument/2006/relationships/hyperlink" Target="http://www.sec.gov/Archives/edgar/data/1022652/000119312516763609/d261554dex41.htm" TargetMode="External"/><Relationship Id="rId19" Type="http://schemas.openxmlformats.org/officeDocument/2006/relationships/hyperlink" Target="http://www.sec.gov/Archives/edgar/data/1022652/000119312514335630/d785375dex42.htm" TargetMode="External"/><Relationship Id="rId20" Type="http://schemas.openxmlformats.org/officeDocument/2006/relationships/hyperlink" Target="http://www.sec.gov/Archives/edgar/data/1022652/000119312514335630/d785375dex41.htm" TargetMode="External"/><Relationship Id="rId21" Type="http://schemas.openxmlformats.org/officeDocument/2006/relationships/hyperlink" Target="http://www.sec.gov/Archives/edgar/data/1022652/000162828015002127/exhibit41-newwarranthc2.htm" TargetMode="External"/><Relationship Id="rId22" Type="http://schemas.openxmlformats.org/officeDocument/2006/relationships/hyperlink" Target="http://www.sec.gov/Archives/edgar/data/1022652/000119312517006250/d286223dex42.htm" TargetMode="External"/><Relationship Id="rId23" Type="http://schemas.openxmlformats.org/officeDocument/2006/relationships/hyperlink" Target="http://www.sec.gov/Archives/edgar/data/1022652/000119312515219415/d940874dex41.htm" TargetMode="External"/><Relationship Id="rId24" Type="http://schemas.openxmlformats.org/officeDocument/2006/relationships/hyperlink" Target="http://www.sec.gov/Archives/edgar/data/1022652/000119312516763609/d261554dex42.htm" TargetMode="External"/><Relationship Id="rId25" Type="http://schemas.openxmlformats.org/officeDocument/2006/relationships/hyperlink" Target="http://www.sec.gov/Archives/edgar/data/1022652/000119312517006250/d286223dex41.htm" TargetMode="External"/><Relationship Id="rId26" Type="http://schemas.openxmlformats.org/officeDocument/2006/relationships/hyperlink" Target="http://www.sec.gov/Archives/edgar/data/1022652/000119312518015371/d525985dex41.htm" TargetMode="External"/><Relationship Id="rId27" Type="http://schemas.openxmlformats.org/officeDocument/2006/relationships/hyperlink" Target="http://www.sec.gov/Archives/edgar/data/1022652/000119312507177420/dex101.htm" TargetMode="External"/><Relationship Id="rId28" Type="http://schemas.openxmlformats.org/officeDocument/2006/relationships/hyperlink" Target="http://www.sec.gov/Archives/edgar/data/1022652/000119312506056825/dex103.htm" TargetMode="External"/><Relationship Id="rId29" Type="http://schemas.openxmlformats.org/officeDocument/2006/relationships/hyperlink" Target="http://www.sec.gov/Archives/edgar/data/1022652/000119312506056825/dex104.htm" TargetMode="External"/><Relationship Id="rId30" Type="http://schemas.openxmlformats.org/officeDocument/2006/relationships/hyperlink" Target="http://www.sec.gov/Archives/edgar/data/1022652/000119312506230615/dex103.htm" TargetMode="External"/><Relationship Id="rId31" Type="http://schemas.openxmlformats.org/officeDocument/2006/relationships/hyperlink" Target="http://www.sec.gov/Archives/edgar/data/1022652/000119312506230615/dex104.htm" TargetMode="External"/><Relationship Id="rId32" Type="http://schemas.openxmlformats.org/officeDocument/2006/relationships/hyperlink" Target="http://www.sec.gov/Archives/edgar/data/1022652/000119312506167833/dex1010.htm" TargetMode="External"/><Relationship Id="rId33" Type="http://schemas.openxmlformats.org/officeDocument/2006/relationships/hyperlink" Target="http://www.sec.gov/Archives/edgar/data/1022652/000119312506167833/dex1011.htm" TargetMode="External"/><Relationship Id="rId34" Type="http://schemas.openxmlformats.org/officeDocument/2006/relationships/hyperlink" Target="http://www.sec.gov/Archives/edgar/data/1022652/000102265217000061/insg20170614ex101amendedan.htm" TargetMode="External"/><Relationship Id="rId36" Type="http://schemas.openxmlformats.org/officeDocument/2006/relationships/hyperlink" Target="http://www.sec.gov/Archives/edgar/data/1022652/000102265217000075/insg20170818ex101smithoffe.htm" TargetMode="External"/><Relationship Id="rId37" Type="http://schemas.openxmlformats.org/officeDocument/2006/relationships/hyperlink" Target="http://www.sec.gov/Archives/edgar/data/1022652/000102265217000075/insg20170818ex102smithchan.htm" TargetMode="External"/><Relationship Id="rId38" Type="http://schemas.openxmlformats.org/officeDocument/2006/relationships/hyperlink" Target="http://www.sec.gov/Archives/edgar/data/1022652/000102265217000075/insg20170818ex103formofind.htm" TargetMode="External"/><Relationship Id="rId39" Type="http://schemas.openxmlformats.org/officeDocument/2006/relationships/hyperlink" Target="http://www.sec.gov/Archives/edgar/data/1022652/000119312514330994/d783403dex101.htm" TargetMode="External"/><Relationship Id="rId40" Type="http://schemas.openxmlformats.org/officeDocument/2006/relationships/hyperlink" Target="http://www.sec.gov/Archives/edgar/data/1022652/000162828015002895/mifi20150417mnewmanamended.htm" TargetMode="External"/><Relationship Id="rId41" Type="http://schemas.openxmlformats.org/officeDocument/2006/relationships/hyperlink" Target="http://www.sec.gov/Archives/edgar/data/1022652/000102265217000050/insg20170516ex102.htm" TargetMode="External"/><Relationship Id="rId42" Type="http://schemas.openxmlformats.org/officeDocument/2006/relationships/hyperlink" Target="http://www.sec.gov/Archives/edgar/data/1022652/000102265217000050/insg20170516ex101.htm" TargetMode="External"/><Relationship Id="rId43" Type="http://schemas.openxmlformats.org/officeDocument/2006/relationships/hyperlink" Target="http://www.sec.gov/Archives/edgar/data/1022652/000102265216000089/mifi20151231ex1032sueswens.htm" TargetMode="External"/><Relationship Id="rId44" Type="http://schemas.openxmlformats.org/officeDocument/2006/relationships/hyperlink" Target="http://www.sec.gov/Archives/edgar/data/1022652/000102265217000055/insg20170605ex101mondoroff.htm" TargetMode="External"/><Relationship Id="rId45" Type="http://schemas.openxmlformats.org/officeDocument/2006/relationships/hyperlink" Target="http://www.sec.gov/Archives/edgar/data/1022652/000102265217000055/insg20170605ex102mondorcha.htm" TargetMode="External"/><Relationship Id="rId46" Type="http://schemas.openxmlformats.org/officeDocument/2006/relationships/hyperlink" Target="http://www.sec.gov/Archives/edgar/data/1022652/000102265217000055/insg20170605ex103mondorind.htm" TargetMode="External"/><Relationship Id="rId47" Type="http://schemas.openxmlformats.org/officeDocument/2006/relationships/hyperlink" Target="http://www.sec.gov/Archives/edgar/data/1022652/000102265217000088/insg20170930ex108amendment.htm" TargetMode="External"/><Relationship Id="rId48" Type="http://schemas.openxmlformats.org/officeDocument/2006/relationships/hyperlink" Target="http://www.sec.gov/Archives/edgar/data/1022652/000102265215000036/mifi20150630ex104sek.htm" TargetMode="External"/><Relationship Id="rId49" Type="http://schemas.openxmlformats.org/officeDocument/2006/relationships/hyperlink" Target="http://www.sec.gov/Archives/edgar/data/1022652/000102265215000036/mifi20150630ex106bridges.htm" TargetMode="External"/><Relationship Id="rId50" Type="http://schemas.openxmlformats.org/officeDocument/2006/relationships/hyperlink" Target="http://www.sec.gov/Archives/edgar/data/1022652/000162828015002127/exhibit103-2015corporatebo.htm" TargetMode="External"/><Relationship Id="rId51" Type="http://schemas.openxmlformats.org/officeDocument/2006/relationships/hyperlink" Target="http://www.sec.gov/Archives/edgar/data/1022652/000102265216000101/mifi20160331ex412016corpor.htm" TargetMode="External"/><Relationship Id="rId52" Type="http://schemas.openxmlformats.org/officeDocument/2006/relationships/hyperlink" Target="http://www.sec.gov/Archives/edgar/data/1022652/000119312516763609/d261554dex101.htm" TargetMode="External"/><Relationship Id="rId53" Type="http://schemas.openxmlformats.org/officeDocument/2006/relationships/hyperlink" Target="http://www.sec.gov/Archives/edgar/data/1022652/000102265217000072/insg20170630ex101creditagr.htm" TargetMode="External"/><Relationship Id="rId54" Type="http://schemas.openxmlformats.org/officeDocument/2006/relationships/hyperlink" Target="http://www.sec.gov/Archives/edgar/data/1022652/000102265217000072/insg20170630ex102securitya.htm" TargetMode="External"/><Relationship Id="rId55" Type="http://schemas.openxmlformats.org/officeDocument/2006/relationships/hyperlink" Target="http://www.sec.gov/Archives/edgar/data/1022652/000102265217000088/insg20170930ex101creditagr.htm" TargetMode="External"/><Relationship Id="rId56" Type="http://schemas.openxmlformats.org/officeDocument/2006/relationships/hyperlink" Target="http://www.sec.gov/Archives/edgar/data/1022652/000102265217000088/insg20170930ex102securitya.htm" TargetMode="External"/><Relationship Id="rId57" Type="http://schemas.openxmlformats.org/officeDocument/2006/relationships/hyperlink" Target="http://www.sec.gov/Archives/edgar/data/1022652/000102265217000088/insg20170930ex103notepurch.htm" TargetMode="External"/><Relationship Id="rId58" Type="http://schemas.openxmlformats.org/officeDocument/2006/relationships/hyperlink" Target="http://www.sec.gov/Archives/edgar/data/1022652/000102265217000088/insg20170930ex1072017secon.htm" TargetMode="External"/><Relationship Id="rId59" Type="http://schemas.openxmlformats.org/officeDocument/2006/relationships/hyperlink" Target="http://www.sec.gov/Archives/edgar/data/1022652/000102265217000040/insg20170331ex1022017ins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2019-12-28T23:25:29Z</dcterms:created>
  <dcterms:modified xsi:type="dcterms:W3CDTF">2019-12-28T23:25:29Z</dcterms:modified>
</cp:coreProperties>
</file>