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Sarvikas Juho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INSEEGO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9710 SCRANTON ROAD,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INSEEGO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502"/>
        <w:gridCol w:w="675"/>
        <w:gridCol w:w="1174"/>
        <w:gridCol w:w="1006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3,657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240,229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payment of the tax liabilities of the reporting person related to the vesting of shares from a restricted stock unit (RSU) award that was granted on 01/06/2025. The grant of the RSU was previously reported in Table I of reporting person's Form 4 filed on 01/07/2025.The vesting schedule for the award was subsequently modified from an initial structure of monthly vesting over four years (with one-fourth vesting on the first anniversary of the grant date and 1/48th vesting monthly thereafter) to a quarterly vesting schedule, including a 7.5% acceleration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Wong,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0984" TargetMode="External"/><Relationship Id="rId5" Type="http://schemas.openxmlformats.org/officeDocument/2006/relationships/hyperlink" Target="http://www.sec.gov/cgi-bin/browse-edgar?action=getcompany&amp;CIK=00010226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3598</Characters>
  <CharactersWithSpaces>4193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