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00"/>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ind w:left="22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123825</wp:posOffset>
            </wp:positionV>
            <wp:extent cx="12090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50800</wp:posOffset>
            </wp:positionV>
            <wp:extent cx="12090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265" w:lineRule="exact"/>
        <w:rPr>
          <w:sz w:val="24"/>
          <w:szCs w:val="24"/>
          <w:color w:val="auto"/>
        </w:rPr>
      </w:pPr>
    </w:p>
    <w:p>
      <w:pPr>
        <w:ind w:left="440" w:hanging="398"/>
        <w:spacing w:after="0"/>
        <w:tabs>
          <w:tab w:leader="none" w:pos="440" w:val="left"/>
        </w:tabs>
        <w:numPr>
          <w:ilvl w:val="0"/>
          <w:numId w:val="1"/>
        </w:numPr>
        <w:rPr>
          <w:rFonts w:ascii="MS PGothic" w:cs="MS PGothic" w:eastAsia="MS PGothic" w:hAnsi="MS PGothic"/>
          <w:sz w:val="21"/>
          <w:szCs w:val="2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00" w:hanging="378"/>
        <w:spacing w:after="0"/>
        <w:tabs>
          <w:tab w:leader="none" w:pos="400" w:val="left"/>
        </w:tabs>
        <w:numPr>
          <w:ilvl w:val="0"/>
          <w:numId w:val="2"/>
        </w:numPr>
        <w:rPr>
          <w:rFonts w:ascii="MS PGothic" w:cs="MS PGothic" w:eastAsia="MS PGothic" w:hAnsi="MS PGothic"/>
          <w:sz w:val="21"/>
          <w:szCs w:val="2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33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20" w:type="dxa"/>
            <w:vAlign w:val="bottom"/>
            <w:tcBorders>
              <w:bottom w:val="single" w:sz="8" w:color="auto"/>
            </w:tcBorders>
          </w:tcPr>
          <w:p>
            <w:pPr>
              <w:spacing w:after="0"/>
              <w:rPr>
                <w:sz w:val="17"/>
                <w:szCs w:val="17"/>
                <w:color w:val="auto"/>
              </w:rPr>
            </w:pP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to</w:t>
            </w:r>
          </w:p>
        </w:tc>
        <w:tc>
          <w:tcPr>
            <w:tcW w:w="82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1"/>
        </w:trPr>
        <w:tc>
          <w:tcPr>
            <w:tcW w:w="4420" w:type="dxa"/>
            <w:vAlign w:val="bottom"/>
            <w:gridSpan w:val="4"/>
          </w:tcPr>
          <w:p>
            <w:pPr>
              <w:ind w:left="920"/>
              <w:spacing w:after="0"/>
              <w:rPr>
                <w:sz w:val="20"/>
                <w:szCs w:val="20"/>
                <w:color w:val="auto"/>
              </w:rPr>
            </w:pPr>
            <w:r>
              <w:rPr>
                <w:rFonts w:ascii="Arial" w:cs="Arial" w:eastAsia="Arial" w:hAnsi="Arial"/>
                <w:sz w:val="18"/>
                <w:szCs w:val="18"/>
                <w:b w:val="1"/>
                <w:bCs w:val="1"/>
                <w:color w:val="auto"/>
              </w:rPr>
              <w:t>Commission File Number: 001-38358</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2312670</wp:posOffset>
            </wp:positionH>
            <wp:positionV relativeFrom="paragraph">
              <wp:posOffset>100330</wp:posOffset>
            </wp:positionV>
            <wp:extent cx="2592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2705" cy="8255"/>
                    </a:xfrm>
                    <a:prstGeom prst="rect">
                      <a:avLst/>
                    </a:prstGeom>
                    <a:noFill/>
                  </pic:spPr>
                </pic:pic>
              </a:graphicData>
            </a:graphic>
          </wp:anchor>
        </w:drawing>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399"/>
        </w:trPr>
        <w:tc>
          <w:tcPr>
            <w:tcW w:w="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2"/>
          </w:tcPr>
          <w:p>
            <w:pPr>
              <w:jc w:val="center"/>
              <w:ind w:right="460"/>
              <w:spacing w:after="0"/>
              <w:rPr>
                <w:sz w:val="20"/>
                <w:szCs w:val="20"/>
                <w:color w:val="auto"/>
              </w:rPr>
            </w:pPr>
            <w:r>
              <w:rPr>
                <w:rFonts w:ascii="Arial" w:cs="Arial" w:eastAsia="Arial" w:hAnsi="Arial"/>
                <w:sz w:val="32"/>
                <w:szCs w:val="32"/>
                <w:b w:val="1"/>
                <w:bCs w:val="1"/>
                <w:color w:val="auto"/>
                <w:w w:val="96"/>
              </w:rPr>
              <w:t>INSEEGO CORP.</w:t>
            </w:r>
          </w:p>
        </w:tc>
        <w:tc>
          <w:tcPr>
            <w:tcW w:w="2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(Exact name of registrant as specified in its charter)</w:t>
            </w:r>
          </w:p>
        </w:tc>
        <w:tc>
          <w:tcPr>
            <w:tcW w:w="28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24"/>
        </w:trPr>
        <w:tc>
          <w:tcPr>
            <w:tcW w:w="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520" w:type="dxa"/>
            <w:vAlign w:val="bottom"/>
          </w:tcPr>
          <w:p>
            <w:pPr>
              <w:spacing w:after="0"/>
              <w:rPr>
                <w:sz w:val="2"/>
                <w:szCs w:val="2"/>
                <w:color w:val="auto"/>
              </w:rPr>
            </w:pPr>
          </w:p>
        </w:tc>
      </w:tr>
      <w:tr>
        <w:trPr>
          <w:trHeight w:val="325"/>
        </w:trPr>
        <w:tc>
          <w:tcPr>
            <w:tcW w:w="60" w:type="dxa"/>
            <w:vAlign w:val="bottom"/>
          </w:tcPr>
          <w:p>
            <w:pPr>
              <w:spacing w:after="0"/>
              <w:rPr>
                <w:sz w:val="24"/>
                <w:szCs w:val="24"/>
                <w:color w:val="auto"/>
              </w:rPr>
            </w:pPr>
          </w:p>
        </w:tc>
        <w:tc>
          <w:tcPr>
            <w:tcW w:w="4060" w:type="dxa"/>
            <w:vAlign w:val="bottom"/>
            <w:gridSpan w:val="2"/>
          </w:tcPr>
          <w:p>
            <w:pPr>
              <w:jc w:val="center"/>
              <w:ind w:left="1258"/>
              <w:spacing w:after="0"/>
              <w:rPr>
                <w:sz w:val="20"/>
                <w:szCs w:val="20"/>
                <w:color w:val="auto"/>
              </w:rPr>
            </w:pPr>
            <w:r>
              <w:rPr>
                <w:rFonts w:ascii="Arial" w:cs="Arial" w:eastAsia="Arial" w:hAnsi="Arial"/>
                <w:sz w:val="18"/>
                <w:szCs w:val="18"/>
                <w:b w:val="1"/>
                <w:bCs w:val="1"/>
                <w:color w:val="auto"/>
                <w:w w:val="91"/>
              </w:rPr>
              <w:t>Delaware</w:t>
            </w:r>
          </w:p>
        </w:tc>
        <w:tc>
          <w:tcPr>
            <w:tcW w:w="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right"/>
              <w:ind w:right="2146"/>
              <w:spacing w:after="0"/>
              <w:rPr>
                <w:sz w:val="20"/>
                <w:szCs w:val="20"/>
                <w:color w:val="auto"/>
              </w:rPr>
            </w:pPr>
            <w:r>
              <w:rPr>
                <w:rFonts w:ascii="Arial" w:cs="Arial" w:eastAsia="Arial" w:hAnsi="Arial"/>
                <w:sz w:val="18"/>
                <w:szCs w:val="18"/>
                <w:b w:val="1"/>
                <w:bCs w:val="1"/>
                <w:color w:val="auto"/>
              </w:rPr>
              <w:t>81-3377646</w:t>
            </w:r>
          </w:p>
        </w:tc>
      </w:tr>
      <w:tr>
        <w:trPr>
          <w:trHeight w:val="141"/>
        </w:trPr>
        <w:tc>
          <w:tcPr>
            <w:tcW w:w="60" w:type="dxa"/>
            <w:vAlign w:val="bottom"/>
          </w:tcPr>
          <w:p>
            <w:pPr>
              <w:spacing w:after="0"/>
              <w:rPr>
                <w:sz w:val="12"/>
                <w:szCs w:val="12"/>
                <w:color w:val="auto"/>
              </w:rPr>
            </w:pPr>
          </w:p>
        </w:tc>
        <w:tc>
          <w:tcPr>
            <w:tcW w:w="4060" w:type="dxa"/>
            <w:vAlign w:val="bottom"/>
            <w:gridSpan w:val="2"/>
          </w:tcPr>
          <w:p>
            <w:pPr>
              <w:jc w:val="center"/>
              <w:ind w:left="1278"/>
              <w:spacing w:after="0" w:line="141" w:lineRule="exact"/>
              <w:rPr>
                <w:sz w:val="20"/>
                <w:szCs w:val="20"/>
                <w:color w:val="auto"/>
              </w:rPr>
            </w:pPr>
            <w:r>
              <w:rPr>
                <w:rFonts w:ascii="Arial" w:cs="Arial" w:eastAsia="Arial" w:hAnsi="Arial"/>
                <w:sz w:val="14"/>
                <w:szCs w:val="14"/>
                <w:b w:val="1"/>
                <w:bCs w:val="1"/>
                <w:color w:val="auto"/>
                <w:w w:val="91"/>
              </w:rPr>
              <w:t>(State or Other Jurisdiction</w:t>
            </w:r>
          </w:p>
        </w:tc>
        <w:tc>
          <w:tcPr>
            <w:tcW w:w="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20" w:type="dxa"/>
            <w:vAlign w:val="bottom"/>
          </w:tcPr>
          <w:p>
            <w:pPr>
              <w:jc w:val="center"/>
              <w:ind w:right="1686"/>
              <w:spacing w:after="0" w:line="141" w:lineRule="exact"/>
              <w:rPr>
                <w:sz w:val="20"/>
                <w:szCs w:val="20"/>
                <w:color w:val="auto"/>
              </w:rPr>
            </w:pPr>
            <w:r>
              <w:rPr>
                <w:rFonts w:ascii="Arial" w:cs="Arial" w:eastAsia="Arial" w:hAnsi="Arial"/>
                <w:sz w:val="14"/>
                <w:szCs w:val="14"/>
                <w:b w:val="1"/>
                <w:bCs w:val="1"/>
                <w:color w:val="auto"/>
                <w:w w:val="93"/>
              </w:rPr>
              <w:t>(I.R.S. Employer</w:t>
            </w:r>
          </w:p>
        </w:tc>
      </w:tr>
      <w:tr>
        <w:trPr>
          <w:trHeight w:val="183"/>
        </w:trPr>
        <w:tc>
          <w:tcPr>
            <w:tcW w:w="60" w:type="dxa"/>
            <w:vAlign w:val="bottom"/>
          </w:tcPr>
          <w:p>
            <w:pPr>
              <w:spacing w:after="0"/>
              <w:rPr>
                <w:sz w:val="15"/>
                <w:szCs w:val="15"/>
                <w:color w:val="auto"/>
              </w:rPr>
            </w:pPr>
          </w:p>
        </w:tc>
        <w:tc>
          <w:tcPr>
            <w:tcW w:w="4060" w:type="dxa"/>
            <w:vAlign w:val="bottom"/>
            <w:gridSpan w:val="2"/>
          </w:tcPr>
          <w:p>
            <w:pPr>
              <w:jc w:val="center"/>
              <w:ind w:left="1258"/>
              <w:spacing w:after="0"/>
              <w:rPr>
                <w:sz w:val="20"/>
                <w:szCs w:val="20"/>
                <w:color w:val="auto"/>
              </w:rPr>
            </w:pPr>
            <w:r>
              <w:rPr>
                <w:rFonts w:ascii="Arial" w:cs="Arial" w:eastAsia="Arial" w:hAnsi="Arial"/>
                <w:sz w:val="14"/>
                <w:szCs w:val="14"/>
                <w:b w:val="1"/>
                <w:bCs w:val="1"/>
                <w:color w:val="auto"/>
                <w:w w:val="92"/>
              </w:rPr>
              <w:t>of Incorporation or Organization)</w:t>
            </w:r>
          </w:p>
        </w:tc>
        <w:tc>
          <w:tcPr>
            <w:tcW w:w="2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20" w:type="dxa"/>
            <w:vAlign w:val="bottom"/>
          </w:tcPr>
          <w:p>
            <w:pPr>
              <w:jc w:val="center"/>
              <w:ind w:right="1706"/>
              <w:spacing w:after="0"/>
              <w:rPr>
                <w:sz w:val="20"/>
                <w:szCs w:val="20"/>
                <w:color w:val="auto"/>
              </w:rPr>
            </w:pPr>
            <w:r>
              <w:rPr>
                <w:rFonts w:ascii="Arial" w:cs="Arial" w:eastAsia="Arial" w:hAnsi="Arial"/>
                <w:sz w:val="14"/>
                <w:szCs w:val="14"/>
                <w:b w:val="1"/>
                <w:bCs w:val="1"/>
                <w:color w:val="auto"/>
                <w:w w:val="92"/>
              </w:rPr>
              <w:t>Identification No.)</w:t>
            </w:r>
          </w:p>
        </w:tc>
      </w:tr>
      <w:tr>
        <w:trPr>
          <w:trHeight w:val="272"/>
        </w:trPr>
        <w:tc>
          <w:tcPr>
            <w:tcW w:w="60" w:type="dxa"/>
            <w:vAlign w:val="bottom"/>
          </w:tcPr>
          <w:p>
            <w:pPr>
              <w:spacing w:after="0"/>
              <w:rPr>
                <w:sz w:val="23"/>
                <w:szCs w:val="23"/>
                <w:color w:val="auto"/>
              </w:rPr>
            </w:pPr>
          </w:p>
        </w:tc>
        <w:tc>
          <w:tcPr>
            <w:tcW w:w="4060" w:type="dxa"/>
            <w:vAlign w:val="bottom"/>
            <w:gridSpan w:val="2"/>
          </w:tcPr>
          <w:p>
            <w:pPr>
              <w:jc w:val="center"/>
              <w:ind w:left="1258"/>
              <w:spacing w:after="0"/>
              <w:rPr>
                <w:sz w:val="20"/>
                <w:szCs w:val="20"/>
                <w:color w:val="auto"/>
              </w:rPr>
            </w:pPr>
            <w:r>
              <w:rPr>
                <w:rFonts w:ascii="Arial" w:cs="Arial" w:eastAsia="Arial" w:hAnsi="Arial"/>
                <w:sz w:val="18"/>
                <w:szCs w:val="18"/>
                <w:b w:val="1"/>
                <w:bCs w:val="1"/>
                <w:color w:val="auto"/>
                <w:w w:val="88"/>
              </w:rPr>
              <w:t>12600 Deerfield Parkway, Suite 100</w:t>
            </w:r>
          </w:p>
        </w:tc>
        <w:tc>
          <w:tcPr>
            <w:tcW w:w="2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219"/>
        </w:trPr>
        <w:tc>
          <w:tcPr>
            <w:tcW w:w="60" w:type="dxa"/>
            <w:vAlign w:val="bottom"/>
          </w:tcPr>
          <w:p>
            <w:pPr>
              <w:spacing w:after="0"/>
              <w:rPr>
                <w:sz w:val="19"/>
                <w:szCs w:val="19"/>
                <w:color w:val="auto"/>
              </w:rPr>
            </w:pPr>
          </w:p>
        </w:tc>
        <w:tc>
          <w:tcPr>
            <w:tcW w:w="4060" w:type="dxa"/>
            <w:vAlign w:val="bottom"/>
            <w:gridSpan w:val="2"/>
          </w:tcPr>
          <w:p>
            <w:pPr>
              <w:ind w:left="1820"/>
              <w:spacing w:after="0"/>
              <w:rPr>
                <w:sz w:val="20"/>
                <w:szCs w:val="20"/>
                <w:color w:val="auto"/>
              </w:rPr>
            </w:pPr>
            <w:r>
              <w:rPr>
                <w:rFonts w:ascii="Arial" w:cs="Arial" w:eastAsia="Arial" w:hAnsi="Arial"/>
                <w:sz w:val="18"/>
                <w:szCs w:val="18"/>
                <w:b w:val="1"/>
                <w:bCs w:val="1"/>
                <w:color w:val="auto"/>
              </w:rPr>
              <w:t>Alpharetta, Georgia</w:t>
            </w:r>
          </w:p>
        </w:tc>
        <w:tc>
          <w:tcPr>
            <w:tcW w:w="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right"/>
              <w:ind w:right="2346"/>
              <w:spacing w:after="0"/>
              <w:rPr>
                <w:sz w:val="20"/>
                <w:szCs w:val="20"/>
                <w:color w:val="auto"/>
              </w:rPr>
            </w:pPr>
            <w:r>
              <w:rPr>
                <w:rFonts w:ascii="Arial" w:cs="Arial" w:eastAsia="Arial" w:hAnsi="Arial"/>
                <w:sz w:val="18"/>
                <w:szCs w:val="18"/>
                <w:b w:val="1"/>
                <w:bCs w:val="1"/>
                <w:color w:val="auto"/>
              </w:rPr>
              <w:t>30004</w:t>
            </w:r>
          </w:p>
        </w:tc>
      </w:tr>
      <w:tr>
        <w:trPr>
          <w:trHeight w:val="183"/>
        </w:trPr>
        <w:tc>
          <w:tcPr>
            <w:tcW w:w="60" w:type="dxa"/>
            <w:vAlign w:val="bottom"/>
          </w:tcPr>
          <w:p>
            <w:pPr>
              <w:spacing w:after="0"/>
              <w:rPr>
                <w:sz w:val="15"/>
                <w:szCs w:val="15"/>
                <w:color w:val="auto"/>
              </w:rPr>
            </w:pPr>
          </w:p>
        </w:tc>
        <w:tc>
          <w:tcPr>
            <w:tcW w:w="4060" w:type="dxa"/>
            <w:vAlign w:val="bottom"/>
            <w:gridSpan w:val="2"/>
          </w:tcPr>
          <w:p>
            <w:pPr>
              <w:jc w:val="center"/>
              <w:ind w:left="1258"/>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2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20" w:type="dxa"/>
            <w:vAlign w:val="bottom"/>
          </w:tcPr>
          <w:p>
            <w:pPr>
              <w:jc w:val="center"/>
              <w:ind w:right="1686"/>
              <w:spacing w:after="0"/>
              <w:rPr>
                <w:sz w:val="20"/>
                <w:szCs w:val="20"/>
                <w:color w:val="auto"/>
              </w:rPr>
            </w:pPr>
            <w:r>
              <w:rPr>
                <w:rFonts w:ascii="Arial" w:cs="Arial" w:eastAsia="Arial" w:hAnsi="Arial"/>
                <w:sz w:val="14"/>
                <w:szCs w:val="14"/>
                <w:b w:val="1"/>
                <w:bCs w:val="1"/>
                <w:color w:val="auto"/>
                <w:w w:val="92"/>
              </w:rPr>
              <w:t>(Zip Code)</w:t>
            </w:r>
          </w:p>
        </w:tc>
      </w:tr>
      <w:tr>
        <w:trPr>
          <w:trHeight w:val="312"/>
        </w:trPr>
        <w:tc>
          <w:tcPr>
            <w:tcW w:w="60" w:type="dxa"/>
            <w:vAlign w:val="bottom"/>
          </w:tcPr>
          <w:p>
            <w:pPr>
              <w:spacing w:after="0"/>
              <w:rPr>
                <w:sz w:val="24"/>
                <w:szCs w:val="24"/>
                <w:color w:val="auto"/>
              </w:rPr>
            </w:pPr>
          </w:p>
        </w:tc>
        <w:tc>
          <w:tcPr>
            <w:tcW w:w="11180" w:type="dxa"/>
            <w:vAlign w:val="bottom"/>
            <w:gridSpan w:val="7"/>
          </w:tcPr>
          <w:p>
            <w:pPr>
              <w:ind w:left="3040"/>
              <w:spacing w:after="0"/>
              <w:rPr>
                <w:sz w:val="20"/>
                <w:szCs w:val="20"/>
                <w:color w:val="auto"/>
              </w:rPr>
            </w:pPr>
            <w:r>
              <w:rPr>
                <w:rFonts w:ascii="Arial" w:cs="Arial" w:eastAsia="Arial" w:hAnsi="Arial"/>
                <w:sz w:val="18"/>
                <w:szCs w:val="18"/>
                <w:b w:val="1"/>
                <w:bCs w:val="1"/>
                <w:color w:val="auto"/>
              </w:rPr>
              <w:t>Registrant’s telephone number, including area code: (858) 812-3400</w:t>
            </w:r>
          </w:p>
        </w:tc>
      </w:tr>
      <w:tr>
        <w:trPr>
          <w:trHeight w:val="315"/>
        </w:trPr>
        <w:tc>
          <w:tcPr>
            <w:tcW w:w="4120" w:type="dxa"/>
            <w:vAlign w:val="bottom"/>
            <w:gridSpan w:val="3"/>
          </w:tcPr>
          <w:p>
            <w:pPr>
              <w:spacing w:after="0"/>
              <w:rPr>
                <w:sz w:val="20"/>
                <w:szCs w:val="20"/>
                <w:color w:val="auto"/>
              </w:rPr>
            </w:pPr>
            <w:r>
              <w:rPr>
                <w:rFonts w:ascii="Arial" w:cs="Arial" w:eastAsia="Arial" w:hAnsi="Arial"/>
                <w:sz w:val="18"/>
                <w:szCs w:val="18"/>
                <w:color w:val="auto"/>
                <w:w w:val="89"/>
              </w:rPr>
              <w:t>Securities registered pursuant to Section 12(b) of the Act:</w:t>
            </w:r>
          </w:p>
        </w:tc>
        <w:tc>
          <w:tcPr>
            <w:tcW w:w="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06"/>
        </w:trPr>
        <w:tc>
          <w:tcPr>
            <w:tcW w:w="60" w:type="dxa"/>
            <w:vAlign w:val="bottom"/>
          </w:tcPr>
          <w:p>
            <w:pPr>
              <w:spacing w:after="0"/>
              <w:rPr>
                <w:sz w:val="9"/>
                <w:szCs w:val="9"/>
                <w:color w:val="auto"/>
              </w:rPr>
            </w:pPr>
          </w:p>
        </w:tc>
        <w:tc>
          <w:tcPr>
            <w:tcW w:w="406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gridSpan w:val="2"/>
          </w:tcPr>
          <w:p>
            <w:pPr>
              <w:spacing w:after="0"/>
              <w:rPr>
                <w:sz w:val="9"/>
                <w:szCs w:val="9"/>
                <w:color w:val="auto"/>
              </w:rPr>
            </w:pPr>
          </w:p>
        </w:tc>
      </w:tr>
      <w:tr>
        <w:trPr>
          <w:trHeight w:val="216"/>
        </w:trPr>
        <w:tc>
          <w:tcPr>
            <w:tcW w:w="60" w:type="dxa"/>
            <w:vAlign w:val="bottom"/>
            <w:tcBorders>
              <w:right w:val="single" w:sz="8" w:color="auto"/>
            </w:tcBorders>
          </w:tcPr>
          <w:p>
            <w:pPr>
              <w:spacing w:after="0"/>
              <w:rPr>
                <w:sz w:val="18"/>
                <w:szCs w:val="18"/>
                <w:color w:val="auto"/>
              </w:rPr>
            </w:pPr>
          </w:p>
        </w:tc>
        <w:tc>
          <w:tcPr>
            <w:tcW w:w="4060" w:type="dxa"/>
            <w:vAlign w:val="bottom"/>
            <w:tcBorders>
              <w:bottom w:val="single" w:sz="8" w:color="auto"/>
            </w:tcBorders>
            <w:gridSpan w:val="2"/>
          </w:tcPr>
          <w:p>
            <w:pPr>
              <w:jc w:val="center"/>
              <w:ind w:left="158"/>
              <w:spacing w:after="0"/>
              <w:rPr>
                <w:sz w:val="20"/>
                <w:szCs w:val="20"/>
                <w:color w:val="auto"/>
              </w:rPr>
            </w:pPr>
            <w:r>
              <w:rPr>
                <w:rFonts w:ascii="Arial" w:cs="Arial" w:eastAsia="Arial" w:hAnsi="Arial"/>
                <w:sz w:val="18"/>
                <w:szCs w:val="18"/>
                <w:color w:val="auto"/>
                <w:w w:val="87"/>
              </w:rPr>
              <w:t>Title of each class</w:t>
            </w:r>
          </w:p>
        </w:tc>
        <w:tc>
          <w:tcPr>
            <w:tcW w:w="28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Trading Symbol(s)</w:t>
            </w:r>
          </w:p>
        </w:tc>
        <w:tc>
          <w:tcPr>
            <w:tcW w:w="220" w:type="dxa"/>
            <w:vAlign w:val="bottom"/>
            <w:tcBorders>
              <w:bottom w:val="single" w:sz="8" w:color="auto"/>
            </w:tcBorders>
          </w:tcPr>
          <w:p>
            <w:pPr>
              <w:spacing w:after="0"/>
              <w:rPr>
                <w:sz w:val="18"/>
                <w:szCs w:val="18"/>
                <w:color w:val="auto"/>
              </w:rPr>
            </w:pPr>
          </w:p>
        </w:tc>
        <w:tc>
          <w:tcPr>
            <w:tcW w:w="3800" w:type="dxa"/>
            <w:vAlign w:val="bottom"/>
            <w:tcBorders>
              <w:bottom w:val="single" w:sz="8" w:color="auto"/>
              <w:right w:val="single" w:sz="8" w:color="auto"/>
            </w:tcBorders>
            <w:gridSpan w:val="2"/>
          </w:tcPr>
          <w:p>
            <w:pPr>
              <w:jc w:val="center"/>
              <w:ind w:right="186"/>
              <w:spacing w:after="0"/>
              <w:rPr>
                <w:sz w:val="20"/>
                <w:szCs w:val="20"/>
                <w:color w:val="auto"/>
              </w:rPr>
            </w:pPr>
            <w:r>
              <w:rPr>
                <w:rFonts w:ascii="Arial" w:cs="Arial" w:eastAsia="Arial" w:hAnsi="Arial"/>
                <w:sz w:val="18"/>
                <w:szCs w:val="18"/>
                <w:color w:val="auto"/>
                <w:w w:val="87"/>
              </w:rPr>
              <w:t>Name of each exchange on which registered</w:t>
            </w:r>
          </w:p>
        </w:tc>
      </w:tr>
      <w:tr>
        <w:trPr>
          <w:trHeight w:val="216"/>
        </w:trPr>
        <w:tc>
          <w:tcPr>
            <w:tcW w:w="60" w:type="dxa"/>
            <w:vAlign w:val="bottom"/>
            <w:tcBorders>
              <w:right w:val="single" w:sz="8" w:color="auto"/>
            </w:tcBorders>
          </w:tcPr>
          <w:p>
            <w:pPr>
              <w:spacing w:after="0"/>
              <w:rPr>
                <w:sz w:val="18"/>
                <w:szCs w:val="18"/>
                <w:color w:val="auto"/>
              </w:rPr>
            </w:pPr>
          </w:p>
        </w:tc>
        <w:tc>
          <w:tcPr>
            <w:tcW w:w="4060" w:type="dxa"/>
            <w:vAlign w:val="bottom"/>
            <w:tcBorders>
              <w:bottom w:val="single" w:sz="8" w:color="auto"/>
            </w:tcBorders>
            <w:gridSpan w:val="2"/>
          </w:tcPr>
          <w:p>
            <w:pPr>
              <w:jc w:val="center"/>
              <w:ind w:left="138"/>
              <w:spacing w:after="0"/>
              <w:rPr>
                <w:sz w:val="20"/>
                <w:szCs w:val="20"/>
                <w:color w:val="auto"/>
              </w:rPr>
            </w:pPr>
            <w:r>
              <w:rPr>
                <w:rFonts w:ascii="Arial" w:cs="Arial" w:eastAsia="Arial" w:hAnsi="Arial"/>
                <w:sz w:val="18"/>
                <w:szCs w:val="18"/>
                <w:color w:val="auto"/>
                <w:w w:val="87"/>
              </w:rPr>
              <w:t>Common Stock, par value $0.001 per share</w:t>
            </w:r>
          </w:p>
        </w:tc>
        <w:tc>
          <w:tcPr>
            <w:tcW w:w="28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INSG</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20" w:type="dxa"/>
            <w:vAlign w:val="bottom"/>
            <w:tcBorders>
              <w:bottom w:val="single" w:sz="8" w:color="auto"/>
              <w:right w:val="single" w:sz="8" w:color="auto"/>
            </w:tcBorders>
          </w:tcPr>
          <w:p>
            <w:pPr>
              <w:jc w:val="center"/>
              <w:ind w:right="466"/>
              <w:spacing w:after="0"/>
              <w:rPr>
                <w:sz w:val="20"/>
                <w:szCs w:val="20"/>
                <w:color w:val="auto"/>
              </w:rPr>
            </w:pPr>
            <w:r>
              <w:rPr>
                <w:rFonts w:ascii="Arial" w:cs="Arial" w:eastAsia="Arial" w:hAnsi="Arial"/>
                <w:sz w:val="18"/>
                <w:szCs w:val="18"/>
                <w:color w:val="auto"/>
                <w:w w:val="87"/>
              </w:rPr>
              <w:t>Nasdaq Global Select Market</w:t>
            </w:r>
          </w:p>
        </w:tc>
      </w:tr>
    </w:tbl>
    <w:p>
      <w:pPr>
        <w:spacing w:after="0" w:line="80" w:lineRule="exact"/>
        <w:rPr>
          <w:sz w:val="24"/>
          <w:szCs w:val="24"/>
          <w:color w:val="auto"/>
        </w:rPr>
      </w:pPr>
    </w:p>
    <w:p>
      <w:pPr>
        <w:ind w:right="160" w:firstLine="433"/>
        <w:spacing w:after="0" w:line="22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220" w:firstLine="433"/>
        <w:spacing w:after="0" w:line="27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60" w:val="left"/>
          <w:tab w:leader="none" w:pos="124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4" w:lineRule="exact"/>
        <w:rPr>
          <w:sz w:val="24"/>
          <w:szCs w:val="24"/>
          <w:color w:val="auto"/>
        </w:rPr>
      </w:pPr>
    </w:p>
    <w:p>
      <w:pPr>
        <w:ind w:firstLine="433"/>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4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3"/>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300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4"/>
        </w:trPr>
        <w:tc>
          <w:tcPr>
            <w:tcW w:w="186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5240" w:type="dxa"/>
            <w:vAlign w:val="bottom"/>
          </w:tcPr>
          <w:p>
            <w:pPr>
              <w:ind w:left="300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2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right="2660"/>
        <w:spacing w:after="0" w:line="285" w:lineRule="exact"/>
        <w:rPr>
          <w:sz w:val="20"/>
          <w:szCs w:val="20"/>
          <w:color w:val="auto"/>
        </w:rPr>
      </w:pPr>
      <w:r>
        <w:rPr>
          <w:rFonts w:ascii="Arial" w:cs="Arial" w:eastAsia="Arial" w:hAnsi="Arial"/>
          <w:sz w:val="16"/>
          <w:szCs w:val="16"/>
          <w:color w:val="auto"/>
        </w:rPr>
        <w:t xml:space="preserve">Indicate by check mark whether the registrant is a shell company </w:t>
      </w:r>
      <w:r>
        <w:rPr>
          <w:rFonts w:ascii="Arial" w:cs="Arial" w:eastAsia="Arial" w:hAnsi="Arial"/>
          <w:sz w:val="14"/>
          <w:szCs w:val="14"/>
          <w:color w:val="auto"/>
        </w:rPr>
        <w:t>(as defined in Rule 12b-2 of the Exchange Act)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August 2, 2021 was 103,180,708.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530225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996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88"/>
        </w:trPr>
        <w:tc>
          <w:tcPr>
            <w:tcW w:w="10660" w:type="dxa"/>
            <w:vAlign w:val="bottom"/>
            <w:gridSpan w:val="2"/>
          </w:tcPr>
          <w:p>
            <w:pPr>
              <w:ind w:left="40"/>
              <w:spacing w:after="0"/>
              <w:rPr>
                <w:rFonts w:ascii="Arial" w:cs="Arial" w:eastAsia="Arial" w:hAnsi="Arial"/>
                <w:sz w:val="18"/>
                <w:szCs w:val="18"/>
                <w:color w:val="0000FF"/>
              </w:rPr>
            </w:pPr>
            <w:hyperlink w:anchor="page2">
              <w:r>
                <w:rPr>
                  <w:rFonts w:ascii="Arial" w:cs="Arial" w:eastAsia="Arial" w:hAnsi="Arial"/>
                  <w:sz w:val="18"/>
                  <w:szCs w:val="18"/>
                  <w:color w:val="0000FF"/>
                </w:rPr>
                <w:t>PART I—FINANCIAL INFORMATION</w:t>
              </w:r>
            </w:hyperlink>
          </w:p>
        </w:tc>
        <w:tc>
          <w:tcPr>
            <w:tcW w:w="560" w:type="dxa"/>
            <w:vAlign w:val="bottom"/>
          </w:tcPr>
          <w:p>
            <w:pPr>
              <w:spacing w:after="0"/>
              <w:rPr>
                <w:sz w:val="24"/>
                <w:szCs w:val="24"/>
                <w:color w:val="auto"/>
              </w:rPr>
            </w:pPr>
          </w:p>
        </w:tc>
      </w:tr>
      <w:tr>
        <w:trPr>
          <w:trHeight w:val="420"/>
        </w:trPr>
        <w:tc>
          <w:tcPr>
            <w:tcW w:w="700" w:type="dxa"/>
            <w:vAlign w:val="bottom"/>
          </w:tcPr>
          <w:p>
            <w:pPr>
              <w:ind w:left="40"/>
              <w:spacing w:after="0"/>
              <w:rPr>
                <w:sz w:val="20"/>
                <w:szCs w:val="20"/>
                <w:color w:val="auto"/>
              </w:rPr>
            </w:pPr>
            <w:r>
              <w:rPr>
                <w:rFonts w:ascii="Arial" w:cs="Arial" w:eastAsia="Arial" w:hAnsi="Arial"/>
                <w:sz w:val="18"/>
                <w:szCs w:val="18"/>
                <w:color w:val="auto"/>
              </w:rPr>
              <w:t>Item 1.</w:t>
            </w:r>
          </w:p>
        </w:tc>
        <w:tc>
          <w:tcPr>
            <w:tcW w:w="9960" w:type="dxa"/>
            <w:vAlign w:val="bottom"/>
          </w:tcPr>
          <w:p>
            <w:pPr>
              <w:ind w:left="260"/>
              <w:spacing w:after="0"/>
              <w:rPr>
                <w:rFonts w:ascii="Arial" w:cs="Arial" w:eastAsia="Arial" w:hAnsi="Arial"/>
                <w:sz w:val="18"/>
                <w:szCs w:val="18"/>
                <w:color w:val="0000FF"/>
              </w:rPr>
            </w:pPr>
            <w:hyperlink w:anchor="page2">
              <w:r>
                <w:rPr>
                  <w:rFonts w:ascii="Arial" w:cs="Arial" w:eastAsia="Arial" w:hAnsi="Arial"/>
                  <w:sz w:val="18"/>
                  <w:szCs w:val="18"/>
                  <w:color w:val="0000FF"/>
                </w:rPr>
                <w:t>Financial Statements</w:t>
              </w:r>
            </w:hyperlink>
          </w:p>
        </w:tc>
        <w:tc>
          <w:tcPr>
            <w:tcW w:w="56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328"/>
        </w:trPr>
        <w:tc>
          <w:tcPr>
            <w:tcW w:w="700" w:type="dxa"/>
            <w:vAlign w:val="bottom"/>
          </w:tcPr>
          <w:p>
            <w:pPr>
              <w:spacing w:after="0"/>
              <w:rPr>
                <w:sz w:val="24"/>
                <w:szCs w:val="24"/>
                <w:color w:val="auto"/>
              </w:rPr>
            </w:pPr>
          </w:p>
        </w:tc>
        <w:tc>
          <w:tcPr>
            <w:tcW w:w="9960" w:type="dxa"/>
            <w:vAlign w:val="bottom"/>
          </w:tcPr>
          <w:p>
            <w:pPr>
              <w:ind w:left="260"/>
              <w:spacing w:after="0"/>
              <w:rPr>
                <w:rFonts w:ascii="Arial" w:cs="Arial" w:eastAsia="Arial" w:hAnsi="Arial"/>
                <w:sz w:val="18"/>
                <w:szCs w:val="18"/>
                <w:color w:val="0000FF"/>
              </w:rPr>
            </w:pPr>
            <w:hyperlink w:anchor="page2">
              <w:r>
                <w:rPr>
                  <w:rFonts w:ascii="Arial" w:cs="Arial" w:eastAsia="Arial" w:hAnsi="Arial"/>
                  <w:sz w:val="18"/>
                  <w:szCs w:val="18"/>
                  <w:color w:val="0000FF"/>
                </w:rPr>
                <w:t>Condensed Consolidated Balance Sheets (Unaudited)</w:t>
              </w:r>
            </w:hyperlink>
          </w:p>
        </w:tc>
        <w:tc>
          <w:tcPr>
            <w:tcW w:w="56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328"/>
        </w:trPr>
        <w:tc>
          <w:tcPr>
            <w:tcW w:w="700" w:type="dxa"/>
            <w:vAlign w:val="bottom"/>
          </w:tcPr>
          <w:p>
            <w:pPr>
              <w:spacing w:after="0"/>
              <w:rPr>
                <w:sz w:val="24"/>
                <w:szCs w:val="24"/>
                <w:color w:val="auto"/>
              </w:rPr>
            </w:pPr>
          </w:p>
        </w:tc>
        <w:tc>
          <w:tcPr>
            <w:tcW w:w="9960" w:type="dxa"/>
            <w:vAlign w:val="bottom"/>
          </w:tcPr>
          <w:p>
            <w:pPr>
              <w:ind w:left="26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(Unaudited)</w:t>
              </w:r>
            </w:hyperlink>
          </w:p>
        </w:tc>
        <w:tc>
          <w:tcPr>
            <w:tcW w:w="56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328"/>
        </w:trPr>
        <w:tc>
          <w:tcPr>
            <w:tcW w:w="700" w:type="dxa"/>
            <w:vAlign w:val="bottom"/>
          </w:tcPr>
          <w:p>
            <w:pPr>
              <w:spacing w:after="0"/>
              <w:rPr>
                <w:sz w:val="24"/>
                <w:szCs w:val="24"/>
                <w:color w:val="auto"/>
              </w:rPr>
            </w:pPr>
          </w:p>
        </w:tc>
        <w:tc>
          <w:tcPr>
            <w:tcW w:w="9960" w:type="dxa"/>
            <w:vAlign w:val="bottom"/>
          </w:tcPr>
          <w:p>
            <w:pPr>
              <w:ind w:left="26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Loss (Unaudited)</w:t>
              </w:r>
            </w:hyperlink>
          </w:p>
        </w:tc>
        <w:tc>
          <w:tcPr>
            <w:tcW w:w="56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328"/>
        </w:trPr>
        <w:tc>
          <w:tcPr>
            <w:tcW w:w="700" w:type="dxa"/>
            <w:vAlign w:val="bottom"/>
          </w:tcPr>
          <w:p>
            <w:pPr>
              <w:spacing w:after="0"/>
              <w:rPr>
                <w:sz w:val="24"/>
                <w:szCs w:val="24"/>
                <w:color w:val="auto"/>
              </w:rPr>
            </w:pPr>
          </w:p>
        </w:tc>
        <w:tc>
          <w:tcPr>
            <w:tcW w:w="9960" w:type="dxa"/>
            <w:vAlign w:val="bottom"/>
          </w:tcPr>
          <w:p>
            <w:pPr>
              <w:ind w:left="26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Deficit (Unaudited)</w:t>
              </w:r>
            </w:hyperlink>
          </w:p>
        </w:tc>
        <w:tc>
          <w:tcPr>
            <w:tcW w:w="56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328"/>
        </w:trPr>
        <w:tc>
          <w:tcPr>
            <w:tcW w:w="700" w:type="dxa"/>
            <w:vAlign w:val="bottom"/>
          </w:tcPr>
          <w:p>
            <w:pPr>
              <w:spacing w:after="0"/>
              <w:rPr>
                <w:sz w:val="24"/>
                <w:szCs w:val="24"/>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0000FF"/>
              </w:rPr>
              <w:t>Condensed Consolidated Statements of Cash Flows (Unaudited)</w:t>
            </w:r>
          </w:p>
        </w:tc>
        <w:tc>
          <w:tcPr>
            <w:tcW w:w="56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328"/>
        </w:trPr>
        <w:tc>
          <w:tcPr>
            <w:tcW w:w="700" w:type="dxa"/>
            <w:vAlign w:val="bottom"/>
          </w:tcPr>
          <w:p>
            <w:pPr>
              <w:spacing w:after="0"/>
              <w:rPr>
                <w:sz w:val="24"/>
                <w:szCs w:val="24"/>
                <w:color w:val="auto"/>
              </w:rPr>
            </w:pPr>
          </w:p>
        </w:tc>
        <w:tc>
          <w:tcPr>
            <w:tcW w:w="9960" w:type="dxa"/>
            <w:vAlign w:val="bottom"/>
          </w:tcPr>
          <w:p>
            <w:pPr>
              <w:ind w:left="260"/>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 (Unaudited)</w:t>
              </w:r>
            </w:hyperlink>
          </w:p>
        </w:tc>
        <w:tc>
          <w:tcPr>
            <w:tcW w:w="560" w:type="dxa"/>
            <w:vAlign w:val="bottom"/>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2.</w:t>
            </w:r>
          </w:p>
        </w:tc>
        <w:tc>
          <w:tcPr>
            <w:tcW w:w="9960" w:type="dxa"/>
            <w:vAlign w:val="bottom"/>
          </w:tcPr>
          <w:p>
            <w:pPr>
              <w:ind w:left="260"/>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560" w:type="dxa"/>
            <w:vAlign w:val="bottom"/>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3.</w:t>
            </w:r>
          </w:p>
        </w:tc>
        <w:tc>
          <w:tcPr>
            <w:tcW w:w="9960" w:type="dxa"/>
            <w:vAlign w:val="bottom"/>
          </w:tcPr>
          <w:p>
            <w:pPr>
              <w:ind w:left="260"/>
              <w:spacing w:after="0"/>
              <w:rPr>
                <w:rFonts w:ascii="Arial" w:cs="Arial" w:eastAsia="Arial" w:hAnsi="Arial"/>
                <w:sz w:val="18"/>
                <w:szCs w:val="18"/>
                <w:color w:val="0000FF"/>
              </w:rPr>
            </w:pPr>
            <w:hyperlink w:anchor="page36">
              <w:r>
                <w:rPr>
                  <w:rFonts w:ascii="Arial" w:cs="Arial" w:eastAsia="Arial" w:hAnsi="Arial"/>
                  <w:sz w:val="18"/>
                  <w:szCs w:val="18"/>
                  <w:color w:val="0000FF"/>
                </w:rPr>
                <w:t>Quantitative and Qualitative Disclosures About Market Risk</w:t>
              </w:r>
            </w:hyperlink>
          </w:p>
        </w:tc>
        <w:tc>
          <w:tcPr>
            <w:tcW w:w="560" w:type="dxa"/>
            <w:vAlign w:val="bottom"/>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4.</w:t>
            </w:r>
          </w:p>
        </w:tc>
        <w:tc>
          <w:tcPr>
            <w:tcW w:w="9960" w:type="dxa"/>
            <w:vAlign w:val="bottom"/>
          </w:tcPr>
          <w:p>
            <w:pPr>
              <w:ind w:left="260"/>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560" w:type="dxa"/>
            <w:vAlign w:val="bottom"/>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328"/>
        </w:trPr>
        <w:tc>
          <w:tcPr>
            <w:tcW w:w="10660" w:type="dxa"/>
            <w:vAlign w:val="bottom"/>
            <w:gridSpan w:val="2"/>
          </w:tcPr>
          <w:p>
            <w:pPr>
              <w:ind w:left="40"/>
              <w:spacing w:after="0"/>
              <w:rPr>
                <w:rFonts w:ascii="Arial" w:cs="Arial" w:eastAsia="Arial" w:hAnsi="Arial"/>
                <w:sz w:val="18"/>
                <w:szCs w:val="18"/>
                <w:color w:val="0000FF"/>
              </w:rPr>
            </w:pPr>
            <w:hyperlink w:anchor="page37">
              <w:r>
                <w:rPr>
                  <w:rFonts w:ascii="Arial" w:cs="Arial" w:eastAsia="Arial" w:hAnsi="Arial"/>
                  <w:sz w:val="18"/>
                  <w:szCs w:val="18"/>
                  <w:color w:val="0000FF"/>
                </w:rPr>
                <w:t>PART II—OTHER INFORMATION</w:t>
              </w:r>
            </w:hyperlink>
          </w:p>
        </w:tc>
        <w:tc>
          <w:tcPr>
            <w:tcW w:w="560" w:type="dxa"/>
            <w:vAlign w:val="bottom"/>
          </w:tcPr>
          <w:p>
            <w:pPr>
              <w:spacing w:after="0"/>
              <w:rPr>
                <w:sz w:val="24"/>
                <w:szCs w:val="24"/>
                <w:color w:val="auto"/>
              </w:rPr>
            </w:pPr>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1.</w:t>
            </w:r>
          </w:p>
        </w:tc>
        <w:tc>
          <w:tcPr>
            <w:tcW w:w="9960" w:type="dxa"/>
            <w:vAlign w:val="bottom"/>
          </w:tcPr>
          <w:p>
            <w:pPr>
              <w:ind w:left="260"/>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56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w w:val="95"/>
              </w:rPr>
              <w:t>Item 1A.</w:t>
            </w:r>
          </w:p>
        </w:tc>
        <w:tc>
          <w:tcPr>
            <w:tcW w:w="9960" w:type="dxa"/>
            <w:vAlign w:val="bottom"/>
          </w:tcPr>
          <w:p>
            <w:pPr>
              <w:ind w:left="260"/>
              <w:spacing w:after="0"/>
              <w:rPr>
                <w:rFonts w:ascii="Arial" w:cs="Arial" w:eastAsia="Arial" w:hAnsi="Arial"/>
                <w:sz w:val="18"/>
                <w:szCs w:val="18"/>
                <w:color w:val="0000FF"/>
              </w:rPr>
            </w:pPr>
            <w:hyperlink w:anchor="page38">
              <w:r>
                <w:rPr>
                  <w:rFonts w:ascii="Arial" w:cs="Arial" w:eastAsia="Arial" w:hAnsi="Arial"/>
                  <w:sz w:val="18"/>
                  <w:szCs w:val="18"/>
                  <w:color w:val="0000FF"/>
                </w:rPr>
                <w:t>Risk Factors</w:t>
              </w:r>
            </w:hyperlink>
          </w:p>
        </w:tc>
        <w:tc>
          <w:tcPr>
            <w:tcW w:w="56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2.</w:t>
            </w:r>
          </w:p>
        </w:tc>
        <w:tc>
          <w:tcPr>
            <w:tcW w:w="9960" w:type="dxa"/>
            <w:vAlign w:val="bottom"/>
          </w:tcPr>
          <w:p>
            <w:pPr>
              <w:ind w:left="260"/>
              <w:spacing w:after="0"/>
              <w:rPr>
                <w:rFonts w:ascii="Arial" w:cs="Arial" w:eastAsia="Arial" w:hAnsi="Arial"/>
                <w:sz w:val="18"/>
                <w:szCs w:val="18"/>
                <w:color w:val="0000FF"/>
              </w:rPr>
            </w:pPr>
            <w:hyperlink w:anchor="page38">
              <w:r>
                <w:rPr>
                  <w:rFonts w:ascii="Arial" w:cs="Arial" w:eastAsia="Arial" w:hAnsi="Arial"/>
                  <w:sz w:val="18"/>
                  <w:szCs w:val="18"/>
                  <w:color w:val="0000FF"/>
                </w:rPr>
                <w:t>Unregistered Sales of Equity Securities and Use of Proceeds</w:t>
              </w:r>
            </w:hyperlink>
          </w:p>
        </w:tc>
        <w:tc>
          <w:tcPr>
            <w:tcW w:w="56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3.</w:t>
            </w:r>
          </w:p>
        </w:tc>
        <w:tc>
          <w:tcPr>
            <w:tcW w:w="9960" w:type="dxa"/>
            <w:vAlign w:val="bottom"/>
          </w:tcPr>
          <w:p>
            <w:pPr>
              <w:ind w:left="260"/>
              <w:spacing w:after="0"/>
              <w:rPr>
                <w:rFonts w:ascii="Arial" w:cs="Arial" w:eastAsia="Arial" w:hAnsi="Arial"/>
                <w:sz w:val="18"/>
                <w:szCs w:val="18"/>
                <w:color w:val="0000FF"/>
              </w:rPr>
            </w:pPr>
            <w:hyperlink w:anchor="page38">
              <w:r>
                <w:rPr>
                  <w:rFonts w:ascii="Arial" w:cs="Arial" w:eastAsia="Arial" w:hAnsi="Arial"/>
                  <w:sz w:val="18"/>
                  <w:szCs w:val="18"/>
                  <w:color w:val="0000FF"/>
                </w:rPr>
                <w:t>Defaults Upon Senior Securities</w:t>
              </w:r>
            </w:hyperlink>
          </w:p>
        </w:tc>
        <w:tc>
          <w:tcPr>
            <w:tcW w:w="56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4.</w:t>
            </w:r>
          </w:p>
        </w:tc>
        <w:tc>
          <w:tcPr>
            <w:tcW w:w="9960" w:type="dxa"/>
            <w:vAlign w:val="bottom"/>
          </w:tcPr>
          <w:p>
            <w:pPr>
              <w:ind w:left="260"/>
              <w:spacing w:after="0"/>
              <w:rPr>
                <w:rFonts w:ascii="Arial" w:cs="Arial" w:eastAsia="Arial" w:hAnsi="Arial"/>
                <w:sz w:val="18"/>
                <w:szCs w:val="18"/>
                <w:color w:val="0000FF"/>
              </w:rPr>
            </w:pPr>
            <w:hyperlink w:anchor="page38">
              <w:r>
                <w:rPr>
                  <w:rFonts w:ascii="Arial" w:cs="Arial" w:eastAsia="Arial" w:hAnsi="Arial"/>
                  <w:sz w:val="18"/>
                  <w:szCs w:val="18"/>
                  <w:color w:val="0000FF"/>
                </w:rPr>
                <w:t>Mine Safety Disclosures</w:t>
              </w:r>
            </w:hyperlink>
          </w:p>
        </w:tc>
        <w:tc>
          <w:tcPr>
            <w:tcW w:w="56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5.</w:t>
            </w:r>
          </w:p>
        </w:tc>
        <w:tc>
          <w:tcPr>
            <w:tcW w:w="9960" w:type="dxa"/>
            <w:vAlign w:val="bottom"/>
          </w:tcPr>
          <w:p>
            <w:pPr>
              <w:ind w:left="260"/>
              <w:spacing w:after="0"/>
              <w:rPr>
                <w:rFonts w:ascii="Arial" w:cs="Arial" w:eastAsia="Arial" w:hAnsi="Arial"/>
                <w:sz w:val="18"/>
                <w:szCs w:val="18"/>
                <w:color w:val="0000FF"/>
              </w:rPr>
            </w:pPr>
            <w:hyperlink w:anchor="page38">
              <w:r>
                <w:rPr>
                  <w:rFonts w:ascii="Arial" w:cs="Arial" w:eastAsia="Arial" w:hAnsi="Arial"/>
                  <w:sz w:val="18"/>
                  <w:szCs w:val="18"/>
                  <w:color w:val="0000FF"/>
                </w:rPr>
                <w:t>Other Information</w:t>
              </w:r>
            </w:hyperlink>
          </w:p>
        </w:tc>
        <w:tc>
          <w:tcPr>
            <w:tcW w:w="56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328"/>
        </w:trPr>
        <w:tc>
          <w:tcPr>
            <w:tcW w:w="700" w:type="dxa"/>
            <w:vAlign w:val="bottom"/>
          </w:tcPr>
          <w:p>
            <w:pPr>
              <w:ind w:left="40"/>
              <w:spacing w:after="0"/>
              <w:rPr>
                <w:sz w:val="20"/>
                <w:szCs w:val="20"/>
                <w:color w:val="auto"/>
              </w:rPr>
            </w:pPr>
            <w:r>
              <w:rPr>
                <w:rFonts w:ascii="Arial" w:cs="Arial" w:eastAsia="Arial" w:hAnsi="Arial"/>
                <w:sz w:val="18"/>
                <w:szCs w:val="18"/>
                <w:color w:val="auto"/>
              </w:rPr>
              <w:t>Item 6.</w:t>
            </w:r>
          </w:p>
        </w:tc>
        <w:tc>
          <w:tcPr>
            <w:tcW w:w="9960" w:type="dxa"/>
            <w:vAlign w:val="bottom"/>
          </w:tcPr>
          <w:p>
            <w:pPr>
              <w:ind w:left="260"/>
              <w:spacing w:after="0"/>
              <w:rPr>
                <w:rFonts w:ascii="Arial" w:cs="Arial" w:eastAsia="Arial" w:hAnsi="Arial"/>
                <w:sz w:val="18"/>
                <w:szCs w:val="18"/>
                <w:color w:val="0000FF"/>
              </w:rPr>
            </w:pPr>
            <w:hyperlink w:anchor="page38">
              <w:r>
                <w:rPr>
                  <w:rFonts w:ascii="Arial" w:cs="Arial" w:eastAsia="Arial" w:hAnsi="Arial"/>
                  <w:sz w:val="18"/>
                  <w:szCs w:val="18"/>
                  <w:color w:val="0000FF"/>
                </w:rPr>
                <w:t>Exhibits</w:t>
              </w:r>
            </w:hyperlink>
          </w:p>
        </w:tc>
        <w:tc>
          <w:tcPr>
            <w:tcW w:w="56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r>
      <w:tr>
        <w:trPr>
          <w:trHeight w:val="328"/>
        </w:trPr>
        <w:tc>
          <w:tcPr>
            <w:tcW w:w="10660" w:type="dxa"/>
            <w:vAlign w:val="bottom"/>
            <w:gridSpan w:val="2"/>
          </w:tcPr>
          <w:p>
            <w:pPr>
              <w:ind w:left="40"/>
              <w:spacing w:after="0"/>
              <w:rPr>
                <w:rFonts w:ascii="Arial" w:cs="Arial" w:eastAsia="Arial" w:hAnsi="Arial"/>
                <w:sz w:val="18"/>
                <w:szCs w:val="18"/>
                <w:color w:val="0000FF"/>
              </w:rPr>
            </w:pPr>
            <w:hyperlink w:anchor="page39">
              <w:r>
                <w:rPr>
                  <w:rFonts w:ascii="Arial" w:cs="Arial" w:eastAsia="Arial" w:hAnsi="Arial"/>
                  <w:sz w:val="18"/>
                  <w:szCs w:val="18"/>
                  <w:color w:val="0000FF"/>
                </w:rPr>
                <w:t>SIGNATURES</w:t>
              </w:r>
            </w:hyperlink>
          </w:p>
        </w:tc>
        <w:tc>
          <w:tcPr>
            <w:tcW w:w="560" w:type="dxa"/>
            <w:vAlign w:val="bottom"/>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r>
      <w:tr>
        <w:trPr>
          <w:trHeight w:val="617"/>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560" w:type="dxa"/>
            <w:vAlign w:val="bottom"/>
          </w:tcPr>
          <w:p>
            <w:pPr>
              <w:spacing w:after="0"/>
              <w:rPr>
                <w:sz w:val="24"/>
                <w:szCs w:val="24"/>
                <w:color w:val="auto"/>
              </w:rPr>
            </w:pPr>
          </w:p>
        </w:tc>
      </w:tr>
      <w:tr>
        <w:trPr>
          <w:trHeight w:val="30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9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2980690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par value and share data)</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080" w:type="dxa"/>
            <w:vAlign w:val="bottom"/>
          </w:tcPr>
          <w:p>
            <w:pPr>
              <w:jc w:val="right"/>
              <w:ind w:right="14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3"/>
        </w:trPr>
        <w:tc>
          <w:tcPr>
            <w:tcW w:w="8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6"/>
        </w:trPr>
        <w:tc>
          <w:tcPr>
            <w:tcW w:w="8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600" w:type="dxa"/>
            <w:vAlign w:val="bottom"/>
          </w:tcPr>
          <w:p>
            <w:pPr>
              <w:ind w:left="400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30,841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40,015</w:t>
            </w:r>
          </w:p>
        </w:tc>
        <w:tc>
          <w:tcPr>
            <w:tcW w:w="0" w:type="dxa"/>
            <w:vAlign w:val="bottom"/>
          </w:tcPr>
          <w:p>
            <w:pPr>
              <w:spacing w:after="0"/>
              <w:rPr>
                <w:sz w:val="1"/>
                <w:szCs w:val="1"/>
                <w:color w:val="auto"/>
              </w:rPr>
            </w:pPr>
          </w:p>
        </w:tc>
      </w:tr>
      <w:tr>
        <w:trPr>
          <w:trHeight w:val="207"/>
        </w:trPr>
        <w:tc>
          <w:tcPr>
            <w:tcW w:w="8600" w:type="dxa"/>
            <w:vAlign w:val="bottom"/>
          </w:tcPr>
          <w:p>
            <w:pPr>
              <w:ind w:left="200"/>
              <w:spacing w:after="0"/>
              <w:rPr>
                <w:sz w:val="20"/>
                <w:szCs w:val="20"/>
                <w:color w:val="auto"/>
              </w:rPr>
            </w:pPr>
            <w:r>
              <w:rPr>
                <w:rFonts w:ascii="Arial" w:cs="Arial" w:eastAsia="Arial" w:hAnsi="Arial"/>
                <w:sz w:val="16"/>
                <w:szCs w:val="16"/>
                <w:color w:val="auto"/>
              </w:rPr>
              <w:t>Accounts receivable, net of allowance for doubtful accounts of $296 and $1,384, respectively</w:t>
            </w:r>
          </w:p>
        </w:tc>
        <w:tc>
          <w:tcPr>
            <w:tcW w:w="16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19,983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29,940</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27,544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33,952</w:t>
            </w:r>
          </w:p>
        </w:tc>
        <w:tc>
          <w:tcPr>
            <w:tcW w:w="0" w:type="dxa"/>
            <w:vAlign w:val="bottom"/>
          </w:tcPr>
          <w:p>
            <w:pPr>
              <w:spacing w:after="0"/>
              <w:rPr>
                <w:sz w:val="1"/>
                <w:szCs w:val="1"/>
                <w:color w:val="auto"/>
              </w:rPr>
            </w:pPr>
          </w:p>
        </w:tc>
      </w:tr>
      <w:tr>
        <w:trPr>
          <w:trHeight w:val="210"/>
        </w:trPr>
        <w:tc>
          <w:tcPr>
            <w:tcW w:w="8600" w:type="dxa"/>
            <w:vAlign w:val="bottom"/>
          </w:tcPr>
          <w:p>
            <w:pPr>
              <w:ind w:left="200"/>
              <w:spacing w:after="0" w:line="210" w:lineRule="exact"/>
              <w:rPr>
                <w:sz w:val="20"/>
                <w:szCs w:val="20"/>
                <w:color w:val="auto"/>
              </w:rPr>
            </w:pPr>
            <w:r>
              <w:rPr>
                <w:rFonts w:ascii="Arial" w:cs="Arial" w:eastAsia="Arial" w:hAnsi="Arial"/>
                <w:sz w:val="16"/>
                <w:szCs w:val="16"/>
                <w:color w:val="auto"/>
              </w:rPr>
              <w:t>Assets held for sale</w:t>
            </w:r>
            <w:r>
              <w:rPr>
                <w:rFonts w:ascii="Arial" w:cs="Arial" w:eastAsia="Arial" w:hAnsi="Arial"/>
                <w:sz w:val="20"/>
                <w:szCs w:val="20"/>
                <w:color w:val="auto"/>
                <w:vertAlign w:val="superscript"/>
              </w:rPr>
              <w:t>1</w:t>
            </w:r>
          </w:p>
        </w:tc>
        <w:tc>
          <w:tcPr>
            <w:tcW w:w="16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42,450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8,088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10,201</w:t>
            </w:r>
          </w:p>
        </w:tc>
        <w:tc>
          <w:tcPr>
            <w:tcW w:w="0" w:type="dxa"/>
            <w:vAlign w:val="bottom"/>
          </w:tcPr>
          <w:p>
            <w:pPr>
              <w:spacing w:after="0"/>
              <w:rPr>
                <w:sz w:val="1"/>
                <w:szCs w:val="1"/>
                <w:color w:val="auto"/>
              </w:rPr>
            </w:pPr>
          </w:p>
        </w:tc>
      </w:tr>
      <w:tr>
        <w:trPr>
          <w:trHeight w:val="200"/>
        </w:trPr>
        <w:tc>
          <w:tcPr>
            <w:tcW w:w="86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128,906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114,108</w:t>
            </w:r>
          </w:p>
        </w:tc>
        <w:tc>
          <w:tcPr>
            <w:tcW w:w="0" w:type="dxa"/>
            <w:vAlign w:val="bottom"/>
          </w:tcPr>
          <w:p>
            <w:pPr>
              <w:spacing w:after="0"/>
              <w:rPr>
                <w:sz w:val="1"/>
                <w:szCs w:val="1"/>
                <w:color w:val="auto"/>
              </w:rPr>
            </w:pPr>
          </w:p>
        </w:tc>
      </w:tr>
      <w:tr>
        <w:trPr>
          <w:trHeight w:val="206"/>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20"/>
                <w:szCs w:val="20"/>
                <w:color w:val="auto"/>
              </w:rPr>
            </w:pPr>
            <w:r>
              <w:rPr>
                <w:rFonts w:ascii="Arial" w:cs="Arial" w:eastAsia="Arial" w:hAnsi="Arial"/>
                <w:sz w:val="16"/>
                <w:szCs w:val="16"/>
                <w:color w:val="auto"/>
              </w:rPr>
              <w:t>Property, plant and equipment, net of accumulated depreciation of $19,758 and $21,715, respectively</w:t>
            </w:r>
          </w:p>
        </w:tc>
        <w:tc>
          <w:tcPr>
            <w:tcW w:w="16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9,330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13,699</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Rental assets, net of accumulated depreciation of $15,055 and $15,754, respectively</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6,109</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20"/>
                <w:szCs w:val="20"/>
                <w:color w:val="auto"/>
              </w:rPr>
            </w:pPr>
            <w:r>
              <w:rPr>
                <w:rFonts w:ascii="Arial" w:cs="Arial" w:eastAsia="Arial" w:hAnsi="Arial"/>
                <w:sz w:val="16"/>
                <w:szCs w:val="16"/>
                <w:color w:val="auto"/>
              </w:rPr>
              <w:t>Intangible assets, net of accumulated amortization of $ 35,579 and $63,020, respectively</w:t>
            </w:r>
          </w:p>
        </w:tc>
        <w:tc>
          <w:tcPr>
            <w:tcW w:w="16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47,192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51,487</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22,175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32,511</w:t>
            </w:r>
          </w:p>
        </w:tc>
        <w:tc>
          <w:tcPr>
            <w:tcW w:w="0" w:type="dxa"/>
            <w:vAlign w:val="bottom"/>
          </w:tcPr>
          <w:p>
            <w:pPr>
              <w:spacing w:after="0"/>
              <w:rPr>
                <w:sz w:val="1"/>
                <w:szCs w:val="1"/>
                <w:color w:val="auto"/>
              </w:rPr>
            </w:pPr>
          </w:p>
        </w:tc>
      </w:tr>
      <w:tr>
        <w:trPr>
          <w:trHeight w:val="207"/>
        </w:trPr>
        <w:tc>
          <w:tcPr>
            <w:tcW w:w="8600" w:type="dxa"/>
            <w:vAlign w:val="bottom"/>
          </w:tcPr>
          <w:p>
            <w:pPr>
              <w:spacing w:after="0"/>
              <w:rPr>
                <w:sz w:val="20"/>
                <w:szCs w:val="20"/>
                <w:color w:val="auto"/>
              </w:rPr>
            </w:pPr>
            <w:r>
              <w:rPr>
                <w:rFonts w:ascii="Arial" w:cs="Arial" w:eastAsia="Arial" w:hAnsi="Arial"/>
                <w:sz w:val="16"/>
                <w:szCs w:val="16"/>
                <w:color w:val="auto"/>
              </w:rPr>
              <w:t>Right-of-use assets, net</w:t>
            </w:r>
          </w:p>
        </w:tc>
        <w:tc>
          <w:tcPr>
            <w:tcW w:w="16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8,294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9,092</w:t>
            </w: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06"/>
        </w:trPr>
        <w:tc>
          <w:tcPr>
            <w:tcW w:w="8600" w:type="dxa"/>
            <w:vAlign w:val="bottom"/>
          </w:tcPr>
          <w:p>
            <w:pPr>
              <w:ind w:left="6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224,740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227,394</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0" w:type="dxa"/>
            <w:vAlign w:val="bottom"/>
            <w:shd w:val="clear" w:color="auto" w:fill="CCEEFF"/>
          </w:tcPr>
          <w:p>
            <w:pPr>
              <w:ind w:left="2560"/>
              <w:spacing w:after="0" w:line="176" w:lineRule="exact"/>
              <w:rPr>
                <w:sz w:val="20"/>
                <w:szCs w:val="20"/>
                <w:color w:val="auto"/>
              </w:rPr>
            </w:pPr>
            <w:r>
              <w:rPr>
                <w:rFonts w:ascii="Arial" w:cs="Arial" w:eastAsia="Arial" w:hAnsi="Arial"/>
                <w:sz w:val="16"/>
                <w:szCs w:val="16"/>
                <w:b w:val="1"/>
                <w:bCs w:val="1"/>
                <w:color w:val="auto"/>
              </w:rPr>
              <w:t>LIABILITIES AND STOCKHOLDERS’ DEFICIT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60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31,182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52,339</w:t>
            </w:r>
          </w:p>
        </w:tc>
        <w:tc>
          <w:tcPr>
            <w:tcW w:w="0" w:type="dxa"/>
            <w:vAlign w:val="bottom"/>
          </w:tcPr>
          <w:p>
            <w:pPr>
              <w:spacing w:after="0"/>
              <w:rPr>
                <w:sz w:val="1"/>
                <w:szCs w:val="1"/>
                <w:color w:val="auto"/>
              </w:rPr>
            </w:pPr>
          </w:p>
        </w:tc>
      </w:tr>
      <w:tr>
        <w:trPr>
          <w:trHeight w:val="207"/>
        </w:trPr>
        <w:tc>
          <w:tcPr>
            <w:tcW w:w="860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22,874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23,373</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0"/>
              <w:spacing w:after="0" w:line="213" w:lineRule="exact"/>
              <w:rPr>
                <w:sz w:val="20"/>
                <w:szCs w:val="20"/>
                <w:color w:val="auto"/>
              </w:rPr>
            </w:pPr>
            <w:r>
              <w:rPr>
                <w:rFonts w:ascii="Arial" w:cs="Arial" w:eastAsia="Arial" w:hAnsi="Arial"/>
                <w:sz w:val="16"/>
                <w:szCs w:val="16"/>
                <w:color w:val="auto"/>
              </w:rPr>
              <w:t>Liabilities related to assets held for sale</w:t>
            </w:r>
            <w:r>
              <w:rPr>
                <w:rFonts w:ascii="Arial" w:cs="Arial" w:eastAsia="Arial" w:hAnsi="Arial"/>
                <w:sz w:val="20"/>
                <w:szCs w:val="20"/>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11,132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86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65,188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75,712</w:t>
            </w:r>
          </w:p>
        </w:tc>
        <w:tc>
          <w:tcPr>
            <w:tcW w:w="0" w:type="dxa"/>
            <w:vAlign w:val="bottom"/>
          </w:tcPr>
          <w:p>
            <w:pPr>
              <w:spacing w:after="0"/>
              <w:rPr>
                <w:sz w:val="1"/>
                <w:szCs w:val="1"/>
                <w:color w:val="auto"/>
              </w:rPr>
            </w:pPr>
          </w:p>
        </w:tc>
      </w:tr>
      <w:tr>
        <w:trPr>
          <w:trHeight w:val="193"/>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600" w:type="dxa"/>
            <w:vAlign w:val="bottom"/>
          </w:tcPr>
          <w:p>
            <w:pPr>
              <w:ind w:left="200"/>
              <w:spacing w:after="0"/>
              <w:rPr>
                <w:sz w:val="20"/>
                <w:szCs w:val="20"/>
                <w:color w:val="auto"/>
              </w:rPr>
            </w:pPr>
            <w:r>
              <w:rPr>
                <w:rFonts w:ascii="Arial" w:cs="Arial" w:eastAsia="Arial" w:hAnsi="Arial"/>
                <w:sz w:val="16"/>
                <w:szCs w:val="16"/>
                <w:color w:val="auto"/>
              </w:rPr>
              <w:t>2025 Notes, net</w:t>
            </w:r>
          </w:p>
        </w:tc>
        <w:tc>
          <w:tcPr>
            <w:tcW w:w="16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159,120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165,147</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tax liabilities, net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0" w:type="dxa"/>
            <w:vAlign w:val="bottom"/>
          </w:tcPr>
          <w:p>
            <w:pPr>
              <w:spacing w:after="0"/>
              <w:rPr>
                <w:sz w:val="1"/>
                <w:szCs w:val="1"/>
                <w:color w:val="auto"/>
              </w:rPr>
            </w:pPr>
          </w:p>
        </w:tc>
      </w:tr>
      <w:tr>
        <w:trPr>
          <w:trHeight w:val="207"/>
        </w:trPr>
        <w:tc>
          <w:tcPr>
            <w:tcW w:w="86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8,450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9,929</w:t>
            </w:r>
          </w:p>
        </w:tc>
        <w:tc>
          <w:tcPr>
            <w:tcW w:w="0" w:type="dxa"/>
            <w:vAlign w:val="bottom"/>
          </w:tcPr>
          <w:p>
            <w:pPr>
              <w:spacing w:after="0"/>
              <w:rPr>
                <w:sz w:val="1"/>
                <w:szCs w:val="1"/>
                <w:color w:val="auto"/>
              </w:rPr>
            </w:pPr>
          </w:p>
        </w:tc>
      </w:tr>
      <w:tr>
        <w:trPr>
          <w:trHeight w:val="206"/>
        </w:trPr>
        <w:tc>
          <w:tcPr>
            <w:tcW w:w="8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233,646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255,293</w:t>
            </w:r>
          </w:p>
        </w:tc>
        <w:tc>
          <w:tcPr>
            <w:tcW w:w="0" w:type="dxa"/>
            <w:vAlign w:val="bottom"/>
          </w:tcPr>
          <w:p>
            <w:pPr>
              <w:spacing w:after="0"/>
              <w:rPr>
                <w:sz w:val="1"/>
                <w:szCs w:val="1"/>
                <w:color w:val="auto"/>
              </w:rPr>
            </w:pPr>
          </w:p>
        </w:tc>
      </w:tr>
      <w:tr>
        <w:trPr>
          <w:trHeight w:val="187"/>
        </w:trPr>
        <w:tc>
          <w:tcPr>
            <w:tcW w:w="860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00" w:type="dxa"/>
            <w:vAlign w:val="bottom"/>
          </w:tcPr>
          <w:p>
            <w:pPr>
              <w:ind w:left="200"/>
              <w:spacing w:after="0"/>
              <w:rPr>
                <w:sz w:val="20"/>
                <w:szCs w:val="20"/>
                <w:color w:val="auto"/>
              </w:rPr>
            </w:pPr>
            <w:r>
              <w:rPr>
                <w:rFonts w:ascii="Arial" w:cs="Arial" w:eastAsia="Arial" w:hAnsi="Arial"/>
                <w:sz w:val="16"/>
                <w:szCs w:val="16"/>
                <w:color w:val="auto"/>
              </w:rPr>
              <w:t>Preferred stock, par value $0.001; 2,000,000 shares authorized: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600" w:type="dxa"/>
            <w:vAlign w:val="bottom"/>
            <w:shd w:val="clear" w:color="auto" w:fill="CCEEFF"/>
          </w:tcPr>
          <w:p>
            <w:pPr>
              <w:ind w:left="440"/>
              <w:spacing w:after="0" w:line="164" w:lineRule="exact"/>
              <w:rPr>
                <w:sz w:val="20"/>
                <w:szCs w:val="20"/>
                <w:color w:val="auto"/>
              </w:rPr>
            </w:pPr>
            <w:r>
              <w:rPr>
                <w:rFonts w:ascii="Arial" w:cs="Arial" w:eastAsia="Arial" w:hAnsi="Arial"/>
                <w:sz w:val="16"/>
                <w:szCs w:val="16"/>
                <w:color w:val="auto"/>
                <w:w w:val="95"/>
              </w:rPr>
              <w:t>Series E Preferred stock, par value $0.001; 39,500 shares designated, 35,000 shares issued and outstanding, liquidation</w:t>
            </w:r>
          </w:p>
        </w:tc>
        <w:tc>
          <w:tcPr>
            <w:tcW w:w="16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preference of $1,000 per share (plus any accrued but unpaid dividends)</w:t>
            </w:r>
          </w:p>
        </w:tc>
        <w:tc>
          <w:tcPr>
            <w:tcW w:w="16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600" w:type="dxa"/>
            <w:vAlign w:val="bottom"/>
          </w:tcPr>
          <w:p>
            <w:pPr>
              <w:ind w:left="200"/>
              <w:spacing w:after="0" w:line="161" w:lineRule="exact"/>
              <w:rPr>
                <w:sz w:val="20"/>
                <w:szCs w:val="20"/>
                <w:color w:val="auto"/>
              </w:rPr>
            </w:pPr>
            <w:r>
              <w:rPr>
                <w:rFonts w:ascii="Arial" w:cs="Arial" w:eastAsia="Arial" w:hAnsi="Arial"/>
                <w:sz w:val="16"/>
                <w:szCs w:val="16"/>
                <w:color w:val="auto"/>
                <w:w w:val="92"/>
              </w:rPr>
              <w:t>Common stock, par value $0.001; 150,000,000 shares authorized, 103,109,346 and 99,399,029 shares issued and outstanding,</w:t>
            </w:r>
          </w:p>
        </w:tc>
        <w:tc>
          <w:tcPr>
            <w:tcW w:w="160" w:type="dxa"/>
            <w:vAlign w:val="bottom"/>
          </w:tcPr>
          <w:p>
            <w:pPr>
              <w:spacing w:after="0"/>
              <w:rPr>
                <w:sz w:val="13"/>
                <w:szCs w:val="13"/>
                <w:color w:val="auto"/>
              </w:rPr>
            </w:pPr>
          </w:p>
        </w:tc>
        <w:tc>
          <w:tcPr>
            <w:tcW w:w="1080" w:type="dxa"/>
            <w:vAlign w:val="bottom"/>
            <w:vMerge w:val="restart"/>
          </w:tcPr>
          <w:p>
            <w:pPr>
              <w:jc w:val="right"/>
              <w:ind w:right="2"/>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4"/>
        </w:trPr>
        <w:tc>
          <w:tcPr>
            <w:tcW w:w="860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761,412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711,487</w:t>
            </w:r>
          </w:p>
        </w:tc>
        <w:tc>
          <w:tcPr>
            <w:tcW w:w="0" w:type="dxa"/>
            <w:vAlign w:val="bottom"/>
          </w:tcPr>
          <w:p>
            <w:pPr>
              <w:spacing w:after="0"/>
              <w:rPr>
                <w:sz w:val="1"/>
                <w:szCs w:val="1"/>
                <w:color w:val="auto"/>
              </w:rPr>
            </w:pPr>
          </w:p>
        </w:tc>
      </w:tr>
      <w:tr>
        <w:trPr>
          <w:trHeight w:val="207"/>
        </w:trPr>
        <w:tc>
          <w:tcPr>
            <w:tcW w:w="860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(6,972)</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(764,150)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(732,422)</w:t>
            </w:r>
          </w:p>
        </w:tc>
        <w:tc>
          <w:tcPr>
            <w:tcW w:w="0" w:type="dxa"/>
            <w:vAlign w:val="bottom"/>
          </w:tcPr>
          <w:p>
            <w:pPr>
              <w:spacing w:after="0"/>
              <w:rPr>
                <w:sz w:val="1"/>
                <w:szCs w:val="1"/>
                <w:color w:val="auto"/>
              </w:rPr>
            </w:pPr>
          </w:p>
        </w:tc>
      </w:tr>
      <w:tr>
        <w:trPr>
          <w:trHeight w:val="200"/>
        </w:trPr>
        <w:tc>
          <w:tcPr>
            <w:tcW w:w="8600" w:type="dxa"/>
            <w:vAlign w:val="bottom"/>
          </w:tcPr>
          <w:p>
            <w:pPr>
              <w:ind w:left="760"/>
              <w:spacing w:after="0"/>
              <w:rPr>
                <w:sz w:val="20"/>
                <w:szCs w:val="20"/>
                <w:color w:val="auto"/>
              </w:rPr>
            </w:pPr>
            <w:r>
              <w:rPr>
                <w:rFonts w:ascii="Arial" w:cs="Arial" w:eastAsia="Arial" w:hAnsi="Arial"/>
                <w:sz w:val="16"/>
                <w:szCs w:val="16"/>
                <w:color w:val="auto"/>
              </w:rPr>
              <w:t>Total stockholders’ deficit attributable to Inseego Corp.</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(27,808)</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0"/>
        </w:trPr>
        <w:tc>
          <w:tcPr>
            <w:tcW w:w="86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stockholders’ deficit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(27,899)</w:t>
            </w:r>
          </w:p>
        </w:tc>
        <w:tc>
          <w:tcPr>
            <w:tcW w:w="0" w:type="dxa"/>
            <w:vAlign w:val="bottom"/>
          </w:tcPr>
          <w:p>
            <w:pPr>
              <w:spacing w:after="0"/>
              <w:rPr>
                <w:sz w:val="1"/>
                <w:szCs w:val="1"/>
                <w:color w:val="auto"/>
              </w:rPr>
            </w:pPr>
          </w:p>
        </w:tc>
      </w:tr>
      <w:tr>
        <w:trPr>
          <w:trHeight w:val="231"/>
        </w:trPr>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liabilities and stockholders’ deficit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224,740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227,394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 xml:space="preserve">Assets and liabilities held for sale relate to the expected sale of our Ctrack South Africa operations. Refer to Note 4. </w:t>
      </w:r>
      <w:r>
        <w:rPr>
          <w:rFonts w:ascii="Arial" w:cs="Arial" w:eastAsia="Arial" w:hAnsi="Arial"/>
          <w:sz w:val="16"/>
          <w:szCs w:val="16"/>
          <w:i w:val="1"/>
          <w:iCs w:val="1"/>
          <w:color w:val="auto"/>
        </w:rPr>
        <w:t>Business Divestiture</w:t>
      </w:r>
      <w:r>
        <w:rPr>
          <w:rFonts w:ascii="Arial" w:cs="Arial" w:eastAsia="Arial" w:hAnsi="Arial"/>
          <w:sz w:val="16"/>
          <w:szCs w:val="16"/>
          <w:color w:val="auto"/>
        </w:rPr>
        <w:t xml:space="preserve"> for details.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180" w:type="dxa"/>
            <w:vAlign w:val="bottom"/>
            <w:gridSpan w:val="4"/>
          </w:tcPr>
          <w:p>
            <w:pPr>
              <w:jc w:val="right"/>
              <w:ind w:right="54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6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4"/>
        </w:trPr>
        <w:tc>
          <w:tcPr>
            <w:tcW w:w="642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69,314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94,795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111,729</w:t>
            </w:r>
          </w:p>
        </w:tc>
        <w:tc>
          <w:tcPr>
            <w:tcW w:w="0" w:type="dxa"/>
            <w:vAlign w:val="bottom"/>
          </w:tcPr>
          <w:p>
            <w:pPr>
              <w:spacing w:after="0"/>
              <w:rPr>
                <w:sz w:val="1"/>
                <w:szCs w:val="1"/>
                <w:color w:val="auto"/>
              </w:rPr>
            </w:pPr>
          </w:p>
        </w:tc>
      </w:tr>
      <w:tr>
        <w:trPr>
          <w:trHeight w:val="207"/>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11,375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28,495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25,800</w:t>
            </w:r>
          </w:p>
        </w:tc>
        <w:tc>
          <w:tcPr>
            <w:tcW w:w="0" w:type="dxa"/>
            <w:vAlign w:val="bottom"/>
          </w:tcPr>
          <w:p>
            <w:pPr>
              <w:spacing w:after="0"/>
              <w:rPr>
                <w:sz w:val="1"/>
                <w:szCs w:val="1"/>
                <w:color w:val="auto"/>
              </w:rPr>
            </w:pPr>
          </w:p>
        </w:tc>
      </w:tr>
      <w:tr>
        <w:trPr>
          <w:trHeight w:val="206"/>
        </w:trPr>
        <w:tc>
          <w:tcPr>
            <w:tcW w:w="6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65,693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80,689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123,290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137,529</w:t>
            </w:r>
          </w:p>
        </w:tc>
        <w:tc>
          <w:tcPr>
            <w:tcW w:w="0" w:type="dxa"/>
            <w:vAlign w:val="bottom"/>
          </w:tcPr>
          <w:p>
            <w:pPr>
              <w:spacing w:after="0"/>
              <w:rPr>
                <w:sz w:val="1"/>
                <w:szCs w:val="1"/>
                <w:color w:val="auto"/>
              </w:rPr>
            </w:pPr>
          </w:p>
        </w:tc>
      </w:tr>
      <w:tr>
        <w:trPr>
          <w:trHeight w:val="207"/>
        </w:trPr>
        <w:tc>
          <w:tcPr>
            <w:tcW w:w="6420" w:type="dxa"/>
            <w:vAlign w:val="bottom"/>
          </w:tcPr>
          <w:p>
            <w:pPr>
              <w:ind w:left="20"/>
              <w:spacing w:after="0"/>
              <w:rPr>
                <w:sz w:val="20"/>
                <w:szCs w:val="20"/>
                <w:color w:val="auto"/>
              </w:rPr>
            </w:pPr>
            <w:r>
              <w:rPr>
                <w:rFonts w:ascii="Arial" w:cs="Arial" w:eastAsia="Arial" w:hAnsi="Arial"/>
                <w:sz w:val="16"/>
                <w:szCs w:val="16"/>
                <w:color w:val="auto"/>
              </w:rPr>
              <w:t>Cost of net revenues: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54,240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88,279</w:t>
            </w:r>
          </w:p>
        </w:tc>
        <w:tc>
          <w:tcPr>
            <w:tcW w:w="0" w:type="dxa"/>
            <w:vAlign w:val="bottom"/>
          </w:tcPr>
          <w:p>
            <w:pPr>
              <w:spacing w:after="0"/>
              <w:rPr>
                <w:sz w:val="1"/>
                <w:szCs w:val="1"/>
                <w:color w:val="auto"/>
              </w:rPr>
            </w:pPr>
          </w:p>
        </w:tc>
      </w:tr>
      <w:tr>
        <w:trPr>
          <w:trHeight w:val="207"/>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4,449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10,023</w:t>
            </w:r>
          </w:p>
        </w:tc>
        <w:tc>
          <w:tcPr>
            <w:tcW w:w="0" w:type="dxa"/>
            <w:vAlign w:val="bottom"/>
          </w:tcPr>
          <w:p>
            <w:pPr>
              <w:spacing w:after="0"/>
              <w:rPr>
                <w:sz w:val="1"/>
                <w:szCs w:val="1"/>
                <w:color w:val="auto"/>
              </w:rPr>
            </w:pPr>
          </w:p>
        </w:tc>
      </w:tr>
      <w:tr>
        <w:trPr>
          <w:trHeight w:val="206"/>
        </w:trPr>
        <w:tc>
          <w:tcPr>
            <w:tcW w:w="6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cost of net revenues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45,344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58,689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84,466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98,302</w:t>
            </w:r>
          </w:p>
        </w:tc>
        <w:tc>
          <w:tcPr>
            <w:tcW w:w="0" w:type="dxa"/>
            <w:vAlign w:val="bottom"/>
          </w:tcPr>
          <w:p>
            <w:pPr>
              <w:spacing w:after="0"/>
              <w:rPr>
                <w:sz w:val="1"/>
                <w:szCs w:val="1"/>
                <w:color w:val="auto"/>
              </w:rPr>
            </w:pPr>
          </w:p>
        </w:tc>
      </w:tr>
      <w:tr>
        <w:trPr>
          <w:trHeight w:val="200"/>
        </w:trPr>
        <w:tc>
          <w:tcPr>
            <w:tcW w:w="64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20,349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22,000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38,824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39,227</w:t>
            </w: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2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11,773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10,540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26,328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18,764</w:t>
            </w: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8,648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17,403</w:t>
            </w:r>
          </w:p>
        </w:tc>
        <w:tc>
          <w:tcPr>
            <w:tcW w:w="0" w:type="dxa"/>
            <w:vAlign w:val="bottom"/>
          </w:tcPr>
          <w:p>
            <w:pPr>
              <w:spacing w:after="0"/>
              <w:rPr>
                <w:sz w:val="1"/>
                <w:szCs w:val="1"/>
                <w:color w:val="auto"/>
              </w:rPr>
            </w:pPr>
          </w:p>
        </w:tc>
      </w:tr>
      <w:tr>
        <w:trPr>
          <w:trHeight w:val="207"/>
        </w:trPr>
        <w:tc>
          <w:tcPr>
            <w:tcW w:w="64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7,396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16,058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14,558</w:t>
            </w: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purchased intangible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07"/>
        </w:trPr>
        <w:tc>
          <w:tcPr>
            <w:tcW w:w="6420" w:type="dxa"/>
            <w:vAlign w:val="bottom"/>
          </w:tcPr>
          <w:p>
            <w:pPr>
              <w:ind w:left="220"/>
              <w:spacing w:after="0"/>
              <w:rPr>
                <w:sz w:val="20"/>
                <w:szCs w:val="20"/>
                <w:color w:val="auto"/>
              </w:rPr>
            </w:pPr>
            <w:r>
              <w:rPr>
                <w:rFonts w:ascii="Arial" w:cs="Arial" w:eastAsia="Arial" w:hAnsi="Arial"/>
                <w:sz w:val="16"/>
                <w:szCs w:val="16"/>
                <w:color w:val="auto"/>
              </w:rPr>
              <w:t>Impairment of capitalized software</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4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costs and expenses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27,337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65,538</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52,304</w:t>
            </w:r>
          </w:p>
        </w:tc>
        <w:tc>
          <w:tcPr>
            <w:tcW w:w="0" w:type="dxa"/>
            <w:vAlign w:val="bottom"/>
          </w:tcPr>
          <w:p>
            <w:pPr>
              <w:spacing w:after="0"/>
              <w:rPr>
                <w:sz w:val="1"/>
                <w:szCs w:val="1"/>
                <w:color w:val="auto"/>
              </w:rPr>
            </w:pPr>
          </w:p>
        </w:tc>
      </w:tr>
      <w:tr>
        <w:trPr>
          <w:trHeight w:val="200"/>
        </w:trPr>
        <w:tc>
          <w:tcPr>
            <w:tcW w:w="642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(26,714)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(13,077)</w:t>
            </w: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20" w:type="dxa"/>
            <w:vAlign w:val="bottom"/>
          </w:tcPr>
          <w:p>
            <w:pPr>
              <w:ind w:left="220"/>
              <w:spacing w:after="0"/>
              <w:rPr>
                <w:sz w:val="20"/>
                <w:szCs w:val="20"/>
                <w:color w:val="auto"/>
              </w:rPr>
            </w:pPr>
            <w:r>
              <w:rPr>
                <w:rFonts w:ascii="Arial" w:cs="Arial" w:eastAsia="Arial" w:hAnsi="Arial"/>
                <w:sz w:val="16"/>
                <w:szCs w:val="16"/>
                <w:color w:val="auto"/>
              </w:rPr>
              <w:t>Loss on debt conversion and extinguishment, net</w:t>
            </w: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(67,241)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(75,174)</w:t>
            </w: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(6,540)</w:t>
            </w:r>
          </w:p>
        </w:tc>
        <w:tc>
          <w:tcPr>
            <w:tcW w:w="0" w:type="dxa"/>
            <w:vAlign w:val="bottom"/>
          </w:tcPr>
          <w:p>
            <w:pPr>
              <w:spacing w:after="0"/>
              <w:rPr>
                <w:sz w:val="1"/>
                <w:szCs w:val="1"/>
                <w:color w:val="auto"/>
              </w:rPr>
            </w:pPr>
          </w:p>
        </w:tc>
      </w:tr>
      <w:tr>
        <w:trPr>
          <w:trHeight w:val="207"/>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787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w:t>
            </w:r>
          </w:p>
        </w:tc>
        <w:tc>
          <w:tcPr>
            <w:tcW w:w="0" w:type="dxa"/>
            <w:vAlign w:val="bottom"/>
          </w:tcPr>
          <w:p>
            <w:pPr>
              <w:spacing w:after="0"/>
              <w:rPr>
                <w:sz w:val="1"/>
                <w:szCs w:val="1"/>
                <w:color w:val="auto"/>
              </w:rPr>
            </w:pPr>
          </w:p>
        </w:tc>
      </w:tr>
      <w:tr>
        <w:trPr>
          <w:trHeight w:val="20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(93,026)</w:t>
            </w:r>
          </w:p>
        </w:tc>
        <w:tc>
          <w:tcPr>
            <w:tcW w:w="0" w:type="dxa"/>
            <w:vAlign w:val="bottom"/>
          </w:tcPr>
          <w:p>
            <w:pPr>
              <w:spacing w:after="0"/>
              <w:rPr>
                <w:sz w:val="1"/>
                <w:szCs w:val="1"/>
                <w:color w:val="auto"/>
              </w:rPr>
            </w:pPr>
          </w:p>
        </w:tc>
      </w:tr>
      <w:tr>
        <w:trPr>
          <w:trHeight w:val="207"/>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 (benefit)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(93,002)</w:t>
            </w:r>
          </w:p>
        </w:tc>
        <w:tc>
          <w:tcPr>
            <w:tcW w:w="0" w:type="dxa"/>
            <w:vAlign w:val="bottom"/>
          </w:tcPr>
          <w:p>
            <w:pPr>
              <w:spacing w:after="0"/>
              <w:rPr>
                <w:sz w:val="1"/>
                <w:szCs w:val="1"/>
                <w:color w:val="auto"/>
              </w:rPr>
            </w:pPr>
          </w:p>
        </w:tc>
      </w:tr>
      <w:tr>
        <w:trPr>
          <w:trHeight w:val="207"/>
        </w:trPr>
        <w:tc>
          <w:tcPr>
            <w:tcW w:w="6420" w:type="dxa"/>
            <w:vAlign w:val="bottom"/>
          </w:tcPr>
          <w:p>
            <w:pPr>
              <w:ind w:left="20"/>
              <w:spacing w:after="0"/>
              <w:rPr>
                <w:sz w:val="20"/>
                <w:szCs w:val="20"/>
                <w:color w:val="auto"/>
              </w:rPr>
            </w:pPr>
            <w:r>
              <w:rPr>
                <w:rFonts w:ascii="Arial" w:cs="Arial" w:eastAsia="Arial" w:hAnsi="Arial"/>
                <w:sz w:val="16"/>
                <w:szCs w:val="16"/>
                <w:color w:val="auto"/>
              </w:rPr>
              <w:t>Less: Net loss (income) attributable to noncontrolling interests</w:t>
            </w: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6"/>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Inseego Corp.</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(13,043)</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(74,830)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(30,215)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(93,028)</w:t>
            </w:r>
          </w:p>
        </w:tc>
        <w:tc>
          <w:tcPr>
            <w:tcW w:w="0" w:type="dxa"/>
            <w:vAlign w:val="bottom"/>
          </w:tcPr>
          <w:p>
            <w:pPr>
              <w:spacing w:after="0"/>
              <w:rPr>
                <w:sz w:val="1"/>
                <w:szCs w:val="1"/>
                <w:color w:val="auto"/>
              </w:rPr>
            </w:pPr>
          </w:p>
        </w:tc>
      </w:tr>
      <w:tr>
        <w:trPr>
          <w:trHeight w:val="207"/>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Series E preferred stock dividends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31"/>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(31,968)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(94,255)</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Per share data:</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common share: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420" w:type="dxa"/>
            <w:vAlign w:val="bottom"/>
          </w:tcPr>
          <w:p>
            <w:pPr>
              <w:ind w:left="22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2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Weighted-average shares used in computation of net loss per common share:</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20" w:type="dxa"/>
            <w:vAlign w:val="bottom"/>
          </w:tcPr>
          <w:p>
            <w:pPr>
              <w:ind w:left="22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102,935,213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4"/>
              </w:rPr>
              <w:t>96,487,344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102,157,146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93,680,846</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0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6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r>
      <w:tr>
        <w:trPr>
          <w:trHeight w:val="177"/>
        </w:trPr>
        <w:tc>
          <w:tcPr>
            <w:tcW w:w="64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r>
      <w:tr>
        <w:trPr>
          <w:trHeight w:val="204"/>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(93,002)</w:t>
            </w:r>
          </w:p>
        </w:tc>
      </w:tr>
      <w:tr>
        <w:trPr>
          <w:trHeight w:val="207"/>
        </w:trPr>
        <w:tc>
          <w:tcPr>
            <w:tcW w:w="64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1,576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(11,904)</w:t>
            </w:r>
          </w:p>
        </w:tc>
      </w:tr>
      <w:tr>
        <w:trPr>
          <w:trHeight w:val="20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comprehensive loss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(29,308)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(104,906)</w:t>
            </w:r>
          </w:p>
        </w:tc>
      </w:tr>
      <w:tr>
        <w:trPr>
          <w:trHeight w:val="207"/>
        </w:trPr>
        <w:tc>
          <w:tcPr>
            <w:tcW w:w="6420" w:type="dxa"/>
            <w:vAlign w:val="bottom"/>
          </w:tcPr>
          <w:p>
            <w:pPr>
              <w:ind w:left="320"/>
              <w:spacing w:after="0"/>
              <w:rPr>
                <w:sz w:val="20"/>
                <w:szCs w:val="20"/>
                <w:color w:val="auto"/>
              </w:rPr>
            </w:pPr>
            <w:r>
              <w:rPr>
                <w:rFonts w:ascii="Arial" w:cs="Arial" w:eastAsia="Arial" w:hAnsi="Arial"/>
                <w:sz w:val="16"/>
                <w:szCs w:val="16"/>
                <w:color w:val="auto"/>
              </w:rPr>
              <w:t>Comprehensive income attributable to noncontrolling interests</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1"/>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Inseego Corp.</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(104,932)</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40" w:type="dxa"/>
            <w:vAlign w:val="bottom"/>
          </w:tcPr>
          <w:p>
            <w:pPr>
              <w:spacing w:after="0"/>
              <w:rPr>
                <w:sz w:val="14"/>
                <w:szCs w:val="14"/>
                <w:color w:val="auto"/>
              </w:rPr>
            </w:pPr>
          </w:p>
        </w:tc>
        <w:tc>
          <w:tcPr>
            <w:tcW w:w="1500" w:type="dxa"/>
            <w:vAlign w:val="bottom"/>
            <w:gridSpan w:val="5"/>
          </w:tcPr>
          <w:p>
            <w:pPr>
              <w:ind w:left="280"/>
              <w:spacing w:after="0"/>
              <w:rPr>
                <w:sz w:val="20"/>
                <w:szCs w:val="20"/>
                <w:color w:val="auto"/>
              </w:rPr>
            </w:pPr>
            <w:r>
              <w:rPr>
                <w:rFonts w:ascii="Arial" w:cs="Arial" w:eastAsia="Arial" w:hAnsi="Arial"/>
                <w:sz w:val="12"/>
                <w:szCs w:val="12"/>
                <w:b w:val="1"/>
                <w:bCs w:val="1"/>
                <w:color w:val="auto"/>
              </w:rPr>
              <w:t>Preferred Stock</w:t>
            </w:r>
          </w:p>
        </w:tc>
        <w:tc>
          <w:tcPr>
            <w:tcW w:w="1540" w:type="dxa"/>
            <w:vAlign w:val="bottom"/>
            <w:gridSpan w:val="5"/>
          </w:tcPr>
          <w:p>
            <w:pPr>
              <w:ind w:left="32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3"/>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53"/>
        </w:trPr>
        <w:tc>
          <w:tcPr>
            <w:tcW w:w="264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tcPr>
          <w:p>
            <w:pPr>
              <w:ind w:left="20"/>
              <w:spacing w:after="0" w:line="53" w:lineRule="exact"/>
              <w:rPr>
                <w:sz w:val="20"/>
                <w:szCs w:val="20"/>
                <w:color w:val="auto"/>
              </w:rPr>
            </w:pPr>
            <w:r>
              <w:rPr>
                <w:rFonts w:ascii="Arial" w:cs="Arial" w:eastAsia="Arial" w:hAnsi="Arial"/>
                <w:sz w:val="6"/>
                <w:szCs w:val="6"/>
                <w:b w:val="1"/>
                <w:bCs w:val="1"/>
                <w:color w:val="auto"/>
              </w:rPr>
              <w:t>Additional</w:t>
            </w:r>
          </w:p>
        </w:tc>
        <w:tc>
          <w:tcPr>
            <w:tcW w:w="160" w:type="dxa"/>
            <w:vAlign w:val="bottom"/>
          </w:tcPr>
          <w:p>
            <w:pPr>
              <w:spacing w:after="0"/>
              <w:rPr>
                <w:sz w:val="4"/>
                <w:szCs w:val="4"/>
                <w:color w:val="auto"/>
              </w:rPr>
            </w:pPr>
          </w:p>
        </w:tc>
        <w:tc>
          <w:tcPr>
            <w:tcW w:w="1100" w:type="dxa"/>
            <w:vAlign w:val="bottom"/>
            <w:gridSpan w:val="2"/>
          </w:tcPr>
          <w:p>
            <w:pPr>
              <w:jc w:val="center"/>
              <w:ind w:right="260"/>
              <w:spacing w:after="0" w:line="53" w:lineRule="exact"/>
              <w:rPr>
                <w:sz w:val="20"/>
                <w:szCs w:val="20"/>
                <w:color w:val="auto"/>
              </w:rPr>
            </w:pPr>
            <w:r>
              <w:rPr>
                <w:rFonts w:ascii="Arial" w:cs="Arial" w:eastAsia="Arial" w:hAnsi="Arial"/>
                <w:sz w:val="6"/>
                <w:szCs w:val="6"/>
                <w:b w:val="1"/>
                <w:bCs w:val="1"/>
                <w:color w:val="auto"/>
              </w:rPr>
              <w:t>Other</w:t>
            </w:r>
          </w:p>
        </w:tc>
        <w:tc>
          <w:tcPr>
            <w:tcW w:w="120" w:type="dxa"/>
            <w:vAlign w:val="bottom"/>
          </w:tcPr>
          <w:p>
            <w:pPr>
              <w:spacing w:after="0"/>
              <w:rPr>
                <w:sz w:val="4"/>
                <w:szCs w:val="4"/>
                <w:color w:val="auto"/>
              </w:rPr>
            </w:pPr>
          </w:p>
        </w:tc>
        <w:tc>
          <w:tcPr>
            <w:tcW w:w="980" w:type="dxa"/>
            <w:vAlign w:val="bottom"/>
            <w:gridSpan w:val="2"/>
          </w:tcPr>
          <w:p>
            <w:pPr>
              <w:ind w:left="40"/>
              <w:spacing w:after="0" w:line="53" w:lineRule="exact"/>
              <w:rPr>
                <w:sz w:val="20"/>
                <w:szCs w:val="20"/>
                <w:color w:val="auto"/>
              </w:rPr>
            </w:pPr>
            <w:r>
              <w:rPr>
                <w:rFonts w:ascii="Arial" w:cs="Arial" w:eastAsia="Arial" w:hAnsi="Arial"/>
                <w:sz w:val="6"/>
                <w:szCs w:val="6"/>
                <w:b w:val="1"/>
                <w:bCs w:val="1"/>
                <w:color w:val="auto"/>
              </w:rPr>
              <w:t>Accumulated</w:t>
            </w:r>
          </w:p>
        </w:tc>
        <w:tc>
          <w:tcPr>
            <w:tcW w:w="140" w:type="dxa"/>
            <w:vAlign w:val="bottom"/>
          </w:tcPr>
          <w:p>
            <w:pPr>
              <w:spacing w:after="0"/>
              <w:rPr>
                <w:sz w:val="4"/>
                <w:szCs w:val="4"/>
                <w:color w:val="auto"/>
              </w:rPr>
            </w:pPr>
          </w:p>
        </w:tc>
        <w:tc>
          <w:tcPr>
            <w:tcW w:w="1080" w:type="dxa"/>
            <w:vAlign w:val="bottom"/>
            <w:gridSpan w:val="2"/>
          </w:tcPr>
          <w:p>
            <w:pPr>
              <w:jc w:val="center"/>
              <w:ind w:right="240"/>
              <w:spacing w:after="0" w:line="53" w:lineRule="exact"/>
              <w:rPr>
                <w:sz w:val="20"/>
                <w:szCs w:val="20"/>
                <w:color w:val="auto"/>
              </w:rPr>
            </w:pPr>
            <w:r>
              <w:rPr>
                <w:rFonts w:ascii="Arial" w:cs="Arial" w:eastAsia="Arial" w:hAnsi="Arial"/>
                <w:sz w:val="6"/>
                <w:szCs w:val="6"/>
                <w:b w:val="1"/>
                <w:bCs w:val="1"/>
                <w:color w:val="auto"/>
              </w:rPr>
              <w:t>Noncontrolling</w:t>
            </w:r>
          </w:p>
        </w:tc>
        <w:tc>
          <w:tcPr>
            <w:tcW w:w="100" w:type="dxa"/>
            <w:vAlign w:val="bottom"/>
          </w:tcPr>
          <w:p>
            <w:pPr>
              <w:spacing w:after="0"/>
              <w:rPr>
                <w:sz w:val="4"/>
                <w:szCs w:val="4"/>
                <w:color w:val="auto"/>
              </w:rPr>
            </w:pPr>
          </w:p>
        </w:tc>
        <w:tc>
          <w:tcPr>
            <w:tcW w:w="940" w:type="dxa"/>
            <w:vAlign w:val="bottom"/>
          </w:tcPr>
          <w:p>
            <w:pPr>
              <w:jc w:val="center"/>
              <w:ind w:right="33"/>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Paid-in Capital</w:t>
            </w:r>
          </w:p>
        </w:tc>
        <w:tc>
          <w:tcPr>
            <w:tcW w:w="12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8"/>
              </w:rPr>
              <w:t>Comprehensive Loss</w:t>
            </w:r>
          </w:p>
        </w:tc>
        <w:tc>
          <w:tcPr>
            <w:tcW w:w="120" w:type="dxa"/>
            <w:vAlign w:val="bottom"/>
          </w:tcPr>
          <w:p>
            <w:pPr>
              <w:spacing w:after="0"/>
              <w:rPr>
                <w:sz w:val="14"/>
                <w:szCs w:val="14"/>
                <w:color w:val="auto"/>
              </w:rPr>
            </w:pPr>
          </w:p>
        </w:tc>
        <w:tc>
          <w:tcPr>
            <w:tcW w:w="980" w:type="dxa"/>
            <w:vAlign w:val="bottom"/>
            <w:gridSpan w:val="2"/>
          </w:tcPr>
          <w:p>
            <w:pPr>
              <w:ind w:left="20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940" w:type="dxa"/>
            <w:vAlign w:val="bottom"/>
          </w:tcPr>
          <w:p>
            <w:pPr>
              <w:jc w:val="center"/>
              <w:ind w:right="13"/>
              <w:spacing w:after="0"/>
              <w:rPr>
                <w:sz w:val="20"/>
                <w:szCs w:val="20"/>
                <w:color w:val="auto"/>
              </w:rPr>
            </w:pPr>
            <w:r>
              <w:rPr>
                <w:rFonts w:ascii="Arial" w:cs="Arial" w:eastAsia="Arial" w:hAnsi="Arial"/>
                <w:sz w:val="12"/>
                <w:szCs w:val="12"/>
                <w:b w:val="1"/>
                <w:bCs w:val="1"/>
                <w:color w:val="auto"/>
                <w:w w:val="96"/>
              </w:rPr>
              <w:t>Equity (Deficit)</w:t>
            </w:r>
          </w:p>
        </w:tc>
        <w:tc>
          <w:tcPr>
            <w:tcW w:w="0" w:type="dxa"/>
            <w:vAlign w:val="bottom"/>
          </w:tcPr>
          <w:p>
            <w:pPr>
              <w:spacing w:after="0"/>
              <w:rPr>
                <w:sz w:val="1"/>
                <w:szCs w:val="1"/>
                <w:color w:val="auto"/>
              </w:rPr>
            </w:pPr>
          </w:p>
        </w:tc>
      </w:tr>
      <w:tr>
        <w:trPr>
          <w:trHeight w:val="18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2020</w:t>
            </w:r>
          </w:p>
        </w:tc>
        <w:tc>
          <w:tcPr>
            <w:tcW w:w="6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37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96,180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682,047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(17,359)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(636,893)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27,803</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(74,830)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(74,836)</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w:t>
            </w: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rPr>
              <w:t>Exercise of stock options and vesting of</w:t>
            </w: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1,662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Taxes withheld on net settled vesting of</w:t>
            </w: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Repurchase of Series E preferred stock</w:t>
            </w:r>
          </w:p>
        </w:tc>
        <w:tc>
          <w:tcPr>
            <w:tcW w:w="640" w:type="dxa"/>
            <w:vAlign w:val="bottom"/>
          </w:tcPr>
          <w:p>
            <w:pPr>
              <w:ind w:left="44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(2,354)</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4,428</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Series E preferred stock dividends</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2020</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686,410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(712,558)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(41,928)</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March 31, 2021</w:t>
            </w: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757,352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(750,221)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(13,043)</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rPr>
              <w:t>Exercise of stock options, vesting of</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w w:val="94"/>
              </w:rPr>
              <w:t>restricted stock units and stock issued under</w:t>
            </w: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1,282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1,282</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Taxes withheld on net settled vesting of</w:t>
            </w: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w w:val="99"/>
              </w:rPr>
              <w:t>Issuance of common shares in connection</w:t>
            </w: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w w:val="97"/>
              </w:rPr>
              <w:t>with a public offering, net of issuance costs</w:t>
            </w: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2,307</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Net noncontrolling interest acquired</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E preferred stock dividends</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640" w:type="dxa"/>
            <w:vAlign w:val="bottom"/>
          </w:tcPr>
          <w:p>
            <w:pPr>
              <w:ind w:left="20"/>
              <w:spacing w:after="0"/>
              <w:rPr>
                <w:sz w:val="20"/>
                <w:szCs w:val="20"/>
                <w:color w:val="auto"/>
              </w:rPr>
            </w:pPr>
            <w:r>
              <w:rPr>
                <w:rFonts w:ascii="Arial" w:cs="Arial" w:eastAsia="Arial" w:hAnsi="Arial"/>
                <w:sz w:val="14"/>
                <w:szCs w:val="14"/>
                <w:color w:val="auto"/>
              </w:rPr>
              <w:t>Balance, June 30, 2021</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103,109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761,412</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(6,279)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(764,150)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(8,906)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1500" w:type="dxa"/>
            <w:vAlign w:val="bottom"/>
            <w:gridSpan w:val="5"/>
            <w:vMerge w:val="restart"/>
          </w:tcPr>
          <w:p>
            <w:pPr>
              <w:ind w:left="280"/>
              <w:spacing w:after="0"/>
              <w:rPr>
                <w:sz w:val="20"/>
                <w:szCs w:val="20"/>
                <w:color w:val="auto"/>
              </w:rPr>
            </w:pPr>
            <w:r>
              <w:rPr>
                <w:rFonts w:ascii="Arial" w:cs="Arial" w:eastAsia="Arial" w:hAnsi="Arial"/>
                <w:sz w:val="12"/>
                <w:szCs w:val="12"/>
                <w:b w:val="1"/>
                <w:bCs w:val="1"/>
                <w:color w:val="auto"/>
              </w:rPr>
              <w:t>Preferred Stock</w:t>
            </w:r>
          </w:p>
        </w:tc>
        <w:tc>
          <w:tcPr>
            <w:tcW w:w="1540" w:type="dxa"/>
            <w:vAlign w:val="bottom"/>
            <w:gridSpan w:val="5"/>
            <w:vMerge w:val="restart"/>
          </w:tcPr>
          <w:p>
            <w:pPr>
              <w:ind w:left="32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31"/>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8"/>
        </w:trPr>
        <w:tc>
          <w:tcPr>
            <w:tcW w:w="264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15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restart"/>
          </w:tcPr>
          <w:p>
            <w:pPr>
              <w:ind w:left="20"/>
              <w:spacing w:after="0" w:line="118" w:lineRule="exact"/>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3"/>
                <w:szCs w:val="3"/>
                <w:color w:val="auto"/>
              </w:rPr>
            </w:pPr>
          </w:p>
        </w:tc>
        <w:tc>
          <w:tcPr>
            <w:tcW w:w="1120" w:type="dxa"/>
            <w:vAlign w:val="bottom"/>
            <w:gridSpan w:val="2"/>
            <w:vMerge w:val="restart"/>
          </w:tcPr>
          <w:p>
            <w:pPr>
              <w:jc w:val="center"/>
              <w:ind w:right="240"/>
              <w:spacing w:after="0" w:line="118" w:lineRule="exact"/>
              <w:rPr>
                <w:sz w:val="20"/>
                <w:szCs w:val="20"/>
                <w:color w:val="auto"/>
              </w:rPr>
            </w:pPr>
            <w:r>
              <w:rPr>
                <w:rFonts w:ascii="Arial" w:cs="Arial" w:eastAsia="Arial" w:hAnsi="Arial"/>
                <w:sz w:val="12"/>
                <w:szCs w:val="12"/>
                <w:b w:val="1"/>
                <w:bCs w:val="1"/>
                <w:color w:val="auto"/>
                <w:w w:val="88"/>
              </w:rPr>
              <w:t>Comprehensive</w:t>
            </w:r>
          </w:p>
        </w:tc>
        <w:tc>
          <w:tcPr>
            <w:tcW w:w="120" w:type="dxa"/>
            <w:vAlign w:val="bottom"/>
          </w:tcPr>
          <w:p>
            <w:pPr>
              <w:spacing w:after="0"/>
              <w:rPr>
                <w:sz w:val="3"/>
                <w:szCs w:val="3"/>
                <w:color w:val="auto"/>
              </w:rPr>
            </w:pPr>
          </w:p>
        </w:tc>
        <w:tc>
          <w:tcPr>
            <w:tcW w:w="980" w:type="dxa"/>
            <w:vAlign w:val="bottom"/>
            <w:gridSpan w:val="2"/>
            <w:vMerge w:val="restart"/>
          </w:tcPr>
          <w:p>
            <w:pPr>
              <w:jc w:val="center"/>
              <w:ind w:right="220"/>
              <w:spacing w:after="0" w:line="118" w:lineRule="exact"/>
              <w:rPr>
                <w:sz w:val="20"/>
                <w:szCs w:val="20"/>
                <w:color w:val="auto"/>
              </w:rPr>
            </w:pPr>
            <w:r>
              <w:rPr>
                <w:rFonts w:ascii="Arial" w:cs="Arial" w:eastAsia="Arial" w:hAnsi="Arial"/>
                <w:sz w:val="12"/>
                <w:szCs w:val="12"/>
                <w:b w:val="1"/>
                <w:bCs w:val="1"/>
                <w:color w:val="auto"/>
                <w:w w:val="90"/>
              </w:rPr>
              <w:t>Accumulated</w:t>
            </w:r>
          </w:p>
        </w:tc>
        <w:tc>
          <w:tcPr>
            <w:tcW w:w="140" w:type="dxa"/>
            <w:vAlign w:val="bottom"/>
          </w:tcPr>
          <w:p>
            <w:pPr>
              <w:spacing w:after="0"/>
              <w:rPr>
                <w:sz w:val="3"/>
                <w:szCs w:val="3"/>
                <w:color w:val="auto"/>
              </w:rPr>
            </w:pPr>
          </w:p>
        </w:tc>
        <w:tc>
          <w:tcPr>
            <w:tcW w:w="1080" w:type="dxa"/>
            <w:vAlign w:val="bottom"/>
            <w:gridSpan w:val="2"/>
            <w:vMerge w:val="restart"/>
          </w:tcPr>
          <w:p>
            <w:pPr>
              <w:jc w:val="center"/>
              <w:ind w:right="240"/>
              <w:spacing w:after="0" w:line="118" w:lineRule="exact"/>
              <w:rPr>
                <w:sz w:val="20"/>
                <w:szCs w:val="20"/>
                <w:color w:val="auto"/>
              </w:rPr>
            </w:pPr>
            <w:r>
              <w:rPr>
                <w:rFonts w:ascii="Arial" w:cs="Arial" w:eastAsia="Arial" w:hAnsi="Arial"/>
                <w:sz w:val="12"/>
                <w:szCs w:val="12"/>
                <w:b w:val="1"/>
                <w:bCs w:val="1"/>
                <w:color w:val="auto"/>
                <w:w w:val="93"/>
              </w:rPr>
              <w:t>Noncontrolling</w:t>
            </w:r>
          </w:p>
        </w:tc>
        <w:tc>
          <w:tcPr>
            <w:tcW w:w="120" w:type="dxa"/>
            <w:vAlign w:val="bottom"/>
          </w:tcPr>
          <w:p>
            <w:pPr>
              <w:spacing w:after="0"/>
              <w:rPr>
                <w:sz w:val="3"/>
                <w:szCs w:val="3"/>
                <w:color w:val="auto"/>
              </w:rPr>
            </w:pPr>
          </w:p>
        </w:tc>
        <w:tc>
          <w:tcPr>
            <w:tcW w:w="920" w:type="dxa"/>
            <w:vAlign w:val="bottom"/>
            <w:vMerge w:val="restart"/>
          </w:tcPr>
          <w:p>
            <w:pPr>
              <w:jc w:val="center"/>
              <w:ind w:right="51"/>
              <w:spacing w:after="0" w:line="118"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59"/>
        </w:trPr>
        <w:tc>
          <w:tcPr>
            <w:tcW w:w="2640" w:type="dxa"/>
            <w:vAlign w:val="bottom"/>
          </w:tcPr>
          <w:p>
            <w:pPr>
              <w:spacing w:after="0"/>
              <w:rPr>
                <w:sz w:val="5"/>
                <w:szCs w:val="5"/>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5"/>
                <w:szCs w:val="5"/>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5"/>
                <w:szCs w:val="5"/>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6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Paid-in Capital</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Income (Loss)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Deficit</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w:t>
            </w:r>
          </w:p>
        </w:tc>
        <w:tc>
          <w:tcPr>
            <w:tcW w:w="120" w:type="dxa"/>
            <w:vAlign w:val="bottom"/>
          </w:tcPr>
          <w:p>
            <w:pPr>
              <w:spacing w:after="0"/>
              <w:rPr>
                <w:sz w:val="14"/>
                <w:szCs w:val="14"/>
                <w:color w:val="auto"/>
              </w:rPr>
            </w:pPr>
          </w:p>
        </w:tc>
        <w:tc>
          <w:tcPr>
            <w:tcW w:w="920" w:type="dxa"/>
            <w:vAlign w:val="bottom"/>
          </w:tcPr>
          <w:p>
            <w:pPr>
              <w:jc w:val="center"/>
              <w:ind w:right="31"/>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584,862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(618,303)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(37,358)</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(93,028)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(93,002)</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(11,904)</w:t>
            </w: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rPr>
              <w:t>Exercise of stock options, vesting of</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w w:val="94"/>
              </w:rPr>
              <w:t>restricted stock units and stock issued under</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1,711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1,712</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Taxes withheld on net settled vesting of</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Issuance of Series E preferred stock</w:t>
            </w:r>
          </w:p>
        </w:tc>
        <w:tc>
          <w:tcPr>
            <w:tcW w:w="64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34"/>
        </w:trPr>
        <w:tc>
          <w:tcPr>
            <w:tcW w:w="26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2"/>
              </w:rPr>
              <w:t>Issuance of Series E preferred stock in lieu of</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Repurchase of Series E preferred stock</w:t>
            </w: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(2,354)</w:t>
            </w:r>
          </w:p>
        </w:tc>
        <w:tc>
          <w:tcPr>
            <w:tcW w:w="0" w:type="dxa"/>
            <w:vAlign w:val="bottom"/>
          </w:tcPr>
          <w:p>
            <w:pPr>
              <w:spacing w:after="0"/>
              <w:rPr>
                <w:sz w:val="1"/>
                <w:szCs w:val="1"/>
                <w:color w:val="auto"/>
              </w:rPr>
            </w:pPr>
          </w:p>
        </w:tc>
      </w:tr>
      <w:tr>
        <w:trPr>
          <w:trHeight w:val="134"/>
        </w:trPr>
        <w:tc>
          <w:tcPr>
            <w:tcW w:w="26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9"/>
              </w:rPr>
              <w:t>Issuance of common shares in connection</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13,739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66,073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66,087</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 private exchanges of 2022 Notes</w:t>
            </w: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Exercise of warrants</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5,981</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Series E preferred stock dividends</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2020</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686,410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(712,558)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(41,928)</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711,487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(732,422)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(27,899)</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(30,215)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(30,001)</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rPr>
              <w:t>Exercise of stock options, vesting of</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w w:val="94"/>
              </w:rPr>
              <w:t>restricted stock units and stock issued under</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1,765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2,842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2,844</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Taxes withheld on net settled vesting of</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640" w:type="dxa"/>
            <w:vAlign w:val="bottom"/>
          </w:tcPr>
          <w:p>
            <w:pPr>
              <w:ind w:left="20"/>
              <w:spacing w:after="0" w:line="131" w:lineRule="exact"/>
              <w:rPr>
                <w:sz w:val="20"/>
                <w:szCs w:val="20"/>
                <w:color w:val="auto"/>
              </w:rPr>
            </w:pPr>
            <w:r>
              <w:rPr>
                <w:rFonts w:ascii="Arial" w:cs="Arial" w:eastAsia="Arial" w:hAnsi="Arial"/>
                <w:sz w:val="14"/>
                <w:szCs w:val="14"/>
                <w:color w:val="auto"/>
                <w:w w:val="99"/>
              </w:rPr>
              <w:t>Issuance of common shares in connection</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5,382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5,383</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with the conversion of 2025 Notes</w:t>
            </w: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9"/>
              </w:rPr>
              <w:t>Issuance of common shares in connection</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29,368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29,369</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1"/>
              </w:rPr>
              <w:t>with a public offering, net of issuance costs</w:t>
            </w: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11,405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11,405</w:t>
            </w:r>
          </w:p>
        </w:tc>
        <w:tc>
          <w:tcPr>
            <w:tcW w:w="0" w:type="dxa"/>
            <w:vAlign w:val="bottom"/>
          </w:tcPr>
          <w:p>
            <w:pPr>
              <w:spacing w:after="0"/>
              <w:rPr>
                <w:sz w:val="1"/>
                <w:szCs w:val="1"/>
                <w:color w:val="auto"/>
              </w:rPr>
            </w:pPr>
          </w:p>
        </w:tc>
      </w:tr>
      <w:tr>
        <w:trPr>
          <w:trHeight w:val="179"/>
        </w:trPr>
        <w:tc>
          <w:tcPr>
            <w:tcW w:w="2640" w:type="dxa"/>
            <w:vAlign w:val="bottom"/>
          </w:tcPr>
          <w:p>
            <w:pPr>
              <w:ind w:left="20"/>
              <w:spacing w:after="0"/>
              <w:rPr>
                <w:sz w:val="20"/>
                <w:szCs w:val="20"/>
                <w:color w:val="auto"/>
              </w:rPr>
            </w:pPr>
            <w:r>
              <w:rPr>
                <w:rFonts w:ascii="Arial" w:cs="Arial" w:eastAsia="Arial" w:hAnsi="Arial"/>
                <w:sz w:val="14"/>
                <w:szCs w:val="14"/>
                <w:color w:val="auto"/>
              </w:rPr>
              <w:t>Series E preferred stock dividends</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4"/>
                <w:szCs w:val="14"/>
                <w:color w:val="auto"/>
              </w:rPr>
              <w:t>Net noncontrolling interest acquired</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2"/>
        </w:trPr>
        <w:tc>
          <w:tcPr>
            <w:tcW w:w="2640" w:type="dxa"/>
            <w:vAlign w:val="bottom"/>
          </w:tcPr>
          <w:p>
            <w:pPr>
              <w:ind w:left="20"/>
              <w:spacing w:after="0"/>
              <w:rPr>
                <w:sz w:val="20"/>
                <w:szCs w:val="20"/>
                <w:color w:val="auto"/>
              </w:rPr>
            </w:pPr>
            <w:r>
              <w:rPr>
                <w:rFonts w:ascii="Arial" w:cs="Arial" w:eastAsia="Arial" w:hAnsi="Arial"/>
                <w:sz w:val="14"/>
                <w:szCs w:val="14"/>
                <w:color w:val="auto"/>
              </w:rPr>
              <w:t>Balance, June 30, 2021</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103,109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761,412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(6,279)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(764,150)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(8,906)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(In thousands)</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63500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8" w:name="page9"/>
    <w:bookmarkEnd w:id="8"/>
    <w:p>
      <w:pPr>
        <w:jc w:val="center"/>
        <w:ind w:left="8700"/>
        <w:spacing w:after="0"/>
        <w:rPr>
          <w:sz w:val="20"/>
          <w:szCs w:val="20"/>
          <w:color w:val="auto"/>
        </w:rPr>
      </w:pPr>
      <w:r>
        <w:rPr>
          <w:rFonts w:ascii="Arial" w:cs="Arial" w:eastAsia="Arial" w:hAnsi="Arial"/>
          <w:sz w:val="14"/>
          <w:szCs w:val="14"/>
          <w:b w:val="1"/>
          <w:bCs w:val="1"/>
          <w:color w:val="auto"/>
        </w:rPr>
        <w:t>Six Months Ended</w:t>
      </w:r>
    </w:p>
    <w:p>
      <w:pPr>
        <w:jc w:val="center"/>
        <w:ind w:left="8700"/>
        <w:spacing w:after="0"/>
        <w:rPr>
          <w:sz w:val="20"/>
          <w:szCs w:val="20"/>
          <w:color w:val="auto"/>
        </w:rPr>
      </w:pPr>
      <w:r>
        <w:rPr>
          <w:rFonts w:ascii="Arial" w:cs="Arial" w:eastAsia="Arial" w:hAnsi="Arial"/>
          <w:sz w:val="14"/>
          <w:szCs w:val="14"/>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2020</w:t>
            </w:r>
          </w:p>
        </w:tc>
      </w:tr>
      <w:tr>
        <w:trPr>
          <w:trHeight w:val="174"/>
        </w:trPr>
        <w:tc>
          <w:tcPr>
            <w:tcW w:w="8720" w:type="dxa"/>
            <w:vAlign w:val="bottom"/>
          </w:tcPr>
          <w:p>
            <w:pPr>
              <w:ind w:left="20"/>
              <w:spacing w:after="0" w:line="169" w:lineRule="exact"/>
              <w:rPr>
                <w:sz w:val="20"/>
                <w:szCs w:val="20"/>
                <w:color w:val="auto"/>
              </w:rPr>
            </w:pPr>
            <w:r>
              <w:rPr>
                <w:rFonts w:ascii="Arial" w:cs="Arial" w:eastAsia="Arial" w:hAnsi="Arial"/>
                <w:sz w:val="15"/>
                <w:szCs w:val="15"/>
                <w:color w:val="auto"/>
              </w:rPr>
              <w:t>Cash flows from operating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loss</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(93,002)</w:t>
            </w:r>
          </w:p>
        </w:tc>
      </w:tr>
      <w:tr>
        <w:trPr>
          <w:trHeight w:val="193"/>
        </w:trPr>
        <w:tc>
          <w:tcPr>
            <w:tcW w:w="8720" w:type="dxa"/>
            <w:vAlign w:val="bottom"/>
          </w:tcPr>
          <w:p>
            <w:pPr>
              <w:ind w:left="220"/>
              <w:spacing w:after="0"/>
              <w:rPr>
                <w:sz w:val="20"/>
                <w:szCs w:val="20"/>
                <w:color w:val="auto"/>
              </w:rPr>
            </w:pPr>
            <w:r>
              <w:rPr>
                <w:rFonts w:ascii="Arial" w:cs="Arial" w:eastAsia="Arial" w:hAnsi="Arial"/>
                <w:sz w:val="15"/>
                <w:szCs w:val="15"/>
                <w:color w:val="auto"/>
              </w:rPr>
              <w:t>Adjustments to reconcile net loss to net cash (used in) provided by operating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Depreciation and amortization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13,051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9,692</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Provision for bad debts, net of recoveries</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266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14"/>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Impairment of capitalized software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1,197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Provision for excess and obsolete inventory</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496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180</w:t>
            </w: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Share-based compensation expense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11,405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5,981</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Amortization of debt discount and debt issuance costs</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746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3,245</w:t>
            </w: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Fair value adjustment on derivative instrument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(826)</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Loss on debt conversion and extinguishment, net</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432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75,174</w:t>
            </w: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Deferred income taxes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Other</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553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158</w:t>
            </w:r>
          </w:p>
        </w:tc>
      </w:tr>
      <w:tr>
        <w:trPr>
          <w:trHeight w:val="201"/>
        </w:trPr>
        <w:tc>
          <w:tcPr>
            <w:tcW w:w="8720" w:type="dxa"/>
            <w:vAlign w:val="bottom"/>
            <w:shd w:val="clear" w:color="auto" w:fill="CCEEFF"/>
          </w:tcPr>
          <w:p>
            <w:pPr>
              <w:ind w:left="460"/>
              <w:spacing w:after="0" w:line="201" w:lineRule="exact"/>
              <w:rPr>
                <w:sz w:val="20"/>
                <w:szCs w:val="20"/>
                <w:color w:val="auto"/>
              </w:rPr>
            </w:pPr>
            <w:r>
              <w:rPr>
                <w:rFonts w:ascii="Arial" w:cs="Arial" w:eastAsia="Arial" w:hAnsi="Arial"/>
                <w:sz w:val="15"/>
                <w:szCs w:val="15"/>
                <w:color w:val="auto"/>
              </w:rPr>
              <w:t>Changes in assets and liabilities</w:t>
            </w:r>
            <w:r>
              <w:rPr>
                <w:rFonts w:ascii="Arial" w:cs="Arial" w:eastAsia="Arial" w:hAnsi="Arial"/>
                <w:sz w:val="19"/>
                <w:szCs w:val="19"/>
                <w:color w:val="auto"/>
                <w:vertAlign w:val="superscript"/>
              </w:rPr>
              <w:t>1</w:t>
            </w: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3"/>
        </w:trPr>
        <w:tc>
          <w:tcPr>
            <w:tcW w:w="8720" w:type="dxa"/>
            <w:vAlign w:val="bottom"/>
          </w:tcPr>
          <w:p>
            <w:pPr>
              <w:ind w:left="660"/>
              <w:spacing w:after="0"/>
              <w:rPr>
                <w:sz w:val="20"/>
                <w:szCs w:val="20"/>
                <w:color w:val="auto"/>
              </w:rPr>
            </w:pPr>
            <w:r>
              <w:rPr>
                <w:rFonts w:ascii="Arial" w:cs="Arial" w:eastAsia="Arial" w:hAnsi="Arial"/>
                <w:sz w:val="15"/>
                <w:szCs w:val="15"/>
                <w:color w:val="auto"/>
              </w:rPr>
              <w:t>Accounts receivable</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6,483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(21,498)</w:t>
            </w:r>
          </w:p>
        </w:tc>
      </w:tr>
      <w:tr>
        <w:trPr>
          <w:trHeight w:val="201"/>
        </w:trPr>
        <w:tc>
          <w:tcPr>
            <w:tcW w:w="87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Inventories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2,725</w:t>
            </w:r>
          </w:p>
        </w:tc>
      </w:tr>
      <w:tr>
        <w:trPr>
          <w:trHeight w:val="193"/>
        </w:trPr>
        <w:tc>
          <w:tcPr>
            <w:tcW w:w="8720" w:type="dxa"/>
            <w:vAlign w:val="bottom"/>
          </w:tcPr>
          <w:p>
            <w:pPr>
              <w:ind w:left="660"/>
              <w:spacing w:after="0"/>
              <w:rPr>
                <w:sz w:val="20"/>
                <w:szCs w:val="20"/>
                <w:color w:val="auto"/>
              </w:rPr>
            </w:pPr>
            <w:r>
              <w:rPr>
                <w:rFonts w:ascii="Arial" w:cs="Arial" w:eastAsia="Arial" w:hAnsi="Arial"/>
                <w:sz w:val="15"/>
                <w:szCs w:val="15"/>
                <w:color w:val="auto"/>
              </w:rPr>
              <w:t>Prepaid expenses and other assets</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1,158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(5,298)</w:t>
            </w:r>
          </w:p>
        </w:tc>
      </w:tr>
      <w:tr>
        <w:trPr>
          <w:trHeight w:val="201"/>
        </w:trPr>
        <w:tc>
          <w:tcPr>
            <w:tcW w:w="8720" w:type="dxa"/>
            <w:vAlign w:val="bottom"/>
            <w:shd w:val="clear" w:color="auto" w:fill="CCEEFF"/>
          </w:tcPr>
          <w:p>
            <w:pPr>
              <w:ind w:left="660"/>
              <w:spacing w:after="0"/>
              <w:rPr>
                <w:sz w:val="20"/>
                <w:szCs w:val="20"/>
                <w:color w:val="auto"/>
              </w:rPr>
            </w:pPr>
            <w:r>
              <w:rPr>
                <w:rFonts w:ascii="Arial" w:cs="Arial" w:eastAsia="Arial" w:hAnsi="Arial"/>
                <w:sz w:val="15"/>
                <w:szCs w:val="15"/>
                <w:color w:val="auto"/>
              </w:rPr>
              <w:t>Accounts payable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22,334</w:t>
            </w:r>
          </w:p>
        </w:tc>
      </w:tr>
      <w:tr>
        <w:trPr>
          <w:trHeight w:val="193"/>
        </w:trPr>
        <w:tc>
          <w:tcPr>
            <w:tcW w:w="8720" w:type="dxa"/>
            <w:vAlign w:val="bottom"/>
            <w:tcBorders>
              <w:bottom w:val="single" w:sz="8" w:color="CCEEFF"/>
            </w:tcBorders>
          </w:tcPr>
          <w:p>
            <w:pPr>
              <w:ind w:left="660"/>
              <w:spacing w:after="0"/>
              <w:rPr>
                <w:sz w:val="20"/>
                <w:szCs w:val="20"/>
                <w:color w:val="auto"/>
              </w:rPr>
            </w:pPr>
            <w:r>
              <w:rPr>
                <w:rFonts w:ascii="Arial" w:cs="Arial" w:eastAsia="Arial" w:hAnsi="Arial"/>
                <w:sz w:val="15"/>
                <w:szCs w:val="15"/>
                <w:color w:val="auto"/>
              </w:rPr>
              <w:t>Accrued expenses, income taxes, and other</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5,713</w:t>
            </w:r>
          </w:p>
        </w:tc>
      </w:tr>
      <w:tr>
        <w:trPr>
          <w:trHeight w:val="194"/>
        </w:trPr>
        <w:tc>
          <w:tcPr>
            <w:tcW w:w="87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Net cash (used in) provided by operating activities</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(12,030)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4,662</w:t>
            </w:r>
          </w:p>
        </w:tc>
      </w:tr>
      <w:tr>
        <w:trPr>
          <w:trHeight w:val="173"/>
        </w:trPr>
        <w:tc>
          <w:tcPr>
            <w:tcW w:w="8720" w:type="dxa"/>
            <w:vAlign w:val="bottom"/>
          </w:tcPr>
          <w:p>
            <w:pPr>
              <w:ind w:left="20"/>
              <w:spacing w:after="0" w:line="169" w:lineRule="exact"/>
              <w:rPr>
                <w:sz w:val="20"/>
                <w:szCs w:val="20"/>
                <w:color w:val="auto"/>
              </w:rPr>
            </w:pPr>
            <w:r>
              <w:rPr>
                <w:rFonts w:ascii="Arial" w:cs="Arial" w:eastAsia="Arial" w:hAnsi="Arial"/>
                <w:sz w:val="15"/>
                <w:szCs w:val="15"/>
                <w:color w:val="auto"/>
              </w:rPr>
              <w:t>Cash flows from investing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4"/>
        </w:trPr>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 of noncontrolling interest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872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(2,831)</w:t>
            </w: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the sale of property, plant and equipment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506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r>
      <w:tr>
        <w:trPr>
          <w:trHeight w:val="193"/>
        </w:trPr>
        <w:tc>
          <w:tcPr>
            <w:tcW w:w="87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Additions to capitalized software development costs and purchases of intangible assets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(15,369)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(10,637)</w:t>
            </w:r>
          </w:p>
        </w:tc>
      </w:tr>
      <w:tr>
        <w:trPr>
          <w:trHeight w:val="194"/>
        </w:trPr>
        <w:tc>
          <w:tcPr>
            <w:tcW w:w="8720" w:type="dxa"/>
            <w:vAlign w:val="bottom"/>
            <w:shd w:val="clear" w:color="auto" w:fill="CCEEFF"/>
          </w:tcPr>
          <w:p>
            <w:pPr>
              <w:ind w:left="840"/>
              <w:spacing w:after="0"/>
              <w:rPr>
                <w:sz w:val="20"/>
                <w:szCs w:val="20"/>
                <w:color w:val="auto"/>
              </w:rPr>
            </w:pPr>
            <w:r>
              <w:rPr>
                <w:rFonts w:ascii="Arial" w:cs="Arial" w:eastAsia="Arial" w:hAnsi="Arial"/>
                <w:sz w:val="15"/>
                <w:szCs w:val="15"/>
                <w:color w:val="auto"/>
              </w:rPr>
              <w:t>Net cash used in investing activities</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(17,434)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(13,233)</w:t>
            </w:r>
          </w:p>
        </w:tc>
      </w:tr>
      <w:tr>
        <w:trPr>
          <w:trHeight w:val="173"/>
        </w:trPr>
        <w:tc>
          <w:tcPr>
            <w:tcW w:w="8720" w:type="dxa"/>
            <w:vAlign w:val="bottom"/>
          </w:tcPr>
          <w:p>
            <w:pPr>
              <w:ind w:left="20"/>
              <w:spacing w:after="0" w:line="169" w:lineRule="exact"/>
              <w:rPr>
                <w:sz w:val="20"/>
                <w:szCs w:val="20"/>
                <w:color w:val="auto"/>
              </w:rPr>
            </w:pPr>
            <w:r>
              <w:rPr>
                <w:rFonts w:ascii="Arial" w:cs="Arial" w:eastAsia="Arial" w:hAnsi="Arial"/>
                <w:sz w:val="15"/>
                <w:szCs w:val="15"/>
                <w:color w:val="auto"/>
              </w:rPr>
              <w:t>Cash flows from financing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Gross proceeds from the issuance of 2025 Notes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w:t>
            </w:r>
          </w:p>
        </w:tc>
      </w:tr>
      <w:tr>
        <w:trPr>
          <w:trHeight w:val="193"/>
        </w:trPr>
        <w:tc>
          <w:tcPr>
            <w:tcW w:w="8720" w:type="dxa"/>
            <w:vAlign w:val="bottom"/>
          </w:tcPr>
          <w:p>
            <w:pPr>
              <w:ind w:left="220"/>
              <w:spacing w:after="0"/>
              <w:rPr>
                <w:sz w:val="20"/>
                <w:szCs w:val="20"/>
                <w:color w:val="auto"/>
              </w:rPr>
            </w:pPr>
            <w:r>
              <w:rPr>
                <w:rFonts w:ascii="Arial" w:cs="Arial" w:eastAsia="Arial" w:hAnsi="Arial"/>
                <w:sz w:val="15"/>
                <w:szCs w:val="15"/>
                <w:color w:val="auto"/>
              </w:rPr>
              <w:t>Payment of issuance costs related to 2025 Notes</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(2,544)</w:t>
            </w: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paid to investors in private exchange transactions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(32,062)</w:t>
            </w:r>
          </w:p>
        </w:tc>
      </w:tr>
      <w:tr>
        <w:trPr>
          <w:trHeight w:val="193"/>
        </w:trPr>
        <w:tc>
          <w:tcPr>
            <w:tcW w:w="8720" w:type="dxa"/>
            <w:vAlign w:val="bottom"/>
          </w:tcPr>
          <w:p>
            <w:pPr>
              <w:ind w:left="220"/>
              <w:spacing w:after="0"/>
              <w:rPr>
                <w:sz w:val="20"/>
                <w:szCs w:val="20"/>
                <w:color w:val="auto"/>
              </w:rPr>
            </w:pPr>
            <w:r>
              <w:rPr>
                <w:rFonts w:ascii="Arial" w:cs="Arial" w:eastAsia="Arial" w:hAnsi="Arial"/>
                <w:sz w:val="15"/>
                <w:szCs w:val="15"/>
                <w:color w:val="auto"/>
              </w:rPr>
              <w:t>Payoff of term loan and related extinguishment costs</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(48,830)</w:t>
            </w: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Gross proceeds received from issuance of Series E preferred stock</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w:t>
            </w:r>
          </w:p>
        </w:tc>
      </w:tr>
      <w:tr>
        <w:trPr>
          <w:trHeight w:val="193"/>
        </w:trPr>
        <w:tc>
          <w:tcPr>
            <w:tcW w:w="8720" w:type="dxa"/>
            <w:vAlign w:val="bottom"/>
          </w:tcPr>
          <w:p>
            <w:pPr>
              <w:ind w:left="220"/>
              <w:spacing w:after="0"/>
              <w:rPr>
                <w:sz w:val="20"/>
                <w:szCs w:val="20"/>
                <w:color w:val="auto"/>
              </w:rPr>
            </w:pPr>
            <w:r>
              <w:rPr>
                <w:rFonts w:ascii="Arial" w:cs="Arial" w:eastAsia="Arial" w:hAnsi="Arial"/>
                <w:sz w:val="15"/>
                <w:szCs w:val="15"/>
                <w:color w:val="auto"/>
              </w:rPr>
              <w:t>Repurchase of Series E preferred stock</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(2,354)</w:t>
            </w: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the exercise of warrants to purchase common stock</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1,861</w:t>
            </w:r>
          </w:p>
        </w:tc>
      </w:tr>
      <w:tr>
        <w:trPr>
          <w:trHeight w:val="193"/>
        </w:trPr>
        <w:tc>
          <w:tcPr>
            <w:tcW w:w="8720" w:type="dxa"/>
            <w:vAlign w:val="bottom"/>
          </w:tcPr>
          <w:p>
            <w:pPr>
              <w:ind w:left="220"/>
              <w:spacing w:after="0"/>
              <w:rPr>
                <w:sz w:val="20"/>
                <w:szCs w:val="20"/>
                <w:color w:val="auto"/>
              </w:rPr>
            </w:pPr>
            <w:r>
              <w:rPr>
                <w:rFonts w:ascii="Arial" w:cs="Arial" w:eastAsia="Arial" w:hAnsi="Arial"/>
                <w:sz w:val="15"/>
                <w:szCs w:val="15"/>
                <w:color w:val="auto"/>
              </w:rPr>
              <w:t>Net borrowing of bank and overdraft facilities</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295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201"/>
        </w:trPr>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Principal payments under finance lease obligations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(1,462)</w:t>
            </w:r>
          </w:p>
        </w:tc>
      </w:tr>
      <w:tr>
        <w:trPr>
          <w:trHeight w:val="207"/>
        </w:trPr>
        <w:tc>
          <w:tcPr>
            <w:tcW w:w="8720" w:type="dxa"/>
            <w:vAlign w:val="bottom"/>
          </w:tcPr>
          <w:p>
            <w:pPr>
              <w:ind w:left="220"/>
              <w:spacing w:after="0"/>
              <w:rPr>
                <w:sz w:val="20"/>
                <w:szCs w:val="20"/>
                <w:color w:val="auto"/>
              </w:rPr>
            </w:pPr>
            <w:r>
              <w:rPr>
                <w:rFonts w:ascii="Arial" w:cs="Arial" w:eastAsia="Arial" w:hAnsi="Arial"/>
                <w:sz w:val="15"/>
                <w:szCs w:val="15"/>
                <w:color w:val="auto"/>
              </w:rPr>
              <w:t>Proceeds from a public offering, net of issuance costs</w:t>
            </w:r>
          </w:p>
        </w:tc>
        <w:tc>
          <w:tcPr>
            <w:tcW w:w="28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29,369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87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Proceeds from stock option exercises and employee stock purchase plan, net of taxes paid on vested restricted stock units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2,020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1,431</w:t>
            </w:r>
          </w:p>
        </w:tc>
      </w:tr>
      <w:tr>
        <w:trPr>
          <w:trHeight w:val="186"/>
        </w:trPr>
        <w:tc>
          <w:tcPr>
            <w:tcW w:w="8720" w:type="dxa"/>
            <w:vAlign w:val="bottom"/>
          </w:tcPr>
          <w:p>
            <w:pPr>
              <w:ind w:left="840"/>
              <w:spacing w:after="0"/>
              <w:rPr>
                <w:sz w:val="20"/>
                <w:szCs w:val="20"/>
                <w:color w:val="auto"/>
              </w:rPr>
            </w:pPr>
            <w:r>
              <w:rPr>
                <w:rFonts w:ascii="Arial" w:cs="Arial" w:eastAsia="Arial" w:hAnsi="Arial"/>
                <w:sz w:val="15"/>
                <w:szCs w:val="15"/>
                <w:color w:val="auto"/>
              </w:rPr>
              <w:t>Net cash provided by financing activities</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29,511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41,144</w:t>
            </w:r>
          </w:p>
        </w:tc>
      </w:tr>
      <w:tr>
        <w:trPr>
          <w:trHeight w:val="201"/>
        </w:trPr>
        <w:tc>
          <w:tcPr>
            <w:tcW w:w="8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rates on cash</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321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(2,547)</w:t>
            </w:r>
          </w:p>
        </w:tc>
      </w:tr>
      <w:tr>
        <w:trPr>
          <w:trHeight w:val="186"/>
        </w:trPr>
        <w:tc>
          <w:tcPr>
            <w:tcW w:w="8720" w:type="dxa"/>
            <w:vAlign w:val="bottom"/>
          </w:tcPr>
          <w:p>
            <w:pPr>
              <w:ind w:left="1080"/>
              <w:spacing w:after="0"/>
              <w:rPr>
                <w:sz w:val="20"/>
                <w:szCs w:val="20"/>
                <w:color w:val="auto"/>
              </w:rPr>
            </w:pPr>
            <w:r>
              <w:rPr>
                <w:rFonts w:ascii="Arial" w:cs="Arial" w:eastAsia="Arial" w:hAnsi="Arial"/>
                <w:sz w:val="15"/>
                <w:szCs w:val="15"/>
                <w:color w:val="auto"/>
              </w:rPr>
              <w:t>Net increase in cash, cash equivalents and restricted cash</w:t>
            </w:r>
          </w:p>
        </w:tc>
        <w:tc>
          <w:tcPr>
            <w:tcW w:w="280" w:type="dxa"/>
            <w:vAlign w:val="bottom"/>
          </w:tcPr>
          <w:p>
            <w:pPr>
              <w:spacing w:after="0"/>
              <w:rPr>
                <w:sz w:val="16"/>
                <w:szCs w:val="16"/>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368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30,026</w:t>
            </w:r>
          </w:p>
        </w:tc>
      </w:tr>
      <w:tr>
        <w:trPr>
          <w:trHeight w:val="197"/>
        </w:trPr>
        <w:tc>
          <w:tcPr>
            <w:tcW w:w="8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40,015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12,074</w:t>
            </w:r>
          </w:p>
        </w:tc>
      </w:tr>
      <w:tr>
        <w:trPr>
          <w:trHeight w:val="194"/>
        </w:trPr>
        <w:tc>
          <w:tcPr>
            <w:tcW w:w="8720" w:type="dxa"/>
            <w:vAlign w:val="bottom"/>
          </w:tcPr>
          <w:p>
            <w:pPr>
              <w:ind w:left="20"/>
              <w:spacing w:after="0" w:line="194" w:lineRule="exact"/>
              <w:rPr>
                <w:sz w:val="20"/>
                <w:szCs w:val="20"/>
                <w:color w:val="auto"/>
              </w:rPr>
            </w:pPr>
            <w:r>
              <w:rPr>
                <w:rFonts w:ascii="Arial" w:cs="Arial" w:eastAsia="Arial" w:hAnsi="Arial"/>
                <w:sz w:val="15"/>
                <w:szCs w:val="15"/>
                <w:color w:val="auto"/>
              </w:rPr>
              <w:t>Cash, cash equivalents and restricted cash, end of period</w:t>
            </w:r>
            <w:r>
              <w:rPr>
                <w:rFonts w:ascii="Arial" w:cs="Arial" w:eastAsia="Arial" w:hAnsi="Arial"/>
                <w:sz w:val="19"/>
                <w:szCs w:val="19"/>
                <w:color w:val="auto"/>
                <w:vertAlign w:val="superscript"/>
              </w:rPr>
              <w:t>2</w:t>
            </w: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40,383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42,100</w:t>
            </w: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3"/>
        </w:trPr>
        <w:tc>
          <w:tcPr>
            <w:tcW w:w="8720" w:type="dxa"/>
            <w:vAlign w:val="bottom"/>
            <w:shd w:val="clear" w:color="auto" w:fill="CCEEFF"/>
          </w:tcPr>
          <w:p>
            <w:pPr>
              <w:ind w:left="20"/>
              <w:spacing w:after="0" w:line="164" w:lineRule="exact"/>
              <w:rPr>
                <w:sz w:val="20"/>
                <w:szCs w:val="20"/>
                <w:color w:val="auto"/>
              </w:rPr>
            </w:pPr>
            <w:r>
              <w:rPr>
                <w:rFonts w:ascii="Arial" w:cs="Arial" w:eastAsia="Arial" w:hAnsi="Arial"/>
                <w:sz w:val="15"/>
                <w:szCs w:val="15"/>
                <w:color w:val="auto"/>
              </w:rPr>
              <w:t>Supplemental disclosures of cash flow information:</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3"/>
        </w:trPr>
        <w:tc>
          <w:tcPr>
            <w:tcW w:w="8720" w:type="dxa"/>
            <w:vAlign w:val="bottom"/>
          </w:tcPr>
          <w:p>
            <w:pPr>
              <w:ind w:left="220"/>
              <w:spacing w:after="0"/>
              <w:rPr>
                <w:sz w:val="20"/>
                <w:szCs w:val="20"/>
                <w:color w:val="auto"/>
              </w:rPr>
            </w:pPr>
            <w:r>
              <w:rPr>
                <w:rFonts w:ascii="Arial" w:cs="Arial" w:eastAsia="Arial" w:hAnsi="Arial"/>
                <w:sz w:val="15"/>
                <w:szCs w:val="15"/>
                <w:color w:val="auto"/>
              </w:rPr>
              <w:t>Cash paid during the year for:</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Interest</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2,782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532</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Income taxes</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252</w:t>
            </w:r>
          </w:p>
        </w:tc>
        <w:tc>
          <w:tcPr>
            <w:tcW w:w="100" w:type="dxa"/>
            <w:vAlign w:val="bottom"/>
          </w:tcPr>
          <w:p>
            <w:pPr>
              <w:spacing w:after="0"/>
              <w:rPr>
                <w:sz w:val="16"/>
                <w:szCs w:val="16"/>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201"/>
        </w:trPr>
        <w:tc>
          <w:tcPr>
            <w:tcW w:w="8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3"/>
        </w:trPr>
        <w:tc>
          <w:tcPr>
            <w:tcW w:w="8720" w:type="dxa"/>
            <w:vAlign w:val="bottom"/>
          </w:tcPr>
          <w:p>
            <w:pPr>
              <w:ind w:left="20"/>
              <w:spacing w:after="0"/>
              <w:rPr>
                <w:sz w:val="20"/>
                <w:szCs w:val="20"/>
                <w:color w:val="auto"/>
              </w:rPr>
            </w:pPr>
            <w:r>
              <w:rPr>
                <w:rFonts w:ascii="Arial" w:cs="Arial" w:eastAsia="Arial" w:hAnsi="Arial"/>
                <w:sz w:val="15"/>
                <w:szCs w:val="15"/>
                <w:color w:val="auto"/>
              </w:rPr>
              <w:t>Supplemental disclosures of non-cash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Transfer of inventories to rental assets</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3,403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1,511</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Capital expenditures financed through accounts payable or accrued liabilities</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3,641</w:t>
            </w:r>
          </w:p>
        </w:tc>
        <w:tc>
          <w:tcPr>
            <w:tcW w:w="100" w:type="dxa"/>
            <w:vAlign w:val="bottom"/>
          </w:tcPr>
          <w:p>
            <w:pPr>
              <w:spacing w:after="0"/>
              <w:rPr>
                <w:sz w:val="16"/>
                <w:szCs w:val="16"/>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3,393</w:t>
            </w: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Right-of-use assets obtained in exchange for operating leases liabilities</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4,229</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Preferred stock issued in extinguishment of term loan accrued interest</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2,330</w:t>
            </w: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Debt discount and issuance costs extinguished in notes conversion</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1,728</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2022 Notes conversion to equity</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59,907</w:t>
            </w: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Novatel Wireless Notes conversion to equity</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r>
      <w:tr>
        <w:trPr>
          <w:trHeight w:val="193"/>
        </w:trPr>
        <w:tc>
          <w:tcPr>
            <w:tcW w:w="8720" w:type="dxa"/>
            <w:vAlign w:val="bottom"/>
          </w:tcPr>
          <w:p>
            <w:pPr>
              <w:ind w:left="460"/>
              <w:spacing w:after="0"/>
              <w:rPr>
                <w:sz w:val="20"/>
                <w:szCs w:val="20"/>
                <w:color w:val="auto"/>
              </w:rPr>
            </w:pPr>
            <w:r>
              <w:rPr>
                <w:rFonts w:ascii="Arial" w:cs="Arial" w:eastAsia="Arial" w:hAnsi="Arial"/>
                <w:sz w:val="15"/>
                <w:szCs w:val="15"/>
                <w:color w:val="auto"/>
              </w:rPr>
              <w:t>2025 Notes issued to extinguish the 2022 Notes</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80,375</w:t>
            </w:r>
          </w:p>
        </w:tc>
      </w:tr>
      <w:tr>
        <w:trPr>
          <w:trHeight w:val="201"/>
        </w:trPr>
        <w:tc>
          <w:tcPr>
            <w:tcW w:w="87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2025 Notes conversion, including shares issued in satisfaction of interest make-whole payment</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5,383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bl>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 xml:space="preserve">Operating assets and liabilities balances include assets and liabilities classified as held for sale as of June 30, 2021 (see Note 4. </w:t>
      </w:r>
      <w:r>
        <w:rPr>
          <w:rFonts w:ascii="Arial" w:cs="Arial" w:eastAsia="Arial" w:hAnsi="Arial"/>
          <w:sz w:val="14"/>
          <w:szCs w:val="14"/>
          <w:i w:val="1"/>
          <w:iCs w:val="1"/>
          <w:color w:val="auto"/>
        </w:rPr>
        <w:t>Business Divestiture</w:t>
      </w:r>
      <w:r>
        <w:rPr>
          <w:rFonts w:ascii="Arial" w:cs="Arial" w:eastAsia="Arial" w:hAnsi="Arial"/>
          <w:sz w:val="14"/>
          <w:szCs w:val="14"/>
          <w:color w:val="auto"/>
        </w:rPr>
        <w:t>).</w:t>
      </w:r>
    </w:p>
    <w:p>
      <w:pPr>
        <w:ind w:right="360"/>
        <w:spacing w:after="0" w:line="280" w:lineRule="auto"/>
        <w:rPr>
          <w:sz w:val="20"/>
          <w:szCs w:val="20"/>
          <w:color w:val="auto"/>
        </w:rPr>
      </w:pPr>
      <w:r>
        <w:rPr>
          <w:rFonts w:ascii="Arial" w:cs="Arial" w:eastAsia="Arial" w:hAnsi="Arial"/>
          <w:sz w:val="9"/>
          <w:szCs w:val="9"/>
          <w:color w:val="auto"/>
        </w:rPr>
        <w:t>2</w:t>
      </w:r>
      <w:r>
        <w:rPr>
          <w:rFonts w:ascii="Arial" w:cs="Arial" w:eastAsia="Arial" w:hAnsi="Arial"/>
          <w:sz w:val="13"/>
          <w:szCs w:val="13"/>
          <w:color w:val="auto"/>
        </w:rPr>
        <w:t>Cash, cash equivalents and restricted cash balance includes restricted cash of $3,693, and cash and cash equivalents of $5,849 classified as held for sale as of June 30, 2021 (see Note 4.</w:t>
      </w:r>
      <w:r>
        <w:rPr>
          <w:rFonts w:ascii="Arial" w:cs="Arial" w:eastAsia="Arial" w:hAnsi="Arial"/>
          <w:sz w:val="9"/>
          <w:szCs w:val="9"/>
          <w:color w:val="auto"/>
        </w:rPr>
        <w:t xml:space="preserve"> </w:t>
      </w:r>
      <w:r>
        <w:rPr>
          <w:rFonts w:ascii="Arial" w:cs="Arial" w:eastAsia="Arial" w:hAnsi="Arial"/>
          <w:sz w:val="13"/>
          <w:szCs w:val="13"/>
          <w:i w:val="1"/>
          <w:iCs w:val="1"/>
          <w:color w:val="auto"/>
        </w:rPr>
        <w:t>Business</w:t>
      </w:r>
      <w:r>
        <w:rPr>
          <w:rFonts w:ascii="Arial" w:cs="Arial" w:eastAsia="Arial" w:hAnsi="Arial"/>
          <w:sz w:val="9"/>
          <w:szCs w:val="9"/>
          <w:color w:val="auto"/>
        </w:rPr>
        <w:t xml:space="preserve"> </w:t>
      </w:r>
      <w:r>
        <w:rPr>
          <w:rFonts w:ascii="Arial" w:cs="Arial" w:eastAsia="Arial" w:hAnsi="Arial"/>
          <w:sz w:val="13"/>
          <w:szCs w:val="13"/>
          <w:i w:val="1"/>
          <w:iCs w:val="1"/>
          <w:color w:val="auto"/>
        </w:rPr>
        <w:t>Divestiture</w:t>
      </w:r>
      <w:r>
        <w:rPr>
          <w:rFonts w:ascii="Arial" w:cs="Arial" w:eastAsia="Arial" w:hAnsi="Arial"/>
          <w:sz w:val="13"/>
          <w:szCs w:val="13"/>
          <w:color w:val="auto"/>
        </w:rPr>
        <w:t>).</w:t>
      </w:r>
    </w:p>
    <w:p>
      <w:pPr>
        <w:sectPr>
          <w:pgSz w:w="11900" w:h="16838" w:orient="portrait"/>
          <w:cols w:equalWidth="0" w:num="1">
            <w:col w:w="11240"/>
          </w:cols>
          <w:pgMar w:left="320" w:top="471" w:right="339" w:bottom="1440" w:gutter="0" w:footer="0" w:header="0"/>
        </w:sectPr>
      </w:pP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unaudited condensed consolidated financial statements.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type w:val="continuous"/>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67" w:lineRule="exact"/>
        <w:rPr>
          <w:sz w:val="20"/>
          <w:szCs w:val="20"/>
          <w:color w:val="auto"/>
        </w:rPr>
      </w:pPr>
    </w:p>
    <w:p>
      <w:pPr>
        <w:ind w:right="100" w:firstLine="433"/>
        <w:spacing w:after="0" w:line="261" w:lineRule="auto"/>
        <w:rPr>
          <w:sz w:val="20"/>
          <w:szCs w:val="20"/>
          <w:color w:val="auto"/>
        </w:rPr>
      </w:pPr>
      <w:r>
        <w:rPr>
          <w:rFonts w:ascii="Arial" w:cs="Arial" w:eastAsia="Arial" w:hAnsi="Arial"/>
          <w:sz w:val="16"/>
          <w:szCs w:val="16"/>
          <w:color w:val="auto"/>
        </w:rPr>
        <w:t>The information contained herein has been prepared by Inseego Corp. (the “Company”) in accordance with the rules of the Securities and Exchange Commission (the “SEC”). The information at June 30, 2021 and the results of the Company’s operations for the three and six months ended June 30, 2021 and 2020 are unaudited. The condensed consolidated financial statements reflect all adjustments, consisting of only normal recurring accruals, except otherwise disclosed herein, which are, in the opinion of management, necessary for a fair statement of the results of the interim periods presented. These unaudited condensed consolidated financial statements and notes hereto should be read in conjunction with the audited financial statements and notes thereto included in the Company’s Annual Report on Form 10-K for the year ended December 31, 2020. The year-end condensed consolidated balance sheet data as of December 31, 2020 was derived from the Company’s audited consolidated financial statements and may not include all disclosures required by accounting principles generally accepted in the United States. Certain prior period amounts were reclassified to conform to the current period presentation. These reclassifications did not affect total revenues, costs and expenses, net loss, assets, liabilities or stockholders’ deficit. Except as set forth below, the accounting policies used in preparing these unaudited condensed consolidated financial statements are the same as those described in the Company’s Annual Report on Form 10-K for the year ended December 31, 2020. The results of operations for the interim periods presented are not necessarily indicative of results to be expected for any other interim period or for the year as a whole.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47" w:lineRule="exact"/>
        <w:rPr>
          <w:sz w:val="20"/>
          <w:szCs w:val="20"/>
          <w:color w:val="auto"/>
        </w:rPr>
      </w:pPr>
    </w:p>
    <w:p>
      <w:pPr>
        <w:jc w:val="both"/>
        <w:ind w:right="200" w:firstLine="394"/>
        <w:spacing w:after="0" w:line="266" w:lineRule="auto"/>
        <w:rPr>
          <w:sz w:val="20"/>
          <w:szCs w:val="20"/>
          <w:color w:val="auto"/>
        </w:rPr>
      </w:pPr>
      <w:r>
        <w:rPr>
          <w:rFonts w:ascii="Arial" w:cs="Arial" w:eastAsia="Arial" w:hAnsi="Arial"/>
          <w:sz w:val="16"/>
          <w:szCs w:val="16"/>
          <w:color w:val="auto"/>
        </w:rPr>
        <w:t>In December 2019, COVID-19 was reported to have surfaced in Wuhan, China, resulting in shutdowns of manufacturing and commerce globally in the months that followed. Since then, the COVID-19 pandemic has spread worldwide, and has resulted in authorities implementing numerous measures to try to contain the disease or slow its spread, such as travel bans and restrictions, quarantines, shelter-in-place orders and shutdowns. The extent of the impact of the COVID-19 pandemic on the Company’s operational and financial performance will depend on future developments, including the duration and spread of the pandemic and related actions taken by the U.S. government, state and local government officials, and international governments to prevent the spread of the disease, all of which are uncertain and cannot be predicted.</w:t>
      </w:r>
    </w:p>
    <w:p>
      <w:pPr>
        <w:spacing w:after="0" w:line="194" w:lineRule="exact"/>
        <w:rPr>
          <w:sz w:val="20"/>
          <w:szCs w:val="20"/>
          <w:color w:val="auto"/>
        </w:rPr>
      </w:pPr>
    </w:p>
    <w:p>
      <w:pPr>
        <w:ind w:right="180" w:firstLine="394"/>
        <w:spacing w:after="0" w:line="273" w:lineRule="auto"/>
        <w:rPr>
          <w:sz w:val="20"/>
          <w:szCs w:val="20"/>
          <w:color w:val="auto"/>
        </w:rPr>
      </w:pPr>
      <w:r>
        <w:rPr>
          <w:rFonts w:ascii="Arial" w:cs="Arial" w:eastAsia="Arial" w:hAnsi="Arial"/>
          <w:sz w:val="16"/>
          <w:szCs w:val="16"/>
          <w:color w:val="auto"/>
        </w:rPr>
        <w:t>In addition, a global semiconductor supply shortage is having wide-ranging effects across the technology industry. This semiconductor shortage has not materially impacted the Company but may impact the Company’s customers, and may negatively impact the supply of materials needed for our testing and production timeline. Our suppliers, contract manufacturers, and our customers are all taking actions to reduce the impact of the semiconductor shortage; however, if the shortage persists, the impact on our business could be 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5" w:lineRule="exact"/>
        <w:rPr>
          <w:sz w:val="20"/>
          <w:szCs w:val="20"/>
          <w:color w:val="auto"/>
        </w:rPr>
      </w:pPr>
    </w:p>
    <w:p>
      <w:pPr>
        <w:ind w:right="180" w:firstLine="394"/>
        <w:spacing w:after="0" w:line="238" w:lineRule="auto"/>
        <w:rPr>
          <w:sz w:val="20"/>
          <w:szCs w:val="20"/>
          <w:color w:val="auto"/>
        </w:rPr>
      </w:pPr>
      <w:r>
        <w:rPr>
          <w:rFonts w:ascii="Arial" w:cs="Arial" w:eastAsia="Arial" w:hAnsi="Arial"/>
          <w:sz w:val="18"/>
          <w:szCs w:val="18"/>
          <w:color w:val="auto"/>
        </w:rPr>
        <w:t>As of June 30, 2021, the Company had (i) available cash and cash equivalents totaling $36.7 million, including $5.8 million cash and cash equivalents classified as held-for-sale, and excluding restricted cash of $3.7 million, and (ii) working capital of $32.4 million, excluding assets and liabilities classified as held-for-sale.</w:t>
      </w:r>
    </w:p>
    <w:p>
      <w:pPr>
        <w:spacing w:after="0" w:line="80" w:lineRule="exact"/>
        <w:rPr>
          <w:sz w:val="20"/>
          <w:szCs w:val="20"/>
          <w:color w:val="auto"/>
        </w:rPr>
      </w:pPr>
    </w:p>
    <w:p>
      <w:pPr>
        <w:ind w:right="60" w:firstLine="394"/>
        <w:spacing w:after="0" w:line="245" w:lineRule="auto"/>
        <w:rPr>
          <w:sz w:val="20"/>
          <w:szCs w:val="20"/>
          <w:color w:val="auto"/>
        </w:rPr>
      </w:pPr>
      <w:r>
        <w:rPr>
          <w:rFonts w:ascii="Arial" w:cs="Arial" w:eastAsia="Arial" w:hAnsi="Arial"/>
          <w:sz w:val="18"/>
          <w:szCs w:val="18"/>
          <w:color w:val="auto"/>
        </w:rPr>
        <w:t>On March 6, 2020, the Company issued and sold 25,000 shares of Fixed-Rate Cumulative Perpetual Preferred Stock, Series E, par value $0.001 per share (the “Series E Preferred Stock”), for an aggregate purchase price of $25.0 million.</w:t>
      </w:r>
    </w:p>
    <w:p>
      <w:pPr>
        <w:spacing w:after="0" w:line="76" w:lineRule="exact"/>
        <w:rPr>
          <w:sz w:val="20"/>
          <w:szCs w:val="20"/>
          <w:color w:val="auto"/>
        </w:rPr>
      </w:pPr>
    </w:p>
    <w:p>
      <w:pPr>
        <w:ind w:firstLine="394"/>
        <w:spacing w:after="0" w:line="265" w:lineRule="auto"/>
        <w:rPr>
          <w:sz w:val="20"/>
          <w:szCs w:val="20"/>
          <w:color w:val="auto"/>
        </w:rPr>
      </w:pPr>
      <w:r>
        <w:rPr>
          <w:rFonts w:ascii="Arial" w:cs="Arial" w:eastAsia="Arial" w:hAnsi="Arial"/>
          <w:sz w:val="16"/>
          <w:szCs w:val="16"/>
          <w:color w:val="auto"/>
        </w:rPr>
        <w:t>In the first quarter of 2020, $59.9 million of the Company’s 5.5% convertible senior notes due 2022 (the “2022 Notes” formerly referred to as the “Inseego Notes”) were exchanged for common stock in private exchange transactions. Additionally, in the second quarter of 2020, the Company restructured its outstanding debt by completing a $100.0 million registered public offering (the “Offering”) of 3.25% convertible senior notes due 2025 (the “2025 Notes”) and also entered in privately-negotiated Exchange Agreements, pursuant to which an aggregate of $45.0 million in principal amount of the 2022 Notes were exchanged for an aggregate of $32 million in cash and $80.4 million in principal amount of the 2025 Notes (the “Private Exchange Transactions”). The Company also used a portion of the proceeds from the Offering to repay in full its previous term loan. In the third quarter of 2020, the Company redeemed the remaining $2,000 principal amount of the 2022 Notes.</w:t>
      </w:r>
    </w:p>
    <w:p>
      <w:pPr>
        <w:spacing w:after="0" w:line="48" w:lineRule="exact"/>
        <w:rPr>
          <w:sz w:val="20"/>
          <w:szCs w:val="20"/>
          <w:color w:val="auto"/>
        </w:rPr>
      </w:pPr>
    </w:p>
    <w:p>
      <w:pPr>
        <w:ind w:right="20" w:firstLine="394"/>
        <w:spacing w:after="0" w:line="217" w:lineRule="auto"/>
        <w:rPr>
          <w:sz w:val="20"/>
          <w:szCs w:val="20"/>
          <w:color w:val="auto"/>
        </w:rPr>
      </w:pPr>
      <w:r>
        <w:rPr>
          <w:rFonts w:ascii="Arial" w:cs="Arial" w:eastAsia="Arial" w:hAnsi="Arial"/>
          <w:sz w:val="18"/>
          <w:szCs w:val="18"/>
          <w:color w:val="auto"/>
        </w:rPr>
        <w:t>During the quarter ended September 30, 2020, certain holders of the 2025 Notes converted approximately $13.5 million in principal amount of the 2025 Notes into 1,177,156 shares of the Company’s common stock in accordance with the terms of such notes. As of June 30, 2021, the Company’s outstanding debt primarily consisted of $161.9 million in principal amount of 2025 Notes.</w:t>
      </w:r>
    </w:p>
    <w:p>
      <w:pPr>
        <w:spacing w:after="0" w:line="56" w:lineRule="exact"/>
        <w:rPr>
          <w:sz w:val="20"/>
          <w:szCs w:val="20"/>
          <w:color w:val="auto"/>
        </w:rPr>
      </w:pPr>
    </w:p>
    <w:p>
      <w:pPr>
        <w:ind w:right="180" w:firstLine="394"/>
        <w:spacing w:after="0" w:line="239" w:lineRule="auto"/>
        <w:rPr>
          <w:sz w:val="20"/>
          <w:szCs w:val="20"/>
          <w:color w:val="auto"/>
        </w:rPr>
      </w:pPr>
      <w:r>
        <w:rPr>
          <w:rFonts w:ascii="Arial" w:cs="Arial" w:eastAsia="Arial" w:hAnsi="Arial"/>
          <w:sz w:val="16"/>
          <w:szCs w:val="16"/>
          <w:color w:val="auto"/>
        </w:rPr>
        <w:t>On January 25, 2021, the Company entered into an Equity Distribution Agreement with Canaccord Genuity LLC (the “Agent”), pursuant to which the Company may offer and sell, from time to time, through or to the Agent, up to $40.0 million of shares of its common stock (the “ATM Offering”). In January 2021, the Company sold 1,516,073 shares of common stock, at an average price of $20.11 per share, for net proceeds of $29.4 million, after deducting underwriter fees and discounts of $0.9 million, and other offering fees, pursuant to the ATM Offering.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July 30, 2021, the Company completed the sale of Ctrack South Africa. Initial cash proceeds of approximately $36.6 million were received.</w:t>
      </w:r>
    </w:p>
    <w:p>
      <w:pPr>
        <w:spacing w:after="0" w:line="170" w:lineRule="exact"/>
        <w:rPr>
          <w:sz w:val="20"/>
          <w:szCs w:val="20"/>
          <w:color w:val="auto"/>
        </w:rPr>
      </w:pPr>
    </w:p>
    <w:p>
      <w:pPr>
        <w:ind w:right="80" w:firstLine="630"/>
        <w:spacing w:after="0" w:line="265" w:lineRule="auto"/>
        <w:rPr>
          <w:sz w:val="20"/>
          <w:szCs w:val="20"/>
          <w:color w:val="auto"/>
        </w:rPr>
      </w:pPr>
      <w:r>
        <w:rPr>
          <w:rFonts w:ascii="Arial" w:cs="Arial" w:eastAsia="Arial" w:hAnsi="Arial"/>
          <w:sz w:val="16"/>
          <w:szCs w:val="16"/>
          <w:color w:val="auto"/>
        </w:rPr>
        <w:t>The Company has a history of operating and net losses and overall usage of cash from operating and investing activities. The Company’s management believes that its cash and cash equivalents, together with anticipated cash flows from operations, will be sufficient to meet its cash flow needs for the next twelve months from the filing date of this report. The Company’s ability to attain more profitable operations and continue to generate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raise capital, reduce planned research and development activities, incur additional restructuring charges or reduce other operating expenses which could have an adverse impact on its ability to achieve its intended business objectives.</w:t>
      </w:r>
    </w:p>
    <w:p>
      <w:pPr>
        <w:spacing w:after="0" w:line="114" w:lineRule="exact"/>
        <w:rPr>
          <w:sz w:val="20"/>
          <w:szCs w:val="20"/>
          <w:color w:val="auto"/>
        </w:rPr>
      </w:pPr>
    </w:p>
    <w:p>
      <w:pPr>
        <w:ind w:right="120" w:firstLine="394"/>
        <w:spacing w:after="0" w:line="235" w:lineRule="auto"/>
        <w:rPr>
          <w:sz w:val="20"/>
          <w:szCs w:val="20"/>
          <w:color w:val="auto"/>
        </w:rPr>
      </w:pPr>
      <w:r>
        <w:rPr>
          <w:rFonts w:ascii="Arial" w:cs="Arial" w:eastAsia="Arial" w:hAnsi="Arial"/>
          <w:sz w:val="18"/>
          <w:szCs w:val="18"/>
          <w:color w:val="auto"/>
        </w:rPr>
        <w:t>The Company’s liquidity could be impaired if there is any interruption in its business operations, a material failure to satisfy its contractual commitments or a failure to generate revenue from new or existing products. There can be no assurance that any required or desired restructuring or financing will be available on terms favorable to the Company, or at all. Additionally, the Company is uncertain of the full extent to which the COVID-19 pandemic will impact the Company’s business, operations and 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5" w:lineRule="exact"/>
        <w:rPr>
          <w:sz w:val="20"/>
          <w:szCs w:val="20"/>
          <w:color w:val="auto"/>
        </w:rPr>
      </w:pPr>
    </w:p>
    <w:p>
      <w:pPr>
        <w:ind w:right="320" w:firstLine="394"/>
        <w:spacing w:after="0" w:line="245"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wholly- and majority-owned subsidiaries. All intercompany transactions and balances have been eliminated in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5" w:lineRule="exact"/>
        <w:rPr>
          <w:sz w:val="20"/>
          <w:szCs w:val="20"/>
          <w:color w:val="auto"/>
        </w:rPr>
      </w:pPr>
    </w:p>
    <w:p>
      <w:pPr>
        <w:ind w:right="160" w:firstLine="394"/>
        <w:spacing w:after="0" w:line="238"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6" w:lineRule="exact"/>
        <w:rPr>
          <w:sz w:val="20"/>
          <w:szCs w:val="20"/>
          <w:color w:val="auto"/>
        </w:rPr>
      </w:pPr>
    </w:p>
    <w:p>
      <w:pPr>
        <w:ind w:right="240" w:firstLine="394"/>
        <w:spacing w:after="0" w:line="28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the disclosure of contingent liabilities. Actual results could differ materially from these estimates. Significant estimates include revenue recognition, capitalized software costs, allowance for doubtful accounts receivable, provision for excess and obsolete inventory, valuation of intangible and long-lived assets, valuation of goodwill, valuation of derivatives, accruals relating to litigation, income taxes and share-based compensation expense. The inputs related to certain estimates include consideration of the economic impact of the COVID-19 pandemic. As the impact of the COVID-19 pandemic continues to develop, these estimates could carry a higher degree of variability and volatility, and may change materially in future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239" w:lineRule="exact"/>
        <w:rPr>
          <w:sz w:val="20"/>
          <w:szCs w:val="20"/>
          <w:color w:val="auto"/>
        </w:rPr>
      </w:pPr>
    </w:p>
    <w:p>
      <w:pPr>
        <w:ind w:firstLine="394"/>
        <w:spacing w:after="0" w:line="273" w:lineRule="auto"/>
        <w:rPr>
          <w:sz w:val="20"/>
          <w:szCs w:val="20"/>
          <w:color w:val="auto"/>
        </w:rPr>
      </w:pPr>
      <w:r>
        <w:rPr>
          <w:rFonts w:ascii="Arial" w:cs="Arial" w:eastAsia="Arial" w:hAnsi="Arial"/>
          <w:sz w:val="15"/>
          <w:szCs w:val="15"/>
          <w:color w:val="auto"/>
        </w:rPr>
        <w:t>The Company generates revenue from a broad range of product sales including intelligent wireless hardware products for the worldwide mobile communications, and industrial Internet of Things (“IIoT”) markets, Inseego Subscribe</w:t>
      </w:r>
      <w:r>
        <w:rPr>
          <w:rFonts w:ascii="Arial" w:cs="Arial" w:eastAsia="Arial" w:hAnsi="Arial"/>
          <w:sz w:val="19"/>
          <w:szCs w:val="19"/>
          <w:color w:val="auto"/>
          <w:vertAlign w:val="superscript"/>
        </w:rPr>
        <w:t>TM</w:t>
      </w:r>
      <w:r>
        <w:rPr>
          <w:rFonts w:ascii="Arial" w:cs="Arial" w:eastAsia="Arial" w:hAnsi="Arial"/>
          <w:sz w:val="15"/>
          <w:szCs w:val="15"/>
          <w:color w:val="auto"/>
        </w:rPr>
        <w:t>, a hosted SaaS platform that helps organizations manage the selection, deployment and spend of wireless assets, and various Software as a Service (“SaaS”) products. The Company’s products principally include intelligent mobile hotspots, wireless routers for IoT applications, USB modems, integrated telematics and mobile tracking hardware devices, which are supported by applications software and cloud software services designed to enable customers to easily analyze data insights and configure and manage their hardware.</w:t>
      </w:r>
    </w:p>
    <w:p>
      <w:pPr>
        <w:spacing w:after="0" w:line="109" w:lineRule="exact"/>
        <w:rPr>
          <w:sz w:val="20"/>
          <w:szCs w:val="20"/>
          <w:color w:val="auto"/>
        </w:rPr>
      </w:pPr>
    </w:p>
    <w:p>
      <w:pPr>
        <w:ind w:right="540" w:firstLine="394"/>
        <w:spacing w:after="0" w:line="238"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133" w:lineRule="exact"/>
        <w:rPr>
          <w:sz w:val="20"/>
          <w:szCs w:val="20"/>
          <w:color w:val="auto"/>
        </w:rPr>
      </w:pPr>
    </w:p>
    <w:p>
      <w:pPr>
        <w:ind w:right="160" w:firstLine="394"/>
        <w:spacing w:after="0" w:line="235" w:lineRule="auto"/>
        <w:rPr>
          <w:sz w:val="20"/>
          <w:szCs w:val="20"/>
          <w:color w:val="auto"/>
        </w:rPr>
      </w:pPr>
      <w:r>
        <w:rPr>
          <w:rFonts w:ascii="Arial" w:cs="Arial" w:eastAsia="Arial" w:hAnsi="Arial"/>
          <w:sz w:val="18"/>
          <w:szCs w:val="18"/>
          <w:i w:val="1"/>
          <w:iCs w:val="1"/>
          <w:color w:val="auto"/>
        </w:rPr>
        <w:t>IoT &amp; Mobile Solutions</w:t>
      </w:r>
      <w:r>
        <w:rPr>
          <w:rFonts w:ascii="Arial" w:cs="Arial" w:eastAsia="Arial" w:hAnsi="Arial"/>
          <w:sz w:val="18"/>
          <w:szCs w:val="18"/>
          <w:color w:val="auto"/>
        </w:rPr>
        <w:t>. The IoT &amp; Mobile Solutions portfolio is comprised of end-to-end edge to cloud solutions including 4G LTE mobile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gateways, routers, modems, hotspots, HD quality VoLTE based wireless home phones, cloud management software and an advanced portfolio of 5G products. The solutions are offered under the MiFi™ brand for consumer and enterprise markets, and under the Skyus brand for IIoT markets. Effective in the third quarter ended 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September 30, 2020, IoT &amp; Mobile Solutions also includes the Company’s Device Management System (“DMS”), rebranded as Inseego Subscribe</w:t>
      </w:r>
      <w:r>
        <w:rPr>
          <w:rFonts w:ascii="Arial" w:cs="Arial" w:eastAsia="Arial" w:hAnsi="Arial"/>
          <w:sz w:val="21"/>
          <w:szCs w:val="21"/>
          <w:color w:val="auto"/>
          <w:vertAlign w:val="superscript"/>
        </w:rPr>
        <w:t>TM</w:t>
      </w:r>
      <w:r>
        <w:rPr>
          <w:rFonts w:ascii="Arial" w:cs="Arial" w:eastAsia="Arial" w:hAnsi="Arial"/>
          <w:sz w:val="17"/>
          <w:szCs w:val="17"/>
          <w:color w:val="auto"/>
        </w:rPr>
        <w:t>, that helps organizations manage the selection, deployment and spend of their customer’s wireless assets, helping them save money on personnel and telecom expenses. The Company reclassified its Inseego Subscribe revenue stream from Enterprise SaaS Solutions to better reflect the Company's end user delineation. This reclassification had no impact on previously reported total net revenue, gross profit, or net loss.</w:t>
      </w:r>
    </w:p>
    <w:p>
      <w:pPr>
        <w:spacing w:after="0" w:line="135" w:lineRule="exact"/>
        <w:rPr>
          <w:sz w:val="20"/>
          <w:szCs w:val="20"/>
          <w:color w:val="auto"/>
        </w:rPr>
      </w:pPr>
    </w:p>
    <w:p>
      <w:pPr>
        <w:ind w:left="200" w:right="60" w:firstLine="394"/>
        <w:spacing w:after="0" w:line="342" w:lineRule="auto"/>
        <w:rPr>
          <w:sz w:val="20"/>
          <w:szCs w:val="20"/>
          <w:color w:val="auto"/>
        </w:rPr>
      </w:pPr>
      <w:r>
        <w:rPr>
          <w:rFonts w:ascii="Arial" w:cs="Arial" w:eastAsia="Arial" w:hAnsi="Arial"/>
          <w:sz w:val="15"/>
          <w:szCs w:val="15"/>
          <w:i w:val="1"/>
          <w:iCs w:val="1"/>
          <w:color w:val="auto"/>
        </w:rPr>
        <w:t>Enterprise SaaS Solutions</w:t>
      </w:r>
      <w:r>
        <w:rPr>
          <w:rFonts w:ascii="Arial" w:cs="Arial" w:eastAsia="Arial" w:hAnsi="Arial"/>
          <w:sz w:val="15"/>
          <w:szCs w:val="15"/>
          <w:color w:val="auto"/>
        </w:rPr>
        <w:t>. The Enterprise SaaS Solutions portfolio consists of various subscription offerings to gain access to the Company’s Ctrack</w:t>
      </w:r>
      <w:r>
        <w:rPr>
          <w:rFonts w:ascii="Arial" w:cs="Arial" w:eastAsia="Arial" w:hAnsi="Arial"/>
          <w:sz w:val="15"/>
          <w:szCs w:val="15"/>
          <w:i w:val="1"/>
          <w:iCs w:val="1"/>
          <w:color w:val="auto"/>
        </w:rPr>
        <w:t xml:space="preserve"> </w:t>
      </w:r>
      <w:r>
        <w:rPr>
          <w:rFonts w:ascii="Arial" w:cs="Arial" w:eastAsia="Arial" w:hAnsi="Arial"/>
          <w:sz w:val="15"/>
          <w:szCs w:val="15"/>
          <w:color w:val="auto"/>
        </w:rPr>
        <w:t>telematics platforms, which provide fleet vehicle, aviation ground vehicle and asset tracking and performance information, and other telematics applications.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Certain reclassifications have been made to the prior period condensed consolidated statement of operations to conform to the current period presentation.</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net, consist of the following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80" w:type="dxa"/>
            <w:vAlign w:val="bottom"/>
          </w:tcPr>
          <w:p>
            <w:pPr>
              <w:jc w:val="right"/>
              <w:ind w:right="125"/>
              <w:spacing w:after="0"/>
              <w:rPr>
                <w:sz w:val="20"/>
                <w:szCs w:val="20"/>
                <w:color w:val="auto"/>
              </w:rPr>
            </w:pPr>
            <w:r>
              <w:rPr>
                <w:rFonts w:ascii="Arial" w:cs="Arial" w:eastAsia="Arial" w:hAnsi="Arial"/>
                <w:sz w:val="14"/>
                <w:szCs w:val="14"/>
                <w:b w:val="1"/>
                <w:bCs w:val="1"/>
                <w:color w:val="auto"/>
                <w:w w:val="94"/>
              </w:rPr>
              <w:t>December 31,</w:t>
            </w:r>
          </w:p>
        </w:tc>
      </w:tr>
      <w:tr>
        <w:trPr>
          <w:trHeight w:val="183"/>
        </w:trPr>
        <w:tc>
          <w:tcPr>
            <w:tcW w:w="86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2020</w:t>
            </w:r>
          </w:p>
        </w:tc>
      </w:tr>
      <w:tr>
        <w:trPr>
          <w:trHeight w:val="204"/>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27,009</w:t>
            </w:r>
          </w:p>
        </w:tc>
      </w:tr>
      <w:tr>
        <w:trPr>
          <w:trHeight w:val="207"/>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Raw materials and components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6,943</w:t>
            </w:r>
          </w:p>
        </w:tc>
      </w:tr>
      <w:tr>
        <w:trPr>
          <w:trHeight w:val="231"/>
        </w:trPr>
        <w:tc>
          <w:tcPr>
            <w:tcW w:w="866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16"/>
                <w:szCs w:val="16"/>
                <w:color w:val="auto"/>
              </w:rPr>
              <w:t>Total inventories</w:t>
            </w:r>
            <w:r>
              <w:rPr>
                <w:rFonts w:ascii="Arial" w:cs="Arial" w:eastAsia="Arial" w:hAnsi="Arial"/>
                <w:sz w:val="20"/>
                <w:szCs w:val="20"/>
                <w:color w:val="auto"/>
                <w:vertAlign w:val="superscript"/>
              </w:rPr>
              <w:t>1</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27,544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33,952</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Amounts exclude balances classified as held for sale. See Note 4. </w:t>
      </w:r>
      <w:r>
        <w:rPr>
          <w:rFonts w:ascii="Arial" w:cs="Arial" w:eastAsia="Arial" w:hAnsi="Arial"/>
          <w:sz w:val="18"/>
          <w:szCs w:val="18"/>
          <w:i w:val="1"/>
          <w:iCs w:val="1"/>
          <w:color w:val="auto"/>
        </w:rPr>
        <w:t>Business Divestiture.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80" w:type="dxa"/>
            <w:vAlign w:val="bottom"/>
          </w:tcPr>
          <w:p>
            <w:pPr>
              <w:jc w:val="right"/>
              <w:ind w:right="143"/>
              <w:spacing w:after="0"/>
              <w:rPr>
                <w:sz w:val="20"/>
                <w:szCs w:val="20"/>
                <w:color w:val="auto"/>
              </w:rPr>
            </w:pPr>
            <w:r>
              <w:rPr>
                <w:rFonts w:ascii="Arial" w:cs="Arial" w:eastAsia="Arial" w:hAnsi="Arial"/>
                <w:sz w:val="14"/>
                <w:szCs w:val="14"/>
                <w:b w:val="1"/>
                <w:bCs w:val="1"/>
                <w:color w:val="auto"/>
                <w:w w:val="92"/>
              </w:rPr>
              <w:t>December 31,</w:t>
            </w:r>
          </w:p>
        </w:tc>
      </w:tr>
      <w:tr>
        <w:trPr>
          <w:trHeight w:val="183"/>
        </w:trPr>
        <w:tc>
          <w:tcPr>
            <w:tcW w:w="86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r>
      <w:tr>
        <w:trPr>
          <w:trHeight w:val="204"/>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Royalties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w:t>
            </w: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Payroll and related expenses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6,006</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888</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w:t>
            </w: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1,619</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production costs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Liabilities related to financed assets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1,198</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6,540</w:t>
            </w:r>
          </w:p>
        </w:tc>
      </w:tr>
      <w:tr>
        <w:trPr>
          <w:trHeight w:val="203"/>
        </w:trPr>
        <w:tc>
          <w:tcPr>
            <w:tcW w:w="8640" w:type="dxa"/>
            <w:vAlign w:val="bottom"/>
          </w:tcPr>
          <w:p>
            <w:pPr>
              <w:ind w:left="20"/>
              <w:spacing w:after="0" w:line="204" w:lineRule="exact"/>
              <w:rPr>
                <w:sz w:val="20"/>
                <w:szCs w:val="20"/>
                <w:color w:val="auto"/>
              </w:rPr>
            </w:pPr>
            <w:r>
              <w:rPr>
                <w:rFonts w:ascii="Arial" w:cs="Arial" w:eastAsia="Arial" w:hAnsi="Arial"/>
                <w:sz w:val="16"/>
                <w:szCs w:val="16"/>
                <w:color w:val="auto"/>
              </w:rPr>
              <w:t>Total accrued expenses and other current liabilities</w:t>
            </w:r>
            <w:r>
              <w:rPr>
                <w:rFonts w:ascii="Arial" w:cs="Arial" w:eastAsia="Arial" w:hAnsi="Arial"/>
                <w:sz w:val="20"/>
                <w:szCs w:val="20"/>
                <w:color w:val="auto"/>
                <w:vertAlign w:val="superscript"/>
              </w:rPr>
              <w:t>1</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22,874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23,373</w:t>
            </w:r>
          </w:p>
        </w:tc>
      </w:tr>
      <w:tr>
        <w:trPr>
          <w:trHeight w:val="20"/>
        </w:trPr>
        <w:tc>
          <w:tcPr>
            <w:tcW w:w="8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160"/>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Amounts exclude balances classified as held for sale. See Note 4. </w:t>
      </w:r>
      <w:r>
        <w:rPr>
          <w:rFonts w:ascii="Arial" w:cs="Arial" w:eastAsia="Arial" w:hAnsi="Arial"/>
          <w:sz w:val="18"/>
          <w:szCs w:val="18"/>
          <w:i w:val="1"/>
          <w:iCs w:val="1"/>
          <w:color w:val="auto"/>
        </w:rPr>
        <w:t>Business Divestiture.</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Assets and Liabilities</w:t>
      </w:r>
    </w:p>
    <w:p>
      <w:pPr>
        <w:spacing w:after="0" w:line="114" w:lineRule="exact"/>
        <w:rPr>
          <w:sz w:val="20"/>
          <w:szCs w:val="20"/>
          <w:color w:val="auto"/>
        </w:rPr>
      </w:pPr>
    </w:p>
    <w:p>
      <w:pPr>
        <w:ind w:right="20" w:firstLine="433"/>
        <w:spacing w:after="0" w:line="23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00" w:firstLine="433"/>
        <w:spacing w:after="0" w:line="235"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82" w:lineRule="exact"/>
        <w:rPr>
          <w:sz w:val="20"/>
          <w:szCs w:val="20"/>
          <w:color w:val="auto"/>
        </w:rPr>
      </w:pPr>
    </w:p>
    <w:p>
      <w:pPr>
        <w:ind w:left="1020" w:right="160" w:hanging="629"/>
        <w:spacing w:after="0" w:line="238" w:lineRule="auto"/>
        <w:tabs>
          <w:tab w:leader="none" w:pos="10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Pricing inputs are based on quoted market prices for identical assets or liabilities in active markets (e.g., NYSE or NASDAQ). Active markets are those in which transactions for the asset or liability occur in sufficient frequency and volume to provide pricing information on an ongoing basis.</w:t>
      </w:r>
    </w:p>
    <w:p>
      <w:pPr>
        <w:spacing w:after="0" w:line="80" w:lineRule="exact"/>
        <w:rPr>
          <w:sz w:val="20"/>
          <w:szCs w:val="20"/>
          <w:color w:val="auto"/>
        </w:rPr>
      </w:pPr>
    </w:p>
    <w:p>
      <w:pPr>
        <w:ind w:left="1020" w:right="300" w:hanging="629"/>
        <w:spacing w:after="0" w:line="235" w:lineRule="auto"/>
        <w:tabs>
          <w:tab w:leader="none" w:pos="10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Pricing inputs include benchmark yields, trade data, reported trades and broker dealer quotes, two-sided markets and industry and economic 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82" w:lineRule="exact"/>
        <w:rPr>
          <w:sz w:val="20"/>
          <w:szCs w:val="20"/>
          <w:color w:val="auto"/>
        </w:rPr>
      </w:pPr>
    </w:p>
    <w:p>
      <w:pPr>
        <w:ind w:left="1020" w:right="160" w:hanging="629"/>
        <w:spacing w:after="0" w:line="281" w:lineRule="auto"/>
        <w:tabs>
          <w:tab w:leader="none" w:pos="10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Pricing inputs include significant inputs that are generally less observable from objective sources, including the Company’s own assumptions. The fair market value for level 3 securities may be highly sensitive to the use of unobservable inputs and subjective assumptions. Generally, changes in significant unobservable inputs may result in significantly lower or higher fair value measurements.</w:t>
      </w:r>
    </w:p>
    <w:p>
      <w:pPr>
        <w:spacing w:after="0" w:line="102" w:lineRule="exact"/>
        <w:rPr>
          <w:sz w:val="20"/>
          <w:szCs w:val="20"/>
          <w:color w:val="auto"/>
        </w:rPr>
      </w:pPr>
    </w:p>
    <w:p>
      <w:pPr>
        <w:ind w:right="660" w:firstLine="433"/>
        <w:spacing w:after="0" w:line="238"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six months ended June 30, 2021.</w:t>
      </w:r>
    </w:p>
    <w:p>
      <w:pPr>
        <w:spacing w:after="0" w:line="133" w:lineRule="exact"/>
        <w:rPr>
          <w:sz w:val="20"/>
          <w:szCs w:val="20"/>
          <w:color w:val="auto"/>
        </w:rPr>
      </w:pPr>
    </w:p>
    <w:p>
      <w:pPr>
        <w:ind w:right="400" w:firstLine="394"/>
        <w:spacing w:after="0" w:line="245" w:lineRule="auto"/>
        <w:rPr>
          <w:sz w:val="20"/>
          <w:szCs w:val="20"/>
          <w:color w:val="auto"/>
        </w:rPr>
      </w:pPr>
      <w:r>
        <w:rPr>
          <w:rFonts w:ascii="Arial" w:cs="Arial" w:eastAsia="Arial" w:hAnsi="Arial"/>
          <w:sz w:val="18"/>
          <w:szCs w:val="18"/>
          <w:color w:val="auto"/>
        </w:rPr>
        <w:t>The following tables summarize the Company’s financial instruments measured at fair value on a recurring basis in accordance with the authoritative guidance for fair value measurements as of June 30, 2021 and December 31, 2020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2021</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December 31, 2020</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1"/>
        </w:trPr>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Total Fair Value</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5"/>
                <w:szCs w:val="15"/>
                <w:color w:val="auto"/>
              </w:rPr>
            </w:pPr>
          </w:p>
        </w:tc>
        <w:tc>
          <w:tcPr>
            <w:tcW w:w="960" w:type="dxa"/>
            <w:vAlign w:val="bottom"/>
          </w:tcPr>
          <w:p>
            <w:pPr>
              <w:jc w:val="right"/>
              <w:ind w:right="303"/>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Total Fair Value</w:t>
            </w:r>
          </w:p>
        </w:tc>
        <w:tc>
          <w:tcPr>
            <w:tcW w:w="24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Arial" w:cs="Arial" w:eastAsia="Arial" w:hAnsi="Arial"/>
                <w:sz w:val="14"/>
                <w:szCs w:val="14"/>
                <w:b w:val="1"/>
                <w:bCs w:val="1"/>
                <w:color w:val="auto"/>
              </w:rPr>
              <w:t>Level 1</w:t>
            </w:r>
          </w:p>
        </w:tc>
      </w:tr>
      <w:tr>
        <w:trPr>
          <w:trHeight w:val="185"/>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13"/>
        </w:trPr>
        <w:tc>
          <w:tcPr>
            <w:tcW w:w="310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3"/>
        </w:trPr>
        <w:tc>
          <w:tcPr>
            <w:tcW w:w="3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Money market funds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00"/>
        </w:trPr>
        <w:tc>
          <w:tcPr>
            <w:tcW w:w="310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80"/>
        </w:trPr>
        <w:tc>
          <w:tcPr>
            <w:tcW w:w="31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rPr>
              <w:t>Liabilities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07"/>
        </w:trPr>
        <w:tc>
          <w:tcPr>
            <w:tcW w:w="3100" w:type="dxa"/>
            <w:vAlign w:val="bottom"/>
          </w:tcPr>
          <w:p>
            <w:pPr>
              <w:ind w:left="20"/>
              <w:spacing w:after="0"/>
              <w:rPr>
                <w:sz w:val="20"/>
                <w:szCs w:val="20"/>
                <w:color w:val="auto"/>
              </w:rPr>
            </w:pPr>
            <w:r>
              <w:rPr>
                <w:rFonts w:ascii="Arial" w:cs="Arial" w:eastAsia="Arial" w:hAnsi="Arial"/>
                <w:sz w:val="16"/>
                <w:szCs w:val="16"/>
                <w:color w:val="auto"/>
              </w:rPr>
              <w:t>2025 Notes</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3"/>
        </w:trPr>
        <w:tc>
          <w:tcPr>
            <w:tcW w:w="3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make-whole payment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2,929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310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2,929</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2,929</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4,898</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4,898</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
        </w:trPr>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fair value of the interest make-whole payment derivative liability was determined using a Monte Carlo model with the following key assumptions: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00" w:type="dxa"/>
            <w:vAlign w:val="bottom"/>
          </w:tcPr>
          <w:p>
            <w:pPr>
              <w:spacing w:after="0"/>
              <w:rPr>
                <w:sz w:val="16"/>
                <w:szCs w:val="16"/>
                <w:color w:val="auto"/>
              </w:rPr>
            </w:pP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 2021</w:t>
            </w:r>
          </w:p>
        </w:tc>
        <w:tc>
          <w:tcPr>
            <w:tcW w:w="182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2020</w:t>
            </w:r>
          </w:p>
        </w:tc>
      </w:tr>
      <w:tr>
        <w:trPr>
          <w:trHeight w:val="208"/>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tcBorders>
              <w:top w:val="single" w:sz="8" w:color="CCEEFF"/>
            </w:tcBorders>
            <w:shd w:val="clear" w:color="auto" w:fill="CCEEFF"/>
          </w:tcPr>
          <w:p>
            <w:pPr>
              <w:spacing w:after="0"/>
              <w:rPr>
                <w:sz w:val="18"/>
                <w:szCs w:val="18"/>
                <w:color w:val="auto"/>
              </w:rPr>
            </w:pP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Stock price</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$10.09 per share</w:t>
            </w: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$15.47 per share</w:t>
            </w: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spread</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15.56 %</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19.25 %</w:t>
            </w:r>
          </w:p>
        </w:tc>
        <w:tc>
          <w:tcPr>
            <w:tcW w:w="80" w:type="dxa"/>
            <w:vAlign w:val="bottom"/>
            <w:shd w:val="clear" w:color="auto" w:fill="CCEEFF"/>
          </w:tcPr>
          <w:p>
            <w:pPr>
              <w:spacing w:after="0"/>
              <w:rPr>
                <w:sz w:val="18"/>
                <w:szCs w:val="18"/>
                <w:color w:val="auto"/>
              </w:rPr>
            </w:pP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Term</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3.84 years</w:t>
            </w: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4.34 years</w:t>
            </w: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r>
      <w:tr>
        <w:trPr>
          <w:trHeight w:val="204"/>
        </w:trPr>
        <w:tc>
          <w:tcPr>
            <w:tcW w:w="7600" w:type="dxa"/>
            <w:vAlign w:val="bottom"/>
          </w:tcPr>
          <w:p>
            <w:pPr>
              <w:ind w:left="20"/>
              <w:spacing w:after="0"/>
              <w:rPr>
                <w:sz w:val="20"/>
                <w:szCs w:val="20"/>
                <w:color w:val="auto"/>
              </w:rPr>
            </w:pPr>
            <w:r>
              <w:rPr>
                <w:rFonts w:ascii="Arial" w:cs="Arial" w:eastAsia="Arial" w:hAnsi="Arial"/>
                <w:sz w:val="16"/>
                <w:szCs w:val="16"/>
                <w:color w:val="auto"/>
              </w:rPr>
              <w:t>Risk-free rate</w:t>
            </w:r>
          </w:p>
        </w:tc>
        <w:tc>
          <w:tcPr>
            <w:tcW w:w="1720" w:type="dxa"/>
            <w:vAlign w:val="bottom"/>
          </w:tcPr>
          <w:p>
            <w:pPr>
              <w:jc w:val="right"/>
              <w:spacing w:after="0"/>
              <w:rPr>
                <w:sz w:val="20"/>
                <w:szCs w:val="20"/>
                <w:color w:val="auto"/>
              </w:rPr>
            </w:pPr>
            <w:r>
              <w:rPr>
                <w:rFonts w:ascii="Arial" w:cs="Arial" w:eastAsia="Arial" w:hAnsi="Arial"/>
                <w:sz w:val="16"/>
                <w:szCs w:val="16"/>
                <w:color w:val="auto"/>
              </w:rPr>
              <w:t>0.63 %</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0.30 %</w:t>
            </w:r>
          </w:p>
        </w:tc>
        <w:tc>
          <w:tcPr>
            <w:tcW w:w="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a summary of changes in the fair value of Level 3 liabilities for the six months ended June 30,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Balance as of</w:t>
            </w:r>
          </w:p>
        </w:tc>
        <w:tc>
          <w:tcPr>
            <w:tcW w:w="132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rPr>
              <w:t>Additions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vMerge w:val="restart"/>
          </w:tcPr>
          <w:p>
            <w:pPr>
              <w:ind w:left="500"/>
              <w:spacing w:after="0"/>
              <w:rPr>
                <w:sz w:val="20"/>
                <w:szCs w:val="20"/>
                <w:color w:val="auto"/>
              </w:rPr>
            </w:pPr>
            <w:r>
              <w:rPr>
                <w:rFonts w:ascii="Arial" w:cs="Arial" w:eastAsia="Arial" w:hAnsi="Arial"/>
                <w:sz w:val="14"/>
                <w:szCs w:val="14"/>
                <w:b w:val="1"/>
                <w:bCs w:val="1"/>
                <w:color w:val="auto"/>
                <w:w w:val="94"/>
              </w:rPr>
              <w:t>Conversions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 in fair value</w:t>
            </w:r>
          </w:p>
        </w:tc>
        <w:tc>
          <w:tcPr>
            <w:tcW w:w="2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83"/>
        </w:trPr>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31, 2020</w:t>
            </w:r>
          </w:p>
        </w:tc>
        <w:tc>
          <w:tcPr>
            <w:tcW w:w="13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87"/>
        </w:trPr>
        <w:tc>
          <w:tcPr>
            <w:tcW w:w="22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3"/>
              </w:rPr>
              <w:t>Interest make-whole payment  $</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46"/>
              <w:spacing w:after="0"/>
              <w:rPr>
                <w:sz w:val="20"/>
                <w:szCs w:val="20"/>
                <w:color w:val="auto"/>
              </w:rPr>
            </w:pPr>
            <w:r>
              <w:rPr>
                <w:rFonts w:ascii="Arial" w:cs="Arial" w:eastAsia="Arial" w:hAnsi="Arial"/>
                <w:sz w:val="16"/>
                <w:szCs w:val="16"/>
                <w:color w:val="auto"/>
                <w:w w:val="89"/>
              </w:rPr>
              <w:t>$</w:t>
            </w:r>
          </w:p>
        </w:tc>
        <w:tc>
          <w:tcPr>
            <w:tcW w:w="18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  $</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2,929</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08" w:lineRule="exact"/>
        <w:rPr>
          <w:sz w:val="20"/>
          <w:szCs w:val="20"/>
          <w:color w:val="auto"/>
        </w:rPr>
      </w:pPr>
    </w:p>
    <w:p>
      <w:pPr>
        <w:ind w:right="340" w:firstLine="394"/>
        <w:spacing w:after="0" w:line="245" w:lineRule="auto"/>
        <w:rPr>
          <w:sz w:val="20"/>
          <w:szCs w:val="20"/>
          <w:color w:val="auto"/>
        </w:rPr>
      </w:pPr>
      <w:r>
        <w:rPr>
          <w:rFonts w:ascii="Arial" w:cs="Arial" w:eastAsia="Arial" w:hAnsi="Arial"/>
          <w:sz w:val="18"/>
          <w:szCs w:val="18"/>
          <w:color w:val="auto"/>
        </w:rPr>
        <w:t>The Company’s financial assets and liabilities are carried at fair value or at amounts that, because of their short-term nature, approximate current fair value, with the exception of the 2025 Notes.</w:t>
      </w:r>
    </w:p>
    <w:p>
      <w:pPr>
        <w:spacing w:after="0" w:line="208" w:lineRule="exact"/>
        <w:rPr>
          <w:sz w:val="20"/>
          <w:szCs w:val="20"/>
          <w:color w:val="auto"/>
        </w:rPr>
      </w:pPr>
    </w:p>
    <w:p>
      <w:pPr>
        <w:jc w:val="both"/>
        <w:ind w:right="240" w:firstLine="394"/>
        <w:spacing w:after="0" w:line="235" w:lineRule="auto"/>
        <w:rPr>
          <w:sz w:val="20"/>
          <w:szCs w:val="20"/>
          <w:color w:val="auto"/>
        </w:rPr>
      </w:pPr>
      <w:r>
        <w:rPr>
          <w:rFonts w:ascii="Arial" w:cs="Arial" w:eastAsia="Arial" w:hAnsi="Arial"/>
          <w:sz w:val="18"/>
          <w:szCs w:val="18"/>
          <w:color w:val="auto"/>
        </w:rPr>
        <w:t xml:space="preserve">On May 12, 2020, the Company issued $180.4 million in aggregate principal amount of 2025 Notes, and restructured its outstanding debt as described further in Note 5, </w:t>
      </w:r>
      <w:r>
        <w:rPr>
          <w:rFonts w:ascii="Arial" w:cs="Arial" w:eastAsia="Arial" w:hAnsi="Arial"/>
          <w:sz w:val="18"/>
          <w:szCs w:val="18"/>
          <w:i w:val="1"/>
          <w:iCs w:val="1"/>
          <w:color w:val="auto"/>
        </w:rPr>
        <w:t>Debt.</w:t>
      </w:r>
      <w:r>
        <w:rPr>
          <w:rFonts w:ascii="Arial" w:cs="Arial" w:eastAsia="Arial" w:hAnsi="Arial"/>
          <w:sz w:val="18"/>
          <w:szCs w:val="18"/>
          <w:color w:val="auto"/>
        </w:rPr>
        <w:t xml:space="preserve"> The Company carries its 2025 Notes at amortized cost adjusted for changes in fair value of the embedded derivative. As of June 30, 2021, $161.9 million in principal amount of the 2025 Notes remain outstanding. It is not practicable to determine the fair value of the 2025 Notes due to the lack of information available to calculate the fair value of such notes.</w:t>
      </w:r>
    </w:p>
    <w:p>
      <w:pPr>
        <w:spacing w:after="0" w:line="213" w:lineRule="exact"/>
        <w:rPr>
          <w:sz w:val="20"/>
          <w:szCs w:val="20"/>
          <w:color w:val="auto"/>
        </w:rPr>
      </w:pPr>
    </w:p>
    <w:p>
      <w:pPr>
        <w:ind w:right="120" w:firstLine="394"/>
        <w:spacing w:after="0" w:line="245" w:lineRule="auto"/>
        <w:rPr>
          <w:sz w:val="20"/>
          <w:szCs w:val="20"/>
          <w:color w:val="auto"/>
        </w:rPr>
      </w:pPr>
      <w:r>
        <w:rPr>
          <w:rFonts w:ascii="Arial" w:cs="Arial" w:eastAsia="Arial" w:hAnsi="Arial"/>
          <w:sz w:val="18"/>
          <w:szCs w:val="18"/>
          <w:color w:val="auto"/>
        </w:rPr>
        <w:t>The Company evaluated the 2025 Notes under ASC 815 and identified an embedded derivative that required bifurcation. The embedded derivative is an interest make-whole payment that was valued at $4.6 million on May 12, 2020.</w:t>
      </w:r>
    </w:p>
    <w:p>
      <w:pPr>
        <w:spacing w:after="0" w:line="208" w:lineRule="exact"/>
        <w:rPr>
          <w:sz w:val="20"/>
          <w:szCs w:val="20"/>
          <w:color w:val="auto"/>
        </w:rPr>
      </w:pPr>
    </w:p>
    <w:p>
      <w:pPr>
        <w:ind w:right="60" w:firstLine="394"/>
        <w:spacing w:after="0" w:line="287" w:lineRule="auto"/>
        <w:rPr>
          <w:sz w:val="20"/>
          <w:szCs w:val="20"/>
          <w:color w:val="auto"/>
        </w:rPr>
      </w:pPr>
      <w:r>
        <w:rPr>
          <w:rFonts w:ascii="Arial" w:cs="Arial" w:eastAsia="Arial" w:hAnsi="Arial"/>
          <w:sz w:val="15"/>
          <w:szCs w:val="15"/>
          <w:color w:val="auto"/>
        </w:rPr>
        <w:t>Changes in the fair value of the interest make-whole payment totaling a loss of $0.1 million for the three months ended June 30, 2021 are included in the Company’s condensed consolidated statement of operations within other income, net. During the six months ended June 30, 2021, certain holders of the 2025 Notes converted an aggregate of approximately $5.0 million in principal amount of the 2025 Notes into shares of the Company’s common stock in accordance with the terms of such notes and a portion of the embedded derivative was settled in shares of the Company’s common stock resulting in $0.1 million of the derivative liability being extinguished upon conversion. As of June 30, 2021, the embedded derivative had a fair value of $2.9 million and a $1.8 million gain on the change in fair value was recorded to other income, net, on the condensed consolidated statement of operations in the six months ended June 30, 2021.</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During the three and six months ended June 30, 2021 and 2020, there were no transfers between the levels within the fair value hierarchy.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Divestiture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Ctrack South Africa Operations</w:t>
      </w:r>
    </w:p>
    <w:p>
      <w:pPr>
        <w:spacing w:after="0" w:line="147" w:lineRule="exact"/>
        <w:rPr>
          <w:sz w:val="20"/>
          <w:szCs w:val="20"/>
          <w:color w:val="auto"/>
        </w:rPr>
      </w:pPr>
    </w:p>
    <w:p>
      <w:pPr>
        <w:ind w:firstLine="630"/>
        <w:spacing w:after="0" w:line="265" w:lineRule="auto"/>
        <w:rPr>
          <w:sz w:val="20"/>
          <w:szCs w:val="20"/>
          <w:color w:val="auto"/>
        </w:rPr>
      </w:pPr>
      <w:r>
        <w:rPr>
          <w:rFonts w:ascii="Arial" w:cs="Arial" w:eastAsia="Arial" w:hAnsi="Arial"/>
          <w:sz w:val="16"/>
          <w:szCs w:val="16"/>
          <w:color w:val="auto"/>
        </w:rPr>
        <w:t>On February 24, 2021, the Company entered into a Share Purchase Agreement (the “Purchase Agreement”) with an affiliate of Convergence Partners (“Convergence”), an investment management firm in South Africa, to sell the Company’s Ctrack business operations in Africa, Pakistan and the Middle East (together, “Ctrack South Africa”), in an all-cash transaction for 528.9 million South African Rand (“ZAR”) (approximately $36.6 million United States Dollars (“USD”)). The Purchase Agreement provides for an adjustment to the purchase price based on a normalized level of net working capital. The final net consideration is subject to working capital adjustments that are expected to be agreed upon and finalized with Convergence no later than 35 business days after completion of the sale. The consummation of the sale was subject to a number of customary conditions precedent. Additionally, the consummation of the sale was subject to Convergence closing an investment fund.</w:t>
      </w:r>
    </w:p>
    <w:p>
      <w:pPr>
        <w:spacing w:after="0" w:line="114" w:lineRule="exact"/>
        <w:rPr>
          <w:sz w:val="20"/>
          <w:szCs w:val="20"/>
          <w:color w:val="auto"/>
        </w:rPr>
      </w:pPr>
    </w:p>
    <w:p>
      <w:pPr>
        <w:ind w:firstLine="630"/>
        <w:spacing w:after="0" w:line="238" w:lineRule="auto"/>
        <w:rPr>
          <w:sz w:val="20"/>
          <w:szCs w:val="20"/>
          <w:color w:val="auto"/>
        </w:rPr>
      </w:pPr>
      <w:r>
        <w:rPr>
          <w:rFonts w:ascii="Arial" w:cs="Arial" w:eastAsia="Arial" w:hAnsi="Arial"/>
          <w:sz w:val="18"/>
          <w:szCs w:val="18"/>
          <w:color w:val="auto"/>
        </w:rPr>
        <w:t>On June 30, 2021, the Company entered into an Addendum to the Purchase Agreement with Convergence. Pursuant to the Addendum, the Company and Convergence have agreed to extend the date by which certain of the closing conditions must be fulfilled or otherwise waived and set the closing date of the transaction to be on or before July 30, 2021.</w:t>
      </w:r>
    </w:p>
    <w:p>
      <w:pPr>
        <w:spacing w:after="0" w:line="133" w:lineRule="exact"/>
        <w:rPr>
          <w:sz w:val="20"/>
          <w:szCs w:val="20"/>
          <w:color w:val="auto"/>
        </w:rPr>
      </w:pPr>
    </w:p>
    <w:p>
      <w:pPr>
        <w:ind w:right="100" w:firstLine="630"/>
        <w:spacing w:after="0" w:line="238" w:lineRule="auto"/>
        <w:rPr>
          <w:sz w:val="20"/>
          <w:szCs w:val="20"/>
          <w:color w:val="auto"/>
        </w:rPr>
      </w:pPr>
      <w:r>
        <w:rPr>
          <w:rFonts w:ascii="Arial" w:cs="Arial" w:eastAsia="Arial" w:hAnsi="Arial"/>
          <w:sz w:val="18"/>
          <w:szCs w:val="18"/>
          <w:color w:val="auto"/>
        </w:rPr>
        <w:t>Effective upon the execution of the Purchase Agreement, the assets and liabilities of the Ctrack South Africa entities that are subject to the sale, meet the criteria for classification of held for sale (“HFS”), since the sale of the Ctrack South Africa operations under the Purchase Agreement is subject only to usual and customary closing conditions, and the sale is expected to</w:t>
      </w: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4" w:name="page15"/>
    <w:bookmarkEnd w:id="14"/>
    <w:p>
      <w:pPr>
        <w:jc w:val="center"/>
        <w:ind w:right="100"/>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be completed in less than one year from the date of the Purchase Agreement. The following table presents assets and liabilities of Ctrack South Africa which are classified as HFS as of June 30, 2021 (in thousands):</w:t>
      </w:r>
    </w:p>
    <w:p>
      <w:pPr>
        <w:spacing w:after="0" w:line="13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4"/>
                <w:szCs w:val="14"/>
                <w:b w:val="1"/>
                <w:bCs w:val="1"/>
                <w:color w:val="auto"/>
              </w:rPr>
              <w:t>Balance as of</w:t>
            </w:r>
          </w:p>
        </w:tc>
      </w:tr>
      <w:tr>
        <w:trPr>
          <w:trHeight w:val="183"/>
        </w:trPr>
        <w:tc>
          <w:tcPr>
            <w:tcW w:w="8760" w:type="dxa"/>
            <w:vAlign w:val="bottom"/>
          </w:tcPr>
          <w:p>
            <w:pPr>
              <w:spacing w:after="0"/>
              <w:rPr>
                <w:sz w:val="15"/>
                <w:szCs w:val="15"/>
                <w:color w:val="auto"/>
              </w:rPr>
            </w:pPr>
          </w:p>
        </w:tc>
        <w:tc>
          <w:tcPr>
            <w:tcW w:w="194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4"/>
                <w:szCs w:val="14"/>
                <w:b w:val="1"/>
                <w:bCs w:val="1"/>
                <w:color w:val="auto"/>
              </w:rPr>
              <w:t>June 30, 2021</w:t>
            </w:r>
          </w:p>
        </w:tc>
      </w:tr>
      <w:tr>
        <w:trPr>
          <w:trHeight w:val="185"/>
        </w:trPr>
        <w:tc>
          <w:tcPr>
            <w:tcW w:w="8760" w:type="dxa"/>
            <w:vAlign w:val="bottom"/>
          </w:tcPr>
          <w:p>
            <w:pPr>
              <w:ind w:left="640"/>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16"/>
                <w:szCs w:val="16"/>
                <w:color w:val="auto"/>
              </w:rPr>
              <w:t>:</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3"/>
        </w:trPr>
        <w:tc>
          <w:tcPr>
            <w:tcW w:w="8760" w:type="dxa"/>
            <w:vAlign w:val="bottom"/>
          </w:tcPr>
          <w:p>
            <w:pPr>
              <w:ind w:left="640"/>
              <w:spacing w:after="0"/>
              <w:rPr>
                <w:sz w:val="20"/>
                <w:szCs w:val="20"/>
                <w:color w:val="auto"/>
              </w:rPr>
            </w:pPr>
            <w:r>
              <w:rPr>
                <w:rFonts w:ascii="Arial" w:cs="Arial" w:eastAsia="Arial" w:hAnsi="Arial"/>
                <w:sz w:val="16"/>
                <w:szCs w:val="16"/>
                <w:color w:val="auto"/>
              </w:rPr>
              <w:t>Cash and cash equivalents</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Accounts receivable, net</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8760" w:type="dxa"/>
            <w:vAlign w:val="bottom"/>
          </w:tcPr>
          <w:p>
            <w:pPr>
              <w:ind w:left="640"/>
              <w:spacing w:after="0"/>
              <w:rPr>
                <w:sz w:val="20"/>
                <w:szCs w:val="20"/>
                <w:color w:val="auto"/>
              </w:rPr>
            </w:pPr>
            <w:r>
              <w:rPr>
                <w:rFonts w:ascii="Arial" w:cs="Arial" w:eastAsia="Arial" w:hAnsi="Arial"/>
                <w:sz w:val="16"/>
                <w:szCs w:val="16"/>
                <w:color w:val="auto"/>
              </w:rPr>
              <w:t>Inventory</w:t>
            </w:r>
          </w:p>
        </w:tc>
        <w:tc>
          <w:tcPr>
            <w:tcW w:w="8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Prepaid expenses and other</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7"/>
        </w:trPr>
        <w:tc>
          <w:tcPr>
            <w:tcW w:w="8760" w:type="dxa"/>
            <w:vAlign w:val="bottom"/>
          </w:tcPr>
          <w:p>
            <w:pPr>
              <w:ind w:left="640"/>
              <w:spacing w:after="0"/>
              <w:rPr>
                <w:sz w:val="20"/>
                <w:szCs w:val="20"/>
                <w:color w:val="auto"/>
              </w:rPr>
            </w:pPr>
            <w:r>
              <w:rPr>
                <w:rFonts w:ascii="Arial" w:cs="Arial" w:eastAsia="Arial" w:hAnsi="Arial"/>
                <w:sz w:val="16"/>
                <w:szCs w:val="16"/>
                <w:color w:val="auto"/>
              </w:rPr>
              <w:t>Property, plant and equipment, net</w:t>
            </w:r>
          </w:p>
        </w:tc>
        <w:tc>
          <w:tcPr>
            <w:tcW w:w="8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Rental assets, net</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8760" w:type="dxa"/>
            <w:vAlign w:val="bottom"/>
          </w:tcPr>
          <w:p>
            <w:pPr>
              <w:ind w:left="640"/>
              <w:spacing w:after="0"/>
              <w:rPr>
                <w:sz w:val="20"/>
                <w:szCs w:val="20"/>
                <w:color w:val="auto"/>
              </w:rPr>
            </w:pPr>
            <w:r>
              <w:rPr>
                <w:rFonts w:ascii="Arial" w:cs="Arial" w:eastAsia="Arial" w:hAnsi="Arial"/>
                <w:sz w:val="16"/>
                <w:szCs w:val="16"/>
                <w:color w:val="auto"/>
              </w:rPr>
              <w:t>Intangible assets, net</w:t>
            </w:r>
          </w:p>
        </w:tc>
        <w:tc>
          <w:tcPr>
            <w:tcW w:w="8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Goodwill</w:t>
            </w:r>
          </w:p>
        </w:tc>
        <w:tc>
          <w:tcPr>
            <w:tcW w:w="8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0"/>
        </w:trPr>
        <w:tc>
          <w:tcPr>
            <w:tcW w:w="8760" w:type="dxa"/>
            <w:vAlign w:val="bottom"/>
          </w:tcPr>
          <w:p>
            <w:pPr>
              <w:ind w:left="840"/>
              <w:spacing w:after="0"/>
              <w:rPr>
                <w:sz w:val="20"/>
                <w:szCs w:val="20"/>
                <w:color w:val="auto"/>
              </w:rPr>
            </w:pPr>
            <w:r>
              <w:rPr>
                <w:rFonts w:ascii="Arial" w:cs="Arial" w:eastAsia="Arial" w:hAnsi="Arial"/>
                <w:sz w:val="16"/>
                <w:szCs w:val="16"/>
                <w:color w:val="auto"/>
              </w:rPr>
              <w:t>Total assets held for sale</w:t>
            </w:r>
          </w:p>
        </w:tc>
        <w:tc>
          <w:tcPr>
            <w:tcW w:w="8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2"/>
        </w:trPr>
        <w:tc>
          <w:tcPr>
            <w:tcW w:w="87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07"/>
        </w:trPr>
        <w:tc>
          <w:tcPr>
            <w:tcW w:w="8760" w:type="dxa"/>
            <w:vAlign w:val="bottom"/>
          </w:tcPr>
          <w:p>
            <w:pPr>
              <w:ind w:left="640"/>
              <w:spacing w:after="0"/>
              <w:rPr>
                <w:sz w:val="20"/>
                <w:szCs w:val="20"/>
                <w:color w:val="auto"/>
              </w:rPr>
            </w:pPr>
            <w:r>
              <w:rPr>
                <w:rFonts w:ascii="Arial" w:cs="Arial" w:eastAsia="Arial" w:hAnsi="Arial"/>
                <w:sz w:val="16"/>
                <w:szCs w:val="16"/>
                <w:b w:val="1"/>
                <w:bCs w:val="1"/>
                <w:color w:val="auto"/>
              </w:rPr>
              <w:t>Liabilities:</w:t>
            </w: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Accounts payable</w:t>
            </w: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7"/>
        </w:trPr>
        <w:tc>
          <w:tcPr>
            <w:tcW w:w="8760" w:type="dxa"/>
            <w:vAlign w:val="bottom"/>
          </w:tcPr>
          <w:p>
            <w:pPr>
              <w:ind w:left="640"/>
              <w:spacing w:after="0"/>
              <w:rPr>
                <w:sz w:val="20"/>
                <w:szCs w:val="20"/>
                <w:color w:val="auto"/>
              </w:rPr>
            </w:pPr>
            <w:r>
              <w:rPr>
                <w:rFonts w:ascii="Arial" w:cs="Arial" w:eastAsia="Arial" w:hAnsi="Arial"/>
                <w:sz w:val="16"/>
                <w:szCs w:val="16"/>
                <w:color w:val="auto"/>
              </w:rPr>
              <w:t>Accrued expenses and other liabilities</w:t>
            </w:r>
          </w:p>
        </w:tc>
        <w:tc>
          <w:tcPr>
            <w:tcW w:w="8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Deferred tax liabilities, net</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876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Other long-term liabilities</w:t>
            </w:r>
          </w:p>
        </w:tc>
        <w:tc>
          <w:tcPr>
            <w:tcW w:w="8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28"/>
        </w:trPr>
        <w:tc>
          <w:tcPr>
            <w:tcW w:w="87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Total liabilities related to assets held for sale</w:t>
            </w:r>
          </w:p>
        </w:tc>
        <w:tc>
          <w:tcPr>
            <w:tcW w:w="8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39" w:lineRule="exact"/>
        <w:rPr>
          <w:sz w:val="20"/>
          <w:szCs w:val="20"/>
          <w:color w:val="auto"/>
        </w:rPr>
      </w:pPr>
    </w:p>
    <w:p>
      <w:pPr>
        <w:ind w:right="360" w:firstLine="394"/>
        <w:spacing w:after="0" w:line="235" w:lineRule="auto"/>
        <w:rPr>
          <w:sz w:val="20"/>
          <w:szCs w:val="20"/>
          <w:color w:val="auto"/>
        </w:rPr>
      </w:pPr>
      <w:r>
        <w:rPr>
          <w:rFonts w:ascii="Arial" w:cs="Arial" w:eastAsia="Arial" w:hAnsi="Arial"/>
          <w:sz w:val="18"/>
          <w:szCs w:val="18"/>
          <w:color w:val="auto"/>
        </w:rPr>
        <w:t>On August 23, 2017, the Company and certain of its direct and indirect subsidiaries, as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the Company with a term loan in the principal amount of $48.0 million (the “Term Loan”) with a maturity date of August 23, 2020.</w:t>
      </w:r>
    </w:p>
    <w:p>
      <w:pPr>
        <w:spacing w:after="0" w:line="213" w:lineRule="exact"/>
        <w:rPr>
          <w:sz w:val="20"/>
          <w:szCs w:val="20"/>
          <w:color w:val="auto"/>
        </w:rPr>
      </w:pPr>
    </w:p>
    <w:p>
      <w:pPr>
        <w:ind w:right="300" w:firstLine="394"/>
        <w:spacing w:after="0" w:line="342" w:lineRule="auto"/>
        <w:rPr>
          <w:sz w:val="20"/>
          <w:szCs w:val="20"/>
          <w:color w:val="auto"/>
        </w:rPr>
      </w:pPr>
      <w:r>
        <w:rPr>
          <w:rFonts w:ascii="Arial" w:cs="Arial" w:eastAsia="Arial" w:hAnsi="Arial"/>
          <w:sz w:val="15"/>
          <w:szCs w:val="15"/>
          <w:color w:val="auto"/>
        </w:rPr>
        <w:t>On March 31, 2020, the Company issued 2,330 shares of Series E Preferred Stock to South Ocean Funding L.L.C. (“South Ocean”), the Lender holding all of the aggregate principal amount then outstanding under the Credit Agreement in satisfaction of all then accrued interest under the Credit Agreement.</w:t>
      </w:r>
    </w:p>
    <w:p>
      <w:pPr>
        <w:spacing w:after="0" w:line="125" w:lineRule="exact"/>
        <w:rPr>
          <w:sz w:val="20"/>
          <w:szCs w:val="20"/>
          <w:color w:val="auto"/>
        </w:rPr>
      </w:pPr>
    </w:p>
    <w:p>
      <w:pPr>
        <w:jc w:val="both"/>
        <w:ind w:right="120" w:firstLine="394"/>
        <w:spacing w:after="0" w:line="212" w:lineRule="auto"/>
        <w:rPr>
          <w:sz w:val="20"/>
          <w:szCs w:val="20"/>
          <w:color w:val="auto"/>
        </w:rPr>
      </w:pPr>
      <w:r>
        <w:rPr>
          <w:rFonts w:ascii="Arial" w:cs="Arial" w:eastAsia="Arial" w:hAnsi="Arial"/>
          <w:sz w:val="18"/>
          <w:szCs w:val="18"/>
          <w:color w:val="auto"/>
        </w:rPr>
        <w:t>On May 12, 2020, the Company used a portion of the proceeds from the Offering to repay in full the Term Loan and terminate the Credit Agreement. The amounts paid included $47.5 million in outstanding principal, approximately $0.5 million in interest accrued thereon, and a prepayment fee of $1.4 million. The Company also used a portion of the proceeds of the Offering to repurchase the 2,330 shares of Series E Preferred Stock that had been issued to South Ocean for $2.4 million.</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Term Loan bore interest at a rate per annum equal to the three-month LIBOR, but in no event less than 1.00%, plus 7.625%.</w:t>
      </w:r>
    </w:p>
    <w:p>
      <w:pPr>
        <w:spacing w:after="0" w:line="200" w:lineRule="exact"/>
        <w:rPr>
          <w:sz w:val="20"/>
          <w:szCs w:val="20"/>
          <w:color w:val="auto"/>
        </w:rPr>
      </w:pPr>
    </w:p>
    <w:p>
      <w:pPr>
        <w:spacing w:after="0" w:line="3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385"/>
        <w:spacing w:after="0" w:line="245" w:lineRule="auto"/>
        <w:rPr>
          <w:sz w:val="20"/>
          <w:szCs w:val="20"/>
          <w:color w:val="auto"/>
        </w:rPr>
      </w:pPr>
      <w:r>
        <w:rPr>
          <w:rFonts w:ascii="Arial" w:cs="Arial" w:eastAsia="Arial" w:hAnsi="Arial"/>
          <w:sz w:val="18"/>
          <w:szCs w:val="18"/>
          <w:color w:val="auto"/>
        </w:rPr>
        <w:t>The effective interest rate was 15.19% for the six months ended June 30, 2020. The following table sets forth total interest expense recognized related to the Term Loan (in thousands):</w:t>
      </w:r>
    </w:p>
    <w:tbl>
      <w:tblPr>
        <w:tblLayout w:type="fixed"/>
        <w:tblInd w:w="0" w:type="dxa"/>
        <w:tblCellMar>
          <w:top w:w="0" w:type="dxa"/>
          <w:left w:w="0" w:type="dxa"/>
          <w:bottom w:w="0" w:type="dxa"/>
          <w:right w:w="0" w:type="dxa"/>
        </w:tblCellMar>
      </w:tblPr>
      <w:tr>
        <w:trPr>
          <w:trHeight w:val="141"/>
        </w:trPr>
        <w:tc>
          <w:tcPr>
            <w:tcW w:w="7300" w:type="dxa"/>
            <w:vAlign w:val="bottom"/>
          </w:tcPr>
          <w:p>
            <w:pPr>
              <w:spacing w:after="0"/>
              <w:rPr>
                <w:sz w:val="12"/>
                <w:szCs w:val="12"/>
                <w:color w:val="auto"/>
              </w:rPr>
            </w:pPr>
          </w:p>
        </w:tc>
        <w:tc>
          <w:tcPr>
            <w:tcW w:w="1700" w:type="dxa"/>
            <w:vAlign w:val="bottom"/>
            <w:gridSpan w:val="6"/>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Three Months Ended</w:t>
            </w:r>
          </w:p>
        </w:tc>
        <w:tc>
          <w:tcPr>
            <w:tcW w:w="1600" w:type="dxa"/>
            <w:vAlign w:val="bottom"/>
            <w:gridSpan w:val="6"/>
          </w:tcPr>
          <w:p>
            <w:pPr>
              <w:jc w:val="right"/>
              <w:ind w:right="3"/>
              <w:spacing w:after="0" w:line="141" w:lineRule="exact"/>
              <w:rPr>
                <w:sz w:val="20"/>
                <w:szCs w:val="20"/>
                <w:color w:val="auto"/>
              </w:rPr>
            </w:pPr>
            <w:r>
              <w:rPr>
                <w:rFonts w:ascii="Arial" w:cs="Arial" w:eastAsia="Arial" w:hAnsi="Arial"/>
                <w:sz w:val="14"/>
                <w:szCs w:val="14"/>
                <w:b w:val="1"/>
                <w:bCs w:val="1"/>
                <w:color w:val="auto"/>
                <w:w w:val="94"/>
              </w:rPr>
              <w:t>Six Months Ended June</w:t>
            </w:r>
          </w:p>
        </w:tc>
      </w:tr>
      <w:tr>
        <w:trPr>
          <w:trHeight w:val="183"/>
        </w:trPr>
        <w:tc>
          <w:tcPr>
            <w:tcW w:w="73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1"/>
              </w:rPr>
              <w:t>30,</w:t>
            </w:r>
          </w:p>
        </w:tc>
        <w:tc>
          <w:tcPr>
            <w:tcW w:w="580" w:type="dxa"/>
            <w:vAlign w:val="bottom"/>
            <w:tcBorders>
              <w:bottom w:val="single" w:sz="8" w:color="auto"/>
            </w:tcBorders>
          </w:tcPr>
          <w:p>
            <w:pPr>
              <w:spacing w:after="0"/>
              <w:rPr>
                <w:sz w:val="15"/>
                <w:szCs w:val="15"/>
                <w:color w:val="auto"/>
              </w:rPr>
            </w:pPr>
          </w:p>
        </w:tc>
      </w:tr>
      <w:tr>
        <w:trPr>
          <w:trHeight w:val="177"/>
        </w:trPr>
        <w:tc>
          <w:tcPr>
            <w:tcW w:w="73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2020</w:t>
            </w:r>
          </w:p>
        </w:tc>
      </w:tr>
      <w:tr>
        <w:trPr>
          <w:trHeight w:val="204"/>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9"/>
              </w:rPr>
              <w:t>—</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w:t>
            </w:r>
          </w:p>
        </w:tc>
      </w:tr>
      <w:tr>
        <w:trPr>
          <w:trHeight w:val="207"/>
        </w:trPr>
        <w:tc>
          <w:tcPr>
            <w:tcW w:w="730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52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tcPr>
          <w:p>
            <w:pPr>
              <w:jc w:val="right"/>
              <w:ind w:right="3"/>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ind w:left="36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859</w:t>
            </w: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5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06"/>
        </w:trPr>
        <w:tc>
          <w:tcPr>
            <w:tcW w:w="730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520" w:type="dxa"/>
            <w:vAlign w:val="bottom"/>
          </w:tcPr>
          <w:p>
            <w:pPr>
              <w:jc w:val="right"/>
              <w:ind w:right="368"/>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ind w:left="360"/>
              <w:spacing w:after="0"/>
              <w:rPr>
                <w:sz w:val="20"/>
                <w:szCs w:val="20"/>
                <w:color w:val="auto"/>
              </w:rPr>
            </w:pPr>
            <w:r>
              <w:rPr>
                <w:rFonts w:ascii="Arial" w:cs="Arial" w:eastAsia="Arial" w:hAnsi="Arial"/>
                <w:sz w:val="16"/>
                <w:szCs w:val="16"/>
                <w:color w:val="auto"/>
                <w:w w:val="99"/>
              </w:rPr>
              <w:t>—</w:t>
            </w: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2,629</w:t>
            </w:r>
          </w:p>
        </w:tc>
      </w:tr>
      <w:tr>
        <w:trPr>
          <w:trHeight w:val="20"/>
        </w:trPr>
        <w:tc>
          <w:tcPr>
            <w:tcW w:w="7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On May 12, 2020, the Company completed its registered public Offering of $100.0 million aggregate principal amount of 2025 Notes.</w:t>
      </w:r>
    </w:p>
    <w:p>
      <w:pPr>
        <w:spacing w:after="0" w:line="226" w:lineRule="exact"/>
        <w:rPr>
          <w:sz w:val="20"/>
          <w:szCs w:val="20"/>
          <w:color w:val="auto"/>
        </w:rPr>
      </w:pPr>
    </w:p>
    <w:p>
      <w:pPr>
        <w:ind w:right="40" w:firstLine="394"/>
        <w:spacing w:after="0" w:line="266" w:lineRule="auto"/>
        <w:rPr>
          <w:sz w:val="20"/>
          <w:szCs w:val="20"/>
          <w:color w:val="auto"/>
        </w:rPr>
      </w:pPr>
      <w:r>
        <w:rPr>
          <w:rFonts w:ascii="Arial" w:cs="Arial" w:eastAsia="Arial" w:hAnsi="Arial"/>
          <w:sz w:val="16"/>
          <w:szCs w:val="16"/>
          <w:color w:val="auto"/>
        </w:rPr>
        <w:t>On May 12, 2020, the Company also entered into separate privately-negotiated Exchange Agreements with certain holders of the 2022 Notes. Pursuant to the Exchange Agreements, these noteholders agreed to exchange the 2022 Notes that they held (representing an aggregate of $45.0 million principal amount of 2022 Notes with an estimated fair value of approximately $112.4 million as of the date of exchange) for an aggregate of $32.0 million in cash and $80.4 million principal amount of 2025 Notes in private placement transactions that closed concurrently with the registered Offering. In connection therewith, the Company recorded a loss of $67.2 million on debt conversion and extinguishment, net in the condensed consolidated statement of operations. The 2025 Notes issued in the Private Exchange Transactions are part of the same series as the 2025 Notes issued in the registered Offering.</w:t>
      </w:r>
    </w:p>
    <w:p>
      <w:pPr>
        <w:spacing w:after="0" w:line="181" w:lineRule="exact"/>
        <w:rPr>
          <w:sz w:val="20"/>
          <w:szCs w:val="20"/>
          <w:color w:val="auto"/>
        </w:rPr>
      </w:pPr>
    </w:p>
    <w:p>
      <w:pPr>
        <w:ind w:right="40" w:firstLine="394"/>
        <w:spacing w:after="0" w:line="212" w:lineRule="auto"/>
        <w:rPr>
          <w:sz w:val="20"/>
          <w:szCs w:val="20"/>
          <w:color w:val="auto"/>
        </w:rPr>
      </w:pPr>
      <w:r>
        <w:rPr>
          <w:rFonts w:ascii="Arial" w:cs="Arial" w:eastAsia="Arial" w:hAnsi="Arial"/>
          <w:sz w:val="18"/>
          <w:szCs w:val="18"/>
          <w:color w:val="auto"/>
        </w:rPr>
        <w:t>During the three months ended March 31, 2021, certain holders of the 2025 Notes converted an aggregate of approximately $5.0 million in principal amount of the 2025 Notes into 428,669 shares of the Company’s common stock, including 32,221 shares of common stock issued in satisfaction of the interest make-whole payment. In connection therewith, the Company recorded a loss of $0.4 million on debt conversion, net in the condensed consolidated statement of operations.</w:t>
      </w:r>
    </w:p>
    <w:p>
      <w:pPr>
        <w:spacing w:after="0" w:line="201" w:lineRule="exact"/>
        <w:rPr>
          <w:sz w:val="20"/>
          <w:szCs w:val="20"/>
          <w:color w:val="auto"/>
        </w:rPr>
      </w:pPr>
    </w:p>
    <w:p>
      <w:pPr>
        <w:ind w:right="200" w:firstLine="394"/>
        <w:spacing w:after="0" w:line="238" w:lineRule="auto"/>
        <w:rPr>
          <w:sz w:val="20"/>
          <w:szCs w:val="20"/>
          <w:color w:val="auto"/>
        </w:rPr>
      </w:pPr>
      <w:r>
        <w:rPr>
          <w:rFonts w:ascii="Arial" w:cs="Arial" w:eastAsia="Arial" w:hAnsi="Arial"/>
          <w:sz w:val="18"/>
          <w:szCs w:val="18"/>
          <w:color w:val="auto"/>
        </w:rPr>
        <w:t>The 2025 Notes are issued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the Company and the Trustee.</w:t>
      </w:r>
    </w:p>
    <w:p>
      <w:pPr>
        <w:spacing w:after="0" w:line="211" w:lineRule="exact"/>
        <w:rPr>
          <w:sz w:val="20"/>
          <w:szCs w:val="20"/>
          <w:color w:val="auto"/>
        </w:rPr>
      </w:pPr>
    </w:p>
    <w:p>
      <w:pPr>
        <w:ind w:right="180" w:firstLine="394"/>
        <w:spacing w:after="0" w:line="238" w:lineRule="auto"/>
        <w:rPr>
          <w:sz w:val="20"/>
          <w:szCs w:val="20"/>
          <w:color w:val="auto"/>
        </w:rPr>
      </w:pPr>
      <w:r>
        <w:rPr>
          <w:rFonts w:ascii="Arial" w:cs="Arial" w:eastAsia="Arial" w:hAnsi="Arial"/>
          <w:sz w:val="18"/>
          <w:szCs w:val="18"/>
          <w:color w:val="auto"/>
        </w:rPr>
        <w:t>The 2025 Notes will mature on May 1, 2025, unless earlier repurchased, redeemed or converted. The 2025 Notes are senior unsecured obligations of the Company and bear interest at an annual rate of 3.25%, payable semi-annually in arrears on May 1 and November 1 of each year, beginning on November 1, 2020.</w:t>
      </w:r>
    </w:p>
    <w:p>
      <w:pPr>
        <w:spacing w:after="0" w:line="211" w:lineRule="exact"/>
        <w:rPr>
          <w:sz w:val="20"/>
          <w:szCs w:val="20"/>
          <w:color w:val="auto"/>
        </w:rPr>
      </w:pPr>
    </w:p>
    <w:p>
      <w:pPr>
        <w:ind w:right="60" w:firstLine="394"/>
        <w:spacing w:after="0" w:line="235" w:lineRule="auto"/>
        <w:rPr>
          <w:sz w:val="20"/>
          <w:szCs w:val="20"/>
          <w:color w:val="auto"/>
        </w:rPr>
      </w:pPr>
      <w:r>
        <w:rPr>
          <w:rFonts w:ascii="Arial" w:cs="Arial" w:eastAsia="Arial" w:hAnsi="Arial"/>
          <w:sz w:val="18"/>
          <w:szCs w:val="18"/>
          <w:color w:val="auto"/>
        </w:rPr>
        <w:t>Holders of the 2025 Notes may convert the 2025 Notes into shares of the Company’s common stock (together with cash in lieu of any fractional share), at their option, at any time until the close of business on the scheduled trading day immediately before the maturity date. Upon conversion of the 2025 Notes, the Company will deliver for each $1,000 principal amount of 2025 Notes converted a number of shares of common stock (together with cash in lieu of any fractional share), equal to the conversion rate.</w:t>
      </w:r>
    </w:p>
    <w:p>
      <w:pPr>
        <w:spacing w:after="0" w:line="213" w:lineRule="exact"/>
        <w:rPr>
          <w:sz w:val="20"/>
          <w:szCs w:val="20"/>
          <w:color w:val="auto"/>
        </w:rPr>
      </w:pPr>
    </w:p>
    <w:p>
      <w:pPr>
        <w:ind w:right="40" w:firstLine="394"/>
        <w:spacing w:after="0" w:line="296" w:lineRule="auto"/>
        <w:rPr>
          <w:sz w:val="20"/>
          <w:szCs w:val="20"/>
          <w:color w:val="auto"/>
        </w:rPr>
      </w:pPr>
      <w:r>
        <w:rPr>
          <w:rFonts w:ascii="Arial" w:cs="Arial" w:eastAsia="Arial" w:hAnsi="Arial"/>
          <w:sz w:val="15"/>
          <w:szCs w:val="15"/>
          <w:color w:val="auto"/>
        </w:rPr>
        <w:t>The initial conversion rate for the 2025 Notes is 79.2896 shares of common stock per $1,000 principal amount of 2025 Notes, which represents an initial conversion price of approximately $12.61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173" w:lineRule="exact"/>
        <w:rPr>
          <w:sz w:val="20"/>
          <w:szCs w:val="20"/>
          <w:color w:val="auto"/>
        </w:rPr>
      </w:pPr>
    </w:p>
    <w:p>
      <w:pPr>
        <w:ind w:right="460" w:firstLine="394"/>
        <w:spacing w:after="0" w:line="245" w:lineRule="auto"/>
        <w:rPr>
          <w:sz w:val="20"/>
          <w:szCs w:val="20"/>
          <w:color w:val="auto"/>
        </w:rPr>
      </w:pPr>
      <w:r>
        <w:rPr>
          <w:rFonts w:ascii="Arial" w:cs="Arial" w:eastAsia="Arial" w:hAnsi="Arial"/>
          <w:sz w:val="18"/>
          <w:szCs w:val="18"/>
          <w:color w:val="auto"/>
        </w:rPr>
        <w:t>If a fundamental change (as defined in the Indenture) occurs at any time prior to the maturity date, then the noteholders may require the Company to repurchase their 2025 Notes at a cash repurchase price equal to the principal amount of the 2025</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0"/>
        <w:spacing w:after="0" w:line="361" w:lineRule="auto"/>
        <w:rPr>
          <w:sz w:val="20"/>
          <w:szCs w:val="20"/>
          <w:color w:val="auto"/>
        </w:rPr>
      </w:pPr>
      <w:r>
        <w:rPr>
          <w:rFonts w:ascii="Arial" w:cs="Arial" w:eastAsia="Arial" w:hAnsi="Arial"/>
          <w:sz w:val="15"/>
          <w:szCs w:val="15"/>
          <w:color w:val="auto"/>
        </w:rPr>
        <w:t>Notes to be repurchased, plus accrued and unpaid interest, if any, to, but excluding, the fundamental change repurchase date. If a make-whole fundamental change (as defined in the Indenture) occurs, then the Company will in certain circumstances increase the conversion rate for a specified period of time.</w:t>
      </w:r>
    </w:p>
    <w:p>
      <w:pPr>
        <w:spacing w:after="0" w:line="124" w:lineRule="exact"/>
        <w:rPr>
          <w:sz w:val="20"/>
          <w:szCs w:val="20"/>
          <w:color w:val="auto"/>
        </w:rPr>
      </w:pPr>
    </w:p>
    <w:p>
      <w:pPr>
        <w:ind w:firstLine="394"/>
        <w:spacing w:after="0" w:line="233" w:lineRule="auto"/>
        <w:rPr>
          <w:sz w:val="20"/>
          <w:szCs w:val="20"/>
          <w:color w:val="auto"/>
        </w:rPr>
      </w:pPr>
      <w:r>
        <w:rPr>
          <w:rFonts w:ascii="Arial" w:cs="Arial" w:eastAsia="Arial" w:hAnsi="Arial"/>
          <w:sz w:val="18"/>
          <w:szCs w:val="18"/>
          <w:color w:val="auto"/>
        </w:rPr>
        <w:t>The 2025 Notes will be redeemable, in whole or in part, at the Company’s option at any time, and from time to time, on or after May 6, 2023 and on or before the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w:t>
      </w:r>
    </w:p>
    <w:p>
      <w:pPr>
        <w:spacing w:after="0" w:line="212" w:lineRule="exact"/>
        <w:rPr>
          <w:sz w:val="20"/>
          <w:szCs w:val="20"/>
          <w:color w:val="auto"/>
        </w:rPr>
      </w:pPr>
    </w:p>
    <w:p>
      <w:pPr>
        <w:ind w:right="20" w:firstLine="394"/>
        <w:spacing w:after="0" w:line="263" w:lineRule="auto"/>
        <w:rPr>
          <w:sz w:val="20"/>
          <w:szCs w:val="20"/>
          <w:color w:val="auto"/>
        </w:rPr>
      </w:pPr>
      <w:r>
        <w:rPr>
          <w:rFonts w:ascii="Arial" w:cs="Arial" w:eastAsia="Arial" w:hAnsi="Arial"/>
          <w:sz w:val="16"/>
          <w:szCs w:val="16"/>
          <w:color w:val="auto"/>
        </w:rPr>
        <w:t>The Indenture contains customary events of default. If an event of default (other than certain events of bankruptcy, insolvency or reorganization involving the Company) occurs and is continuing, the Trustee, by notice to the Company, or the holders of the 2025 Notes representing at least 25% in aggregate principal amount of the outstanding 2025 Notes, by notice to the Company and the Trustee, may declare 100% of the principal of, and all accrued and unpaid interest on, all of the then outstanding 2025 Notes to be due and payable immediately. Upon the occurrence of certain events of bankruptcy, insolvency or reorganization involving the Company, 100% of the principal of, and all accrued and unpaid interest on, all of the then outstanding 2025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Notes.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make-whole payment</w:t>
      </w:r>
    </w:p>
    <w:p>
      <w:pPr>
        <w:spacing w:after="0" w:line="226" w:lineRule="exact"/>
        <w:rPr>
          <w:sz w:val="20"/>
          <w:szCs w:val="20"/>
          <w:color w:val="auto"/>
        </w:rPr>
      </w:pPr>
    </w:p>
    <w:p>
      <w:pPr>
        <w:ind w:right="80" w:firstLine="394"/>
        <w:spacing w:after="0" w:line="280" w:lineRule="auto"/>
        <w:rPr>
          <w:sz w:val="20"/>
          <w:szCs w:val="20"/>
          <w:color w:val="auto"/>
        </w:rPr>
      </w:pPr>
      <w:r>
        <w:rPr>
          <w:rFonts w:ascii="Arial" w:cs="Arial" w:eastAsia="Arial" w:hAnsi="Arial"/>
          <w:sz w:val="15"/>
          <w:szCs w:val="15"/>
          <w:color w:val="auto"/>
        </w:rPr>
        <w:t>The 2025 Notes also include an interest make-whole payment feature whereby if the last reported sale price of the Company’s common stock for each of the five trading days immediately preceding a conversion date is greater than or equal to $10.51, the Company will, in addition to the other consideration payable or deliverable in connection with such conversion, make an interest make-whole payment to the converting holder equal to the sum of the present values of the scheduled payments of interest that would have been made on the 2025 Notes to be converted had such notes remained outstanding from the conversion date through the earlier of (i) the date that is three years after the conversion date and (ii) the maturity date. The present values will be computed using a discount rate equal to 1%. The Company will satisfy its obligation to pay the interest make-whole payment, at its election, in cash or shares of common</w:t>
      </w:r>
    </w:p>
    <w:p>
      <w:pPr>
        <w:ind w:right="60"/>
        <w:spacing w:after="0" w:line="244" w:lineRule="auto"/>
        <w:rPr>
          <w:sz w:val="20"/>
          <w:szCs w:val="20"/>
          <w:color w:val="auto"/>
        </w:rPr>
      </w:pPr>
      <w:r>
        <w:rPr>
          <w:rFonts w:ascii="Arial" w:cs="Arial" w:eastAsia="Arial" w:hAnsi="Arial"/>
          <w:sz w:val="18"/>
          <w:szCs w:val="18"/>
          <w:color w:val="auto"/>
        </w:rPr>
        <w:t>stock (together with cash in lieu of fractional shares). The Company has determined that this feature is an embedded derivative and has recognized the fair value of this derivative as a liability in the condensed consolidated balance sheets, with subsequent changes to fair value to be recorded at each reporting period on the condensed consolidated statement of operations in other income, net.</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June 30, 2021, $161.9 million in principal amount of the 2025 Notes were outstanding, $80.4 million of which were held by related parties.</w:t>
      </w:r>
    </w:p>
    <w:p>
      <w:pPr>
        <w:spacing w:after="0" w:line="2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2025 Notes consist of the following (in thousands):</w:t>
      </w:r>
    </w:p>
    <w:tbl>
      <w:tblPr>
        <w:tblLayout w:type="fixed"/>
        <w:tblInd w:w="0" w:type="dxa"/>
        <w:tblCellMar>
          <w:top w:w="0" w:type="dxa"/>
          <w:left w:w="0" w:type="dxa"/>
          <w:bottom w:w="0" w:type="dxa"/>
          <w:right w:w="0" w:type="dxa"/>
        </w:tblCellMar>
      </w:tblPr>
      <w:tr>
        <w:trPr>
          <w:trHeight w:val="147"/>
        </w:trPr>
        <w:tc>
          <w:tcPr>
            <w:tcW w:w="8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2"/>
                <w:szCs w:val="12"/>
                <w:color w:val="auto"/>
              </w:rPr>
            </w:pPr>
          </w:p>
        </w:tc>
        <w:tc>
          <w:tcPr>
            <w:tcW w:w="1040" w:type="dxa"/>
            <w:vAlign w:val="bottom"/>
          </w:tcPr>
          <w:p>
            <w:pPr>
              <w:jc w:val="right"/>
              <w:ind w:right="104"/>
              <w:spacing w:after="0" w:line="147" w:lineRule="exact"/>
              <w:rPr>
                <w:sz w:val="20"/>
                <w:szCs w:val="20"/>
                <w:color w:val="auto"/>
              </w:rPr>
            </w:pPr>
            <w:r>
              <w:rPr>
                <w:rFonts w:ascii="Arial" w:cs="Arial" w:eastAsia="Arial" w:hAnsi="Arial"/>
                <w:sz w:val="14"/>
                <w:szCs w:val="14"/>
                <w:b w:val="1"/>
                <w:bCs w:val="1"/>
                <w:color w:val="auto"/>
                <w:w w:val="92"/>
              </w:rPr>
              <w:t>December 31,</w:t>
            </w:r>
          </w:p>
        </w:tc>
      </w:tr>
      <w:tr>
        <w:trPr>
          <w:trHeight w:val="183"/>
        </w:trPr>
        <w:tc>
          <w:tcPr>
            <w:tcW w:w="8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r>
      <w:tr>
        <w:trPr>
          <w:trHeight w:val="188"/>
        </w:trPr>
        <w:tc>
          <w:tcPr>
            <w:tcW w:w="8180" w:type="dxa"/>
            <w:vAlign w:val="bottom"/>
          </w:tcPr>
          <w:p>
            <w:pPr>
              <w:ind w:left="20"/>
              <w:spacing w:after="0"/>
              <w:rPr>
                <w:sz w:val="20"/>
                <w:szCs w:val="20"/>
                <w:color w:val="auto"/>
              </w:rPr>
            </w:pPr>
            <w:r>
              <w:rPr>
                <w:rFonts w:ascii="Arial" w:cs="Arial" w:eastAsia="Arial" w:hAnsi="Arial"/>
                <w:sz w:val="16"/>
                <w:szCs w:val="16"/>
                <w:color w:val="auto"/>
              </w:rPr>
              <w:t>Liability component</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166,898</w:t>
            </w:r>
          </w:p>
        </w:tc>
      </w:tr>
      <w:tr>
        <w:trPr>
          <w:trHeight w:val="207"/>
        </w:trPr>
        <w:tc>
          <w:tcPr>
            <w:tcW w:w="8180" w:type="dxa"/>
            <w:vAlign w:val="bottom"/>
          </w:tcPr>
          <w:p>
            <w:pPr>
              <w:ind w:left="20"/>
              <w:spacing w:after="0"/>
              <w:rPr>
                <w:sz w:val="20"/>
                <w:szCs w:val="20"/>
                <w:color w:val="auto"/>
              </w:rPr>
            </w:pPr>
            <w:r>
              <w:rPr>
                <w:rFonts w:ascii="Arial" w:cs="Arial" w:eastAsia="Arial" w:hAnsi="Arial"/>
                <w:sz w:val="16"/>
                <w:szCs w:val="16"/>
                <w:color w:val="auto"/>
              </w:rPr>
              <w:t>Add: fair value of embedded derivative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4,898</w:t>
            </w: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discount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issuance costs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(2,946)</w:t>
            </w: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165,147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00" w:firstLine="394"/>
        <w:spacing w:after="0" w:line="245" w:lineRule="auto"/>
        <w:rPr>
          <w:sz w:val="20"/>
          <w:szCs w:val="20"/>
          <w:color w:val="auto"/>
        </w:rPr>
      </w:pPr>
      <w:r>
        <w:rPr>
          <w:rFonts w:ascii="Arial" w:cs="Arial" w:eastAsia="Arial" w:hAnsi="Arial"/>
          <w:sz w:val="18"/>
          <w:szCs w:val="18"/>
          <w:color w:val="auto"/>
        </w:rPr>
        <w:t>The effective interest rate on the liability component of the 2025 Notes was 4.16% for the six months ended June 30, 2021. The following table sets forth total interest expense recognized related to the 2025 Notes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gridSpan w:val="6"/>
          </w:tcPr>
          <w:p>
            <w:pPr>
              <w:jc w:val="right"/>
              <w:ind w:right="3"/>
              <w:spacing w:after="0"/>
              <w:rPr>
                <w:sz w:val="20"/>
                <w:szCs w:val="20"/>
                <w:color w:val="auto"/>
              </w:rPr>
            </w:pPr>
            <w:r>
              <w:rPr>
                <w:rFonts w:ascii="Arial" w:cs="Arial" w:eastAsia="Arial" w:hAnsi="Arial"/>
                <w:sz w:val="14"/>
                <w:szCs w:val="14"/>
                <w:b w:val="1"/>
                <w:bCs w:val="1"/>
                <w:color w:val="auto"/>
                <w:w w:val="94"/>
              </w:rPr>
              <w:t>Six Months Ended June</w:t>
            </w:r>
          </w:p>
        </w:tc>
      </w:tr>
      <w:tr>
        <w:trPr>
          <w:trHeight w:val="183"/>
        </w:trPr>
        <w:tc>
          <w:tcPr>
            <w:tcW w:w="7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1"/>
              </w:rPr>
              <w:t>30,</w:t>
            </w:r>
          </w:p>
        </w:tc>
        <w:tc>
          <w:tcPr>
            <w:tcW w:w="580" w:type="dxa"/>
            <w:vAlign w:val="bottom"/>
            <w:tcBorders>
              <w:bottom w:val="single" w:sz="8" w:color="auto"/>
            </w:tcBorders>
          </w:tcPr>
          <w:p>
            <w:pPr>
              <w:spacing w:after="0"/>
              <w:rPr>
                <w:sz w:val="15"/>
                <w:szCs w:val="15"/>
                <w:color w:val="auto"/>
              </w:rPr>
            </w:pPr>
          </w:p>
        </w:tc>
      </w:tr>
      <w:tr>
        <w:trPr>
          <w:trHeight w:val="177"/>
        </w:trPr>
        <w:tc>
          <w:tcPr>
            <w:tcW w:w="73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4"/>
                <w:szCs w:val="14"/>
                <w:b w:val="1"/>
                <w:bCs w:val="1"/>
                <w:color w:val="auto"/>
              </w:rPr>
              <w:t>2020</w:t>
            </w:r>
          </w:p>
        </w:tc>
      </w:tr>
      <w:tr>
        <w:trPr>
          <w:trHeight w:val="200"/>
        </w:trPr>
        <w:tc>
          <w:tcPr>
            <w:tcW w:w="7300" w:type="dxa"/>
            <w:vAlign w:val="bottom"/>
          </w:tcPr>
          <w:p>
            <w:pPr>
              <w:ind w:left="20"/>
              <w:spacing w:after="0"/>
              <w:rPr>
                <w:sz w:val="20"/>
                <w:szCs w:val="20"/>
                <w:color w:val="auto"/>
              </w:rPr>
            </w:pPr>
            <w:r>
              <w:rPr>
                <w:rFonts w:ascii="Arial" w:cs="Arial" w:eastAsia="Arial" w:hAnsi="Arial"/>
                <w:sz w:val="16"/>
                <w:szCs w:val="16"/>
                <w:color w:val="auto"/>
              </w:rPr>
              <w:t>Contractual interest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1,315</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2,584</w:t>
            </w: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1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07"/>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22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26" w:lineRule="exact"/>
        <w:rPr>
          <w:sz w:val="20"/>
          <w:szCs w:val="20"/>
          <w:color w:val="auto"/>
        </w:rPr>
      </w:pPr>
    </w:p>
    <w:p>
      <w:pPr>
        <w:ind w:right="40" w:firstLine="394"/>
        <w:spacing w:after="0" w:line="306" w:lineRule="auto"/>
        <w:rPr>
          <w:sz w:val="20"/>
          <w:szCs w:val="20"/>
          <w:color w:val="auto"/>
        </w:rPr>
      </w:pPr>
      <w:r>
        <w:rPr>
          <w:rFonts w:ascii="Arial" w:cs="Arial" w:eastAsia="Arial" w:hAnsi="Arial"/>
          <w:sz w:val="16"/>
          <w:szCs w:val="16"/>
          <w:color w:val="auto"/>
        </w:rPr>
        <w:t>On January 9, 2017, in connection with the settlement of an exchange offer and consent solicitation with respect to the 5.50% convertible senior notes due 2020 (the “Novatel Wireless Notes”), the Company issued approximately $119.8 million aggregate principal amount of 2022 Notes.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During the three months ended March 31, 2020, the Company entered into privately-negotiated exchange agreements with certain investors holding the</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 xml:space="preserve">2022 Notes. Pursuant to those exchange agreements, the investors exchanged $59.9 million in aggregate principal amount of outstanding 2022 Notes for 13,688,876 shares of common stock. The investors that participated in such exchange agreements agreed to waive any accrued but unpaid interest on the exchanged 2022 Notes. Included in the 13,688,876 shares of common stock issued in the exchange transactions that took place during the three months ended March 31, 2020 were 942,706 shares valued at $7.9 million on the date of issuance at fair value, which were issued pursuant to the terms of the privately-negotiated exchange agreements and were in excess of the consideration issuable under the original conversion terms of the exchanged 2022 Notes. ASC 470, </w:t>
      </w:r>
      <w:r>
        <w:rPr>
          <w:rFonts w:ascii="Arial" w:cs="Arial" w:eastAsia="Arial" w:hAnsi="Arial"/>
          <w:sz w:val="16"/>
          <w:szCs w:val="16"/>
          <w:i w:val="1"/>
          <w:iCs w:val="1"/>
          <w:color w:val="auto"/>
        </w:rPr>
        <w:t>Debt</w:t>
      </w:r>
      <w:r>
        <w:rPr>
          <w:rFonts w:ascii="Arial" w:cs="Arial" w:eastAsia="Arial" w:hAnsi="Arial"/>
          <w:sz w:val="16"/>
          <w:szCs w:val="16"/>
          <w:color w:val="auto"/>
        </w:rPr>
        <w:t>, requires the recognition through earnings of an inducement charge equal to the fair value of the consideration delivered in excess of the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issuable under the original conversion terms. This resulted in a non-cash charge of $7.9 million for the three months ended March 31, 2020, which was recorded as inducement expense in the condensed consolidated statement of operations.</w:t>
      </w:r>
    </w:p>
    <w:p>
      <w:pPr>
        <w:spacing w:after="0" w:line="197" w:lineRule="exact"/>
        <w:rPr>
          <w:sz w:val="20"/>
          <w:szCs w:val="20"/>
          <w:color w:val="auto"/>
        </w:rPr>
      </w:pPr>
    </w:p>
    <w:p>
      <w:pPr>
        <w:jc w:val="both"/>
        <w:ind w:right="160" w:firstLine="394"/>
        <w:spacing w:after="0" w:line="235" w:lineRule="auto"/>
        <w:rPr>
          <w:sz w:val="20"/>
          <w:szCs w:val="20"/>
          <w:color w:val="auto"/>
        </w:rPr>
      </w:pPr>
      <w:r>
        <w:rPr>
          <w:rFonts w:ascii="Arial" w:cs="Arial" w:eastAsia="Arial" w:hAnsi="Arial"/>
          <w:sz w:val="18"/>
          <w:szCs w:val="18"/>
          <w:color w:val="auto"/>
        </w:rPr>
        <w:t>Pursuant to the Private Exchange Transactions described above, on May 12, 2020, the holders of an aggregate of $45.0 million principal amount of 2022 Notes exchanged their 2022 Notes for a combination of 2025 Notes and cash. As a result of the Private Exchange Transactions, $2,000 in principal amount of the 2022 Notes were outstanding as of June 30, 2020. On July 22, 2020, pursuant to a redemption notice issued on May 15, 2020, the Company redeemed the remaining $2,000 principal amount of the 2022 Notes.</w:t>
      </w:r>
    </w:p>
    <w:p>
      <w:pPr>
        <w:spacing w:after="0" w:line="200" w:lineRule="exact"/>
        <w:rPr>
          <w:sz w:val="20"/>
          <w:szCs w:val="20"/>
          <w:color w:val="auto"/>
        </w:rPr>
      </w:pPr>
    </w:p>
    <w:p>
      <w:pPr>
        <w:ind w:firstLine="394"/>
        <w:spacing w:after="0" w:line="227" w:lineRule="auto"/>
        <w:rPr>
          <w:sz w:val="20"/>
          <w:szCs w:val="20"/>
          <w:color w:val="auto"/>
        </w:rPr>
      </w:pPr>
      <w:r>
        <w:rPr>
          <w:rFonts w:ascii="Arial" w:cs="Arial" w:eastAsia="Arial" w:hAnsi="Arial"/>
          <w:sz w:val="18"/>
          <w:szCs w:val="18"/>
          <w:color w:val="auto"/>
        </w:rPr>
        <w:t>The effective interest rate on the liability component of the 2022 Notes was 12.89% for the six months ended June 30, 2020. The following table sets forth total interest expense recognized related to the 2022 Notes (in thousands):</w:t>
      </w:r>
    </w:p>
    <w:tbl>
      <w:tblPr>
        <w:tblLayout w:type="fixed"/>
        <w:tblInd w:w="0" w:type="dxa"/>
        <w:tblCellMar>
          <w:top w:w="0" w:type="dxa"/>
          <w:left w:w="0" w:type="dxa"/>
          <w:bottom w:w="0" w:type="dxa"/>
          <w:right w:w="0" w:type="dxa"/>
        </w:tblCellMar>
      </w:tblPr>
      <w:tr>
        <w:trPr>
          <w:trHeight w:val="133"/>
        </w:trPr>
        <w:tc>
          <w:tcPr>
            <w:tcW w:w="7300" w:type="dxa"/>
            <w:vAlign w:val="bottom"/>
          </w:tcPr>
          <w:p>
            <w:pPr>
              <w:spacing w:after="0"/>
              <w:rPr>
                <w:sz w:val="11"/>
                <w:szCs w:val="11"/>
                <w:color w:val="auto"/>
              </w:rPr>
            </w:pPr>
          </w:p>
        </w:tc>
        <w:tc>
          <w:tcPr>
            <w:tcW w:w="1700" w:type="dxa"/>
            <w:vAlign w:val="bottom"/>
            <w:gridSpan w:val="6"/>
          </w:tcPr>
          <w:p>
            <w:pPr>
              <w:jc w:val="center"/>
              <w:ind w:right="120"/>
              <w:spacing w:after="0" w:line="133" w:lineRule="exact"/>
              <w:rPr>
                <w:sz w:val="20"/>
                <w:szCs w:val="20"/>
                <w:color w:val="auto"/>
              </w:rPr>
            </w:pPr>
            <w:r>
              <w:rPr>
                <w:rFonts w:ascii="Arial" w:cs="Arial" w:eastAsia="Arial" w:hAnsi="Arial"/>
                <w:sz w:val="14"/>
                <w:szCs w:val="14"/>
                <w:b w:val="1"/>
                <w:bCs w:val="1"/>
                <w:color w:val="auto"/>
                <w:w w:val="90"/>
              </w:rPr>
              <w:t>Three Months Ended</w:t>
            </w:r>
          </w:p>
        </w:tc>
        <w:tc>
          <w:tcPr>
            <w:tcW w:w="1600" w:type="dxa"/>
            <w:vAlign w:val="bottom"/>
            <w:gridSpan w:val="6"/>
          </w:tcPr>
          <w:p>
            <w:pPr>
              <w:jc w:val="right"/>
              <w:ind w:right="3"/>
              <w:spacing w:after="0" w:line="133" w:lineRule="exact"/>
              <w:rPr>
                <w:sz w:val="20"/>
                <w:szCs w:val="20"/>
                <w:color w:val="auto"/>
              </w:rPr>
            </w:pPr>
            <w:r>
              <w:rPr>
                <w:rFonts w:ascii="Arial" w:cs="Arial" w:eastAsia="Arial" w:hAnsi="Arial"/>
                <w:sz w:val="14"/>
                <w:szCs w:val="14"/>
                <w:b w:val="1"/>
                <w:bCs w:val="1"/>
                <w:color w:val="auto"/>
                <w:w w:val="94"/>
              </w:rPr>
              <w:t>Six Months Ended June</w:t>
            </w:r>
          </w:p>
        </w:tc>
      </w:tr>
      <w:tr>
        <w:trPr>
          <w:trHeight w:val="183"/>
        </w:trPr>
        <w:tc>
          <w:tcPr>
            <w:tcW w:w="73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1"/>
              </w:rPr>
              <w:t>30,</w:t>
            </w:r>
          </w:p>
        </w:tc>
        <w:tc>
          <w:tcPr>
            <w:tcW w:w="580" w:type="dxa"/>
            <w:vAlign w:val="bottom"/>
            <w:tcBorders>
              <w:bottom w:val="single" w:sz="8" w:color="auto"/>
            </w:tcBorders>
          </w:tcPr>
          <w:p>
            <w:pPr>
              <w:spacing w:after="0"/>
              <w:rPr>
                <w:sz w:val="15"/>
                <w:szCs w:val="15"/>
                <w:color w:val="auto"/>
              </w:rPr>
            </w:pPr>
          </w:p>
        </w:tc>
      </w:tr>
      <w:tr>
        <w:trPr>
          <w:trHeight w:val="177"/>
        </w:trPr>
        <w:tc>
          <w:tcPr>
            <w:tcW w:w="73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2020</w:t>
            </w:r>
          </w:p>
        </w:tc>
      </w:tr>
      <w:tr>
        <w:trPr>
          <w:trHeight w:val="204"/>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9"/>
              </w:rPr>
              <w:t>—</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r>
      <w:tr>
        <w:trPr>
          <w:trHeight w:val="207"/>
        </w:trPr>
        <w:tc>
          <w:tcPr>
            <w:tcW w:w="730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52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tcPr>
          <w:p>
            <w:pPr>
              <w:jc w:val="right"/>
              <w:ind w:right="3"/>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ind w:left="36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1,952</w:t>
            </w: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5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06"/>
        </w:trPr>
        <w:tc>
          <w:tcPr>
            <w:tcW w:w="730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520" w:type="dxa"/>
            <w:vAlign w:val="bottom"/>
          </w:tcPr>
          <w:p>
            <w:pPr>
              <w:jc w:val="right"/>
              <w:ind w:right="368"/>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ind w:left="360"/>
              <w:spacing w:after="0"/>
              <w:rPr>
                <w:sz w:val="20"/>
                <w:szCs w:val="20"/>
                <w:color w:val="auto"/>
              </w:rPr>
            </w:pPr>
            <w:r>
              <w:rPr>
                <w:rFonts w:ascii="Arial" w:cs="Arial" w:eastAsia="Arial" w:hAnsi="Arial"/>
                <w:sz w:val="16"/>
                <w:szCs w:val="16"/>
                <w:color w:val="auto"/>
                <w:w w:val="99"/>
              </w:rPr>
              <w:t>—</w:t>
            </w: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2,831</w:t>
            </w:r>
          </w:p>
        </w:tc>
      </w:tr>
      <w:tr>
        <w:trPr>
          <w:trHeight w:val="20"/>
        </w:trPr>
        <w:tc>
          <w:tcPr>
            <w:tcW w:w="7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114" w:lineRule="exact"/>
        <w:rPr>
          <w:sz w:val="20"/>
          <w:szCs w:val="20"/>
          <w:color w:val="auto"/>
        </w:rPr>
      </w:pPr>
    </w:p>
    <w:p>
      <w:pPr>
        <w:ind w:right="40" w:firstLine="394"/>
        <w:spacing w:after="0" w:line="245" w:lineRule="auto"/>
        <w:rPr>
          <w:sz w:val="20"/>
          <w:szCs w:val="20"/>
          <w:color w:val="auto"/>
        </w:rPr>
      </w:pPr>
      <w:r>
        <w:rPr>
          <w:rFonts w:ascii="Arial" w:cs="Arial" w:eastAsia="Arial" w:hAnsi="Arial"/>
          <w:sz w:val="18"/>
          <w:szCs w:val="18"/>
          <w:color w:val="auto"/>
        </w:rPr>
        <w:t>The Company included the following amounts for share-based compensation awards in the unaudited condensed consolidated statements of operations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940" w:type="dxa"/>
            <w:vAlign w:val="bottom"/>
            <w:gridSpan w:val="4"/>
          </w:tcPr>
          <w:p>
            <w:pPr>
              <w:jc w:val="right"/>
              <w:ind w:right="6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64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444"/>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r>
      <w:tr>
        <w:trPr>
          <w:trHeight w:val="198"/>
        </w:trPr>
        <w:tc>
          <w:tcPr>
            <w:tcW w:w="64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r>
      <w:tr>
        <w:trPr>
          <w:trHeight w:val="208"/>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700" w:type="dxa"/>
            <w:vAlign w:val="bottom"/>
            <w:shd w:val="clear" w:color="auto" w:fill="CCEEFF"/>
          </w:tcPr>
          <w:p>
            <w:pPr>
              <w:jc w:val="right"/>
              <w:ind w:right="548"/>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r>
      <w:tr>
        <w:trPr>
          <w:trHeight w:val="207"/>
        </w:trPr>
        <w:tc>
          <w:tcPr>
            <w:tcW w:w="64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7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ind w:right="1"/>
              <w:spacing w:after="0"/>
              <w:rPr>
                <w:sz w:val="20"/>
                <w:szCs w:val="20"/>
                <w:color w:val="auto"/>
              </w:rPr>
            </w:pPr>
            <w:r>
              <w:rPr>
                <w:rFonts w:ascii="Arial" w:cs="Arial" w:eastAsia="Arial" w:hAnsi="Arial"/>
                <w:sz w:val="16"/>
                <w:szCs w:val="16"/>
                <w:color w:val="auto"/>
                <w:w w:val="79"/>
              </w:rPr>
              <w:t>1,510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3,762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1,802</w:t>
            </w: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r>
      <w:tr>
        <w:trPr>
          <w:trHeight w:val="207"/>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79"/>
              </w:rPr>
              <w:t>1,343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w:t>
            </w:r>
          </w:p>
        </w:tc>
      </w:tr>
      <w:tr>
        <w:trPr>
          <w:trHeight w:val="231"/>
        </w:trPr>
        <w:tc>
          <w:tcPr>
            <w:tcW w:w="642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16"/>
                <w:szCs w:val="16"/>
                <w:color w:val="auto"/>
              </w:rPr>
              <w:t>Total</w:t>
            </w:r>
            <w:r>
              <w:rPr>
                <w:rFonts w:ascii="Arial" w:cs="Arial" w:eastAsia="Arial" w:hAnsi="Arial"/>
                <w:sz w:val="20"/>
                <w:szCs w:val="20"/>
                <w:color w:val="auto"/>
                <w:vertAlign w:val="superscript"/>
              </w:rPr>
              <w:t>1</w:t>
            </w:r>
          </w:p>
        </w:tc>
        <w:tc>
          <w:tcPr>
            <w:tcW w:w="70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2,307</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4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79"/>
              </w:rPr>
              <w:t>4,428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During the quarter ended March 31, 2021, the Board of Directors of the Company approved and the Company granted restricted stock units to eligible employees under the 2018 Omnibus Incentive Compensation Plan, previously named the Amended and Restated 2009 Omnibus Incentive Compensation Plan (the “2018 Plan”) that were immediately vested, as fiscal 2020 annual bonus payments. The total charges recorded during the quarter ended March 31, 2021 were $7.0 million. Such bonus payments in fiscal 2020 were paid in the quarter ended June 30, 2020, and total charges related to such bonus payments recorded during the quarter ended June 30, 2020 were $2.7 million.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8,479,979</w:t>
            </w:r>
          </w:p>
        </w:tc>
      </w:tr>
      <w:tr>
        <w:trPr>
          <w:trHeight w:val="207"/>
        </w:trPr>
        <w:tc>
          <w:tcPr>
            <w:tcW w:w="100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spacing w:after="0"/>
              <w:rPr>
                <w:sz w:val="20"/>
                <w:szCs w:val="20"/>
                <w:color w:val="auto"/>
              </w:rPr>
            </w:pPr>
            <w:r>
              <w:rPr>
                <w:rFonts w:ascii="Arial" w:cs="Arial" w:eastAsia="Arial" w:hAnsi="Arial"/>
                <w:sz w:val="16"/>
                <w:szCs w:val="16"/>
                <w:color w:val="auto"/>
              </w:rPr>
              <w:t>1,330,000</w:t>
            </w:r>
          </w:p>
        </w:tc>
      </w:tr>
      <w:tr>
        <w:trPr>
          <w:trHeight w:val="213"/>
        </w:trPr>
        <w:tc>
          <w:tcPr>
            <w:tcW w:w="10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(897,234)</w:t>
            </w:r>
          </w:p>
        </w:tc>
      </w:tr>
      <w:tr>
        <w:trPr>
          <w:trHeight w:val="207"/>
        </w:trPr>
        <w:tc>
          <w:tcPr>
            <w:tcW w:w="100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(341,731)</w:t>
            </w:r>
          </w:p>
        </w:tc>
      </w:tr>
      <w:tr>
        <w:trPr>
          <w:trHeight w:val="205"/>
        </w:trPr>
        <w:tc>
          <w:tcPr>
            <w:tcW w:w="1008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Outstanding — June 30, 2021</w:t>
            </w:r>
          </w:p>
        </w:tc>
        <w:tc>
          <w:tcPr>
            <w:tcW w:w="11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8,571,014</w:t>
            </w:r>
          </w:p>
        </w:tc>
      </w:tr>
      <w:tr>
        <w:trPr>
          <w:trHeight w:val="20"/>
        </w:trPr>
        <w:tc>
          <w:tcPr>
            <w:tcW w:w="10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83"/>
        </w:trPr>
        <w:tc>
          <w:tcPr>
            <w:tcW w:w="10080" w:type="dxa"/>
            <w:vAlign w:val="bottom"/>
          </w:tcPr>
          <w:p>
            <w:pPr>
              <w:ind w:left="20"/>
              <w:spacing w:after="0" w:line="183" w:lineRule="exact"/>
              <w:rPr>
                <w:sz w:val="20"/>
                <w:szCs w:val="20"/>
                <w:color w:val="auto"/>
              </w:rPr>
            </w:pPr>
            <w:r>
              <w:rPr>
                <w:rFonts w:ascii="Arial" w:cs="Arial" w:eastAsia="Arial" w:hAnsi="Arial"/>
                <w:sz w:val="16"/>
                <w:szCs w:val="16"/>
                <w:color w:val="auto"/>
              </w:rPr>
              <w:t>Exercisable — June 30, 2021</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4,596,393</w:t>
            </w:r>
          </w:p>
        </w:tc>
      </w:tr>
      <w:tr>
        <w:trPr>
          <w:trHeight w:val="20"/>
        </w:trPr>
        <w:tc>
          <w:tcPr>
            <w:tcW w:w="10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right="640" w:firstLine="394"/>
        <w:spacing w:after="0" w:line="245" w:lineRule="auto"/>
        <w:rPr>
          <w:sz w:val="20"/>
          <w:szCs w:val="20"/>
          <w:color w:val="auto"/>
        </w:rPr>
      </w:pPr>
      <w:r>
        <w:rPr>
          <w:rFonts w:ascii="Arial" w:cs="Arial" w:eastAsia="Arial" w:hAnsi="Arial"/>
          <w:sz w:val="18"/>
          <w:szCs w:val="18"/>
          <w:color w:val="auto"/>
        </w:rPr>
        <w:t>At June 30, 2021, total unrecognized compensation expense related to stock options was $14.1 million, which is expected to be recognized over a weighted-average period of 2.71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Company’s restricted stock unit (“RSU”) activity: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417,105</w:t>
            </w:r>
          </w:p>
        </w:tc>
      </w:tr>
      <w:tr>
        <w:trPr>
          <w:trHeight w:val="207"/>
        </w:trPr>
        <w:tc>
          <w:tcPr>
            <w:tcW w:w="100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spacing w:after="0"/>
              <w:rPr>
                <w:sz w:val="20"/>
                <w:szCs w:val="20"/>
                <w:color w:val="auto"/>
              </w:rPr>
            </w:pPr>
            <w:r>
              <w:rPr>
                <w:rFonts w:ascii="Arial" w:cs="Arial" w:eastAsia="Arial" w:hAnsi="Arial"/>
                <w:sz w:val="16"/>
                <w:szCs w:val="16"/>
                <w:color w:val="auto"/>
              </w:rPr>
              <w:t>830,174</w:t>
            </w:r>
          </w:p>
        </w:tc>
      </w:tr>
      <w:tr>
        <w:trPr>
          <w:trHeight w:val="213"/>
        </w:trPr>
        <w:tc>
          <w:tcPr>
            <w:tcW w:w="10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(793,227)</w:t>
            </w:r>
          </w:p>
        </w:tc>
      </w:tr>
      <w:tr>
        <w:trPr>
          <w:trHeight w:val="207"/>
        </w:trPr>
        <w:tc>
          <w:tcPr>
            <w:tcW w:w="100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(34,433)</w:t>
            </w:r>
          </w:p>
        </w:tc>
      </w:tr>
      <w:tr>
        <w:trPr>
          <w:trHeight w:val="231"/>
        </w:trPr>
        <w:tc>
          <w:tcPr>
            <w:tcW w:w="10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 June 30,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419,619</w:t>
            </w:r>
          </w:p>
        </w:tc>
      </w:tr>
      <w:tr>
        <w:trPr>
          <w:trHeight w:val="20"/>
        </w:trPr>
        <w:tc>
          <w:tcPr>
            <w:tcW w:w="10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right="520" w:firstLine="394"/>
        <w:spacing w:after="0" w:line="245" w:lineRule="auto"/>
        <w:rPr>
          <w:sz w:val="20"/>
          <w:szCs w:val="20"/>
          <w:color w:val="auto"/>
        </w:rPr>
      </w:pPr>
      <w:r>
        <w:rPr>
          <w:rFonts w:ascii="Arial" w:cs="Arial" w:eastAsia="Arial" w:hAnsi="Arial"/>
          <w:sz w:val="18"/>
          <w:szCs w:val="18"/>
          <w:color w:val="auto"/>
        </w:rPr>
        <w:t>At June 30, 2021, total unrecognized compensation expense related to RSUs was $2.1 million, which is expected to be recognized over a weighted-average period of 2.60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14" w:lineRule="exact"/>
        <w:rPr>
          <w:sz w:val="20"/>
          <w:szCs w:val="20"/>
          <w:color w:val="auto"/>
        </w:rPr>
      </w:pPr>
    </w:p>
    <w:p>
      <w:pPr>
        <w:ind w:right="80" w:firstLine="394"/>
        <w:spacing w:after="0" w:line="309" w:lineRule="auto"/>
        <w:rPr>
          <w:sz w:val="20"/>
          <w:szCs w:val="20"/>
          <w:color w:val="auto"/>
        </w:rPr>
      </w:pPr>
      <w:r>
        <w:rPr>
          <w:rFonts w:ascii="Arial" w:cs="Arial" w:eastAsia="Arial" w:hAnsi="Arial"/>
          <w:sz w:val="15"/>
          <w:szCs w:val="15"/>
          <w:color w:val="auto"/>
        </w:rPr>
        <w:t>Basic earnings per share (“EPS”) excludes dilution and is computed by dividing net loss attributable to Inseego Corp.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convertible notes calculated using the if-converted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80" w:firstLine="394"/>
        <w:spacing w:after="0" w:line="298" w:lineRule="auto"/>
        <w:rPr>
          <w:sz w:val="20"/>
          <w:szCs w:val="20"/>
          <w:color w:val="auto"/>
        </w:rPr>
      </w:pPr>
      <w:r>
        <w:rPr>
          <w:rFonts w:ascii="Arial" w:cs="Arial" w:eastAsia="Arial" w:hAnsi="Arial"/>
          <w:sz w:val="16"/>
          <w:szCs w:val="16"/>
          <w:color w:val="auto"/>
        </w:rPr>
        <w:t>For the three months ended June 30, 2021, the computation of diluted EPS excluded 25,831,419 shares related to the convertible notes, stock options and RSUs as their effect would have been anti-dilutive. For the six months ended June 30, 2021, the computation of diluted EPS excluded 25,831,419 shares primarily related to the convertible notes, warrants, stock options and RSUs as their effect would have been anti-dilutive.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Private Placements and Public Offering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47" w:lineRule="exact"/>
        <w:rPr>
          <w:sz w:val="20"/>
          <w:szCs w:val="20"/>
          <w:color w:val="auto"/>
        </w:rPr>
      </w:pPr>
    </w:p>
    <w:p>
      <w:pPr>
        <w:ind w:firstLine="394"/>
        <w:spacing w:after="0" w:line="265" w:lineRule="auto"/>
        <w:rPr>
          <w:sz w:val="20"/>
          <w:szCs w:val="20"/>
          <w:color w:val="auto"/>
        </w:rPr>
      </w:pPr>
      <w:r>
        <w:rPr>
          <w:rFonts w:ascii="Arial" w:cs="Arial" w:eastAsia="Arial" w:hAnsi="Arial"/>
          <w:sz w:val="16"/>
          <w:szCs w:val="16"/>
          <w:color w:val="auto"/>
        </w:rPr>
        <w:t>On August 6, 2018, the Company completed a private placement of 12,062,000 shares of common stock, par value $0.001 per share, and warrants to purchase an additional 4,221,700 shares of common stock (the “2018 Warrants”), subject to adjustment for stock splits, reverse stock splits, stock dividends and similar transactions, to certain accredited investors. On March 28, 2019, the 2018 Warrants were exercised at an exercise price of $2.52 per share, for aggregate cash proceeds to the Company of approximately $10.6 million. In connection with the exercise of the 2018 Warrants, on March 28, 2019, the Company issued additional warrants to purchase 2,500,000 shares of common stock (the “2019 Warrants”) to the accredited investors. Each 2019 Warrant has an initial exercise price of $7.00 per share, subject to adjustment for stock splits, reverse stock splits, stock dividends and similar transactions, became exercisable on September 28, 2019, and will expire on June 30, 2022.</w:t>
      </w:r>
    </w:p>
    <w:p>
      <w:pPr>
        <w:spacing w:after="0" w:line="114" w:lineRule="exact"/>
        <w:rPr>
          <w:sz w:val="20"/>
          <w:szCs w:val="20"/>
          <w:color w:val="auto"/>
        </w:rPr>
      </w:pPr>
    </w:p>
    <w:p>
      <w:pPr>
        <w:ind w:right="160" w:firstLine="394"/>
        <w:spacing w:after="0" w:line="245" w:lineRule="auto"/>
        <w:rPr>
          <w:sz w:val="20"/>
          <w:szCs w:val="20"/>
          <w:color w:val="auto"/>
        </w:rPr>
      </w:pPr>
      <w:r>
        <w:rPr>
          <w:rFonts w:ascii="Arial" w:cs="Arial" w:eastAsia="Arial" w:hAnsi="Arial"/>
          <w:sz w:val="18"/>
          <w:szCs w:val="18"/>
          <w:color w:val="auto"/>
        </w:rPr>
        <w:t>During the first quarter of 2020, the Company received $1.9 million in net cash proceeds from the exercise of 338,454 of the Company’s common stock purchase warrants issued in 2015.</w:t>
      </w:r>
    </w:p>
    <w:p>
      <w:pPr>
        <w:spacing w:after="0" w:line="129" w:lineRule="exact"/>
        <w:rPr>
          <w:sz w:val="20"/>
          <w:szCs w:val="20"/>
          <w:color w:val="auto"/>
        </w:rPr>
      </w:pPr>
    </w:p>
    <w:p>
      <w:pPr>
        <w:ind w:right="40" w:firstLine="394"/>
        <w:spacing w:after="0" w:line="245" w:lineRule="auto"/>
        <w:rPr>
          <w:sz w:val="20"/>
          <w:szCs w:val="20"/>
          <w:color w:val="auto"/>
        </w:rPr>
      </w:pPr>
      <w:r>
        <w:rPr>
          <w:rFonts w:ascii="Arial" w:cs="Arial" w:eastAsia="Arial" w:hAnsi="Arial"/>
          <w:sz w:val="18"/>
          <w:szCs w:val="18"/>
          <w:color w:val="auto"/>
        </w:rPr>
        <w:t>The Company assessed the terms of the warrants under ASC 815. Pursuant to this guidance, the Company has determined that the warrants do not require liability accounting and has classified the warrants as equity.</w:t>
      </w:r>
    </w:p>
    <w:p>
      <w:pPr>
        <w:spacing w:after="0" w:line="116" w:lineRule="exact"/>
        <w:rPr>
          <w:sz w:val="20"/>
          <w:szCs w:val="20"/>
          <w:color w:val="auto"/>
        </w:rPr>
      </w:pPr>
    </w:p>
    <w:p>
      <w:pPr>
        <w:ind w:right="20" w:firstLine="394"/>
        <w:spacing w:after="0" w:line="212" w:lineRule="auto"/>
        <w:rPr>
          <w:sz w:val="20"/>
          <w:szCs w:val="20"/>
          <w:color w:val="auto"/>
        </w:rPr>
      </w:pPr>
      <w:r>
        <w:rPr>
          <w:rFonts w:ascii="Arial" w:cs="Arial" w:eastAsia="Arial" w:hAnsi="Arial"/>
          <w:sz w:val="18"/>
          <w:szCs w:val="18"/>
          <w:color w:val="auto"/>
        </w:rPr>
        <w:t>On January 25, 2021, the Company entered into an Equity Distribution Agreement with the Agent, pursuant to which the Company may offer and sell, from time to time, through or to the Agent, up to $40.0 million of shares of its common stock. In January 2021, the Company sold 1,516,073 shares of common stock, at an average price of $20.11 per share, for net proceeds of $29.4 million, after deducting underwriter fees and discounts, and other offering fees, pursuant to the ATM Offering.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 March 6, 2020, the Company issued and sold an additional 25,000 shares of Series E Preferred Stock for an aggregate purchase price of $25.0 million.</w:t>
      </w:r>
    </w:p>
    <w:p>
      <w:pPr>
        <w:spacing w:after="0" w:line="182" w:lineRule="exact"/>
        <w:rPr>
          <w:sz w:val="20"/>
          <w:szCs w:val="20"/>
          <w:color w:val="auto"/>
        </w:rPr>
      </w:pPr>
    </w:p>
    <w:p>
      <w:pPr>
        <w:ind w:right="160" w:firstLine="394"/>
        <w:spacing w:after="0" w:line="245" w:lineRule="auto"/>
        <w:rPr>
          <w:sz w:val="20"/>
          <w:szCs w:val="20"/>
          <w:color w:val="auto"/>
        </w:rPr>
      </w:pPr>
      <w:r>
        <w:rPr>
          <w:rFonts w:ascii="Arial" w:cs="Arial" w:eastAsia="Arial" w:hAnsi="Arial"/>
          <w:sz w:val="18"/>
          <w:szCs w:val="18"/>
          <w:color w:val="auto"/>
        </w:rPr>
        <w:t>On March 31, 2020, the Company issued 2,330 shares of Series E Preferred Stock to South Ocean, in satisfaction of certain deferred interest obligations pursuant to the terms and conditions of the Credit Agreement.</w:t>
      </w:r>
    </w:p>
    <w:p>
      <w:pPr>
        <w:spacing w:after="0" w:line="208" w:lineRule="exact"/>
        <w:rPr>
          <w:sz w:val="20"/>
          <w:szCs w:val="20"/>
          <w:color w:val="auto"/>
        </w:rPr>
      </w:pPr>
    </w:p>
    <w:p>
      <w:pPr>
        <w:ind w:right="200" w:firstLine="394"/>
        <w:spacing w:after="0" w:line="245" w:lineRule="auto"/>
        <w:rPr>
          <w:sz w:val="20"/>
          <w:szCs w:val="20"/>
          <w:color w:val="auto"/>
        </w:rPr>
      </w:pPr>
      <w:r>
        <w:rPr>
          <w:rFonts w:ascii="Arial" w:cs="Arial" w:eastAsia="Arial" w:hAnsi="Arial"/>
          <w:sz w:val="18"/>
          <w:szCs w:val="18"/>
          <w:color w:val="auto"/>
        </w:rPr>
        <w:t>On May 12, 2020, the Company used a portion of the proceeds from the Offering to repurchase the 2,330 shares of Series E Preferred Stock, which had been issued to satisfy accrued interest under the Credit Agreement, for $2.4 million.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Geographic Information and Concentrations of Risk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Company’s net revenues by geographic region based on shipping destination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r>
      <w:tr>
        <w:trPr>
          <w:trHeight w:val="183"/>
        </w:trPr>
        <w:tc>
          <w:tcPr>
            <w:tcW w:w="5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r>
      <w:tr>
        <w:trPr>
          <w:trHeight w:val="177"/>
        </w:trPr>
        <w:tc>
          <w:tcPr>
            <w:tcW w:w="53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w w:val="89"/>
              </w:rPr>
              <w:t>2020</w:t>
            </w:r>
          </w:p>
        </w:tc>
      </w:tr>
      <w:tr>
        <w:trPr>
          <w:trHeight w:val="204"/>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51,473</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69,080</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94,209</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111,430</w:t>
            </w:r>
          </w:p>
        </w:tc>
      </w:tr>
      <w:tr>
        <w:trPr>
          <w:trHeight w:val="207"/>
        </w:trPr>
        <w:tc>
          <w:tcPr>
            <w:tcW w:w="5340" w:type="dxa"/>
            <w:vAlign w:val="bottom"/>
          </w:tcPr>
          <w:p>
            <w:pPr>
              <w:ind w:left="20"/>
              <w:spacing w:after="0"/>
              <w:rPr>
                <w:sz w:val="20"/>
                <w:szCs w:val="20"/>
                <w:color w:val="auto"/>
              </w:rPr>
            </w:pPr>
            <w:r>
              <w:rPr>
                <w:rFonts w:ascii="Arial" w:cs="Arial" w:eastAsia="Arial" w:hAnsi="Arial"/>
                <w:sz w:val="16"/>
                <w:szCs w:val="16"/>
                <w:color w:val="auto"/>
              </w:rPr>
              <w:t>South Africa</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7,790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5,856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14,898</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14,094</w:t>
            </w: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6,430</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5,753</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14,183</w:t>
            </w: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12,005</w:t>
            </w:r>
          </w:p>
        </w:tc>
      </w:tr>
      <w:tr>
        <w:trPr>
          <w:trHeight w:val="206"/>
        </w:trPr>
        <w:tc>
          <w:tcPr>
            <w:tcW w:w="5340" w:type="dxa"/>
            <w:vAlign w:val="bottom"/>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65,693</w:t>
            </w:r>
          </w:p>
        </w:tc>
        <w:tc>
          <w:tcPr>
            <w:tcW w:w="28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80,689</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123,290</w:t>
            </w:r>
          </w:p>
        </w:tc>
        <w:tc>
          <w:tcPr>
            <w:tcW w:w="28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137,529</w:t>
            </w: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95" w:lineRule="exact"/>
        <w:rPr>
          <w:sz w:val="20"/>
          <w:szCs w:val="20"/>
          <w:color w:val="auto"/>
        </w:rPr>
      </w:pPr>
    </w:p>
    <w:p>
      <w:pPr>
        <w:ind w:right="60" w:firstLine="433"/>
        <w:spacing w:after="0" w:line="245" w:lineRule="auto"/>
        <w:rPr>
          <w:sz w:val="20"/>
          <w:szCs w:val="20"/>
          <w:color w:val="auto"/>
        </w:rPr>
      </w:pPr>
      <w:r>
        <w:rPr>
          <w:rFonts w:ascii="Arial" w:cs="Arial" w:eastAsia="Arial" w:hAnsi="Arial"/>
          <w:sz w:val="18"/>
          <w:szCs w:val="18"/>
          <w:color w:val="auto"/>
        </w:rPr>
        <w:t>For the three months ended June 30, 2021, two customers accounted for 68.0% of net revenues. For the three months ended June 30, 2020, one customer accounted for 55.6% of net revenues.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380" w:firstLine="433"/>
        <w:spacing w:after="0" w:line="245" w:lineRule="auto"/>
        <w:rPr>
          <w:sz w:val="20"/>
          <w:szCs w:val="20"/>
          <w:color w:val="auto"/>
        </w:rPr>
      </w:pPr>
      <w:r>
        <w:rPr>
          <w:rFonts w:ascii="Arial" w:cs="Arial" w:eastAsia="Arial" w:hAnsi="Arial"/>
          <w:sz w:val="18"/>
          <w:szCs w:val="18"/>
          <w:color w:val="auto"/>
        </w:rPr>
        <w:t>For the six months ended June 30, 2021, two customers accounted for 65.1% of net revenues. For the six months ended June 30, 2020, one customer accounted for 54.7% of net revenues.</w:t>
      </w:r>
    </w:p>
    <w:p>
      <w:pPr>
        <w:spacing w:after="0" w:line="76" w:lineRule="exact"/>
        <w:rPr>
          <w:sz w:val="20"/>
          <w:szCs w:val="20"/>
          <w:color w:val="auto"/>
        </w:rPr>
      </w:pPr>
    </w:p>
    <w:p>
      <w:pPr>
        <w:ind w:firstLine="433"/>
        <w:spacing w:after="0" w:line="245" w:lineRule="auto"/>
        <w:rPr>
          <w:sz w:val="20"/>
          <w:szCs w:val="20"/>
          <w:color w:val="auto"/>
        </w:rPr>
      </w:pPr>
      <w:r>
        <w:rPr>
          <w:rFonts w:ascii="Arial" w:cs="Arial" w:eastAsia="Arial" w:hAnsi="Arial"/>
          <w:sz w:val="18"/>
          <w:szCs w:val="18"/>
          <w:color w:val="auto"/>
        </w:rPr>
        <w:t>As of June 30, 2021 two customers and one vendor accounted for 35.6%, 12.9%, and 11.3% of accounts receivable, net, respectively. As of December 31, 2020, two customers accounted for 33.3% and 17.2% of accounts receivable, net, respectively.</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147" w:lineRule="exact"/>
        <w:rPr>
          <w:sz w:val="20"/>
          <w:szCs w:val="20"/>
          <w:color w:val="auto"/>
        </w:rPr>
      </w:pPr>
    </w:p>
    <w:p>
      <w:pPr>
        <w:ind w:right="140" w:firstLine="394"/>
        <w:spacing w:after="0" w:line="269"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For example, the Company is currently named as a defendant or co-defendant in several patent infringement lawsuits in the U.S. and may be required to indirectly participate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condensed consolidated results of operations or financial condition.</w:t>
      </w:r>
    </w:p>
    <w:p>
      <w:pPr>
        <w:spacing w:after="0" w:line="111" w:lineRule="exact"/>
        <w:rPr>
          <w:sz w:val="20"/>
          <w:szCs w:val="20"/>
          <w:color w:val="auto"/>
        </w:rPr>
      </w:pPr>
    </w:p>
    <w:p>
      <w:pPr>
        <w:ind w:right="100" w:firstLine="394"/>
        <w:spacing w:after="0" w:line="276" w:lineRule="auto"/>
        <w:rPr>
          <w:sz w:val="20"/>
          <w:szCs w:val="20"/>
          <w:color w:val="auto"/>
        </w:rPr>
      </w:pPr>
      <w:r>
        <w:rPr>
          <w:rFonts w:ascii="Arial" w:cs="Arial" w:eastAsia="Arial" w:hAnsi="Arial"/>
          <w:sz w:val="15"/>
          <w:szCs w:val="15"/>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w:t>
      </w:r>
    </w:p>
    <w:p>
      <w:pPr>
        <w:spacing w:after="0" w:line="4" w:lineRule="exact"/>
        <w:rPr>
          <w:sz w:val="20"/>
          <w:szCs w:val="20"/>
          <w:color w:val="auto"/>
        </w:rPr>
      </w:pPr>
    </w:p>
    <w:p>
      <w:pPr>
        <w:ind w:right="100" w:firstLine="5"/>
        <w:spacing w:after="0" w:line="283" w:lineRule="auto"/>
        <w:tabs>
          <w:tab w:leader="none" w:pos="306" w:val="left"/>
        </w:tabs>
        <w:numPr>
          <w:ilvl w:val="0"/>
          <w:numId w:val="3"/>
        </w:numPr>
        <w:rPr>
          <w:rFonts w:ascii="Arial" w:cs="Arial" w:eastAsia="Arial" w:hAnsi="Arial"/>
          <w:sz w:val="15"/>
          <w:szCs w:val="15"/>
          <w:color w:val="auto"/>
        </w:rPr>
      </w:pPr>
      <w:r>
        <w:rPr>
          <w:rFonts w:ascii="Arial" w:cs="Arial" w:eastAsia="Arial" w:hAnsi="Arial"/>
          <w:sz w:val="15"/>
          <w:szCs w:val="15"/>
          <w:color w:val="auto"/>
        </w:rPr>
        <w:t>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On July 24, 2020, the Company issued 89,928 shares of common stock to the former stockholders of RER in satisfaction of all remaining liabilities under the Settlement Agreement.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47" w:lineRule="exact"/>
        <w:rPr>
          <w:sz w:val="20"/>
          <w:szCs w:val="20"/>
          <w:color w:val="auto"/>
        </w:rPr>
      </w:pPr>
    </w:p>
    <w:p>
      <w:pPr>
        <w:jc w:val="both"/>
        <w:ind w:right="200" w:firstLine="394"/>
        <w:spacing w:after="0" w:line="273" w:lineRule="auto"/>
        <w:rPr>
          <w:sz w:val="20"/>
          <w:szCs w:val="20"/>
          <w:color w:val="auto"/>
        </w:rPr>
      </w:pPr>
      <w:r>
        <w:rPr>
          <w:rFonts w:ascii="Arial" w:cs="Arial" w:eastAsia="Arial" w:hAnsi="Arial"/>
          <w:sz w:val="16"/>
          <w:szCs w:val="16"/>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condensed consolidated results of operations or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47" w:lineRule="exact"/>
        <w:rPr>
          <w:sz w:val="20"/>
          <w:szCs w:val="20"/>
          <w:color w:val="auto"/>
        </w:rPr>
      </w:pPr>
    </w:p>
    <w:p>
      <w:pPr>
        <w:ind w:firstLine="394"/>
        <w:spacing w:after="0" w:line="265" w:lineRule="auto"/>
        <w:rPr>
          <w:sz w:val="20"/>
          <w:szCs w:val="20"/>
          <w:color w:val="auto"/>
        </w:rPr>
      </w:pPr>
      <w:r>
        <w:rPr>
          <w:rFonts w:ascii="Arial" w:cs="Arial" w:eastAsia="Arial" w:hAnsi="Arial"/>
          <w:sz w:val="16"/>
          <w:szCs w:val="16"/>
          <w:color w:val="auto"/>
        </w:rPr>
        <w:t xml:space="preserve">The Company is a lessee in lease agreements for office space, automobiles and certain equipment. Certain of the Company’s leases contain provisions that provide for one or more options to renew at the Company’s sole discretion. The majority of the Company’s leases are comprised of fixed lease payments, with a small percentage of its real estate leases including lease payments subject to a rate or index, which may be variable. Certain real estate leases also include executory costs such as common area maintenance (non-lease component). As a practical expedient permitted under the new guidance,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the Company has elected to account for the lease and non-lease components as a single lease component. Lease payments, which may include lease components and non-lease components, are included in the measurement of the Company’s lease liabilities to the extent that such payments are either fixed amounts or variable amounts based on a rate or index (fixed in substance) as stipulated in the lease contract.</w:t>
      </w:r>
    </w:p>
    <w:p>
      <w:pPr>
        <w:spacing w:after="0" w:line="114" w:lineRule="exact"/>
        <w:rPr>
          <w:sz w:val="20"/>
          <w:szCs w:val="20"/>
          <w:color w:val="auto"/>
        </w:rPr>
      </w:pPr>
    </w:p>
    <w:p>
      <w:pPr>
        <w:ind w:right="220" w:firstLine="394"/>
        <w:spacing w:after="0" w:line="245" w:lineRule="auto"/>
        <w:rPr>
          <w:sz w:val="20"/>
          <w:szCs w:val="20"/>
          <w:color w:val="auto"/>
        </w:rPr>
      </w:pPr>
      <w:r>
        <w:rPr>
          <w:rFonts w:ascii="Arial" w:cs="Arial" w:eastAsia="Arial" w:hAnsi="Arial"/>
          <w:sz w:val="18"/>
          <w:szCs w:val="18"/>
          <w:color w:val="auto"/>
        </w:rPr>
        <w:t>None of the Company’s lease agreements contain any material residual value guarantees or material restrictive covenants. As a result of the Company’s election of the package of practical expedients permitted within ASC 842, which among other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things, allows for the carryforward of historical lease classification, all of the Company’s lease agreements in existence at the date of adoption that were classified as operating leases under the legacy guidance, ASC 840, have been classified as operating leases under ASC 842. Lease expense for payments related to the Company’s operating leases is recognized on a straight-line basis over the related lease term, which includes options to extend or terminate the lease when it is reasonably certain that the Company will exercise that option.</w:t>
      </w:r>
    </w:p>
    <w:p>
      <w:pPr>
        <w:spacing w:after="0" w:line="135" w:lineRule="exact"/>
        <w:rPr>
          <w:sz w:val="20"/>
          <w:szCs w:val="20"/>
          <w:color w:val="auto"/>
        </w:rPr>
      </w:pPr>
    </w:p>
    <w:p>
      <w:pPr>
        <w:ind w:right="40" w:firstLine="394"/>
        <w:spacing w:after="0" w:line="262" w:lineRule="auto"/>
        <w:rPr>
          <w:sz w:val="20"/>
          <w:szCs w:val="20"/>
          <w:color w:val="auto"/>
        </w:rPr>
      </w:pPr>
      <w:r>
        <w:rPr>
          <w:rFonts w:ascii="Arial" w:cs="Arial" w:eastAsia="Arial" w:hAnsi="Arial"/>
          <w:sz w:val="16"/>
          <w:szCs w:val="16"/>
          <w:color w:val="auto"/>
        </w:rPr>
        <w:t>Right-of-use assets represent the Company’s right to use an underlying asset during the lease term and lease liabilities represent the Company’s obligation to make lease payments as specified in the lease. Right-of-use assets and lease liabilities related to the Company’s operating leases are recognized at the lease commencement date based on the present value of the remaining lease payments over the lease term. When the Company’s leases do not provide an implicit rate, the Company uses its incremental borrowing rate based on the information available surrounding the Company’s borrowing rates at the lease commencement date in determining the present value of lease payments. The right-of-use asset also includes any lease payments made at or before lease commencement less any lease incentives. As of June 30, 2021, the Company had right-of-use assets of $8.3 million and lease liabilities related to its operating leases of $9.2 million. Right-of-use assets are included in right-of-use assets, net, on the condensed consolidated balance sheet and lease liabilities related to the Company’s operating leases are included in accrued expenses and other liabilities and other long-term liabilities on the condensed consolidated balance sheet. As of June 30, 2021, the Company’s weighted-average remaining lease term and weighted-average discount rate related to its operating leases were 5.5 years and 9.1%, respectively.</w:t>
      </w:r>
    </w:p>
    <w:p>
      <w:pPr>
        <w:spacing w:after="0" w:line="118" w:lineRule="exact"/>
        <w:rPr>
          <w:sz w:val="20"/>
          <w:szCs w:val="20"/>
          <w:color w:val="auto"/>
        </w:rPr>
      </w:pPr>
    </w:p>
    <w:p>
      <w:pPr>
        <w:ind w:right="80" w:firstLine="394"/>
        <w:spacing w:after="0" w:line="234" w:lineRule="auto"/>
        <w:rPr>
          <w:sz w:val="20"/>
          <w:szCs w:val="20"/>
          <w:color w:val="auto"/>
        </w:rPr>
      </w:pPr>
      <w:r>
        <w:rPr>
          <w:rFonts w:ascii="Arial" w:cs="Arial" w:eastAsia="Arial" w:hAnsi="Arial"/>
          <w:sz w:val="18"/>
          <w:szCs w:val="18"/>
          <w:color w:val="auto"/>
        </w:rPr>
        <w:t>During the six months ended June 30, 2021 and 2020, the cash paid for amounts included in the measurement of lease liabilities related to the Company’s operating leases was approximately $1.2 million and $0.3 million, respectively, which is included as an operating cash outflow within the consolidated statements of cash flows. During the six months ended June 30, 2021 and 2020, the operating lease costs related to the Company’s operating leases were approximately $0.8 million and $0.4 million, respectively, which is included in operating costs and expenses in the condensed consolidated statements of operations.</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future minimum payments under operating leases were as follows as of June 30, 2021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(remainder)</w:t>
            </w: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r>
      <w:tr>
        <w:trPr>
          <w:trHeight w:val="207"/>
        </w:trPr>
        <w:tc>
          <w:tcPr>
            <w:tcW w:w="9780" w:type="dxa"/>
            <w:vAlign w:val="bottom"/>
          </w:tcPr>
          <w:p>
            <w:pPr>
              <w:ind w:left="20"/>
              <w:spacing w:after="0"/>
              <w:rPr>
                <w:sz w:val="20"/>
                <w:szCs w:val="20"/>
                <w:color w:val="auto"/>
              </w:rPr>
            </w:pPr>
            <w:r>
              <w:rPr>
                <w:rFonts w:ascii="Arial" w:cs="Arial" w:eastAsia="Arial" w:hAnsi="Arial"/>
                <w:sz w:val="16"/>
                <w:szCs w:val="16"/>
                <w:color w:val="auto"/>
              </w:rPr>
              <w:t>2022</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2,282</w:t>
            </w:r>
          </w:p>
        </w:tc>
      </w:tr>
      <w:tr>
        <w:trPr>
          <w:trHeight w:val="213"/>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r>
      <w:tr>
        <w:trPr>
          <w:trHeight w:val="207"/>
        </w:trPr>
        <w:tc>
          <w:tcPr>
            <w:tcW w:w="9780" w:type="dxa"/>
            <w:vAlign w:val="bottom"/>
          </w:tcPr>
          <w:p>
            <w:pPr>
              <w:ind w:left="20"/>
              <w:spacing w:after="0"/>
              <w:rPr>
                <w:sz w:val="20"/>
                <w:szCs w:val="20"/>
                <w:color w:val="auto"/>
              </w:rPr>
            </w:pPr>
            <w:r>
              <w:rPr>
                <w:rFonts w:ascii="Arial" w:cs="Arial" w:eastAsia="Arial" w:hAnsi="Arial"/>
                <w:sz w:val="16"/>
                <w:szCs w:val="16"/>
                <w:color w:val="auto"/>
              </w:rPr>
              <w:t>2024</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1,806</w:t>
            </w:r>
          </w:p>
        </w:tc>
      </w:tr>
      <w:tr>
        <w:trPr>
          <w:trHeight w:val="213"/>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w:t>
            </w:r>
          </w:p>
        </w:tc>
      </w:tr>
      <w:tr>
        <w:trPr>
          <w:trHeight w:val="22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r>
      <w:tr>
        <w:trPr>
          <w:trHeight w:val="203"/>
        </w:trPr>
        <w:tc>
          <w:tcPr>
            <w:tcW w:w="9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minimum operating lease payments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11,743</w:t>
            </w:r>
          </w:p>
        </w:tc>
      </w:tr>
      <w:tr>
        <w:trPr>
          <w:trHeight w:val="207"/>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amounts representing interest</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w:t>
            </w:r>
          </w:p>
        </w:tc>
      </w:tr>
      <w:tr>
        <w:trPr>
          <w:trHeight w:val="206"/>
        </w:trPr>
        <w:tc>
          <w:tcPr>
            <w:tcW w:w="9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Present value of net minimum operating lease payments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9,235</w:t>
            </w:r>
          </w:p>
        </w:tc>
      </w:tr>
      <w:tr>
        <w:trPr>
          <w:trHeight w:val="207"/>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w:t>
            </w:r>
          </w:p>
        </w:tc>
      </w:tr>
      <w:tr>
        <w:trPr>
          <w:trHeight w:val="228"/>
        </w:trPr>
        <w:tc>
          <w:tcPr>
            <w:tcW w:w="9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Long-term portion of operating lease obligations</w:t>
            </w: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7,598</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right="280" w:firstLine="394"/>
        <w:spacing w:after="0" w:line="245" w:lineRule="auto"/>
        <w:rPr>
          <w:sz w:val="20"/>
          <w:szCs w:val="20"/>
          <w:color w:val="auto"/>
        </w:rPr>
      </w:pPr>
      <w:r>
        <w:rPr>
          <w:rFonts w:ascii="Arial" w:cs="Arial" w:eastAsia="Arial" w:hAnsi="Arial"/>
          <w:sz w:val="18"/>
          <w:szCs w:val="18"/>
          <w:color w:val="auto"/>
        </w:rPr>
        <w:t>The current and long term portion of operating lease obligations are classified within accrued expenses and other current liabilities and other long-term liabilities, respectively, on the condensed consolidated balance sheets.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95" w:lineRule="exact"/>
        <w:rPr>
          <w:sz w:val="20"/>
          <w:szCs w:val="20"/>
          <w:color w:val="auto"/>
        </w:rPr>
      </w:pPr>
    </w:p>
    <w:p>
      <w:pPr>
        <w:ind w:right="20" w:firstLine="394"/>
        <w:spacing w:after="0" w:line="306" w:lineRule="auto"/>
        <w:rPr>
          <w:sz w:val="20"/>
          <w:szCs w:val="20"/>
          <w:color w:val="auto"/>
        </w:rPr>
      </w:pPr>
      <w:r>
        <w:rPr>
          <w:rFonts w:ascii="Arial" w:cs="Arial" w:eastAsia="Arial" w:hAnsi="Arial"/>
          <w:sz w:val="16"/>
          <w:szCs w:val="16"/>
          <w:color w:val="auto"/>
        </w:rPr>
        <w:t>Monitoring device leases in which the Company serves as lessor are classified as operating leases. Accordingly, rental devices are carried at historical cost less accumulated depreciation and impairment, if any, and are included in rental assets, net, on the condensed consolidated balance sheets.</w:t>
      </w:r>
    </w:p>
    <w:p>
      <w:pPr>
        <w:spacing w:after="0" w:line="30" w:lineRule="exact"/>
        <w:rPr>
          <w:sz w:val="20"/>
          <w:szCs w:val="20"/>
          <w:color w:val="auto"/>
        </w:rPr>
      </w:pPr>
    </w:p>
    <w:p>
      <w:pPr>
        <w:ind w:firstLine="394"/>
        <w:spacing w:after="0" w:line="308" w:lineRule="auto"/>
        <w:rPr>
          <w:sz w:val="20"/>
          <w:szCs w:val="20"/>
          <w:color w:val="auto"/>
        </w:rPr>
      </w:pPr>
      <w:r>
        <w:rPr>
          <w:rFonts w:ascii="Arial" w:cs="Arial" w:eastAsia="Arial" w:hAnsi="Arial"/>
          <w:sz w:val="15"/>
          <w:szCs w:val="15"/>
          <w:color w:val="auto"/>
        </w:rPr>
        <w:t xml:space="preserve">Since the lease components meet the criteria for an operating lease under ASC 842, the Company has elected the practical expedient to combine the lease and the non-lease components because the service is the predominant element in the eyes of the customer and the pattern of service delivery is the same for both elements. The Company accounts for the combined component as a single performance obligation under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14" w:lineRule="exact"/>
        <w:rPr>
          <w:sz w:val="20"/>
          <w:szCs w:val="20"/>
          <w:color w:val="auto"/>
        </w:rPr>
      </w:pPr>
    </w:p>
    <w:p>
      <w:pPr>
        <w:ind w:right="60" w:firstLine="394"/>
        <w:spacing w:after="0" w:line="273" w:lineRule="auto"/>
        <w:rPr>
          <w:sz w:val="20"/>
          <w:szCs w:val="20"/>
          <w:color w:val="auto"/>
        </w:rPr>
      </w:pPr>
      <w:r>
        <w:rPr>
          <w:rFonts w:ascii="Arial" w:cs="Arial" w:eastAsia="Arial" w:hAnsi="Arial"/>
          <w:sz w:val="16"/>
          <w:szCs w:val="16"/>
          <w:color w:val="auto"/>
        </w:rPr>
        <w:t>The Company’s income tax provision (benefit) of $0.2 million and $(0.1) million for the three months ended June 30, 2021 and 2020, respectively, and $0.4 million and $(24,000) for the six months ended June 30, 2021 and 2020, respectively, consisted primarily of foreign income taxes at certain of the Company’s international entities and minimum state taxes for its U.S.-based entities. The Company’s income tax expense is different than the expected expense based on statutory rates primarily due to full valuation allowances at all of its U.S.-based entities and many of its foreign subsidiaries.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299"/>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94"/>
        <w:spacing w:after="0" w:line="227" w:lineRule="auto"/>
        <w:rPr>
          <w:sz w:val="20"/>
          <w:szCs w:val="20"/>
          <w:color w:val="auto"/>
        </w:rPr>
      </w:pPr>
      <w:r>
        <w:rPr>
          <w:rFonts w:ascii="Arial" w:cs="Arial" w:eastAsia="Arial" w:hAnsi="Arial"/>
          <w:sz w:val="18"/>
          <w:szCs w:val="18"/>
          <w:color w:val="auto"/>
        </w:rPr>
        <w:t>On March 11, 2021, Congress passed, and the President signed into law, the American Rescue Plan Act, 2021 (the “ARP”), which includes certain business tax provisions. The Company does not expect the ARP to have a material impact on the Company’s effective tax rate or income tax expense for the year ending December 31,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67" w:lineRule="exact"/>
        <w:rPr>
          <w:sz w:val="20"/>
          <w:szCs w:val="20"/>
          <w:color w:val="auto"/>
        </w:rPr>
      </w:pPr>
    </w:p>
    <w:p>
      <w:pPr>
        <w:ind w:firstLine="630"/>
        <w:spacing w:after="0" w:line="266" w:lineRule="auto"/>
        <w:rPr>
          <w:sz w:val="20"/>
          <w:szCs w:val="20"/>
          <w:color w:val="auto"/>
        </w:rPr>
      </w:pPr>
      <w:r>
        <w:rPr>
          <w:rFonts w:ascii="Arial" w:cs="Arial" w:eastAsia="Arial" w:hAnsi="Arial"/>
          <w:sz w:val="16"/>
          <w:szCs w:val="16"/>
          <w:color w:val="auto"/>
        </w:rPr>
        <w:t>On July 30, 2021, the Company completed the sale of Ctrack South Africa. Initial cash proceeds of approximately $36.6 million million were received. Final cash proceeds net of transaction cost are subject to foreign exchange rates as well as certain post-closing working capital adjustments that will be provided by Convergence and agreed upon by the Company no later than 35 business days after completion of the sale. The estimated gain upon sale is approximately $4.4 million, calculated based on the foreign exchange rate as of July 30, 2021, The actual gain could differ from this estimate as a result of post-closing working capital adjustments and related foreign exchange fluctuations. Such gain will be recognized as other income, net in the condensed consolidated results of operations during the three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53" w:lineRule="exact"/>
        <w:rPr>
          <w:sz w:val="20"/>
          <w:szCs w:val="20"/>
          <w:color w:val="auto"/>
        </w:rPr>
      </w:pPr>
    </w:p>
    <w:p>
      <w:pPr>
        <w:ind w:firstLine="433"/>
        <w:spacing w:after="0" w:line="263"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115" w:lineRule="exact"/>
        <w:rPr>
          <w:sz w:val="20"/>
          <w:szCs w:val="20"/>
          <w:color w:val="auto"/>
        </w:rPr>
      </w:pPr>
    </w:p>
    <w:p>
      <w:pPr>
        <w:ind w:left="640" w:right="500" w:hanging="320"/>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76"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services successfully;</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the price and performance standards of the evolving 5G New Radio (“5G NR”) products and technologies;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our customer reach/reduce customer concentration;</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grow the Internet of Things (“IoT”) and mobile portfolio outside of North America;</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grow our Ctrack/asset tracking solutions within North America;</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scheduled payments on, or to refinance our indebtedness, including our convertible notes obligations;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4" w:lineRule="exact"/>
        <w:rPr>
          <w:rFonts w:ascii="Arial" w:cs="Arial" w:eastAsia="Arial" w:hAnsi="Arial"/>
          <w:sz w:val="18"/>
          <w:szCs w:val="18"/>
          <w:color w:val="auto"/>
        </w:rPr>
      </w:pPr>
    </w:p>
    <w:p>
      <w:pPr>
        <w:ind w:left="640" w:right="560" w:hanging="320"/>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76"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contract manufacturer’s ability to secure necessary supply to build our devices;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costs, disruption of supply or the shortage of semiconductors or other key components of our products;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mitigate the impact of tariffs or other government-imposed sanctions;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and devices used in our solutions;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geopolitical instability on our business;</w:t>
      </w:r>
    </w:p>
    <w:p>
      <w:pPr>
        <w:spacing w:after="0" w:line="94" w:lineRule="exact"/>
        <w:rPr>
          <w:rFonts w:ascii="Arial" w:cs="Arial" w:eastAsia="Arial" w:hAnsi="Arial"/>
          <w:sz w:val="18"/>
          <w:szCs w:val="18"/>
          <w:color w:val="auto"/>
        </w:rPr>
      </w:pPr>
    </w:p>
    <w:p>
      <w:pPr>
        <w:ind w:left="640" w:right="80" w:hanging="320"/>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emergence of global public health emergencies, such as the recent outbreak of the 2019 novel coronavirus (2019-nCoV), now known as “COVID-19”, which could extend lead times in our supply chain and lengthen sales cycles with our customers;</w:t>
      </w:r>
    </w:p>
    <w:p>
      <w:pPr>
        <w:spacing w:after="0" w:line="76"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and indirect effects of COVID-19 on our employees, customers and supply chain and the economy and financial markets;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meet the product performance needs of our customers in wireless broadband data access in industrial IoT (“IIoT”) markets;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25" w:name="page26"/>
    <w:bookmarkEnd w:id="25"/>
    <w:p>
      <w:pPr>
        <w:ind w:left="640" w:hanging="32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solutions;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solutions;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conducting business abroad, including foreign currency risks;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pace of 5G wireless network rollouts globally and their adoption by customers;</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be successful in divesting assets or businesses we wish to sell;</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94" w:lineRule="exact"/>
        <w:rPr>
          <w:rFonts w:ascii="Arial" w:cs="Arial" w:eastAsia="Arial" w:hAnsi="Arial"/>
          <w:sz w:val="18"/>
          <w:szCs w:val="18"/>
          <w:color w:val="auto"/>
        </w:rPr>
      </w:pPr>
    </w:p>
    <w:p>
      <w:pPr>
        <w:ind w:left="640" w:hanging="32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47" w:lineRule="exact"/>
        <w:rPr>
          <w:sz w:val="20"/>
          <w:szCs w:val="20"/>
          <w:color w:val="auto"/>
        </w:rPr>
      </w:pPr>
    </w:p>
    <w:p>
      <w:pPr>
        <w:ind w:firstLine="394"/>
        <w:spacing w:after="0" w:line="273"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2020 (“Form 10-K”). If one or more events related to these or other risks or uncertainties materialize, or if our underlying assumptions prove to be incorrect, actual results may differ materially from what we anticipate.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46" w:lineRule="exact"/>
        <w:rPr>
          <w:sz w:val="20"/>
          <w:szCs w:val="20"/>
          <w:color w:val="auto"/>
        </w:rPr>
      </w:pPr>
    </w:p>
    <w:p>
      <w:pPr>
        <w:jc w:val="both"/>
        <w:ind w:right="240" w:firstLine="433"/>
        <w:spacing w:after="0" w:line="236" w:lineRule="auto"/>
        <w:rPr>
          <w:sz w:val="20"/>
          <w:szCs w:val="20"/>
          <w:color w:val="auto"/>
        </w:rPr>
      </w:pPr>
      <w:r>
        <w:rPr>
          <w:rFonts w:ascii="Arial" w:cs="Arial" w:eastAsia="Arial" w:hAnsi="Arial"/>
          <w:sz w:val="17"/>
          <w:szCs w:val="17"/>
          <w:color w:val="auto"/>
        </w:rPr>
        <w:t>“Inseego”, “Inseego Subscribe”, “Inseego Manage</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 the Inseego logo, “DigiCore”, “Novatel Wireless”, the Novatel Wireless logo, “MiFi”, “MiFi Intelligent Mobile Hotspot”, “Ctrack”, the Ctrack logo, “Inseego North America”, and “Skyus” are trademarks or registered trademarks of Inseego and its subsidiaries. Other trademarks, trade names or service marks used in this report are the property of their respective owners.</w:t>
      </w:r>
    </w:p>
    <w:p>
      <w:pPr>
        <w:spacing w:after="0" w:line="133" w:lineRule="exact"/>
        <w:rPr>
          <w:sz w:val="20"/>
          <w:szCs w:val="20"/>
          <w:color w:val="auto"/>
        </w:rPr>
      </w:pPr>
    </w:p>
    <w:p>
      <w:pPr>
        <w:ind w:right="80" w:firstLine="433"/>
        <w:spacing w:after="0" w:line="245" w:lineRule="auto"/>
        <w:rPr>
          <w:sz w:val="20"/>
          <w:szCs w:val="20"/>
          <w:color w:val="auto"/>
        </w:rPr>
      </w:pPr>
      <w:r>
        <w:rPr>
          <w:rFonts w:ascii="Arial" w:cs="Arial" w:eastAsia="Arial" w:hAnsi="Arial"/>
          <w:sz w:val="18"/>
          <w:szCs w:val="18"/>
          <w:color w:val="auto"/>
        </w:rPr>
        <w:t>As used in this report on Form 10-Q, unless the context otherwise requires, the terms “we,” “us,” “our,” the “Company” and “Inseego” refer to Inseego Corp., a Delaware corporation, and its wholly and majority-owned subsidiaries.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980" w:right="479" w:bottom="1440" w:gutter="0" w:footer="0" w:header="0"/>
        </w:sectPr>
      </w:pPr>
    </w:p>
    <w:bookmarkStart w:id="26" w:name="page27"/>
    <w:bookmarkEnd w:id="26"/>
    <w:p>
      <w:pPr>
        <w:ind w:firstLine="630"/>
        <w:spacing w:after="0" w:line="281" w:lineRule="auto"/>
        <w:rPr>
          <w:sz w:val="20"/>
          <w:szCs w:val="20"/>
          <w:color w:val="auto"/>
        </w:rPr>
      </w:pPr>
      <w:r>
        <w:rPr>
          <w:rFonts w:ascii="Arial" w:cs="Arial" w:eastAsia="Arial" w:hAnsi="Arial"/>
          <w:sz w:val="16"/>
          <w:szCs w:val="16"/>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2020, contained in our Form 10-K.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53" w:lineRule="exact"/>
        <w:rPr>
          <w:sz w:val="20"/>
          <w:szCs w:val="20"/>
          <w:color w:val="auto"/>
        </w:rPr>
      </w:pPr>
    </w:p>
    <w:p>
      <w:pPr>
        <w:ind w:right="80" w:firstLine="394"/>
        <w:spacing w:after="0" w:line="265" w:lineRule="auto"/>
        <w:rPr>
          <w:sz w:val="20"/>
          <w:szCs w:val="20"/>
          <w:color w:val="auto"/>
        </w:rPr>
      </w:pPr>
      <w:r>
        <w:rPr>
          <w:rFonts w:ascii="Arial" w:cs="Arial" w:eastAsia="Arial" w:hAnsi="Arial"/>
          <w:sz w:val="16"/>
          <w:szCs w:val="16"/>
          <w:color w:val="auto"/>
        </w:rPr>
        <w:t>Inseego Corp. is a leader in the design and development of fixed and mobile wireless solutions (advanced 4G and 5G NR), industrial IoT (“IIoT”) and cloud solutions for Fortune 500 enterprises, service providers, small and medium-sized businesses, governments, and consumers around the globe. Our product portfolio consists of fixed and mobile device-to-cloud solutions that provide compelling, intelligent, reliable and secure end-to-end IoT services with deep business intelligence. Inseego’s products and solutions, designed and developed in the U.S., power mission critical applications with a “zero unscheduled downtime” mandate, such as our 5G fixed wireless access (“FWA”) gateway solutions, 4G and 5G mobile broadband, IIoT applications such as SD WAN failover management, asset tracking and fleet management services. Our solutions are powered by our key wireless innovations in mobile and FWA technologies, including a suite of products employing the 5G NR standards, and purpose-built SaaS cloud platforms.</w:t>
      </w:r>
    </w:p>
    <w:p>
      <w:pPr>
        <w:spacing w:after="0" w:line="114" w:lineRule="exact"/>
        <w:rPr>
          <w:sz w:val="20"/>
          <w:szCs w:val="20"/>
          <w:color w:val="auto"/>
        </w:rPr>
      </w:pPr>
    </w:p>
    <w:p>
      <w:pPr>
        <w:ind w:right="100" w:firstLine="394"/>
        <w:spacing w:after="0" w:line="286" w:lineRule="auto"/>
        <w:rPr>
          <w:sz w:val="20"/>
          <w:szCs w:val="20"/>
          <w:color w:val="auto"/>
        </w:rPr>
      </w:pPr>
      <w:r>
        <w:rPr>
          <w:rFonts w:ascii="Arial" w:cs="Arial" w:eastAsia="Arial" w:hAnsi="Arial"/>
          <w:sz w:val="16"/>
          <w:szCs w:val="16"/>
          <w:color w:val="auto"/>
        </w:rPr>
        <w:t>We have been at the forefront of the ways in which the world stays connected and accesses information, and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112" w:lineRule="exact"/>
        <w:rPr>
          <w:sz w:val="20"/>
          <w:szCs w:val="20"/>
          <w:color w:val="auto"/>
        </w:rPr>
      </w:pPr>
    </w:p>
    <w:p>
      <w:pPr>
        <w:ind w:right="80" w:firstLine="630"/>
        <w:spacing w:after="0" w:line="266" w:lineRule="auto"/>
        <w:rPr>
          <w:sz w:val="20"/>
          <w:szCs w:val="20"/>
          <w:color w:val="auto"/>
        </w:rPr>
      </w:pPr>
      <w:r>
        <w:rPr>
          <w:rFonts w:ascii="Arial" w:cs="Arial" w:eastAsia="Arial" w:hAnsi="Arial"/>
          <w:sz w:val="16"/>
          <w:szCs w:val="16"/>
          <w:color w:val="auto"/>
        </w:rPr>
        <w:t>On February 24, 2021, we entered into a Share Purchase Agreement (the “Purchase Agreement”) with an affiliate of Convergence Partners (“Convergence”), an investment management firm in South Africa, to sell our Ctrack business operations in Africa, Pakistan and the Middle East (together, “Ctrack South Africa”), in an all-cash transaction for 528.9 million South African Rand (“ZAR”) (approximately $36.6 million United States Dollars (“USD”)) based on an exchange rate on June 30, 2021 of 14.32 ZAR to 1 USD). The Purchase Agreement provides for an adjustment to the purchase price based on a normalized level of net working capital. The consummation of the sale was subject to a number of customary conditions precedent. Additionally, the consummation of the sale was subject to Convergence closing an investment fund.</w:t>
      </w:r>
    </w:p>
    <w:p>
      <w:pPr>
        <w:spacing w:after="0" w:line="116" w:lineRule="exact"/>
        <w:rPr>
          <w:sz w:val="20"/>
          <w:szCs w:val="20"/>
          <w:color w:val="auto"/>
        </w:rPr>
      </w:pPr>
    </w:p>
    <w:p>
      <w:pPr>
        <w:ind w:right="20" w:firstLine="630"/>
        <w:spacing w:after="0" w:line="269" w:lineRule="auto"/>
        <w:rPr>
          <w:sz w:val="20"/>
          <w:szCs w:val="20"/>
          <w:color w:val="auto"/>
        </w:rPr>
      </w:pPr>
      <w:r>
        <w:rPr>
          <w:rFonts w:ascii="Arial" w:cs="Arial" w:eastAsia="Arial" w:hAnsi="Arial"/>
          <w:sz w:val="16"/>
          <w:szCs w:val="16"/>
          <w:color w:val="auto"/>
        </w:rPr>
        <w:t>On July 30, 2021, we completed the sale of Ctrack South Africa. Initial cash proceeds of approximately $36600000.0 million were received. Final cash proceeds net of transaction cost are subject to foreign exchange rates as well as certain post-closing working capital adjustments that will be provided by Convergence and agreed upon by us no later than 35 business days after completion of the sale. The estimated gain upon sale is approximately $4.4 million, calculated based on the foreign exchange rate as of July 30, 2021. The actual gain may differ from this estimate, by up to $1 million to $2 million, as a result of post-closing working capital adjustments and related foreign exchange fluctuations.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153" w:lineRule="exact"/>
        <w:rPr>
          <w:sz w:val="20"/>
          <w:szCs w:val="20"/>
          <w:color w:val="auto"/>
        </w:rPr>
      </w:pPr>
    </w:p>
    <w:p>
      <w:pPr>
        <w:ind w:right="80" w:firstLine="394"/>
        <w:spacing w:after="0" w:line="281" w:lineRule="auto"/>
        <w:rPr>
          <w:sz w:val="20"/>
          <w:szCs w:val="20"/>
          <w:color w:val="auto"/>
        </w:rPr>
      </w:pPr>
      <w:r>
        <w:rPr>
          <w:rFonts w:ascii="Arial" w:cs="Arial" w:eastAsia="Arial" w:hAnsi="Arial"/>
          <w:sz w:val="15"/>
          <w:szCs w:val="15"/>
          <w:color w:val="auto"/>
        </w:rPr>
        <w:t>We provide intelligent wireless 4G and 5G hardware products for the worldwide mobile communications and IIoT markets. Our hardware products address multiple vertical markets including private LTE/5G networks, the First Responders Network Authority/Firstnet, SD-WAN, telematics, remote monitoring and surveillance, and fixed wireless access and mobile broadband devices. Our broad range of products principally includes intelligent 4G and 5G fixed wireless routers and gateways, and mobile hotspots, and wireless gateways and routers for IIoT applications, Gb speed 4G LTE hotspots and USB modems, integrated telematics and mobile tracking hardware devices, which are supported by applications software and cloud services designed to enable customers to easily analyze data insights and configure/manage their hardware remotely. Our products currently operate on most major global cellular wireless networks. Our mobile hotspots sold under the MiFi brand have been sold to millions of end users, and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107" w:lineRule="exact"/>
        <w:rPr>
          <w:sz w:val="20"/>
          <w:szCs w:val="20"/>
          <w:color w:val="auto"/>
        </w:rPr>
      </w:pPr>
    </w:p>
    <w:p>
      <w:pPr>
        <w:ind w:right="220" w:firstLine="394"/>
        <w:spacing w:after="0" w:line="252" w:lineRule="auto"/>
        <w:rPr>
          <w:sz w:val="20"/>
          <w:szCs w:val="20"/>
          <w:color w:val="auto"/>
        </w:rPr>
      </w:pPr>
      <w:r>
        <w:rPr>
          <w:rFonts w:ascii="Arial" w:cs="Arial" w:eastAsia="Arial" w:hAnsi="Arial"/>
          <w:sz w:val="18"/>
          <w:szCs w:val="18"/>
          <w:color w:val="auto"/>
        </w:rPr>
        <w:t>Our MiFi customer base is comprised of wireless operators to whom we provide intelligent fixed and mobile wireless devices. These wireless operators include Verizon Wireless, AT&amp;T, T-Mobile and Sprint in the United States, Rogers in Canada, Telstra in Australia, as well as other international wireless operators, distributors and various companies in other vertical markets and geographies.</w:t>
      </w:r>
    </w:p>
    <w:p>
      <w:pPr>
        <w:spacing w:after="0" w:line="136" w:lineRule="exact"/>
        <w:rPr>
          <w:sz w:val="20"/>
          <w:szCs w:val="20"/>
          <w:color w:val="auto"/>
        </w:rPr>
      </w:pPr>
    </w:p>
    <w:p>
      <w:pPr>
        <w:ind w:right="100" w:firstLine="394"/>
        <w:spacing w:after="0" w:line="252" w:lineRule="auto"/>
        <w:rPr>
          <w:sz w:val="20"/>
          <w:szCs w:val="20"/>
          <w:color w:val="auto"/>
        </w:rPr>
      </w:pPr>
      <w:r>
        <w:rPr>
          <w:rFonts w:ascii="Arial" w:cs="Arial" w:eastAsia="Arial" w:hAnsi="Arial"/>
          <w:sz w:val="18"/>
          <w:szCs w:val="18"/>
          <w:color w:val="auto"/>
        </w:rPr>
        <w:t>We sell our wireless routers for IIoT, integrated telematics and mobile tracking hardware devices through our direct sales force, value-added resellers and through distributors. The customer base for our IIoT products is comprised of transportation companies, industrial enterprises, manufacturers, application service providers, system integrators and distributors in various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7" w:name="page28"/>
    <w:bookmarkEnd w:id="27"/>
    <w:p>
      <w:pPr>
        <w:ind w:right="180"/>
        <w:spacing w:after="0" w:line="252" w:lineRule="auto"/>
        <w:rPr>
          <w:sz w:val="20"/>
          <w:szCs w:val="20"/>
          <w:color w:val="auto"/>
        </w:rPr>
      </w:pPr>
      <w:r>
        <w:rPr>
          <w:rFonts w:ascii="Arial" w:cs="Arial" w:eastAsia="Arial" w:hAnsi="Arial"/>
          <w:sz w:val="18"/>
          <w:szCs w:val="18"/>
          <w:color w:val="auto"/>
        </w:rPr>
        <w:t>industries, including fleet and vehicle transportation, aviation ground service management, energy and industrial automation, security and safety, medical monitoring and government. Integrated telematics and asset tracking devices are also sold under our Ctrack brand and provided as part of our integrated SaaS solutions.</w:t>
      </w:r>
    </w:p>
    <w:p>
      <w:pPr>
        <w:spacing w:after="0" w:line="136" w:lineRule="exact"/>
        <w:rPr>
          <w:sz w:val="20"/>
          <w:szCs w:val="20"/>
          <w:color w:val="auto"/>
        </w:rPr>
      </w:pPr>
    </w:p>
    <w:p>
      <w:pPr>
        <w:ind w:right="300" w:firstLine="394"/>
        <w:spacing w:after="0" w:line="290" w:lineRule="auto"/>
        <w:rPr>
          <w:sz w:val="20"/>
          <w:szCs w:val="20"/>
          <w:color w:val="auto"/>
        </w:rPr>
      </w:pPr>
      <w:r>
        <w:rPr>
          <w:rFonts w:ascii="Arial" w:cs="Arial" w:eastAsia="Arial" w:hAnsi="Arial"/>
          <w:sz w:val="16"/>
          <w:szCs w:val="16"/>
          <w:color w:val="auto"/>
        </w:rPr>
        <w:t>We sell SaaS, software and services solutions across multiple mobile and IIoT vertical markets, including fleet management, vehicle telematics, stolen vehicle recovery, asset tracking, monitoring, business connectivity and subscription management.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108" w:lineRule="exact"/>
        <w:rPr>
          <w:sz w:val="20"/>
          <w:szCs w:val="20"/>
          <w:color w:val="auto"/>
        </w:rPr>
      </w:pPr>
    </w:p>
    <w:p>
      <w:pPr>
        <w:ind w:right="100" w:firstLine="394"/>
        <w:spacing w:after="0" w:line="224" w:lineRule="auto"/>
        <w:rPr>
          <w:sz w:val="20"/>
          <w:szCs w:val="20"/>
          <w:color w:val="auto"/>
        </w:rPr>
      </w:pPr>
      <w:r>
        <w:rPr>
          <w:rFonts w:ascii="Arial" w:cs="Arial" w:eastAsia="Arial" w:hAnsi="Arial"/>
          <w:sz w:val="18"/>
          <w:szCs w:val="18"/>
          <w:color w:val="auto"/>
        </w:rPr>
        <w:t>We classify our revenues from the sale of our products and services into two distinct groupings, specifically IoT &amp; Mobile Solutions and Enterprise SaaS Solutions. Both IoT &amp; Mobile Solutions and Enterprise SaaS Solutions revenues include any hardware and software required for the respective solution. Effective in the third quarter ended on September 30, 2020, our IoT &amp; Mobile Solutions now also includes our Device Management System, rebranded as Inseego Subscribe</w:t>
      </w:r>
      <w:r>
        <w:rPr>
          <w:rFonts w:ascii="Arial" w:cs="Arial" w:eastAsia="Arial" w:hAnsi="Arial"/>
          <w:sz w:val="22"/>
          <w:szCs w:val="22"/>
          <w:color w:val="auto"/>
          <w:vertAlign w:val="superscript"/>
        </w:rPr>
        <w:t>TM</w:t>
      </w:r>
      <w:r>
        <w:rPr>
          <w:rFonts w:ascii="Arial" w:cs="Arial" w:eastAsia="Arial" w:hAnsi="Arial"/>
          <w:sz w:val="18"/>
          <w:szCs w:val="18"/>
          <w:color w:val="auto"/>
        </w:rPr>
        <w:t>, a hosted SaaS platform that helps organizations manage the selection, deployment and spend of their customer’s wireless assets, helping them save money on personnel and telecom expenses. We reclassified our Inseego Subscribe revenue stream, from Enterprise SaaS solutions, to better reflect our end user delineation.</w:t>
      </w:r>
    </w:p>
    <w:p>
      <w:pPr>
        <w:spacing w:after="0" w:line="137" w:lineRule="exact"/>
        <w:rPr>
          <w:sz w:val="20"/>
          <w:szCs w:val="20"/>
          <w:color w:val="auto"/>
        </w:rPr>
      </w:pPr>
    </w:p>
    <w:p>
      <w:pPr>
        <w:jc w:val="both"/>
        <w:ind w:firstLine="394"/>
        <w:spacing w:after="0" w:line="252" w:lineRule="auto"/>
        <w:rPr>
          <w:sz w:val="20"/>
          <w:szCs w:val="20"/>
          <w:color w:val="auto"/>
        </w:rPr>
      </w:pPr>
      <w:r>
        <w:rPr>
          <w:rFonts w:ascii="Arial" w:cs="Arial" w:eastAsia="Arial" w:hAnsi="Arial"/>
          <w:sz w:val="18"/>
          <w:szCs w:val="18"/>
          <w:color w:val="auto"/>
        </w:rPr>
        <w:t>Our SaaS delivery platforms include our Ctrack platforms, which provide fleet, vehicle, aviation, asset and other telematics applications. Since the sale of our Ctrack South Africa operations was completed on July 30, 2021, certain portions of our SaaS revenue will no longer be generated, but Inseego will continue to provide telematics solutions in the rest of the world, including in North America, Europe and Australia.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may be influenced by a number of factors including:</w:t>
      </w:r>
    </w:p>
    <w:p>
      <w:pPr>
        <w:spacing w:after="0" w:line="42" w:lineRule="exact"/>
        <w:rPr>
          <w:sz w:val="20"/>
          <w:szCs w:val="20"/>
          <w:color w:val="auto"/>
        </w:rPr>
      </w:pPr>
    </w:p>
    <w:p>
      <w:pPr>
        <w:ind w:left="940" w:hanging="305"/>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42" w:lineRule="exact"/>
        <w:rPr>
          <w:rFonts w:ascii="Arial" w:cs="Arial" w:eastAsia="Arial" w:hAnsi="Arial"/>
          <w:sz w:val="18"/>
          <w:szCs w:val="18"/>
          <w:color w:val="auto"/>
        </w:rPr>
      </w:pPr>
    </w:p>
    <w:p>
      <w:pPr>
        <w:ind w:left="960" w:right="100" w:hanging="325"/>
        <w:spacing w:after="0" w:line="245" w:lineRule="auto"/>
        <w:tabs>
          <w:tab w:leader="none" w:pos="95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features;</w:t>
      </w:r>
    </w:p>
    <w:p>
      <w:pPr>
        <w:spacing w:after="0" w:line="23" w:lineRule="exact"/>
        <w:rPr>
          <w:rFonts w:ascii="Arial" w:cs="Arial" w:eastAsia="Arial" w:hAnsi="Arial"/>
          <w:sz w:val="18"/>
          <w:szCs w:val="18"/>
          <w:color w:val="auto"/>
        </w:rPr>
      </w:pPr>
    </w:p>
    <w:p>
      <w:pPr>
        <w:ind w:left="940" w:hanging="305"/>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protection measures (such as tariffs and duties) and import or export licensing requirements;</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contract manufacturer’s ability to secure necessary supply to of semiconductors and other key components to build our devices;</w:t>
      </w:r>
    </w:p>
    <w:p>
      <w:pPr>
        <w:spacing w:after="0" w:line="65" w:lineRule="exact"/>
        <w:rPr>
          <w:rFonts w:ascii="Arial" w:cs="Arial" w:eastAsia="Arial" w:hAnsi="Arial"/>
          <w:sz w:val="16"/>
          <w:szCs w:val="16"/>
          <w:color w:val="auto"/>
        </w:rPr>
      </w:pPr>
    </w:p>
    <w:p>
      <w:pPr>
        <w:ind w:left="940" w:hanging="305"/>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pricing;</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 of our Ctrack South Africa operations;</w:t>
      </w:r>
    </w:p>
    <w:p>
      <w:pPr>
        <w:spacing w:after="0" w:line="42" w:lineRule="exact"/>
        <w:rPr>
          <w:rFonts w:ascii="Arial" w:cs="Arial" w:eastAsia="Arial" w:hAnsi="Arial"/>
          <w:sz w:val="18"/>
          <w:szCs w:val="18"/>
          <w:color w:val="auto"/>
        </w:rPr>
      </w:pPr>
    </w:p>
    <w:p>
      <w:pPr>
        <w:ind w:left="940" w:hanging="305"/>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147" w:lineRule="exact"/>
        <w:rPr>
          <w:sz w:val="20"/>
          <w:szCs w:val="20"/>
          <w:color w:val="auto"/>
        </w:rPr>
      </w:pPr>
    </w:p>
    <w:p>
      <w:pPr>
        <w:ind w:right="300" w:firstLine="394"/>
        <w:spacing w:after="0" w:line="269" w:lineRule="auto"/>
        <w:rPr>
          <w:sz w:val="20"/>
          <w:szCs w:val="20"/>
          <w:color w:val="auto"/>
        </w:rPr>
      </w:pPr>
      <w:r>
        <w:rPr>
          <w:rFonts w:ascii="Arial" w:cs="Arial" w:eastAsia="Arial" w:hAnsi="Arial"/>
          <w:sz w:val="16"/>
          <w:szCs w:val="16"/>
          <w:color w:val="auto"/>
        </w:rPr>
        <w:t>We anticipate introducing additional products during the next twelve months, including SaaS telematics solutions and additional service offerings, IoT hardware and services, and other mobile and fixed wireless devices targeting the emerging 5G market. We continue to develop and maintain strategic relationships with service providers and other wireless industry leaders such as Verizon Wireless, T-Mobile, Sprint,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98" w:lineRule="exact"/>
        <w:rPr>
          <w:sz w:val="20"/>
          <w:szCs w:val="20"/>
          <w:color w:val="auto"/>
        </w:rPr>
      </w:pPr>
    </w:p>
    <w:p>
      <w:pPr>
        <w:jc w:val="both"/>
        <w:ind w:right="240" w:firstLine="394"/>
        <w:spacing w:after="0" w:line="247" w:lineRule="auto"/>
        <w:rPr>
          <w:sz w:val="20"/>
          <w:szCs w:val="20"/>
          <w:color w:val="auto"/>
        </w:rPr>
      </w:pPr>
      <w:r>
        <w:rPr>
          <w:rFonts w:ascii="Arial" w:cs="Arial" w:eastAsia="Arial" w:hAnsi="Arial"/>
          <w:sz w:val="16"/>
          <w:szCs w:val="16"/>
          <w:color w:val="auto"/>
        </w:rPr>
        <w:t>In December 2019, COVID-19 was reported to have surfaced in Wuhan, China, resulting in shutdowns of manufacturing and commerce globally in the months that followed. Since then, the COVID-19 pandemic has spread worldwide, and has resulted in authorities implementing numerous measures to try to contain the disease or slow its spread, such as travel bans and restrictions, quarantines, shelter-in-place orders and shutdowns.</w:t>
      </w:r>
    </w:p>
    <w:p>
      <w:pPr>
        <w:spacing w:after="0" w:line="180" w:lineRule="exact"/>
        <w:rPr>
          <w:sz w:val="20"/>
          <w:szCs w:val="20"/>
          <w:color w:val="auto"/>
        </w:rPr>
      </w:pPr>
    </w:p>
    <w:p>
      <w:pPr>
        <w:ind w:right="60" w:firstLine="394"/>
        <w:spacing w:after="0" w:line="227" w:lineRule="auto"/>
        <w:rPr>
          <w:sz w:val="20"/>
          <w:szCs w:val="20"/>
          <w:color w:val="auto"/>
        </w:rPr>
      </w:pPr>
      <w:r>
        <w:rPr>
          <w:rFonts w:ascii="Arial" w:cs="Arial" w:eastAsia="Arial" w:hAnsi="Arial"/>
          <w:sz w:val="18"/>
          <w:szCs w:val="18"/>
          <w:color w:val="auto"/>
        </w:rPr>
        <w:t>The demand environment for our 5G products during the three months ended June 30, 2021 was consistent with our expectations, with continued demand for our products due to a dramatic increase around the world in remote or tele-work and</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28" w:name="page29"/>
    <w:bookmarkEnd w:id="28"/>
    <w:p>
      <w:pPr>
        <w:jc w:val="both"/>
        <w:ind w:right="100"/>
        <w:spacing w:after="0" w:line="247" w:lineRule="auto"/>
        <w:rPr>
          <w:sz w:val="20"/>
          <w:szCs w:val="20"/>
          <w:color w:val="auto"/>
        </w:rPr>
      </w:pPr>
      <w:r>
        <w:rPr>
          <w:rFonts w:ascii="Arial" w:cs="Arial" w:eastAsia="Arial" w:hAnsi="Arial"/>
          <w:sz w:val="16"/>
          <w:szCs w:val="16"/>
          <w:color w:val="auto"/>
        </w:rPr>
        <w:t>learning due to the COVID-19 pandemic. Recently, our IoT &amp; Mobile Solutions have experienced lower sales of LTE gigabit hotspots as COVID-19 pandemic demand have eased. The macroeconomic environment remains uncertain and the demand for our products in the prior year may not be sustainable for the long term. We will continue to monitor the implications of the COVID-19 pandemic on our business, as well as our customers’ and suppliers’ businesses.</w:t>
      </w:r>
    </w:p>
    <w:p>
      <w:pPr>
        <w:spacing w:after="0" w:line="115" w:lineRule="exact"/>
        <w:rPr>
          <w:sz w:val="20"/>
          <w:szCs w:val="20"/>
          <w:color w:val="auto"/>
        </w:rPr>
      </w:pPr>
    </w:p>
    <w:p>
      <w:pPr>
        <w:ind w:right="40" w:firstLine="394"/>
        <w:spacing w:after="0" w:line="269"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Cost of net revenues includes all costs associated with our contract manufacturers, distribution, fulfillment and repair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SaaS services, warranty costs, amortization of intangible assets, royalties, operations overhead, costs associated with cancellation of purchase orders and costs related to outside services. Also included in cost of net revenues are costs related to inventory adjustments, including acquisition-related amortization of the fair value of inventory, as well as any write downs for excess and obsolete inventory and abandoned product lines. Inventory adjustments are impacted primarily by demand for our products, which is influenced by the factors discussed above.</w:t>
      </w:r>
    </w:p>
    <w:p>
      <w:pPr>
        <w:spacing w:after="0" w:line="111" w:lineRule="exact"/>
        <w:rPr>
          <w:sz w:val="20"/>
          <w:szCs w:val="20"/>
          <w:color w:val="auto"/>
        </w:rPr>
      </w:pPr>
    </w:p>
    <w:p>
      <w:pPr>
        <w:ind w:right="160" w:firstLine="394"/>
        <w:spacing w:after="0" w:line="245"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costs.</w:t>
      </w:r>
    </w:p>
    <w:p>
      <w:pPr>
        <w:spacing w:after="0" w:line="129" w:lineRule="exact"/>
        <w:rPr>
          <w:sz w:val="20"/>
          <w:szCs w:val="20"/>
          <w:color w:val="auto"/>
        </w:rPr>
      </w:pPr>
    </w:p>
    <w:p>
      <w:pPr>
        <w:ind w:right="260" w:firstLine="394"/>
        <w:spacing w:after="0" w:line="306" w:lineRule="auto"/>
        <w:rPr>
          <w:sz w:val="20"/>
          <w:szCs w:val="20"/>
          <w:color w:val="auto"/>
        </w:rPr>
      </w:pPr>
      <w:r>
        <w:rPr>
          <w:rFonts w:ascii="Arial" w:cs="Arial" w:eastAsia="Arial" w:hAnsi="Arial"/>
          <w:sz w:val="16"/>
          <w:szCs w:val="16"/>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82" w:lineRule="exact"/>
        <w:rPr>
          <w:sz w:val="20"/>
          <w:szCs w:val="20"/>
          <w:color w:val="auto"/>
        </w:rPr>
      </w:pPr>
    </w:p>
    <w:p>
      <w:pPr>
        <w:ind w:right="80" w:firstLine="394"/>
        <w:spacing w:after="0" w:line="281"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102" w:lineRule="exact"/>
        <w:rPr>
          <w:sz w:val="20"/>
          <w:szCs w:val="20"/>
          <w:color w:val="auto"/>
        </w:rPr>
      </w:pPr>
    </w:p>
    <w:p>
      <w:pPr>
        <w:ind w:right="80" w:firstLine="394"/>
        <w:spacing w:after="0" w:line="234"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133" w:lineRule="exact"/>
        <w:rPr>
          <w:sz w:val="20"/>
          <w:szCs w:val="20"/>
          <w:color w:val="auto"/>
        </w:rPr>
      </w:pPr>
    </w:p>
    <w:p>
      <w:pPr>
        <w:jc w:val="both"/>
        <w:ind w:right="60" w:firstLine="394"/>
        <w:spacing w:after="0" w:line="238"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exit-related costs, as well as discontinued operations, if any.</w:t>
      </w:r>
    </w:p>
    <w:p>
      <w:pPr>
        <w:spacing w:after="0" w:line="133" w:lineRule="exact"/>
        <w:rPr>
          <w:sz w:val="20"/>
          <w:szCs w:val="20"/>
          <w:color w:val="auto"/>
        </w:rPr>
      </w:pPr>
    </w:p>
    <w:p>
      <w:pPr>
        <w:ind w:firstLine="394"/>
        <w:spacing w:after="0" w:line="273" w:lineRule="auto"/>
        <w:rPr>
          <w:sz w:val="20"/>
          <w:szCs w:val="20"/>
          <w:color w:val="auto"/>
        </w:rPr>
      </w:pPr>
      <w:r>
        <w:rPr>
          <w:rFonts w:ascii="Arial" w:cs="Arial" w:eastAsia="Arial" w:hAnsi="Arial"/>
          <w:sz w:val="16"/>
          <w:szCs w:val="16"/>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1" w:lineRule="exact"/>
        <w:rPr>
          <w:sz w:val="20"/>
          <w:szCs w:val="20"/>
          <w:color w:val="auto"/>
        </w:rPr>
      </w:pPr>
    </w:p>
    <w:p>
      <w:pPr>
        <w:ind w:right="120" w:firstLine="394"/>
        <w:spacing w:after="0" w:line="234" w:lineRule="auto"/>
        <w:rPr>
          <w:sz w:val="20"/>
          <w:szCs w:val="20"/>
          <w:color w:val="auto"/>
        </w:rPr>
      </w:pPr>
      <w:r>
        <w:rPr>
          <w:rFonts w:ascii="Arial" w:cs="Arial" w:eastAsia="Arial" w:hAnsi="Arial"/>
          <w:sz w:val="18"/>
          <w:szCs w:val="18"/>
          <w:color w:val="auto"/>
        </w:rPr>
        <w:t>In the notes to our consolidated financial statements and in “Item 7. Management’s Discussion and Analysis of Financial Condition and Results of Operations” included in our Form 10-K, we have disclosed those accounting policies that we consider to be significant in determining our results of operations and financial condition. There have been no material changes to those policies that we consider to be significant since the filing of our Form 10-K. The accounting principles used in preparing our unaudited condensed consolidated financial statements conform in all material respects to accounting principles generally accepted in the U.S.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Compared to Three Months Ended June 30, 2020</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for the three months ended June 30, 2021 were $65.7 million, compared to $80.7 million for the same period in 2020.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6"/>
        </w:trPr>
        <w:tc>
          <w:tcPr>
            <w:tcW w:w="6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51,836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69,314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07"/>
        </w:trPr>
        <w:tc>
          <w:tcPr>
            <w:tcW w:w="65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Enterprise SaaS Solutions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11,375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21.8 %</w:t>
            </w:r>
          </w:p>
        </w:tc>
        <w:tc>
          <w:tcPr>
            <w:tcW w:w="0" w:type="dxa"/>
            <w:vAlign w:val="bottom"/>
          </w:tcPr>
          <w:p>
            <w:pPr>
              <w:spacing w:after="0"/>
              <w:rPr>
                <w:sz w:val="1"/>
                <w:szCs w:val="1"/>
                <w:color w:val="auto"/>
              </w:rPr>
            </w:pPr>
          </w:p>
        </w:tc>
      </w:tr>
      <w:tr>
        <w:trPr>
          <w:trHeight w:val="228"/>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65,693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80,689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200" w:right="320" w:firstLine="394"/>
        <w:spacing w:after="0" w:line="281" w:lineRule="auto"/>
        <w:rPr>
          <w:sz w:val="20"/>
          <w:szCs w:val="20"/>
          <w:color w:val="auto"/>
        </w:rPr>
      </w:pPr>
      <w:r>
        <w:rPr>
          <w:rFonts w:ascii="Arial" w:cs="Arial" w:eastAsia="Arial" w:hAnsi="Arial"/>
          <w:sz w:val="16"/>
          <w:szCs w:val="16"/>
          <w:i w:val="1"/>
          <w:iCs w:val="1"/>
          <w:color w:val="auto"/>
        </w:rPr>
        <w:t xml:space="preserve">IoT &amp; Mobile Solutions. </w:t>
      </w:r>
      <w:r>
        <w:rPr>
          <w:rFonts w:ascii="Arial" w:cs="Arial" w:eastAsia="Arial" w:hAnsi="Arial"/>
          <w:sz w:val="16"/>
          <w:szCs w:val="16"/>
          <w:color w:val="auto"/>
        </w:rPr>
        <w:t>The decrease in IoT &amp; Mobile Solutions net revenues is primarily due to decreases in our enterprise and carrier offerings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IoT &amp; Mobile Solutions, and lower sales of LTE gigabit hotspots as COVID-19 pandemic demand eased, partially offset by increased sales of our second-generation 5G hotspot related to our MiFi business and increased revenues in our Inseego Subscribe business due to subscriber growth.</w:t>
      </w:r>
    </w:p>
    <w:p>
      <w:pPr>
        <w:spacing w:after="0" w:line="181" w:lineRule="exact"/>
        <w:rPr>
          <w:sz w:val="20"/>
          <w:szCs w:val="20"/>
          <w:color w:val="auto"/>
        </w:rPr>
      </w:pPr>
    </w:p>
    <w:p>
      <w:pPr>
        <w:ind w:left="200" w:right="360" w:firstLine="394"/>
        <w:spacing w:after="0" w:line="238"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Enterprise SaaS Solutions net revenues increased year-over-year as we experienced COVID-19 related installation</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in fiscal 2020 and such imposed restrictions were lifted in fiscal 2021. The effect of the weakening U.S. Dollar to South Africa Rand foreign exchange rates on international sales also contributed to the increase in net revenues.</w:t>
      </w:r>
    </w:p>
    <w:p>
      <w:pPr>
        <w:spacing w:after="0" w:line="133" w:lineRule="exact"/>
        <w:rPr>
          <w:sz w:val="20"/>
          <w:szCs w:val="20"/>
          <w:color w:val="auto"/>
        </w:rPr>
      </w:pPr>
    </w:p>
    <w:p>
      <w:pPr>
        <w:ind w:right="800" w:firstLine="394"/>
        <w:spacing w:after="0" w:line="245"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June 30, 2021 was $45.3 million, or 69.0% of net revenues,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$58.7 million, or 72.7% of net revenues, for the same period in 2020.</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6"/>
        </w:trPr>
        <w:tc>
          <w:tcPr>
            <w:tcW w:w="6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54,240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07"/>
        </w:trPr>
        <w:tc>
          <w:tcPr>
            <w:tcW w:w="65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Enterprise SaaS Solutions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4,449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26.0 %</w:t>
            </w:r>
          </w:p>
        </w:tc>
        <w:tc>
          <w:tcPr>
            <w:tcW w:w="0" w:type="dxa"/>
            <w:vAlign w:val="bottom"/>
          </w:tcPr>
          <w:p>
            <w:pPr>
              <w:spacing w:after="0"/>
              <w:rPr>
                <w:sz w:val="1"/>
                <w:szCs w:val="1"/>
                <w:color w:val="auto"/>
              </w:rPr>
            </w:pPr>
          </w:p>
        </w:tc>
      </w:tr>
      <w:tr>
        <w:trPr>
          <w:trHeight w:val="228"/>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45,344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58,689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 xml:space="preserve">IoT &amp; Mobile Solutions. </w:t>
      </w:r>
      <w:r>
        <w:rPr>
          <w:rFonts w:ascii="Arial" w:cs="Arial" w:eastAsia="Arial" w:hAnsi="Arial"/>
          <w:sz w:val="16"/>
          <w:szCs w:val="16"/>
          <w:color w:val="auto"/>
        </w:rPr>
        <w:t>The decrease in IoT &amp; Mobile Solutions cost of net revenues is primarily a result of lower sales of LTE gigabit hotspots.</w:t>
      </w:r>
    </w:p>
    <w:p>
      <w:pPr>
        <w:spacing w:after="0" w:line="170" w:lineRule="exact"/>
        <w:rPr>
          <w:sz w:val="20"/>
          <w:szCs w:val="20"/>
          <w:color w:val="auto"/>
        </w:rPr>
      </w:pPr>
    </w:p>
    <w:p>
      <w:pPr>
        <w:ind w:left="200" w:right="220" w:firstLine="394"/>
        <w:spacing w:after="0" w:line="306" w:lineRule="auto"/>
        <w:rPr>
          <w:sz w:val="20"/>
          <w:szCs w:val="20"/>
          <w:color w:val="auto"/>
        </w:rPr>
      </w:pPr>
      <w:r>
        <w:rPr>
          <w:rFonts w:ascii="Arial" w:cs="Arial" w:eastAsia="Arial" w:hAnsi="Arial"/>
          <w:sz w:val="16"/>
          <w:szCs w:val="16"/>
          <w:i w:val="1"/>
          <w:iCs w:val="1"/>
          <w:color w:val="auto"/>
        </w:rPr>
        <w:t xml:space="preserve">Enterprise SaaS Solutions. </w:t>
      </w:r>
      <w:r>
        <w:rPr>
          <w:rFonts w:ascii="Arial" w:cs="Arial" w:eastAsia="Arial" w:hAnsi="Arial"/>
          <w:sz w:val="16"/>
          <w:szCs w:val="16"/>
          <w:color w:val="auto"/>
        </w:rPr>
        <w:t>Enterprise SaaS Solutions cost of net revenues increased by 26.0% compared to the same period in 2020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sales, and the weakening U.S. Dollar to South Africa Rand foreign exchange rates on international costs.</w:t>
      </w:r>
    </w:p>
    <w:p>
      <w:pPr>
        <w:spacing w:after="0" w:line="82" w:lineRule="exact"/>
        <w:rPr>
          <w:sz w:val="20"/>
          <w:szCs w:val="20"/>
          <w:color w:val="auto"/>
        </w:rPr>
      </w:pPr>
    </w:p>
    <w:p>
      <w:pPr>
        <w:ind w:right="80" w:firstLine="394"/>
        <w:spacing w:after="0" w:line="23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June 30, 2021 was $20.3 million, or a gross margin of 31.0%, compared to $22.0 million, or a gross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of 27.3%, for the same period in 2020. The increase in gross margin was primarily attributable to the more favorable mix of our product offerings, as well as favorable margins on our Inseego Subscribe revenue.</w:t>
      </w:r>
    </w:p>
    <w:p>
      <w:pPr>
        <w:spacing w:after="0" w:line="133" w:lineRule="exact"/>
        <w:rPr>
          <w:sz w:val="20"/>
          <w:szCs w:val="20"/>
          <w:color w:val="auto"/>
        </w:rPr>
      </w:pPr>
    </w:p>
    <w:p>
      <w:pPr>
        <w:ind w:right="20" w:firstLine="394"/>
        <w:spacing w:after="0" w:line="269"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three months ended June 30, 2021 were $11.8 million, or 17.9%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revenues, compared to $10.5 million, or 13.1% of net revenues, for the same period in 2020. The increase was primarily a result of staffing, test units, and other development spending related to our 5G product programs, partially offset by the timing and amount of bonus grants to eligible employees during the first quarter of fiscal 2021, compared to bonus grants awarded to employees during the second quarter of fiscal 2020. See Note 6. </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in the accompanying unaudited condensed consolidated financial statements for further information.</w:t>
      </w:r>
    </w:p>
    <w:p>
      <w:pPr>
        <w:spacing w:after="0" w:line="111" w:lineRule="exact"/>
        <w:rPr>
          <w:sz w:val="20"/>
          <w:szCs w:val="20"/>
          <w:color w:val="auto"/>
        </w:rPr>
      </w:pPr>
    </w:p>
    <w:p>
      <w:pPr>
        <w:ind w:firstLine="394"/>
        <w:spacing w:after="0" w:line="235"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June 30, 2021 were $9.8 million, or 14.9%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$8.6 million, or 10.7% of net revenues, for the same period in 2020. The increase was primarily a result of higher spend on marketing 5G products, partially offset by the timing and amount of bonus grants to eligible employees during the first quarter of fiscal 2021, compared to bonus grants awarded to employees during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30" w:name="page31"/>
    <w:bookmarkEnd w:id="30"/>
    <w:p>
      <w:pPr>
        <w:ind w:right="180"/>
        <w:spacing w:after="0" w:line="245" w:lineRule="auto"/>
        <w:rPr>
          <w:sz w:val="20"/>
          <w:szCs w:val="20"/>
          <w:color w:val="auto"/>
        </w:rPr>
      </w:pPr>
      <w:r>
        <w:rPr>
          <w:rFonts w:ascii="Arial" w:cs="Arial" w:eastAsia="Arial" w:hAnsi="Arial"/>
          <w:sz w:val="18"/>
          <w:szCs w:val="18"/>
          <w:color w:val="auto"/>
        </w:rPr>
        <w:t xml:space="preserve">second quarter of fiscal 2020. See Note 6. </w:t>
      </w:r>
      <w:r>
        <w:rPr>
          <w:rFonts w:ascii="Arial" w:cs="Arial" w:eastAsia="Arial" w:hAnsi="Arial"/>
          <w:sz w:val="18"/>
          <w:szCs w:val="18"/>
          <w:i w:val="1"/>
          <w:iCs w:val="1"/>
          <w:color w:val="auto"/>
        </w:rPr>
        <w:t>Share-based Compensation</w:t>
      </w:r>
      <w:r>
        <w:rPr>
          <w:rFonts w:ascii="Arial" w:cs="Arial" w:eastAsia="Arial" w:hAnsi="Arial"/>
          <w:sz w:val="18"/>
          <w:szCs w:val="18"/>
          <w:color w:val="auto"/>
        </w:rPr>
        <w:t xml:space="preserve"> in the accompanying unaudited condensed consolidated financial statements for further information.</w:t>
      </w:r>
    </w:p>
    <w:p>
      <w:pPr>
        <w:spacing w:after="0" w:line="129" w:lineRule="exact"/>
        <w:rPr>
          <w:sz w:val="20"/>
          <w:szCs w:val="20"/>
          <w:color w:val="auto"/>
        </w:rPr>
      </w:pPr>
    </w:p>
    <w:p>
      <w:pPr>
        <w:ind w:right="40" w:firstLine="394"/>
        <w:spacing w:after="0" w:line="23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June 30, 2021 were $7.4 million, or 11.3%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revenues, compared to $7.4 million, or 9.2% of net revenues, for the same period in 2020. The increase was primarily a result of higher legal expenses, partially offset by the timing and amount of bonus grants to eligible employees during the first quarter of 2021, compared to bonus grants awarded to employees during the second quarter of fiscal 2020. See Note 6. </w:t>
      </w:r>
      <w:r>
        <w:rPr>
          <w:rFonts w:ascii="Arial" w:cs="Arial" w:eastAsia="Arial" w:hAnsi="Arial"/>
          <w:sz w:val="18"/>
          <w:szCs w:val="18"/>
          <w:i w:val="1"/>
          <w:iCs w:val="1"/>
          <w:color w:val="auto"/>
        </w:rPr>
        <w:t>Share-based Compensation</w:t>
      </w:r>
      <w:r>
        <w:rPr>
          <w:rFonts w:ascii="Arial" w:cs="Arial" w:eastAsia="Arial" w:hAnsi="Arial"/>
          <w:sz w:val="18"/>
          <w:szCs w:val="18"/>
          <w:color w:val="auto"/>
        </w:rPr>
        <w:t xml:space="preserve"> in the accompanying unaudited condensed consolidated financial statements for further information.</w:t>
      </w:r>
    </w:p>
    <w:p>
      <w:pPr>
        <w:spacing w:after="0" w:line="127" w:lineRule="exact"/>
        <w:rPr>
          <w:sz w:val="20"/>
          <w:szCs w:val="20"/>
          <w:color w:val="auto"/>
        </w:rPr>
      </w:pPr>
    </w:p>
    <w:p>
      <w:pPr>
        <w:ind w:right="20" w:firstLine="394"/>
        <w:spacing w:after="0"/>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for each of the three months ended June 30, 2021 and 2020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$0.7 million and $0.8 million, respectively. The decrease was primarily as a result of certain purchased intangible assets being fully amortized as of the fourth quarter of 2020.</w:t>
      </w:r>
    </w:p>
    <w:p>
      <w:pPr>
        <w:spacing w:after="0" w:line="127" w:lineRule="exact"/>
        <w:rPr>
          <w:sz w:val="20"/>
          <w:szCs w:val="20"/>
          <w:color w:val="auto"/>
        </w:rPr>
      </w:pPr>
    </w:p>
    <w:p>
      <w:pPr>
        <w:ind w:right="920" w:firstLine="394"/>
        <w:spacing w:after="0" w:line="252" w:lineRule="auto"/>
        <w:rPr>
          <w:sz w:val="20"/>
          <w:szCs w:val="20"/>
          <w:color w:val="auto"/>
        </w:rPr>
      </w:pPr>
      <w:r>
        <w:rPr>
          <w:rFonts w:ascii="Arial" w:cs="Arial" w:eastAsia="Arial" w:hAnsi="Arial"/>
          <w:sz w:val="18"/>
          <w:szCs w:val="18"/>
          <w:b w:val="1"/>
          <w:bCs w:val="1"/>
          <w:i w:val="1"/>
          <w:iCs w:val="1"/>
          <w:color w:val="auto"/>
        </w:rPr>
        <w:t>Impairment of capitalized software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months ended June 30, 2021, we recorded a loss of $1.2 million on capitalized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costs. There was no such expense for the same period in 2020.</w:t>
      </w:r>
    </w:p>
    <w:p>
      <w:pPr>
        <w:spacing w:after="0" w:line="123" w:lineRule="exact"/>
        <w:rPr>
          <w:sz w:val="20"/>
          <w:szCs w:val="20"/>
          <w:color w:val="auto"/>
        </w:rPr>
      </w:pPr>
    </w:p>
    <w:p>
      <w:pPr>
        <w:ind w:right="120" w:firstLine="473"/>
        <w:spacing w:after="0" w:line="306" w:lineRule="auto"/>
        <w:rPr>
          <w:sz w:val="20"/>
          <w:szCs w:val="20"/>
          <w:color w:val="auto"/>
        </w:rPr>
      </w:pPr>
      <w:r>
        <w:rPr>
          <w:rFonts w:ascii="Arial" w:cs="Arial" w:eastAsia="Arial" w:hAnsi="Arial"/>
          <w:sz w:val="16"/>
          <w:szCs w:val="16"/>
          <w:b w:val="1"/>
          <w:bCs w:val="1"/>
          <w:i w:val="1"/>
          <w:iCs w:val="1"/>
          <w:color w:val="auto"/>
        </w:rPr>
        <w:t xml:space="preserve">Loss on debt conversion and extinguishment, net. </w:t>
      </w:r>
      <w:r>
        <w:rPr>
          <w:rFonts w:ascii="Arial" w:cs="Arial" w:eastAsia="Arial" w:hAnsi="Arial"/>
          <w:sz w:val="16"/>
          <w:szCs w:val="16"/>
          <w:color w:val="auto"/>
        </w:rPr>
        <w:t>The loss on debt conversion and extinguishment, net of $67.2 million during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2020 was primarily related to the extinguishment of the 2022 Notes, while there was no such expense for the same period in fiscal 2021.</w:t>
      </w:r>
    </w:p>
    <w:p>
      <w:pPr>
        <w:spacing w:after="0" w:line="82" w:lineRule="exact"/>
        <w:rPr>
          <w:sz w:val="20"/>
          <w:szCs w:val="20"/>
          <w:color w:val="auto"/>
        </w:rPr>
      </w:pPr>
    </w:p>
    <w:p>
      <w:pPr>
        <w:ind w:right="60" w:firstLine="394"/>
        <w:spacing w:after="0" w:line="238"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the three months ended June 30, 2021 and 2020 was $1.7 million and $3.2 million,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interest expense was primarily due to the lower interest rate on the 2025 Notes, as compared to the 2022 Notes and our previous term loan, partially offset by the higher principal amount of 2025 Notes.</w:t>
      </w:r>
    </w:p>
    <w:p>
      <w:pPr>
        <w:spacing w:after="0" w:line="133" w:lineRule="exact"/>
        <w:rPr>
          <w:sz w:val="20"/>
          <w:szCs w:val="20"/>
          <w:color w:val="auto"/>
        </w:rPr>
      </w:pPr>
    </w:p>
    <w:p>
      <w:pPr>
        <w:ind w:right="100" w:firstLine="394"/>
        <w:spacing w:after="0" w:line="281"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expense, net, for the three months ended June 30, 2021 was $0.6 million, which primarily includes the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adjustment related to our interest make-whole arrangement, as well as transaction costs incurred related to the sale of Ctrack South Africa. For the same period in 2020, other income, net, was $0.8 million, which primarily includes the fair value adjustment related to our interest make-whole arrangement.</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 xml:space="preserve">Income tax provision (benefit). </w:t>
      </w:r>
      <w:r>
        <w:rPr>
          <w:rFonts w:ascii="Arial" w:cs="Arial" w:eastAsia="Arial" w:hAnsi="Arial"/>
          <w:sz w:val="16"/>
          <w:szCs w:val="16"/>
          <w:color w:val="auto"/>
        </w:rPr>
        <w:t>The income tax provision of $0.2 million for the three months ended June 30, 2021 and the income tax benefit of</w:t>
      </w:r>
    </w:p>
    <w:p>
      <w:pPr>
        <w:spacing w:after="0" w:line="27"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$0.1 million for the same period in 2020, respectively, primarily relate to provision in fiscal 2021 or benefits in fiscal 2020 from certain of our entities in foreign jurisdictions.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1" w:name="page32"/>
    <w:bookmarkEnd w:id="31"/>
    <w:p>
      <w:pPr>
        <w:ind w:right="200" w:firstLine="394"/>
        <w:spacing w:after="0" w:line="245" w:lineRule="auto"/>
        <w:rPr>
          <w:sz w:val="20"/>
          <w:szCs w:val="20"/>
          <w:color w:val="auto"/>
        </w:rPr>
      </w:pPr>
      <w:r>
        <w:rPr>
          <w:rFonts w:ascii="Arial" w:cs="Arial" w:eastAsia="Arial" w:hAnsi="Arial"/>
          <w:sz w:val="18"/>
          <w:szCs w:val="18"/>
          <w:b w:val="1"/>
          <w:bCs w:val="1"/>
          <w:i w:val="1"/>
          <w:iCs w:val="1"/>
          <w:color w:val="auto"/>
        </w:rPr>
        <w:t xml:space="preserve">Net loss (income) attributable to noncontrolling interests. </w:t>
      </w:r>
      <w:r>
        <w:rPr>
          <w:rFonts w:ascii="Arial" w:cs="Arial" w:eastAsia="Arial" w:hAnsi="Arial"/>
          <w:sz w:val="18"/>
          <w:szCs w:val="18"/>
          <w:color w:val="auto"/>
        </w:rPr>
        <w:t>Net income attributable to noncontrolling interests for the three months ended June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nil, compared to a net loss attributable to noncontrolling interests of $6,000 for the same period in 2020.</w:t>
      </w:r>
    </w:p>
    <w:p>
      <w:pPr>
        <w:spacing w:after="0" w:line="129" w:lineRule="exact"/>
        <w:rPr>
          <w:sz w:val="20"/>
          <w:szCs w:val="20"/>
          <w:color w:val="auto"/>
        </w:rPr>
      </w:pPr>
    </w:p>
    <w:p>
      <w:pPr>
        <w:ind w:right="160" w:firstLine="394"/>
        <w:spacing w:after="0" w:line="273" w:lineRule="auto"/>
        <w:rPr>
          <w:sz w:val="20"/>
          <w:szCs w:val="20"/>
          <w:color w:val="auto"/>
        </w:rPr>
      </w:pPr>
      <w:r>
        <w:rPr>
          <w:rFonts w:ascii="Arial" w:cs="Arial" w:eastAsia="Arial" w:hAnsi="Arial"/>
          <w:sz w:val="16"/>
          <w:szCs w:val="16"/>
          <w:b w:val="1"/>
          <w:bCs w:val="1"/>
          <w:i w:val="1"/>
          <w:iCs w:val="1"/>
          <w:color w:val="auto"/>
        </w:rPr>
        <w:t xml:space="preserve">Series E preferred stock dividends. </w:t>
      </w:r>
      <w:r>
        <w:rPr>
          <w:rFonts w:ascii="Arial" w:cs="Arial" w:eastAsia="Arial" w:hAnsi="Arial"/>
          <w:sz w:val="16"/>
          <w:szCs w:val="16"/>
          <w:color w:val="auto"/>
        </w:rPr>
        <w:t>During the three months ended June 30, 2021 and 2020, we recorded dividends of $0.9 million and $0.8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respectively, on our Fixed-Rate Cumulative Perpetual Preferred Stock, Series E, par value $0.001 per share (the “Series E Preferred Stock”). The increase was primarily attributable to the additional shares of Series E Preferred Stock issued in March 2020. See Note 8. </w:t>
      </w:r>
      <w:r>
        <w:rPr>
          <w:rFonts w:ascii="Arial" w:cs="Arial" w:eastAsia="Arial" w:hAnsi="Arial"/>
          <w:sz w:val="16"/>
          <w:szCs w:val="16"/>
          <w:i w:val="1"/>
          <w:iCs w:val="1"/>
          <w:color w:val="auto"/>
        </w:rPr>
        <w:t>Private Placements and Public Offering</w:t>
      </w:r>
      <w:r>
        <w:rPr>
          <w:rFonts w:ascii="Arial" w:cs="Arial" w:eastAsia="Arial" w:hAnsi="Arial"/>
          <w:sz w:val="16"/>
          <w:szCs w:val="16"/>
          <w:color w:val="auto"/>
        </w:rPr>
        <w:t xml:space="preserve"> in the accompanying unaudited condensed consolidated financial statements for further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Compared to Six Months Ended June 30, 2020</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for the six months ended June 30, 2021 were $123.3 million, compared to $137.5 million for the same period in 2020.</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tbl>
      <w:tblPr>
        <w:tblLayout w:type="fixed"/>
        <w:tblInd w:w="0" w:type="dxa"/>
        <w:tblCellMar>
          <w:top w:w="0" w:type="dxa"/>
          <w:left w:w="0" w:type="dxa"/>
          <w:bottom w:w="0" w:type="dxa"/>
          <w:right w:w="0" w:type="dxa"/>
        </w:tblCellMar>
      </w:tblPr>
      <w:tr>
        <w:trPr>
          <w:trHeight w:val="160"/>
        </w:trPr>
        <w:tc>
          <w:tcPr>
            <w:tcW w:w="23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gridSpan w:val="4"/>
          </w:tcPr>
          <w:p>
            <w:pPr>
              <w:jc w:val="right"/>
              <w:spacing w:after="0" w:line="160" w:lineRule="exact"/>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gridSpan w:val="2"/>
            <w:vMerge w:val="restart"/>
          </w:tcPr>
          <w:p>
            <w:pPr>
              <w:jc w:val="right"/>
              <w:ind w:right="741"/>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0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Product Category</w:t>
            </w:r>
          </w:p>
        </w:tc>
        <w:tc>
          <w:tcPr>
            <w:tcW w:w="24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IoT &amp; Mobile Solutions</w:t>
            </w: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94,795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111,729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(16,934)</w:t>
            </w:r>
          </w:p>
        </w:tc>
        <w:tc>
          <w:tcPr>
            <w:tcW w:w="13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1"/>
        </w:trPr>
        <w:tc>
          <w:tcPr>
            <w:tcW w:w="4780" w:type="dxa"/>
            <w:vAlign w:val="bottom"/>
            <w:gridSpan w:val="2"/>
          </w:tcPr>
          <w:p>
            <w:pPr>
              <w:ind w:left="660"/>
              <w:spacing w:after="0" w:line="161" w:lineRule="exact"/>
              <w:rPr>
                <w:sz w:val="20"/>
                <w:szCs w:val="20"/>
                <w:color w:val="auto"/>
              </w:rPr>
            </w:pPr>
            <w:r>
              <w:rPr>
                <w:rFonts w:ascii="Arial" w:cs="Arial" w:eastAsia="Arial" w:hAnsi="Arial"/>
                <w:sz w:val="16"/>
                <w:szCs w:val="16"/>
                <w:color w:val="auto"/>
              </w:rPr>
              <w:t>Enterprise SaaS</w:t>
            </w:r>
          </w:p>
        </w:tc>
        <w:tc>
          <w:tcPr>
            <w:tcW w:w="6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28,495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25,800</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2,695</w:t>
            </w:r>
          </w:p>
        </w:tc>
        <w:tc>
          <w:tcPr>
            <w:tcW w:w="100" w:type="dxa"/>
            <w:vAlign w:val="bottom"/>
            <w:vMerge w:val="restart"/>
          </w:tcPr>
          <w:p>
            <w:pPr>
              <w:spacing w:after="0"/>
              <w:rPr>
                <w:sz w:val="13"/>
                <w:szCs w:val="13"/>
                <w:color w:val="auto"/>
              </w:rPr>
            </w:pPr>
          </w:p>
        </w:tc>
        <w:tc>
          <w:tcPr>
            <w:tcW w:w="1220" w:type="dxa"/>
            <w:vAlign w:val="bottom"/>
            <w:vMerge w:val="restart"/>
          </w:tcPr>
          <w:p>
            <w:pPr>
              <w:jc w:val="right"/>
              <w:ind w:right="241"/>
              <w:spacing w:after="0"/>
              <w:rPr>
                <w:sz w:val="20"/>
                <w:szCs w:val="20"/>
                <w:color w:val="auto"/>
              </w:rPr>
            </w:pPr>
            <w:r>
              <w:rPr>
                <w:rFonts w:ascii="Arial" w:cs="Arial" w:eastAsia="Arial" w:hAnsi="Arial"/>
                <w:sz w:val="18"/>
                <w:szCs w:val="18"/>
                <w:color w:val="auto"/>
              </w:rPr>
              <w:t>10.4</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780" w:type="dxa"/>
            <w:vAlign w:val="bottom"/>
            <w:gridSpan w:val="2"/>
            <w:vMerge w:val="restart"/>
          </w:tcPr>
          <w:p>
            <w:pPr>
              <w:ind w:left="220"/>
              <w:spacing w:after="0"/>
              <w:rPr>
                <w:sz w:val="20"/>
                <w:szCs w:val="20"/>
                <w:color w:val="auto"/>
              </w:rPr>
            </w:pPr>
            <w:r>
              <w:rPr>
                <w:rFonts w:ascii="Arial" w:cs="Arial" w:eastAsia="Arial" w:hAnsi="Arial"/>
                <w:sz w:val="16"/>
                <w:szCs w:val="16"/>
                <w:color w:val="auto"/>
              </w:rPr>
              <w:t>Solutions</w:t>
            </w:r>
          </w:p>
        </w:tc>
        <w:tc>
          <w:tcPr>
            <w:tcW w:w="6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780" w:type="dxa"/>
            <w:vAlign w:val="bottom"/>
            <w:tcBorders>
              <w:bottom w:val="single" w:sz="8" w:color="CCEEFF"/>
            </w:tcBorders>
            <w:gridSpan w:val="2"/>
            <w:vMerge w:val="continue"/>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6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137,529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(14,239)</w:t>
            </w:r>
          </w:p>
        </w:tc>
        <w:tc>
          <w:tcPr>
            <w:tcW w:w="1320" w:type="dxa"/>
            <w:vAlign w:val="bottom"/>
            <w:gridSpan w:val="2"/>
            <w:shd w:val="clear" w:color="auto" w:fill="CCEEFF"/>
          </w:tcPr>
          <w:p>
            <w:pPr>
              <w:jc w:val="right"/>
              <w:ind w:right="201"/>
              <w:spacing w:after="0"/>
              <w:rPr>
                <w:sz w:val="20"/>
                <w:szCs w:val="20"/>
                <w:color w:val="auto"/>
              </w:rPr>
            </w:pPr>
            <w:r>
              <w:rPr>
                <w:rFonts w:ascii="Arial" w:cs="Arial" w:eastAsia="Arial" w:hAnsi="Arial"/>
                <w:sz w:val="16"/>
                <w:szCs w:val="16"/>
                <w:color w:val="auto"/>
              </w:rPr>
              <w:t>(10.4)</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0" w:right="340" w:firstLine="394"/>
        <w:spacing w:after="0" w:line="281" w:lineRule="auto"/>
        <w:rPr>
          <w:sz w:val="20"/>
          <w:szCs w:val="20"/>
          <w:color w:val="auto"/>
        </w:rPr>
      </w:pPr>
      <w:r>
        <w:rPr>
          <w:rFonts w:ascii="Arial" w:cs="Arial" w:eastAsia="Arial" w:hAnsi="Arial"/>
          <w:sz w:val="16"/>
          <w:szCs w:val="16"/>
          <w:i w:val="1"/>
          <w:iCs w:val="1"/>
          <w:color w:val="auto"/>
        </w:rPr>
        <w:t xml:space="preserve">IoT &amp; Mobile Solutions. </w:t>
      </w:r>
      <w:r>
        <w:rPr>
          <w:rFonts w:ascii="Arial" w:cs="Arial" w:eastAsia="Arial" w:hAnsi="Arial"/>
          <w:sz w:val="16"/>
          <w:szCs w:val="16"/>
          <w:color w:val="auto"/>
        </w:rPr>
        <w:t>The decrease in IoT &amp; Mobile Solutions net revenues is primarily due to decreases in our enterprise and carrier offerings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IoT &amp; Mobile Solutions, and lower sales of LTE gigabit hotspots as COVID-19 pandemic demand eased, partially offset by increased sales of our second-generation 5G hotspot related to our MiFi business and increased revenues in our Inseego Subscribe business due to subscriber growth.</w:t>
      </w:r>
    </w:p>
    <w:p>
      <w:pPr>
        <w:spacing w:after="0" w:line="338" w:lineRule="exact"/>
        <w:rPr>
          <w:sz w:val="20"/>
          <w:szCs w:val="20"/>
          <w:color w:val="auto"/>
        </w:rPr>
      </w:pPr>
    </w:p>
    <w:p>
      <w:pPr>
        <w:ind w:left="200" w:right="380" w:firstLine="394"/>
        <w:spacing w:after="0" w:line="238"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Enterprise SaaS Solutions net revenues increased year-over-year as we experienced COVID-19 related installation</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in fiscal 2020 and such imposed restrictions were lifted in fiscal 2021. The effect of the weakening U.S. Dollar to South Africa Rand foreign exchange rates on international sales also contributed to the increase in net revenues.</w:t>
      </w:r>
    </w:p>
    <w:p>
      <w:pPr>
        <w:spacing w:after="0" w:line="133" w:lineRule="exact"/>
        <w:rPr>
          <w:sz w:val="20"/>
          <w:szCs w:val="20"/>
          <w:color w:val="auto"/>
        </w:rPr>
      </w:pPr>
    </w:p>
    <w:p>
      <w:pPr>
        <w:ind w:right="20" w:firstLine="394"/>
        <w:spacing w:after="0" w:line="245"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six months ended June 30, 2021 was $84.5 million or 68.5% of net revenues, compared to $98.3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71.5% of net revenues, for the six months ended June 30, 2020.</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tbl>
      <w:tblPr>
        <w:tblLayout w:type="fixed"/>
        <w:tblInd w:w="420" w:type="dxa"/>
        <w:tblCellMar>
          <w:top w:w="0" w:type="dxa"/>
          <w:left w:w="0" w:type="dxa"/>
          <w:bottom w:w="0" w:type="dxa"/>
          <w:right w:w="0" w:type="dxa"/>
        </w:tblCellMar>
      </w:tblPr>
      <w:tr>
        <w:trPr>
          <w:trHeight w:val="160"/>
        </w:trPr>
        <w:tc>
          <w:tcPr>
            <w:tcW w:w="4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6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Six Months Ended</w:t>
            </w:r>
          </w:p>
        </w:tc>
        <w:tc>
          <w:tcPr>
            <w:tcW w:w="1220" w:type="dxa"/>
            <w:vAlign w:val="bottom"/>
          </w:tcPr>
          <w:p>
            <w:pPr>
              <w:spacing w:after="0"/>
              <w:rPr>
                <w:sz w:val="13"/>
                <w:szCs w:val="13"/>
                <w:color w:val="auto"/>
              </w:rPr>
            </w:pPr>
          </w:p>
        </w:tc>
        <w:tc>
          <w:tcPr>
            <w:tcW w:w="1840" w:type="dxa"/>
            <w:vAlign w:val="bottom"/>
            <w:vMerge w:val="restart"/>
          </w:tcPr>
          <w:p>
            <w:pPr>
              <w:jc w:val="right"/>
              <w:ind w:right="105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22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540" w:type="dxa"/>
            <w:vAlign w:val="bottom"/>
          </w:tcPr>
          <w:p>
            <w:pPr>
              <w:spacing w:after="0"/>
              <w:rPr>
                <w:sz w:val="20"/>
                <w:szCs w:val="20"/>
                <w:color w:val="auto"/>
              </w:rPr>
            </w:pPr>
            <w:r>
              <w:rPr>
                <w:rFonts w:ascii="Arial" w:cs="Arial" w:eastAsia="Arial" w:hAnsi="Arial"/>
                <w:sz w:val="16"/>
                <w:szCs w:val="16"/>
                <w:b w:val="1"/>
                <w:bCs w:val="1"/>
                <w:color w:val="auto"/>
              </w:rPr>
              <w:t>Product Category</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940" w:type="dxa"/>
            <w:vAlign w:val="bottom"/>
            <w:tcBorders>
              <w:top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20" w:type="dxa"/>
            <w:vAlign w:val="bottom"/>
            <w:tcBorders>
              <w:top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w:t>
            </w:r>
          </w:p>
        </w:tc>
        <w:tc>
          <w:tcPr>
            <w:tcW w:w="1840" w:type="dxa"/>
            <w:vAlign w:val="bottom"/>
            <w:tcBorders>
              <w:top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6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IoT &amp; Mobile Solutions</w:t>
            </w:r>
          </w:p>
        </w:tc>
        <w:tc>
          <w:tcPr>
            <w:tcW w:w="26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73,178</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88,279</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(15,101)</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(17.1)</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Borders>
              <w:bottom w:val="single" w:sz="8" w:color="CCEEFF"/>
            </w:tcBorders>
            <w:gridSpan w:val="2"/>
          </w:tcPr>
          <w:p>
            <w:pPr>
              <w:ind w:left="620"/>
              <w:spacing w:after="0"/>
              <w:rPr>
                <w:sz w:val="20"/>
                <w:szCs w:val="20"/>
                <w:color w:val="auto"/>
              </w:rPr>
            </w:pPr>
            <w:r>
              <w:rPr>
                <w:rFonts w:ascii="Arial" w:cs="Arial" w:eastAsia="Arial" w:hAnsi="Arial"/>
                <w:sz w:val="16"/>
                <w:szCs w:val="16"/>
                <w:color w:val="auto"/>
              </w:rPr>
              <w:t>Enterprise SaaS Solutions</w:t>
            </w:r>
          </w:p>
        </w:tc>
        <w:tc>
          <w:tcPr>
            <w:tcW w:w="7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10,023</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12.6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9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7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84,466</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98,302</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(13,836)</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6"/>
                <w:szCs w:val="16"/>
                <w:color w:val="auto"/>
              </w:rPr>
              <w:t>(14.1)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right="520" w:firstLine="394"/>
        <w:spacing w:after="0" w:line="260"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decrease in IoT &amp; Mobile Solutions cost of net revenues is primarily a result of the decreased sales in our LTE gigabit</w:t>
      </w:r>
      <w:r>
        <w:rPr>
          <w:rFonts w:ascii="Arial" w:cs="Arial" w:eastAsia="Arial" w:hAnsi="Arial"/>
          <w:sz w:val="18"/>
          <w:szCs w:val="18"/>
          <w:i w:val="1"/>
          <w:iCs w:val="1"/>
          <w:color w:val="auto"/>
        </w:rPr>
        <w:t xml:space="preserve"> </w:t>
      </w:r>
      <w:r>
        <w:rPr>
          <w:rFonts w:ascii="Arial" w:cs="Arial" w:eastAsia="Arial" w:hAnsi="Arial"/>
          <w:sz w:val="18"/>
          <w:szCs w:val="18"/>
          <w:color w:val="auto"/>
        </w:rPr>
        <w:t>hotspots.</w:t>
      </w:r>
    </w:p>
    <w:p>
      <w:pPr>
        <w:spacing w:after="0" w:line="221" w:lineRule="exact"/>
        <w:rPr>
          <w:sz w:val="20"/>
          <w:szCs w:val="20"/>
          <w:color w:val="auto"/>
        </w:rPr>
      </w:pPr>
    </w:p>
    <w:p>
      <w:pPr>
        <w:ind w:right="420" w:firstLine="394"/>
        <w:spacing w:after="0" w:line="323" w:lineRule="auto"/>
        <w:rPr>
          <w:sz w:val="20"/>
          <w:szCs w:val="20"/>
          <w:color w:val="auto"/>
        </w:rPr>
      </w:pPr>
      <w:r>
        <w:rPr>
          <w:rFonts w:ascii="Arial" w:cs="Arial" w:eastAsia="Arial" w:hAnsi="Arial"/>
          <w:sz w:val="16"/>
          <w:szCs w:val="16"/>
          <w:i w:val="1"/>
          <w:iCs w:val="1"/>
          <w:color w:val="auto"/>
        </w:rPr>
        <w:t xml:space="preserve">Enterprise SaaS Solutions. </w:t>
      </w:r>
      <w:r>
        <w:rPr>
          <w:rFonts w:ascii="Arial" w:cs="Arial" w:eastAsia="Arial" w:hAnsi="Arial"/>
          <w:sz w:val="16"/>
          <w:szCs w:val="16"/>
          <w:color w:val="auto"/>
        </w:rPr>
        <w:t>Enterprise SaaS Solutions cost of net revenues increased by 12.6% compared to the same period in 2020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sales, and the weakening U.S. Dollar to South Africa Rand foreign exchange rates on international costs.</w:t>
      </w:r>
    </w:p>
    <w:p>
      <w:pPr>
        <w:spacing w:after="0" w:line="69" w:lineRule="exact"/>
        <w:rPr>
          <w:sz w:val="20"/>
          <w:szCs w:val="20"/>
          <w:color w:val="auto"/>
        </w:rPr>
      </w:pPr>
    </w:p>
    <w:p>
      <w:pPr>
        <w:ind w:right="140" w:firstLine="394"/>
        <w:spacing w:after="0" w:line="23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six months ended June 30, 2021 was $38.8 million, or a gross margin of 31.5%, compared to $39.2 million, or a gross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of 28.5%, for the same period in 2020. The increase in gross margin was primarily attributable to the favorable mix of our product offerings, as well as favorable margins on our Inseego Subscribe revenue.</w:t>
      </w:r>
    </w:p>
    <w:p>
      <w:pPr>
        <w:spacing w:after="0" w:line="133" w:lineRule="exact"/>
        <w:rPr>
          <w:sz w:val="20"/>
          <w:szCs w:val="20"/>
          <w:color w:val="auto"/>
        </w:rPr>
      </w:pPr>
    </w:p>
    <w:p>
      <w:pPr>
        <w:ind w:right="240" w:firstLine="394"/>
        <w:spacing w:after="0" w:line="235"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six months ended June 30, 2021 were $26.3 million, or 21.4%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$18.8 million, or 13.6% of net revenues, for the same period in 2020. The increase was primarily a result of staffing, test units, other development spending related to 5G product programs, and the amount of bonus grants to eligible employees during the six months ended June 30, 2021 compared to the amount of bonus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2" w:name="page33"/>
    <w:bookmarkEnd w:id="32"/>
    <w:p>
      <w:pPr>
        <w:ind w:right="480"/>
        <w:spacing w:after="0" w:line="245" w:lineRule="auto"/>
        <w:rPr>
          <w:sz w:val="20"/>
          <w:szCs w:val="20"/>
          <w:color w:val="auto"/>
        </w:rPr>
      </w:pPr>
      <w:r>
        <w:rPr>
          <w:rFonts w:ascii="Arial" w:cs="Arial" w:eastAsia="Arial" w:hAnsi="Arial"/>
          <w:sz w:val="18"/>
          <w:szCs w:val="18"/>
          <w:color w:val="auto"/>
        </w:rPr>
        <w:t xml:space="preserve">grants awarded to eligible employees during the six months ended June 30, 2020. See Note 6. </w:t>
      </w:r>
      <w:r>
        <w:rPr>
          <w:rFonts w:ascii="Arial" w:cs="Arial" w:eastAsia="Arial" w:hAnsi="Arial"/>
          <w:sz w:val="18"/>
          <w:szCs w:val="18"/>
          <w:i w:val="1"/>
          <w:iCs w:val="1"/>
          <w:color w:val="auto"/>
        </w:rPr>
        <w:t>Share-based Compensation</w:t>
      </w:r>
      <w:r>
        <w:rPr>
          <w:rFonts w:ascii="Arial" w:cs="Arial" w:eastAsia="Arial" w:hAnsi="Arial"/>
          <w:sz w:val="18"/>
          <w:szCs w:val="18"/>
          <w:color w:val="auto"/>
        </w:rPr>
        <w:t xml:space="preserve"> in the accompanying unaudited condensed consolidated financial statements for further information.</w:t>
      </w:r>
    </w:p>
    <w:p>
      <w:pPr>
        <w:spacing w:after="0" w:line="129" w:lineRule="exact"/>
        <w:rPr>
          <w:sz w:val="20"/>
          <w:szCs w:val="20"/>
          <w:color w:val="auto"/>
        </w:rPr>
      </w:pPr>
    </w:p>
    <w:p>
      <w:pPr>
        <w:ind w:right="60" w:firstLine="394"/>
        <w:spacing w:after="0" w:line="234"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six months ended June 30, 2021 were $20.8 million, or 16.9%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compared to $17.4 million, or 12.7% of net revenues, for the same period in 2020. The increase was primarily a result of higher spend on marketing 5G products, and the amount of bonus grants to eligible employees during the six months ended June 30, 2021 compared to the amount of bonus grants awarded to eligible employees during the six months ended June 30, 2020. See Note 6. </w:t>
      </w:r>
      <w:r>
        <w:rPr>
          <w:rFonts w:ascii="Arial" w:cs="Arial" w:eastAsia="Arial" w:hAnsi="Arial"/>
          <w:sz w:val="18"/>
          <w:szCs w:val="18"/>
          <w:i w:val="1"/>
          <w:iCs w:val="1"/>
          <w:color w:val="auto"/>
        </w:rPr>
        <w:t>Share-based Compensation</w:t>
      </w:r>
      <w:r>
        <w:rPr>
          <w:rFonts w:ascii="Arial" w:cs="Arial" w:eastAsia="Arial" w:hAnsi="Arial"/>
          <w:sz w:val="18"/>
          <w:szCs w:val="18"/>
          <w:color w:val="auto"/>
        </w:rPr>
        <w:t xml:space="preserve"> in the accompanying unaudited condensed consolidated financial statements for further information.</w:t>
      </w:r>
    </w:p>
    <w:p>
      <w:pPr>
        <w:spacing w:after="0" w:line="133" w:lineRule="exact"/>
        <w:rPr>
          <w:sz w:val="20"/>
          <w:szCs w:val="20"/>
          <w:color w:val="auto"/>
        </w:rPr>
      </w:pPr>
    </w:p>
    <w:p>
      <w:pPr>
        <w:ind w:right="80" w:firstLine="394"/>
        <w:spacing w:after="0" w:line="23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six months ended June 30, 2021 were $16.1 million, or 13.0%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revenues, compared to $14.6 million, or 10.6% of net revenues, for the same period in 2020. The increase was primarily a result of the amount of bonus grants to eligible employees during the six months ended June 30, 2021 compared to the amount of bonus grants awarded to eligible employees during the six months ended June 30, 2020. See Note 6. </w:t>
      </w:r>
      <w:r>
        <w:rPr>
          <w:rFonts w:ascii="Arial" w:cs="Arial" w:eastAsia="Arial" w:hAnsi="Arial"/>
          <w:sz w:val="18"/>
          <w:szCs w:val="18"/>
          <w:i w:val="1"/>
          <w:iCs w:val="1"/>
          <w:color w:val="auto"/>
        </w:rPr>
        <w:t>Share-based Compensation</w:t>
      </w:r>
      <w:r>
        <w:rPr>
          <w:rFonts w:ascii="Arial" w:cs="Arial" w:eastAsia="Arial" w:hAnsi="Arial"/>
          <w:sz w:val="18"/>
          <w:szCs w:val="18"/>
          <w:color w:val="auto"/>
        </w:rPr>
        <w:t xml:space="preserve"> in the accompanying unaudited condensed consolidated financial statements for further information.</w:t>
      </w:r>
    </w:p>
    <w:p>
      <w:pPr>
        <w:spacing w:after="0" w:line="127" w:lineRule="exact"/>
        <w:rPr>
          <w:sz w:val="20"/>
          <w:szCs w:val="20"/>
          <w:color w:val="auto"/>
        </w:rPr>
      </w:pPr>
    </w:p>
    <w:p>
      <w:pPr>
        <w:jc w:val="both"/>
        <w:ind w:right="160" w:firstLine="394"/>
        <w:spacing w:after="0"/>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for each of the six months ended June 30, 2021 and 2020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 million and $1.6 million, respectively. The decrease was primarily as a result of certain purchased intangible assets being fully amortized as of the fourth quarter of 2020.</w:t>
      </w:r>
    </w:p>
    <w:p>
      <w:pPr>
        <w:spacing w:after="0" w:line="127" w:lineRule="exact"/>
        <w:rPr>
          <w:sz w:val="20"/>
          <w:szCs w:val="20"/>
          <w:color w:val="auto"/>
        </w:rPr>
      </w:pPr>
    </w:p>
    <w:p>
      <w:pPr>
        <w:ind w:right="120" w:firstLine="394"/>
        <w:spacing w:after="0" w:line="252" w:lineRule="auto"/>
        <w:rPr>
          <w:sz w:val="20"/>
          <w:szCs w:val="20"/>
          <w:color w:val="auto"/>
        </w:rPr>
      </w:pPr>
      <w:r>
        <w:rPr>
          <w:rFonts w:ascii="Arial" w:cs="Arial" w:eastAsia="Arial" w:hAnsi="Arial"/>
          <w:sz w:val="18"/>
          <w:szCs w:val="18"/>
          <w:b w:val="1"/>
          <w:bCs w:val="1"/>
          <w:i w:val="1"/>
          <w:iCs w:val="1"/>
          <w:color w:val="auto"/>
        </w:rPr>
        <w:t>Impairment of capitalized software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six months ended June 30, 2021, we recorded a loss of $1.2 million on capitalized software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There was no such expense for the same period in 2020.</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 xml:space="preserve">Loss on debt conversion and extinguishment. </w:t>
      </w:r>
      <w:r>
        <w:rPr>
          <w:rFonts w:ascii="Arial" w:cs="Arial" w:eastAsia="Arial" w:hAnsi="Arial"/>
          <w:sz w:val="15"/>
          <w:szCs w:val="15"/>
          <w:color w:val="auto"/>
        </w:rPr>
        <w:t>The loss on debt conversion and extinguishment, net for each of the six months ended June 30, 2021 and</w:t>
      </w:r>
    </w:p>
    <w:p>
      <w:pPr>
        <w:spacing w:after="0" w:line="38" w:lineRule="exact"/>
        <w:rPr>
          <w:sz w:val="20"/>
          <w:szCs w:val="20"/>
          <w:color w:val="auto"/>
        </w:rPr>
      </w:pPr>
    </w:p>
    <w:p>
      <w:pPr>
        <w:ind w:right="680"/>
        <w:spacing w:after="0" w:line="234" w:lineRule="auto"/>
        <w:rPr>
          <w:sz w:val="20"/>
          <w:szCs w:val="20"/>
          <w:color w:val="auto"/>
        </w:rPr>
      </w:pPr>
      <w:r>
        <w:rPr>
          <w:rFonts w:ascii="Arial" w:cs="Arial" w:eastAsia="Arial" w:hAnsi="Arial"/>
          <w:sz w:val="18"/>
          <w:szCs w:val="18"/>
          <w:color w:val="auto"/>
        </w:rPr>
        <w:t>2020 was $0.4 million and $75.2 million, respectively, and primarily represents the loss on debt conversion of the 2025 Notes and debt conversion and extinguishment of the 2022 Notes, respectively.</w:t>
      </w:r>
    </w:p>
    <w:p>
      <w:pPr>
        <w:spacing w:after="0" w:line="134" w:lineRule="exact"/>
        <w:rPr>
          <w:sz w:val="20"/>
          <w:szCs w:val="20"/>
          <w:color w:val="auto"/>
        </w:rPr>
      </w:pPr>
    </w:p>
    <w:p>
      <w:pPr>
        <w:jc w:val="both"/>
        <w:ind w:right="60" w:firstLine="394"/>
        <w:spacing w:after="0" w:line="238"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each of the six months ended June 30, 2021 and 2020 was $3.5 million and $6.5 million,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interest expense was primarily due to the lower interest rate on the 2025 Notes, as compared to the 2022 Notes and our previous term loan, partially offset by the higher principal amount of the 2025 Notes.</w:t>
      </w:r>
    </w:p>
    <w:p>
      <w:pPr>
        <w:spacing w:after="0" w:line="133" w:lineRule="exact"/>
        <w:rPr>
          <w:sz w:val="20"/>
          <w:szCs w:val="20"/>
          <w:color w:val="auto"/>
        </w:rPr>
      </w:pPr>
    </w:p>
    <w:p>
      <w:pPr>
        <w:ind w:firstLine="394"/>
        <w:spacing w:after="0" w:line="342" w:lineRule="auto"/>
        <w:rPr>
          <w:sz w:val="20"/>
          <w:szCs w:val="20"/>
          <w:color w:val="auto"/>
        </w:rPr>
      </w:pPr>
      <w:r>
        <w:rPr>
          <w:rFonts w:ascii="Arial" w:cs="Arial" w:eastAsia="Arial" w:hAnsi="Arial"/>
          <w:sz w:val="15"/>
          <w:szCs w:val="15"/>
          <w:b w:val="1"/>
          <w:bCs w:val="1"/>
          <w:i w:val="1"/>
          <w:iCs w:val="1"/>
          <w:color w:val="auto"/>
        </w:rPr>
        <w:t xml:space="preserve">Other income (expense), net. </w:t>
      </w:r>
      <w:r>
        <w:rPr>
          <w:rFonts w:ascii="Arial" w:cs="Arial" w:eastAsia="Arial" w:hAnsi="Arial"/>
          <w:sz w:val="15"/>
          <w:szCs w:val="15"/>
          <w:color w:val="auto"/>
        </w:rPr>
        <w:t>Other income, net, for each of the six months ended June 30, 2021 and 2020 was $1.1 million and $1.8 million, respectively,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which primarily includes the fair value adjustment related to our interest make-whole arrangement as well as foreign currency transaction gains and losses.</w:t>
      </w:r>
    </w:p>
    <w:p>
      <w:pPr>
        <w:spacing w:after="0" w:line="60" w:lineRule="exact"/>
        <w:rPr>
          <w:sz w:val="20"/>
          <w:szCs w:val="20"/>
          <w:color w:val="auto"/>
        </w:rPr>
      </w:pPr>
    </w:p>
    <w:p>
      <w:pPr>
        <w:ind w:right="80" w:firstLine="394"/>
        <w:spacing w:after="0" w:line="238"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The income tax provision of $0.4 million for the six months ended June 30, 2021 and the income tax benefit of $24,000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six months ended June 30, 2020, respectively, primarily relate to provision in fiscal 2021 or benefits in fiscal 2020 from certain of our entities in foreign jurisdictions.</w:t>
      </w:r>
    </w:p>
    <w:p>
      <w:pPr>
        <w:spacing w:after="0" w:line="133" w:lineRule="exact"/>
        <w:rPr>
          <w:sz w:val="20"/>
          <w:szCs w:val="20"/>
          <w:color w:val="auto"/>
        </w:rPr>
      </w:pPr>
    </w:p>
    <w:p>
      <w:pPr>
        <w:ind w:right="20" w:firstLine="394"/>
        <w:spacing w:after="0" w:line="306" w:lineRule="auto"/>
        <w:rPr>
          <w:sz w:val="20"/>
          <w:szCs w:val="20"/>
          <w:color w:val="auto"/>
        </w:rPr>
      </w:pPr>
      <w:r>
        <w:rPr>
          <w:rFonts w:ascii="Arial" w:cs="Arial" w:eastAsia="Arial" w:hAnsi="Arial"/>
          <w:sz w:val="16"/>
          <w:szCs w:val="16"/>
          <w:b w:val="1"/>
          <w:bCs w:val="1"/>
          <w:i w:val="1"/>
          <w:iCs w:val="1"/>
          <w:color w:val="auto"/>
        </w:rPr>
        <w:t xml:space="preserve">Net loss (income) attributable to noncontrolling interests. </w:t>
      </w:r>
      <w:r>
        <w:rPr>
          <w:rFonts w:ascii="Arial" w:cs="Arial" w:eastAsia="Arial" w:hAnsi="Arial"/>
          <w:sz w:val="16"/>
          <w:szCs w:val="16"/>
          <w:color w:val="auto"/>
        </w:rPr>
        <w:t>Net income attributable to noncontrolling interests for the six months ended June 30, 2021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$0.2 million, compared to a net income attributable to noncontrolling interests of $26,000 for the same period in 2020.</w:t>
      </w:r>
    </w:p>
    <w:p>
      <w:pPr>
        <w:spacing w:after="0" w:line="82" w:lineRule="exact"/>
        <w:rPr>
          <w:sz w:val="20"/>
          <w:szCs w:val="20"/>
          <w:color w:val="auto"/>
        </w:rPr>
      </w:pPr>
    </w:p>
    <w:p>
      <w:pPr>
        <w:ind w:right="60" w:firstLine="394"/>
        <w:spacing w:after="0" w:line="308" w:lineRule="auto"/>
        <w:rPr>
          <w:sz w:val="20"/>
          <w:szCs w:val="20"/>
          <w:color w:val="auto"/>
        </w:rPr>
      </w:pPr>
      <w:r>
        <w:rPr>
          <w:rFonts w:ascii="Arial" w:cs="Arial" w:eastAsia="Arial" w:hAnsi="Arial"/>
          <w:sz w:val="15"/>
          <w:szCs w:val="15"/>
          <w:b w:val="1"/>
          <w:bCs w:val="1"/>
          <w:i w:val="1"/>
          <w:iCs w:val="1"/>
          <w:color w:val="auto"/>
        </w:rPr>
        <w:t xml:space="preserve">Series E preferred stock dividends. </w:t>
      </w:r>
      <w:r>
        <w:rPr>
          <w:rFonts w:ascii="Arial" w:cs="Arial" w:eastAsia="Arial" w:hAnsi="Arial"/>
          <w:sz w:val="15"/>
          <w:szCs w:val="15"/>
          <w:color w:val="auto"/>
        </w:rPr>
        <w:t>During the six months ended June 30, 2021, and 2020 we recorded dividends of $1.8 million and $1.2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respectively, on our Series E Preferred Stock. The increase was primarily attributable to the additional shares of Series E Preferred Stock issued in March 2020. See Note 8. </w:t>
      </w:r>
      <w:r>
        <w:rPr>
          <w:rFonts w:ascii="Arial" w:cs="Arial" w:eastAsia="Arial" w:hAnsi="Arial"/>
          <w:sz w:val="15"/>
          <w:szCs w:val="15"/>
          <w:i w:val="1"/>
          <w:iCs w:val="1"/>
          <w:color w:val="auto"/>
        </w:rPr>
        <w:t>Private Placements and Public Offering</w:t>
      </w:r>
      <w:r>
        <w:rPr>
          <w:rFonts w:ascii="Arial" w:cs="Arial" w:eastAsia="Arial" w:hAnsi="Arial"/>
          <w:sz w:val="15"/>
          <w:szCs w:val="15"/>
          <w:color w:val="auto"/>
        </w:rPr>
        <w:t xml:space="preserve"> in the accompanying unaudited condensed consolidated financial statements for further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1" w:lineRule="exact"/>
        <w:rPr>
          <w:sz w:val="20"/>
          <w:szCs w:val="20"/>
          <w:color w:val="auto"/>
        </w:rPr>
      </w:pPr>
    </w:p>
    <w:p>
      <w:pPr>
        <w:ind w:right="540" w:firstLine="394"/>
        <w:spacing w:after="0" w:line="306" w:lineRule="auto"/>
        <w:rPr>
          <w:sz w:val="20"/>
          <w:szCs w:val="20"/>
          <w:color w:val="auto"/>
        </w:rPr>
      </w:pPr>
      <w:r>
        <w:rPr>
          <w:rFonts w:ascii="Arial" w:cs="Arial" w:eastAsia="Arial" w:hAnsi="Arial"/>
          <w:sz w:val="16"/>
          <w:szCs w:val="16"/>
          <w:color w:val="auto"/>
        </w:rPr>
        <w:t>As of June 30, 2021, the Company had available cash and cash equivalents totaling $36.7 million, including $5.8 million cash and cash equivalents classified as held-for-sale, and working capital of $32.4 million, excluding assets and liabilities classified as held-for-sale.</w:t>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On March 6, 2020, we issued and sold 25,000 shares of Series E Preferred Stock for an aggregate purchase price of $25.0 million.</w:t>
      </w:r>
    </w:p>
    <w:p>
      <w:pPr>
        <w:spacing w:after="0" w:line="95" w:lineRule="exact"/>
        <w:rPr>
          <w:sz w:val="20"/>
          <w:szCs w:val="20"/>
          <w:color w:val="auto"/>
        </w:rPr>
      </w:pPr>
    </w:p>
    <w:p>
      <w:pPr>
        <w:ind w:right="220" w:firstLine="394"/>
        <w:spacing w:after="0" w:line="269" w:lineRule="auto"/>
        <w:rPr>
          <w:sz w:val="20"/>
          <w:szCs w:val="20"/>
          <w:color w:val="auto"/>
        </w:rPr>
      </w:pPr>
      <w:r>
        <w:rPr>
          <w:rFonts w:ascii="Arial" w:cs="Arial" w:eastAsia="Arial" w:hAnsi="Arial"/>
          <w:sz w:val="16"/>
          <w:szCs w:val="16"/>
          <w:color w:val="auto"/>
        </w:rPr>
        <w:t>In the first quarter of 2020, $59.9 million of our 5.5% convertible senior notes due 2022 (the “2022 Notes” formerly referred to as the “Inseego Notes”) were exchanged for common stock in private exchange transactions. Additionally, in the second quarter of 2020, we restructured our outstanding debt by completing a $100.0 million registered public offering (the “Offering”) of 3.25% convertible senior notes due 2025 (the “2025 Notes”) and also entered into privately-negotiated Exchange Agreements, pursuant to which an aggregate of $45.0 million in principal amount of the 2022 Notes were exchanged for an aggregate of $32.0 million in cash and $80.4 million in principal amount of the 2025 Notes (the “Private Exchange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3" w:name="page34"/>
    <w:bookmarkEnd w:id="33"/>
    <w:p>
      <w:pPr>
        <w:ind w:right="140"/>
        <w:spacing w:after="0" w:line="245" w:lineRule="auto"/>
        <w:rPr>
          <w:sz w:val="20"/>
          <w:szCs w:val="20"/>
          <w:color w:val="auto"/>
        </w:rPr>
      </w:pPr>
      <w:r>
        <w:rPr>
          <w:rFonts w:ascii="Arial" w:cs="Arial" w:eastAsia="Arial" w:hAnsi="Arial"/>
          <w:sz w:val="18"/>
          <w:szCs w:val="18"/>
          <w:color w:val="auto"/>
        </w:rPr>
        <w:t>Transactions”). We also used a portion of the proceeds from the Offering to repay in full our previous term loan. In the third quarter of 2020, we redeemed the remaining $2,000 principal amount of the 2022 Notes.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June 30, 2021, our outstanding debt primarily consisted of $161.9 million in principal amount of 2025 Notes.</w:t>
      </w:r>
    </w:p>
    <w:p>
      <w:pPr>
        <w:spacing w:after="0" w:line="69" w:lineRule="exact"/>
        <w:rPr>
          <w:sz w:val="20"/>
          <w:szCs w:val="20"/>
          <w:color w:val="auto"/>
        </w:rPr>
      </w:pPr>
    </w:p>
    <w:p>
      <w:pPr>
        <w:ind w:right="20" w:firstLine="394"/>
        <w:spacing w:after="0" w:line="212" w:lineRule="auto"/>
        <w:rPr>
          <w:sz w:val="20"/>
          <w:szCs w:val="20"/>
          <w:color w:val="auto"/>
        </w:rPr>
      </w:pPr>
      <w:r>
        <w:rPr>
          <w:rFonts w:ascii="Arial" w:cs="Arial" w:eastAsia="Arial" w:hAnsi="Arial"/>
          <w:sz w:val="18"/>
          <w:szCs w:val="18"/>
          <w:color w:val="auto"/>
        </w:rPr>
        <w:t>On January 25, 2021, we entered into an Equity Distribution Agreement with Canaccord Genuity LLC (the “Agent”), pursuant to which we may offer and sell, from time to time, through or to the Agent, up to $40.0 million of shares of our common stock (the “ATM Offering”). In January 2021, we sold 1,516,073 shares of common stock, at an average price of $20.11 per share, for net proceeds of $29.4 million, after deducting underwriter fees and discounts of $0.9 million, and other offering fees, pursuant to the ATM Offering.</w:t>
      </w:r>
    </w:p>
    <w:p>
      <w:pPr>
        <w:spacing w:after="0" w:line="122" w:lineRule="exact"/>
        <w:rPr>
          <w:sz w:val="20"/>
          <w:szCs w:val="20"/>
          <w:color w:val="auto"/>
        </w:rPr>
      </w:pPr>
    </w:p>
    <w:p>
      <w:pPr>
        <w:ind w:right="20" w:firstLine="630"/>
        <w:spacing w:after="0" w:line="281" w:lineRule="auto"/>
        <w:rPr>
          <w:sz w:val="20"/>
          <w:szCs w:val="20"/>
          <w:color w:val="auto"/>
        </w:rPr>
      </w:pPr>
      <w:r>
        <w:rPr>
          <w:rFonts w:ascii="Arial" w:cs="Arial" w:eastAsia="Arial" w:hAnsi="Arial"/>
          <w:sz w:val="16"/>
          <w:szCs w:val="16"/>
          <w:color w:val="auto"/>
        </w:rPr>
        <w:t>On July 30, 2021, the Company completed the sale of Ctrack South Africa. Initial cash proceeds of approximately $36600000.0 million were received. Final cash proceeds net of transaction cost will be subject to foreign exchange rates as well as certain post-closing working capital adjustments that will be provided by Convergence and agreed upon by the Company no later than 35 business days after completion of the sale.</w:t>
      </w:r>
    </w:p>
    <w:p>
      <w:pPr>
        <w:spacing w:after="0" w:line="50" w:lineRule="exact"/>
        <w:rPr>
          <w:sz w:val="20"/>
          <w:szCs w:val="20"/>
          <w:color w:val="auto"/>
        </w:rPr>
      </w:pPr>
    </w:p>
    <w:p>
      <w:pPr>
        <w:ind w:right="120" w:firstLine="394"/>
        <w:spacing w:after="0" w:line="265" w:lineRule="auto"/>
        <w:rPr>
          <w:sz w:val="20"/>
          <w:szCs w:val="20"/>
          <w:color w:val="auto"/>
        </w:rPr>
      </w:pPr>
      <w:r>
        <w:rPr>
          <w:rFonts w:ascii="Arial" w:cs="Arial" w:eastAsia="Arial" w:hAnsi="Arial"/>
          <w:sz w:val="16"/>
          <w:szCs w:val="16"/>
          <w:color w:val="auto"/>
        </w:rPr>
        <w:t>We have a history of operating and net losses and overall usage of cash from operating and investing activities. Our management believes that our cash and cash equivalents, together with anticipated cash flows from operations, will be sufficient to meet our cash flow needs for the next twelve months from the filing date of this report. Our ability to attain more profitable operations and continue to generate positive cash flow is dependent upon achieving a level and mix of revenues adequate to support our evolving cost structure. If events or circumstances occur such that we do not meet its operating plan as expected, or if we become obligated to pay unforeseen expenditures as a result of ongoing litigation, we may be required to raise capital, reduce planned research and development activities, incur additional restructuring charges or reduce other operating expenses which could have an adverse impact on our ability to achieve our intended business objectives.</w:t>
      </w:r>
    </w:p>
    <w:p>
      <w:pPr>
        <w:spacing w:after="0" w:line="114" w:lineRule="exact"/>
        <w:rPr>
          <w:sz w:val="20"/>
          <w:szCs w:val="20"/>
          <w:color w:val="auto"/>
        </w:rPr>
      </w:pPr>
    </w:p>
    <w:p>
      <w:pPr>
        <w:ind w:firstLine="394"/>
        <w:spacing w:after="0" w:line="235"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 There can be no assurance that any required or desired restructuring or financing will be available on terms favorable to us, or at all. Additionally, we are uncertain of the full extent to which the COVID-19 pandemic will impact our business, operations and 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material changes in our contractual obligations in the second quarter of 2021.</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On May 12, 2020, we completed a registered public Offering of $100.0 million aggregate principal amount of 2025 Notes.</w:t>
      </w:r>
    </w:p>
    <w:p>
      <w:pPr>
        <w:spacing w:after="0" w:line="213" w:lineRule="exact"/>
        <w:rPr>
          <w:sz w:val="20"/>
          <w:szCs w:val="20"/>
          <w:color w:val="auto"/>
        </w:rPr>
      </w:pPr>
    </w:p>
    <w:p>
      <w:pPr>
        <w:ind w:right="60" w:firstLine="394"/>
        <w:spacing w:after="0" w:line="236" w:lineRule="auto"/>
        <w:rPr>
          <w:sz w:val="20"/>
          <w:szCs w:val="20"/>
          <w:color w:val="auto"/>
        </w:rPr>
      </w:pPr>
      <w:r>
        <w:rPr>
          <w:rFonts w:ascii="Arial" w:cs="Arial" w:eastAsia="Arial" w:hAnsi="Arial"/>
          <w:sz w:val="16"/>
          <w:szCs w:val="16"/>
          <w:color w:val="auto"/>
        </w:rPr>
        <w:t>On May 12, 2020, we also entered into separate privately-negotiated Exchange Agreements certain holders of the 2022 Notes. Pursuant to the Exchange Agreements, each of these noteholders agreed to exchange the 2022 Notes that they held (representing an aggregate of $45.0 million principal amount of 2022 Notes with an estimated fair value of approximately $112.4 million as of the date of exchange) for an aggregate of $32.0 million in cash and $80.4 million principal amount of 2025 Notes in concurrent Private Exchange Transactions. The 2025 Notes issued in the Private Exchange Transactions are part of the same series as the 2025 Notes issued in the Offering.</w:t>
      </w:r>
    </w:p>
    <w:p>
      <w:pPr>
        <w:spacing w:after="0" w:line="198" w:lineRule="exact"/>
        <w:rPr>
          <w:sz w:val="20"/>
          <w:szCs w:val="20"/>
          <w:color w:val="auto"/>
        </w:rPr>
      </w:pPr>
    </w:p>
    <w:p>
      <w:pPr>
        <w:ind w:right="180" w:firstLine="394"/>
        <w:spacing w:after="0" w:line="238" w:lineRule="auto"/>
        <w:rPr>
          <w:sz w:val="20"/>
          <w:szCs w:val="20"/>
          <w:color w:val="auto"/>
        </w:rPr>
      </w:pPr>
      <w:r>
        <w:rPr>
          <w:rFonts w:ascii="Arial" w:cs="Arial" w:eastAsia="Arial" w:hAnsi="Arial"/>
          <w:sz w:val="18"/>
          <w:szCs w:val="18"/>
          <w:color w:val="auto"/>
        </w:rPr>
        <w:t>We issued the 2025 Notes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us and the Trustee.</w:t>
      </w:r>
    </w:p>
    <w:p>
      <w:pPr>
        <w:spacing w:after="0" w:line="211" w:lineRule="exact"/>
        <w:rPr>
          <w:sz w:val="20"/>
          <w:szCs w:val="20"/>
          <w:color w:val="auto"/>
        </w:rPr>
      </w:pPr>
    </w:p>
    <w:p>
      <w:pPr>
        <w:ind w:right="160" w:firstLine="394"/>
        <w:spacing w:after="0" w:line="238" w:lineRule="auto"/>
        <w:rPr>
          <w:sz w:val="20"/>
          <w:szCs w:val="20"/>
          <w:color w:val="auto"/>
        </w:rPr>
      </w:pPr>
      <w:r>
        <w:rPr>
          <w:rFonts w:ascii="Arial" w:cs="Arial" w:eastAsia="Arial" w:hAnsi="Arial"/>
          <w:sz w:val="18"/>
          <w:szCs w:val="18"/>
          <w:color w:val="auto"/>
        </w:rPr>
        <w:t>The 2025 Notes will mature on May 1, 2025, unless earlier repurchased, redeemed or converted. The 2025 Notes are senior unsecured obligations of the Company and bear interest at an annual rate of 3.25%, payable semi-annually in arrears on May 1 and November 1 of each year, beginning on November 1, 2020.</w:t>
      </w:r>
    </w:p>
    <w:p>
      <w:pPr>
        <w:spacing w:after="0" w:line="211" w:lineRule="exact"/>
        <w:rPr>
          <w:sz w:val="20"/>
          <w:szCs w:val="20"/>
          <w:color w:val="auto"/>
        </w:rPr>
      </w:pPr>
    </w:p>
    <w:p>
      <w:pPr>
        <w:ind w:right="160" w:firstLine="394"/>
        <w:spacing w:after="0" w:line="235" w:lineRule="auto"/>
        <w:rPr>
          <w:sz w:val="20"/>
          <w:szCs w:val="20"/>
          <w:color w:val="auto"/>
        </w:rPr>
      </w:pPr>
      <w:r>
        <w:rPr>
          <w:rFonts w:ascii="Arial" w:cs="Arial" w:eastAsia="Arial" w:hAnsi="Arial"/>
          <w:sz w:val="18"/>
          <w:szCs w:val="18"/>
          <w:color w:val="auto"/>
        </w:rPr>
        <w:t>Holders of the 2025 Notes may convert the 2025 Notes into shares of our common stock (together with cash in lieu of any fractional share), at their option, at any time until the close of business on the scheduled trading day immediately before the maturity date. Upon conversion of the 2025 Notes, we will deliver for each $1,000 principal amount of 2025 Notes converted a number of shares of common stock (together with cash in lieu of any fractional share), equal to the conversion rate.</w:t>
      </w:r>
    </w:p>
    <w:p>
      <w:pPr>
        <w:spacing w:after="0" w:line="213" w:lineRule="exact"/>
        <w:rPr>
          <w:sz w:val="20"/>
          <w:szCs w:val="20"/>
          <w:color w:val="auto"/>
        </w:rPr>
      </w:pPr>
    </w:p>
    <w:p>
      <w:pPr>
        <w:ind w:right="120" w:firstLine="394"/>
        <w:spacing w:after="0" w:line="238" w:lineRule="auto"/>
        <w:rPr>
          <w:sz w:val="20"/>
          <w:szCs w:val="20"/>
          <w:color w:val="auto"/>
        </w:rPr>
      </w:pPr>
      <w:r>
        <w:rPr>
          <w:rFonts w:ascii="Arial" w:cs="Arial" w:eastAsia="Arial" w:hAnsi="Arial"/>
          <w:sz w:val="18"/>
          <w:szCs w:val="18"/>
          <w:color w:val="auto"/>
        </w:rPr>
        <w:t>The initial conversion rate for the 2025 Notes is 79.2896 shares of common stock per $1,000 principal amount of 2025 Notes, which represents an initial conversion price of approximately $12.61 per share, and is subject to adjustment upon the occurrence of certain events, including, but not limited to, certain stock dividends, splits and combinations, the issuance of</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34" w:name="page35"/>
    <w:bookmarkEnd w:id="34"/>
    <w:p>
      <w:pPr>
        <w:spacing w:after="0" w:line="245" w:lineRule="auto"/>
        <w:rPr>
          <w:sz w:val="20"/>
          <w:szCs w:val="20"/>
          <w:color w:val="auto"/>
        </w:rPr>
      </w:pPr>
      <w:r>
        <w:rPr>
          <w:rFonts w:ascii="Arial" w:cs="Arial" w:eastAsia="Arial" w:hAnsi="Arial"/>
          <w:sz w:val="18"/>
          <w:szCs w:val="18"/>
          <w:color w:val="auto"/>
        </w:rPr>
        <w:t>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208" w:lineRule="exact"/>
        <w:rPr>
          <w:sz w:val="20"/>
          <w:szCs w:val="20"/>
          <w:color w:val="auto"/>
        </w:rPr>
      </w:pPr>
    </w:p>
    <w:p>
      <w:pPr>
        <w:ind w:right="260" w:firstLine="394"/>
        <w:spacing w:after="0" w:line="306" w:lineRule="auto"/>
        <w:rPr>
          <w:sz w:val="20"/>
          <w:szCs w:val="20"/>
          <w:color w:val="auto"/>
        </w:rPr>
      </w:pPr>
      <w:r>
        <w:rPr>
          <w:rFonts w:ascii="Arial" w:cs="Arial" w:eastAsia="Arial" w:hAnsi="Arial"/>
          <w:sz w:val="16"/>
          <w:szCs w:val="16"/>
          <w:color w:val="auto"/>
        </w:rPr>
        <w:t>Holders of the 2025 Notes who convert their 2025 Notes may also be entitled to receive, under certain circumstances, an interest make-whole payment payable in, at the Company’s election, either cash or shares of the Common Stock (together with cash in lieu of any fractional share).</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If a fundamental change (as defined in the Indenture) occurs at any time prior to the maturity date, then the noteholders may require us to repurchase their</w:t>
      </w:r>
    </w:p>
    <w:p>
      <w:pPr>
        <w:spacing w:after="0" w:line="38" w:lineRule="exact"/>
        <w:rPr>
          <w:sz w:val="20"/>
          <w:szCs w:val="20"/>
          <w:color w:val="auto"/>
        </w:rPr>
      </w:pPr>
    </w:p>
    <w:p>
      <w:pPr>
        <w:ind w:right="560"/>
        <w:spacing w:after="0" w:line="228" w:lineRule="auto"/>
        <w:rPr>
          <w:sz w:val="20"/>
          <w:szCs w:val="20"/>
          <w:color w:val="auto"/>
        </w:rPr>
      </w:pPr>
      <w:r>
        <w:rPr>
          <w:rFonts w:ascii="Arial" w:cs="Arial" w:eastAsia="Arial" w:hAnsi="Arial"/>
          <w:sz w:val="18"/>
          <w:szCs w:val="18"/>
          <w:color w:val="auto"/>
        </w:rPr>
        <w:t>2025 Notes at a cash repurchase price equal to the principal amount of the 2025 Notes to be repurchased, plus accrued and unpaid interest, if any, to, but excluding, the fundamental change repurchase date. If a</w:t>
      </w:r>
    </w:p>
    <w:p>
      <w:pPr>
        <w:spacing w:after="0" w:line="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make-whole fundamental change (as defined in the Indenture) occurs, then we will in certain circumstances increase the conversion rate for a specified period of time.</w:t>
      </w:r>
    </w:p>
    <w:p>
      <w:pPr>
        <w:spacing w:after="0" w:line="213" w:lineRule="exact"/>
        <w:rPr>
          <w:sz w:val="20"/>
          <w:szCs w:val="20"/>
          <w:color w:val="auto"/>
        </w:rPr>
      </w:pPr>
    </w:p>
    <w:p>
      <w:pPr>
        <w:ind w:right="20" w:firstLine="394"/>
        <w:spacing w:after="0" w:line="269" w:lineRule="auto"/>
        <w:rPr>
          <w:sz w:val="20"/>
          <w:szCs w:val="20"/>
          <w:color w:val="auto"/>
        </w:rPr>
      </w:pPr>
      <w:r>
        <w:rPr>
          <w:rFonts w:ascii="Arial" w:cs="Arial" w:eastAsia="Arial" w:hAnsi="Arial"/>
          <w:sz w:val="16"/>
          <w:szCs w:val="16"/>
          <w:color w:val="auto"/>
        </w:rPr>
        <w:t>The 2025 Notes will be redeemable, in whole or in part, at our option at any time, and from time to time, on or after May 6, 2023 and on or before the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we send the related redemption notice; and (ii) the trading day immediately before the date we send such notice.</w:t>
      </w:r>
    </w:p>
    <w:p>
      <w:pPr>
        <w:spacing w:after="0" w:line="190" w:lineRule="exact"/>
        <w:rPr>
          <w:sz w:val="20"/>
          <w:szCs w:val="20"/>
          <w:color w:val="auto"/>
        </w:rPr>
      </w:pPr>
    </w:p>
    <w:p>
      <w:pPr>
        <w:ind w:firstLine="394"/>
        <w:spacing w:after="0" w:line="263" w:lineRule="auto"/>
        <w:rPr>
          <w:sz w:val="20"/>
          <w:szCs w:val="20"/>
          <w:color w:val="auto"/>
        </w:rPr>
      </w:pPr>
      <w:r>
        <w:rPr>
          <w:rFonts w:ascii="Arial" w:cs="Arial" w:eastAsia="Arial" w:hAnsi="Arial"/>
          <w:sz w:val="16"/>
          <w:szCs w:val="16"/>
          <w:color w:val="auto"/>
        </w:rPr>
        <w:t>The Indenture contains customary events of default. If an event of default (other than certain events of bankruptcy, insolvency or reorganization involving the Company) occurs and is continuing, the Trustee, by notice to the Company, or the holders of the 2025 Notes representing at least 25% in aggregate principal amount of the outstanding 2025 Notes, by notice to the Company and the Trustee, may declare 100% of the principal of, and all accrued and unpaid interest on, all of the then outstanding 2025 Notes to be due and payable immediately. Upon the occurrence of certain events of bankruptcy, insolvency or reorganization involving the Company, 100% of the principal of, and all accrued and unpaid interest on, all of the then outstanding 2025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Notes.</w:t>
      </w:r>
    </w:p>
    <w:p>
      <w:pPr>
        <w:spacing w:after="0" w:line="30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Historical Cash Flows</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unaudited condensed consolidated statements of cash flows for the periods indicated (in thousands):</w:t>
      </w:r>
    </w:p>
    <w:p>
      <w:pPr>
        <w:spacing w:after="0" w:line="120" w:lineRule="exact"/>
        <w:rPr>
          <w:sz w:val="20"/>
          <w:szCs w:val="20"/>
          <w:color w:val="auto"/>
        </w:rPr>
      </w:pPr>
    </w:p>
    <w:p>
      <w:pPr>
        <w:jc w:val="center"/>
        <w:ind w:left="8560"/>
        <w:spacing w:after="0"/>
        <w:rPr>
          <w:sz w:val="20"/>
          <w:szCs w:val="20"/>
          <w:color w:val="auto"/>
        </w:rPr>
      </w:pPr>
      <w:r>
        <w:rPr>
          <w:rFonts w:ascii="Arial" w:cs="Arial" w:eastAsia="Arial" w:hAnsi="Arial"/>
          <w:sz w:val="14"/>
          <w:szCs w:val="14"/>
          <w:b w:val="1"/>
          <w:bCs w:val="1"/>
          <w:color w:val="auto"/>
        </w:rPr>
        <w:t>Six Months Ended</w:t>
      </w:r>
    </w:p>
    <w:p>
      <w:pPr>
        <w:jc w:val="center"/>
        <w:ind w:left="8560"/>
        <w:spacing w:after="0"/>
        <w:rPr>
          <w:sz w:val="20"/>
          <w:szCs w:val="20"/>
          <w:color w:val="auto"/>
        </w:rPr>
      </w:pPr>
      <w:r>
        <w:rPr>
          <w:rFonts w:ascii="Arial" w:cs="Arial" w:eastAsia="Arial" w:hAnsi="Arial"/>
          <w:sz w:val="14"/>
          <w:szCs w:val="14"/>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r>
      <w:tr>
        <w:trPr>
          <w:trHeight w:val="204"/>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w:t>
            </w: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(17,434)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(13,233)</w:t>
            </w:r>
          </w:p>
        </w:tc>
      </w:tr>
      <w:tr>
        <w:trPr>
          <w:trHeight w:val="21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29,511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41,144</w:t>
            </w:r>
          </w:p>
        </w:tc>
      </w:tr>
      <w:tr>
        <w:trPr>
          <w:trHeight w:val="207"/>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rates on cash</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(2,547)</w:t>
            </w:r>
          </w:p>
        </w:tc>
      </w:tr>
      <w:tr>
        <w:trPr>
          <w:trHeight w:val="206"/>
        </w:trPr>
        <w:tc>
          <w:tcPr>
            <w:tcW w:w="8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increase in cash, cash equivalents and restricted cash</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30,026</w:t>
            </w:r>
          </w:p>
        </w:tc>
      </w:tr>
      <w:tr>
        <w:trPr>
          <w:trHeight w:val="207"/>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40,015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12,074</w:t>
            </w:r>
          </w:p>
        </w:tc>
      </w:tr>
      <w:tr>
        <w:trPr>
          <w:trHeight w:val="231"/>
        </w:trPr>
        <w:tc>
          <w:tcPr>
            <w:tcW w:w="860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16"/>
                <w:szCs w:val="16"/>
                <w:color w:val="auto"/>
              </w:rPr>
              <w:t>Cash, cash equivalents, and restricted cash, end of period</w:t>
            </w:r>
            <w:r>
              <w:rPr>
                <w:rFonts w:ascii="Arial" w:cs="Arial" w:eastAsia="Arial" w:hAnsi="Arial"/>
                <w:sz w:val="20"/>
                <w:szCs w:val="20"/>
                <w:color w:val="auto"/>
                <w:vertAlign w:val="superscript"/>
              </w:rPr>
              <w:t>1</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40,383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42,100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Cash, cash equivalents and restricted cash balance includes cash, cash equivalents and restricted cash classified as held for sale as of June 30, 2021.</w:t>
      </w:r>
    </w:p>
    <w:p>
      <w:pPr>
        <w:spacing w:after="0" w:line="92" w:lineRule="exact"/>
        <w:rPr>
          <w:sz w:val="20"/>
          <w:szCs w:val="20"/>
          <w:color w:val="auto"/>
        </w:rPr>
      </w:pPr>
    </w:p>
    <w:p>
      <w:pPr>
        <w:ind w:right="200" w:firstLine="433"/>
        <w:spacing w:after="0" w:line="266"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used in operating activities was $12.0 million for the six months ended June 30, 2021, compared to net cash provided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activities of $4.7 million for the same period in 2020. Net cash used in operating activities for the six months ended June 30, 2021 was primarily attributable to net loss incurred during the period, net cash used by working capital, and fair value adjustment on derivative instrument, partially offset by depreciation and amortization, share-based compensation expense, and the amortization of debt discount and debt issuance costs. Net cash provided by operating activities for the six months ended June 30, 2020 was primarily attributable to net cash provided by working capital, non-cash charges for the debt conversion and extinguishment of the 2022 Notes, depreciation and amortization, including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amortization of debt discount and debt issuance costs, and share-based compensation expense, partially offset by the net loss in the period.</w:t>
      </w:r>
    </w:p>
    <w:p>
      <w:pPr>
        <w:spacing w:after="0" w:line="95" w:lineRule="exact"/>
        <w:rPr>
          <w:sz w:val="20"/>
          <w:szCs w:val="20"/>
          <w:color w:val="auto"/>
        </w:rPr>
      </w:pPr>
    </w:p>
    <w:p>
      <w:pPr>
        <w:ind w:right="20" w:firstLine="433"/>
        <w:spacing w:after="0" w:line="266"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during the six months ended June 30, 2021 was $17.4 million, compared to net cash used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investing activities of $13.2 million for the same period in 2020. Cash used in investing activities during the six months ended June 30, 2021 was primarily related to the purchases of property, plant and equipment and capitalization of certain costs related to the research and development of software to be sold in our products, in large part due to the increase in development in support of 5G products and services. Cash used in investing activities during the same period in 2020 was primarily related to the purchases of property, plant and equipment and capitalization of certain costs related to the research and development of software to be sold in our products, in large part due to the increase in development in support of 5G products and services.</w:t>
      </w:r>
    </w:p>
    <w:p>
      <w:pPr>
        <w:spacing w:after="0" w:line="63" w:lineRule="exact"/>
        <w:rPr>
          <w:sz w:val="20"/>
          <w:szCs w:val="20"/>
          <w:color w:val="auto"/>
        </w:rPr>
      </w:pPr>
    </w:p>
    <w:p>
      <w:pPr>
        <w:ind w:right="200" w:firstLine="433"/>
        <w:spacing w:after="0" w:line="263"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provided by financing activities during the six months ended June 30, 2021 was $29.5 million, compared to net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by financing activities of $41.1 million for the same period in 2020. Net cash provided by financing activities during the six months ended June 30, 2021 was primarily related to net proceeds received from the ATM Offering, proceeds from stock option exercises and purchases through our employee stock purchase plan, partially offset by the principal payments under finance lease obligations and taxes paid on vested restricted stock units. Net cash provided by financing activities for the same period in 2020 was primarily related to proceeds received from the registered Offering of 2025 Notes, the sale of Series E Preferred Stock, the exercise of warrants to purchase common stock, and stock option exercises, partially offset by payoff of the Term Loan and related expenses, cash paid to investors in the Private Exchange Transactions, payment of debt issuance costs, repurchase of Series E Preferred Stock, principal payments under finance lease obligations, and taxes paid on vested restricted stock units.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do not engage in any off-balance sheet arrangements.</w:t>
      </w:r>
    </w:p>
    <w:p>
      <w:pPr>
        <w:spacing w:after="0" w:line="14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14" w:lineRule="exact"/>
        <w:rPr>
          <w:sz w:val="20"/>
          <w:szCs w:val="20"/>
          <w:color w:val="auto"/>
        </w:rPr>
      </w:pPr>
    </w:p>
    <w:p>
      <w:pPr>
        <w:ind w:right="60" w:firstLine="394"/>
        <w:spacing w:after="0" w:line="252" w:lineRule="auto"/>
        <w:rPr>
          <w:sz w:val="20"/>
          <w:szCs w:val="20"/>
          <w:color w:val="auto"/>
        </w:rPr>
      </w:pPr>
      <w:r>
        <w:rPr>
          <w:rFonts w:ascii="Arial" w:cs="Arial" w:eastAsia="Arial" w:hAnsi="Arial"/>
          <w:sz w:val="18"/>
          <w:szCs w:val="18"/>
          <w:color w:val="auto"/>
        </w:rPr>
        <w:t>The Company is exposed to market risk in the ordinary course of our business. Our revenue, earnings, cash flows, receivables, and payables are subject to fluctuations due to changes in foreign currency exchange rates. The ongoing COVID-19 pandemic has increased the volatility of global financial markets, which may increase our foreign currency exchange risk.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45" w:lineRule="exact"/>
        <w:rPr>
          <w:sz w:val="20"/>
          <w:szCs w:val="20"/>
          <w:color w:val="auto"/>
        </w:rPr>
      </w:pPr>
    </w:p>
    <w:p>
      <w:pPr>
        <w:ind w:right="160" w:firstLine="630"/>
        <w:spacing w:after="0" w:line="277" w:lineRule="auto"/>
        <w:rPr>
          <w:sz w:val="20"/>
          <w:szCs w:val="20"/>
          <w:color w:val="auto"/>
        </w:rPr>
      </w:pPr>
      <w:r>
        <w:rPr>
          <w:rFonts w:ascii="Arial" w:cs="Arial" w:eastAsia="Arial" w:hAnsi="Arial"/>
          <w:sz w:val="16"/>
          <w:szCs w:val="16"/>
          <w:color w:val="auto"/>
        </w:rPr>
        <w:t>The Company’s results of operations and cash flows are subject to fluctuations due to changes in foreign currency exchange rates. A majority of the Company’s revenue is denominated in U.S. dollars, and therefore, our revenue is not directly subject to foreign currency risk. However, as we have operations in foreign countries, including South Africa and Europe,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ind w:firstLine="630"/>
        <w:spacing w:after="0" w:line="278" w:lineRule="auto"/>
        <w:rPr>
          <w:sz w:val="20"/>
          <w:szCs w:val="20"/>
          <w:color w:val="auto"/>
        </w:rPr>
      </w:pPr>
      <w:r>
        <w:rPr>
          <w:rFonts w:ascii="Arial" w:cs="Arial" w:eastAsia="Arial" w:hAnsi="Arial"/>
          <w:sz w:val="16"/>
          <w:szCs w:val="16"/>
          <w:color w:val="auto"/>
        </w:rPr>
        <w:t>For the six months ended June 30, 2021, sales denominated in foreign currencies were approximately 23.6% of total revenue. The Company’s expenses are generally denominated in the currencies in which our operations are located, which is primarily in the U.S. and to a lesser extent in South Africa and Europe. The Company’s results of operations and cash flows are, therefore, subject to fluctuations due to changes in foreign currency exchange rates and may be adversely affected in the future due to changes in foreign exchange rates. These foreign functional currencies consist of the South African Rand, pound sterling, Euro, and Australian Dollar (collectively, the “Foreign Functional Currencies”). For the six months ended June 30, 2021, a hypothetical 10% change in foreign functional currency exchange rates would have increased or decreased our revenue by approximately $2.8 million. Actual gains and losses in the future may differ materially from the hypothetical gains and losses discussed above based on changes in the timing and amount of foreign currency exchange rate movements. Additionally, with the completion of Ctrack South Africa operations divestiture, our foreign exchange risk is expected to decrease. Net foreign currency translation losses of $0.7 million were recorded for the six months ended June 30, 2021.</w:t>
      </w:r>
    </w:p>
    <w:p>
      <w:pPr>
        <w:spacing w:after="0" w:line="11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1" w:lineRule="exact"/>
        <w:rPr>
          <w:sz w:val="20"/>
          <w:szCs w:val="20"/>
          <w:color w:val="auto"/>
        </w:rPr>
      </w:pPr>
    </w:p>
    <w:p>
      <w:pPr>
        <w:ind w:right="280" w:firstLine="394"/>
        <w:spacing w:after="0" w:line="235" w:lineRule="auto"/>
        <w:rPr>
          <w:sz w:val="20"/>
          <w:szCs w:val="20"/>
          <w:color w:val="auto"/>
        </w:rPr>
      </w:pPr>
      <w:r>
        <w:rPr>
          <w:rFonts w:ascii="Arial" w:cs="Arial" w:eastAsia="Arial" w:hAnsi="Arial"/>
          <w:sz w:val="18"/>
          <w:szCs w:val="18"/>
          <w:color w:val="auto"/>
        </w:rPr>
        <w:t>The Company maintains disclosure controls and procedures, as defined in Rule 13a-15(e) and 15d-15(e)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6" w:name="page37"/>
    <w:bookmarkEnd w:id="36"/>
    <w:p>
      <w:pPr>
        <w:jc w:val="center"/>
        <w:ind w:right="220"/>
        <w:spacing w:after="0"/>
        <w:rPr>
          <w:sz w:val="20"/>
          <w:szCs w:val="20"/>
          <w:color w:val="auto"/>
        </w:rPr>
      </w:pPr>
      <w:r>
        <w:rPr>
          <w:rFonts w:ascii="Arial" w:cs="Arial" w:eastAsia="Arial" w:hAnsi="Arial"/>
          <w:sz w:val="16"/>
          <w:szCs w:val="16"/>
          <w:color w:val="auto"/>
        </w:rPr>
        <w:t>management, including its principal executive officer and principal financial officer, as appropriate, to allow timely decisions regarding required disclosure.</w:t>
      </w:r>
    </w:p>
    <w:p>
      <w:pPr>
        <w:spacing w:after="0" w:line="118" w:lineRule="exact"/>
        <w:rPr>
          <w:sz w:val="20"/>
          <w:szCs w:val="20"/>
          <w:color w:val="auto"/>
        </w:rPr>
      </w:pPr>
    </w:p>
    <w:p>
      <w:pPr>
        <w:ind w:right="260" w:firstLine="394"/>
        <w:spacing w:after="0" w:line="234" w:lineRule="auto"/>
        <w:rPr>
          <w:sz w:val="20"/>
          <w:szCs w:val="20"/>
          <w:color w:val="auto"/>
        </w:rPr>
      </w:pPr>
      <w:r>
        <w:rPr>
          <w:rFonts w:ascii="Arial" w:cs="Arial" w:eastAsia="Arial" w:hAnsi="Arial"/>
          <w:sz w:val="18"/>
          <w:szCs w:val="18"/>
          <w:color w:val="auto"/>
        </w:rPr>
        <w:t>As required by Rule 13a-15(b) promulgated under the Exchange Act, the Company carried out an evaluation, under the supervision and with the participation of the Company’s management, including the Company’s principal executive officer and principal financial officer, of the effectiveness of the design and operation of the Company’s disclosure controls and procedures as of June 30, 2021, the end of the period covered by this report. Based on the foregoing, our principal executive officer and principal financial officer concluded that our disclosure controls and procedures were effective as of June 30,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1" w:lineRule="exact"/>
        <w:rPr>
          <w:sz w:val="20"/>
          <w:szCs w:val="20"/>
          <w:color w:val="auto"/>
        </w:rPr>
      </w:pPr>
    </w:p>
    <w:p>
      <w:pPr>
        <w:ind w:firstLine="394"/>
        <w:spacing w:after="0" w:line="238"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and 15d-15(f) promulgated under the Exchange Act, during the three months ended June 30,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980"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II—OTHER INFORMATION</w:t>
      </w:r>
    </w:p>
    <w:p>
      <w:pPr>
        <w:spacing w:after="0" w:line="16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01" w:lineRule="exact"/>
        <w:rPr>
          <w:sz w:val="20"/>
          <w:szCs w:val="20"/>
          <w:color w:val="auto"/>
        </w:rPr>
      </w:pPr>
    </w:p>
    <w:p>
      <w:pPr>
        <w:ind w:right="340" w:firstLine="394"/>
        <w:spacing w:after="0" w:line="245" w:lineRule="auto"/>
        <w:rPr>
          <w:sz w:val="20"/>
          <w:szCs w:val="20"/>
          <w:color w:val="auto"/>
        </w:rPr>
      </w:pPr>
      <w:r>
        <w:rPr>
          <w:rFonts w:ascii="Arial" w:cs="Arial" w:eastAsia="Arial" w:hAnsi="Arial"/>
          <w:sz w:val="18"/>
          <w:szCs w:val="18"/>
          <w:color w:val="auto"/>
        </w:rPr>
        <w:t xml:space="preserve">The disclosure in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unaudited condensed consolidated financial statements includes a discussion of our legal proceedings and is incorporated herein by reference.</w:t>
      </w:r>
    </w:p>
    <w:p>
      <w:pPr>
        <w:spacing w:after="0" w:line="76" w:lineRule="exact"/>
        <w:rPr>
          <w:sz w:val="20"/>
          <w:szCs w:val="20"/>
          <w:color w:val="auto"/>
        </w:rPr>
      </w:pPr>
    </w:p>
    <w:p>
      <w:pPr>
        <w:ind w:right="60" w:firstLine="394"/>
        <w:spacing w:after="0" w:line="238" w:lineRule="auto"/>
        <w:rPr>
          <w:sz w:val="20"/>
          <w:szCs w:val="20"/>
          <w:color w:val="auto"/>
        </w:rPr>
      </w:pPr>
      <w:r>
        <w:rPr>
          <w:rFonts w:ascii="Arial" w:cs="Arial" w:eastAsia="Arial" w:hAnsi="Arial"/>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17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67" w:lineRule="exact"/>
        <w:rPr>
          <w:sz w:val="20"/>
          <w:szCs w:val="20"/>
          <w:color w:val="auto"/>
        </w:rPr>
      </w:pPr>
    </w:p>
    <w:p>
      <w:pPr>
        <w:ind w:firstLine="394"/>
        <w:spacing w:after="0" w:line="281" w:lineRule="auto"/>
        <w:rPr>
          <w:sz w:val="20"/>
          <w:szCs w:val="20"/>
          <w:color w:val="auto"/>
        </w:rPr>
      </w:pPr>
      <w:r>
        <w:rPr>
          <w:rFonts w:ascii="Arial" w:cs="Arial" w:eastAsia="Arial" w:hAnsi="Arial"/>
          <w:sz w:val="16"/>
          <w:szCs w:val="16"/>
          <w:color w:val="auto"/>
        </w:rPr>
        <w:t>There have been no material changes in our risk factors from those disclosed in “Item 1A. Risk Factors” of the Form 10-K, Form 10-Q,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3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869" w:right="4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080" w:type="dxa"/>
            <w:vAlign w:val="bottom"/>
            <w:gridSpan w:val="7"/>
          </w:tcPr>
          <w:p>
            <w:pPr>
              <w:ind w:left="20"/>
              <w:spacing w:after="0"/>
              <w:rPr>
                <w:sz w:val="20"/>
                <w:szCs w:val="20"/>
                <w:color w:val="auto"/>
              </w:rPr>
            </w:pPr>
            <w:r>
              <w:rPr>
                <w:rFonts w:ascii="Arial" w:cs="Arial" w:eastAsia="Arial" w:hAnsi="Arial"/>
                <w:sz w:val="18"/>
                <w:szCs w:val="18"/>
                <w:b w:val="1"/>
                <w:bCs w:val="1"/>
                <w:i w:val="1"/>
                <w:iCs w:val="1"/>
                <w:color w:val="auto"/>
              </w:rPr>
              <w:t>Exhibits.</w:t>
            </w:r>
          </w:p>
        </w:tc>
      </w:tr>
      <w:tr>
        <w:trPr>
          <w:trHeight w:val="297"/>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22"/>
        </w:trPr>
        <w:tc>
          <w:tcPr>
            <w:tcW w:w="720" w:type="dxa"/>
            <w:vAlign w:val="bottom"/>
          </w:tcPr>
          <w:p>
            <w:pPr>
              <w:ind w:left="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20" w:type="dxa"/>
            <w:vAlign w:val="bottom"/>
            <w:gridSpan w:val="4"/>
          </w:tcPr>
          <w:p>
            <w:pPr>
              <w:spacing w:after="0"/>
              <w:rPr>
                <w:rFonts w:ascii="Arial" w:cs="Arial" w:eastAsia="Arial" w:hAnsi="Arial"/>
                <w:sz w:val="18"/>
                <w:szCs w:val="18"/>
                <w:color w:val="0000FF"/>
                <w:w w:val="88"/>
              </w:rPr>
            </w:pPr>
            <w:hyperlink r:id="rId49">
              <w:r>
                <w:rPr>
                  <w:rFonts w:ascii="Arial" w:cs="Arial" w:eastAsia="Arial" w:hAnsi="Arial"/>
                  <w:sz w:val="18"/>
                  <w:szCs w:val="18"/>
                  <w:color w:val="0000FF"/>
                  <w:w w:val="88"/>
                </w:rPr>
                <w:t>Share Purchase Agreement, dated as of February 24, 2021, by and between Inseego Corp. and Main Street 1816 Proprietary</w:t>
              </w:r>
            </w:hyperlink>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gridSpan w:val="4"/>
          </w:tcPr>
          <w:p>
            <w:pPr>
              <w:spacing w:after="0" w:line="151" w:lineRule="exact"/>
              <w:rPr>
                <w:rFonts w:ascii="Arial" w:cs="Arial" w:eastAsia="Arial" w:hAnsi="Arial"/>
                <w:sz w:val="16"/>
                <w:szCs w:val="16"/>
                <w:color w:val="0000FF"/>
              </w:rPr>
            </w:pPr>
            <w:hyperlink r:id="rId49">
              <w:r>
                <w:rPr>
                  <w:rFonts w:ascii="Arial" w:cs="Arial" w:eastAsia="Arial" w:hAnsi="Arial"/>
                  <w:sz w:val="16"/>
                  <w:szCs w:val="16"/>
                  <w:color w:val="0000FF"/>
                </w:rPr>
                <w:t>Limited (in the process of being renamed Convergence CTSA Proprietary Limited)(incorporated by reference to Exhibit 10.1</w:t>
              </w:r>
            </w:hyperlink>
          </w:p>
        </w:tc>
      </w:tr>
      <w:tr>
        <w:trPr>
          <w:trHeight w:val="151"/>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bottom w:val="single" w:sz="8" w:color="0000FF"/>
            </w:tcBorders>
          </w:tcPr>
          <w:p>
            <w:pPr>
              <w:spacing w:after="0" w:line="151" w:lineRule="exact"/>
              <w:rPr>
                <w:rFonts w:ascii="Arial" w:cs="Arial" w:eastAsia="Arial" w:hAnsi="Arial"/>
                <w:sz w:val="16"/>
                <w:szCs w:val="16"/>
                <w:color w:val="0000FF"/>
              </w:rPr>
            </w:pPr>
            <w:hyperlink r:id="rId49">
              <w:r>
                <w:rPr>
                  <w:rFonts w:ascii="Arial" w:cs="Arial" w:eastAsia="Arial" w:hAnsi="Arial"/>
                  <w:sz w:val="16"/>
                  <w:szCs w:val="16"/>
                  <w:color w:val="0000FF"/>
                </w:rPr>
                <w:t>to the Company’s Current Report on Form 8-K, filed February 25, 2021).</w:t>
              </w:r>
            </w:hyperlink>
          </w:p>
        </w:tc>
        <w:tc>
          <w:tcPr>
            <w:tcW w:w="364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r>
    </w:tbl>
    <w:p>
      <w:pPr>
        <w:spacing w:after="0" w:line="27" w:lineRule="exact"/>
        <w:rPr>
          <w:sz w:val="20"/>
          <w:szCs w:val="20"/>
          <w:color w:val="auto"/>
        </w:rPr>
      </w:pPr>
    </w:p>
    <w:p>
      <w:pPr>
        <w:sectPr>
          <w:pgSz w:w="11900" w:h="16838" w:orient="portrait"/>
          <w:cols w:equalWidth="0" w:num="1">
            <w:col w:w="10139"/>
          </w:cols>
          <w:pgMar w:left="320" w:top="869" w:right="1440" w:bottom="1440" w:gutter="0" w:footer="0" w:header="0"/>
        </w:sectPr>
      </w:pPr>
    </w:p>
    <w:p>
      <w:pPr>
        <w:ind w:left="20"/>
        <w:spacing w:after="0"/>
        <w:rPr>
          <w:sz w:val="20"/>
          <w:szCs w:val="20"/>
          <w:color w:val="auto"/>
        </w:rPr>
      </w:pPr>
      <w:r>
        <w:rPr>
          <w:rFonts w:ascii="Arial" w:cs="Arial" w:eastAsia="Arial" w:hAnsi="Arial"/>
          <w:sz w:val="15"/>
          <w:szCs w:val="15"/>
          <w:color w:val="auto"/>
        </w:rPr>
        <w:t>2.2</w:t>
      </w:r>
    </w:p>
    <w:p>
      <w:pPr>
        <w:spacing w:after="0" w:line="392" w:lineRule="exact"/>
        <w:rPr>
          <w:sz w:val="20"/>
          <w:szCs w:val="20"/>
          <w:color w:val="auto"/>
        </w:rPr>
      </w:pPr>
    </w:p>
    <w:p>
      <w:pPr>
        <w:ind w:left="20"/>
        <w:spacing w:after="0"/>
        <w:rPr>
          <w:sz w:val="20"/>
          <w:szCs w:val="20"/>
          <w:color w:val="auto"/>
        </w:rPr>
      </w:pPr>
      <w:r>
        <w:rPr>
          <w:rFonts w:ascii="Arial" w:cs="Arial" w:eastAsia="Arial" w:hAnsi="Arial"/>
          <w:sz w:val="15"/>
          <w:szCs w:val="15"/>
          <w:color w:val="auto"/>
        </w:rPr>
        <w:t>2.3</w:t>
      </w:r>
    </w:p>
    <w:p>
      <w:pPr>
        <w:spacing w:after="0" w:line="392" w:lineRule="exact"/>
        <w:rPr>
          <w:sz w:val="20"/>
          <w:szCs w:val="20"/>
          <w:color w:val="auto"/>
        </w:rPr>
      </w:pPr>
    </w:p>
    <w:p>
      <w:pPr>
        <w:ind w:left="20"/>
        <w:spacing w:after="0"/>
        <w:rPr>
          <w:sz w:val="20"/>
          <w:szCs w:val="20"/>
          <w:color w:val="auto"/>
        </w:rPr>
      </w:pPr>
      <w:r>
        <w:rPr>
          <w:rFonts w:ascii="Arial" w:cs="Arial" w:eastAsia="Arial" w:hAnsi="Arial"/>
          <w:sz w:val="15"/>
          <w:szCs w:val="15"/>
          <w:color w:val="auto"/>
        </w:rPr>
        <w:t>2.4</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3.1</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3.2</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3.3</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br w:type="column"/>
      </w:r>
    </w:p>
    <w:p>
      <w:pPr>
        <w:ind w:right="499"/>
        <w:spacing w:after="0" w:line="245" w:lineRule="auto"/>
        <w:rPr>
          <w:rFonts w:ascii="Arial" w:cs="Arial" w:eastAsia="Arial" w:hAnsi="Arial"/>
          <w:sz w:val="16"/>
          <w:szCs w:val="16"/>
          <w:color w:val="0000FF"/>
        </w:rPr>
      </w:pPr>
      <w:hyperlink r:id="rId50">
        <w:r>
          <w:rPr>
            <w:rFonts w:ascii="Arial" w:cs="Arial" w:eastAsia="Arial" w:hAnsi="Arial"/>
            <w:sz w:val="16"/>
            <w:szCs w:val="16"/>
            <w:u w:val="single" w:color="auto"/>
            <w:color w:val="0000FF"/>
          </w:rPr>
          <w:t>Third Addendum dated June 30, 2021 to the Share Purchase Agreement dated February 24, 2021 between Main Street 1816</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Proprietary Limited (in the process of being renamed Convergence CTSA Proprietary Limited) and Inseego Corp.</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(incorporated by reference to Exhibit 10.1 to the Company’s Current Report on Form 8-K filed June 30, 2021</w:t>
        </w:r>
        <w:r>
          <w:rPr>
            <w:rFonts w:ascii="Arial" w:cs="Arial" w:eastAsia="Arial" w:hAnsi="Arial"/>
            <w:sz w:val="16"/>
            <w:szCs w:val="16"/>
            <w:color w:val="000000"/>
          </w:rPr>
          <w:t>.</w:t>
        </w:r>
      </w:hyperlink>
    </w:p>
    <w:p>
      <w:pPr>
        <w:spacing w:after="0" w:line="1" w:lineRule="exact"/>
        <w:rPr>
          <w:rFonts w:ascii="Arial" w:cs="Arial" w:eastAsia="Arial" w:hAnsi="Arial"/>
          <w:sz w:val="16"/>
          <w:szCs w:val="16"/>
          <w:u w:val="single" w:color="auto"/>
          <w:color w:val="0000FF"/>
        </w:rPr>
      </w:pPr>
    </w:p>
    <w:p>
      <w:pPr>
        <w:jc w:val="both"/>
        <w:ind w:right="699"/>
        <w:spacing w:after="0" w:line="245" w:lineRule="auto"/>
        <w:rPr>
          <w:rFonts w:ascii="Arial" w:cs="Arial" w:eastAsia="Arial" w:hAnsi="Arial"/>
          <w:sz w:val="16"/>
          <w:szCs w:val="16"/>
          <w:u w:val="single" w:color="auto"/>
          <w:color w:val="0000FF"/>
        </w:rPr>
      </w:pPr>
      <w:hyperlink r:id="rId51">
        <w:r>
          <w:rPr>
            <w:rFonts w:ascii="Arial" w:cs="Arial" w:eastAsia="Arial" w:hAnsi="Arial"/>
            <w:sz w:val="16"/>
            <w:szCs w:val="16"/>
            <w:u w:val="single" w:color="auto"/>
            <w:color w:val="0000FF"/>
          </w:rPr>
          <w:t>Second Addendum dated April 30, 2021 to the Share Purchase Agreement dated February 24, 2021 between Main Street</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1816 Proprietary Limited (in the process of being renamed Convergence CTSA Proprietary Limited) and Inseego Corp.</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(incorporated by reference to Exhibit 10.2 to the Company’s Current Report on Form 8-K filed June 30, 2021.</w:t>
        </w:r>
      </w:hyperlink>
    </w:p>
    <w:p>
      <w:pPr>
        <w:spacing w:after="0" w:line="1" w:lineRule="exact"/>
        <w:rPr>
          <w:rFonts w:ascii="Arial" w:cs="Arial" w:eastAsia="Arial" w:hAnsi="Arial"/>
          <w:sz w:val="16"/>
          <w:szCs w:val="16"/>
          <w:u w:val="single" w:color="auto"/>
          <w:color w:val="0000FF"/>
        </w:rPr>
      </w:pPr>
    </w:p>
    <w:p>
      <w:pPr>
        <w:ind w:right="419"/>
        <w:spacing w:after="0" w:line="264" w:lineRule="auto"/>
        <w:rPr>
          <w:rFonts w:ascii="Arial" w:cs="Arial" w:eastAsia="Arial" w:hAnsi="Arial"/>
          <w:sz w:val="16"/>
          <w:szCs w:val="16"/>
          <w:u w:val="single" w:color="auto"/>
          <w:color w:val="0000FF"/>
        </w:rPr>
      </w:pPr>
      <w:hyperlink r:id="rId52">
        <w:r>
          <w:rPr>
            <w:rFonts w:ascii="Arial" w:cs="Arial" w:eastAsia="Arial" w:hAnsi="Arial"/>
            <w:sz w:val="16"/>
            <w:szCs w:val="16"/>
            <w:u w:val="single" w:color="auto"/>
            <w:color w:val="0000FF"/>
          </w:rPr>
          <w:t>First Addendum dated March 17, 2021 to the Share Purchase Agreement dated February 24, 2021 between Main Street 1816</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Proprietary Limited (in the process of being renamed Convergence CTSA Proprietary Limited) and Inseego Corp.</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(incorporated by reference to Exhibit 10.3 to the Company’s Current Report on Form 8-K filed June 30, 2021.</w:t>
        </w:r>
      </w:hyperlink>
    </w:p>
    <w:p>
      <w:pPr>
        <w:spacing w:after="0" w:line="49" w:lineRule="exact"/>
        <w:rPr>
          <w:rFonts w:ascii="Arial" w:cs="Arial" w:eastAsia="Arial" w:hAnsi="Arial"/>
          <w:sz w:val="16"/>
          <w:szCs w:val="16"/>
          <w:u w:val="single" w:color="auto"/>
          <w:color w:val="0000FF"/>
        </w:rPr>
      </w:pPr>
    </w:p>
    <w:p>
      <w:pPr>
        <w:ind w:right="819"/>
        <w:spacing w:after="0" w:line="235" w:lineRule="auto"/>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Amended and Restated Certificate of Incorporation (incorporated by reference to Exhibit 3.1 to the Company’s Current</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Report on Form 8-K, filed November 9, 2016).</w:t>
        </w:r>
      </w:hyperlink>
    </w:p>
    <w:p>
      <w:pPr>
        <w:spacing w:after="0" w:line="120" w:lineRule="exact"/>
        <w:rPr>
          <w:sz w:val="20"/>
          <w:szCs w:val="20"/>
          <w:color w:val="auto"/>
        </w:rPr>
      </w:pPr>
    </w:p>
    <w:p>
      <w:pPr>
        <w:ind w:right="679"/>
        <w:spacing w:after="0" w:line="235" w:lineRule="auto"/>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Amended and Restated Bylaws (incorporated by reference to Exhibit 3.2 to the Company’s Current Report on Form 8-K,</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filed November 9, 2016).</w:t>
        </w:r>
      </w:hyperlink>
    </w:p>
    <w:p>
      <w:pPr>
        <w:spacing w:after="0" w:line="120" w:lineRule="exact"/>
        <w:rPr>
          <w:sz w:val="20"/>
          <w:szCs w:val="20"/>
          <w:color w:val="auto"/>
        </w:rPr>
      </w:pPr>
    </w:p>
    <w:p>
      <w:pPr>
        <w:ind w:right="659"/>
        <w:spacing w:after="0" w:line="235" w:lineRule="auto"/>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Certificate of Designation of Series D Junior Participating Preferred Stock of Inseego Corp. (incorporated by reference to</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Exhibit 3.1 to the Company’s Current Report on Form 8-K, filed January 22, 2018).</w:t>
        </w:r>
      </w:hyperlink>
    </w:p>
    <w:p>
      <w:pPr>
        <w:spacing w:after="0" w:line="67" w:lineRule="exact"/>
        <w:rPr>
          <w:sz w:val="20"/>
          <w:szCs w:val="20"/>
          <w:color w:val="auto"/>
        </w:rPr>
      </w:pPr>
    </w:p>
    <w:p>
      <w:pPr>
        <w:ind w:right="399"/>
        <w:spacing w:after="0" w:line="217" w:lineRule="auto"/>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Certificate of Designation of Series E Fixed-Rate Cumulative Perpetual Preferred Stock filed with the Secretary of State of</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the State of Delaware on August 8, 2019 (incorporated by reference to Exhibit 3.1 to the Company’s Current Report on Form</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8-K, filed August 13, 2019).</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260" w:space="720"/>
            <w:col w:w="9159"/>
          </w:cols>
          <w:pgMar w:left="320" w:top="869" w:right="1440" w:bottom="1440" w:gutter="0" w:footer="0" w:header="0"/>
          <w:type w:val="continuous"/>
        </w:sectPr>
      </w:pPr>
    </w:p>
    <w:tbl>
      <w:tblPr>
        <w:tblLayout w:type="fixed"/>
        <w:tblInd w:w="20" w:type="dxa"/>
        <w:tblCellMar>
          <w:top w:w="0" w:type="dxa"/>
          <w:left w:w="0" w:type="dxa"/>
          <w:bottom w:w="0" w:type="dxa"/>
          <w:right w:w="0" w:type="dxa"/>
        </w:tblCellMar>
      </w:tblPr>
      <w:tr>
        <w:trPr>
          <w:trHeight w:val="186"/>
        </w:trPr>
        <w:tc>
          <w:tcPr>
            <w:tcW w:w="960" w:type="dxa"/>
            <w:vAlign w:val="bottom"/>
          </w:tcPr>
          <w:p>
            <w:pPr>
              <w:spacing w:after="0" w:line="186" w:lineRule="exact"/>
              <w:rPr>
                <w:sz w:val="20"/>
                <w:szCs w:val="20"/>
                <w:color w:val="auto"/>
              </w:rPr>
            </w:pPr>
            <w:r>
              <w:rPr>
                <w:rFonts w:ascii="Arial" w:cs="Arial" w:eastAsia="Arial" w:hAnsi="Arial"/>
                <w:sz w:val="18"/>
                <w:szCs w:val="18"/>
                <w:color w:val="auto"/>
              </w:rPr>
              <w:t>3.5</w:t>
            </w:r>
          </w:p>
        </w:tc>
        <w:tc>
          <w:tcPr>
            <w:tcW w:w="8760" w:type="dxa"/>
            <w:vAlign w:val="bottom"/>
            <w:gridSpan w:val="10"/>
          </w:tcPr>
          <w:p>
            <w:pPr>
              <w:spacing w:after="0" w:line="186" w:lineRule="exact"/>
              <w:rPr>
                <w:rFonts w:ascii="Arial" w:cs="Arial" w:eastAsia="Arial" w:hAnsi="Arial"/>
                <w:sz w:val="18"/>
                <w:szCs w:val="18"/>
                <w:color w:val="0000FF"/>
                <w:w w:val="94"/>
              </w:rPr>
            </w:pPr>
            <w:hyperlink r:id="rId57">
              <w:r>
                <w:rPr>
                  <w:rFonts w:ascii="Arial" w:cs="Arial" w:eastAsia="Arial" w:hAnsi="Arial"/>
                  <w:sz w:val="18"/>
                  <w:szCs w:val="18"/>
                  <w:color w:val="0000FF"/>
                  <w:w w:val="94"/>
                </w:rPr>
                <w:t>Certificate of Amendment to Certificate of Designation of Series E Fixed-Rate Cumulative Perpetual Preferred Stock</w:t>
              </w:r>
            </w:hyperlink>
          </w:p>
        </w:tc>
      </w:tr>
      <w:tr>
        <w:trPr>
          <w:trHeight w:val="151"/>
        </w:trPr>
        <w:tc>
          <w:tcPr>
            <w:tcW w:w="960" w:type="dxa"/>
            <w:vAlign w:val="bottom"/>
          </w:tcPr>
          <w:p>
            <w:pPr>
              <w:spacing w:after="0"/>
              <w:rPr>
                <w:sz w:val="13"/>
                <w:szCs w:val="13"/>
                <w:color w:val="auto"/>
              </w:rPr>
            </w:pPr>
          </w:p>
        </w:tc>
        <w:tc>
          <w:tcPr>
            <w:tcW w:w="7860" w:type="dxa"/>
            <w:vAlign w:val="bottom"/>
            <w:tcBorders>
              <w:top w:val="single" w:sz="8" w:color="0000FF"/>
              <w:bottom w:val="single" w:sz="8" w:color="0000FF"/>
            </w:tcBorders>
            <w:gridSpan w:val="3"/>
          </w:tcPr>
          <w:p>
            <w:pPr>
              <w:spacing w:after="0" w:line="151" w:lineRule="exact"/>
              <w:rPr>
                <w:rFonts w:ascii="Arial" w:cs="Arial" w:eastAsia="Arial" w:hAnsi="Arial"/>
                <w:sz w:val="16"/>
                <w:szCs w:val="16"/>
                <w:color w:val="0000FF"/>
              </w:rPr>
            </w:pPr>
            <w:hyperlink r:id="rId57">
              <w:r>
                <w:rPr>
                  <w:rFonts w:ascii="Arial" w:cs="Arial" w:eastAsia="Arial" w:hAnsi="Arial"/>
                  <w:sz w:val="16"/>
                  <w:szCs w:val="16"/>
                  <w:color w:val="0000FF"/>
                </w:rPr>
                <w:t>(incorporated by reference to Exhibit 3.1 to the Company’s Current Report on Form 8-K, filed March 10, 2020).</w:t>
              </w:r>
            </w:hyperlink>
          </w:p>
        </w:tc>
        <w:tc>
          <w:tcPr>
            <w:tcW w:w="360" w:type="dxa"/>
            <w:vAlign w:val="bottom"/>
            <w:tcBorders>
              <w:top w:val="single" w:sz="8" w:color="0000FF"/>
            </w:tcBorders>
            <w:gridSpan w:val="3"/>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960" w:type="dxa"/>
            <w:vAlign w:val="bottom"/>
          </w:tcPr>
          <w:p>
            <w:pPr>
              <w:spacing w:after="0" w:line="203" w:lineRule="exact"/>
              <w:rPr>
                <w:sz w:val="20"/>
                <w:szCs w:val="20"/>
                <w:color w:val="auto"/>
              </w:rPr>
            </w:pPr>
            <w:r>
              <w:rPr>
                <w:rFonts w:ascii="Arial" w:cs="Arial" w:eastAsia="Arial" w:hAnsi="Arial"/>
                <w:sz w:val="18"/>
                <w:szCs w:val="18"/>
                <w:color w:val="auto"/>
              </w:rPr>
              <w:t>10.1*</w:t>
            </w:r>
          </w:p>
        </w:tc>
        <w:tc>
          <w:tcPr>
            <w:tcW w:w="8760" w:type="dxa"/>
            <w:vAlign w:val="bottom"/>
            <w:gridSpan w:val="10"/>
          </w:tcPr>
          <w:p>
            <w:pPr>
              <w:spacing w:after="0" w:line="203" w:lineRule="exact"/>
              <w:rPr>
                <w:rFonts w:ascii="Arial" w:cs="Arial" w:eastAsia="Arial" w:hAnsi="Arial"/>
                <w:sz w:val="18"/>
                <w:szCs w:val="18"/>
                <w:color w:val="0000FF"/>
                <w:w w:val="86"/>
              </w:rPr>
            </w:pPr>
            <w:hyperlink r:id="rId58">
              <w:r>
                <w:rPr>
                  <w:rFonts w:ascii="Arial" w:cs="Arial" w:eastAsia="Arial" w:hAnsi="Arial"/>
                  <w:sz w:val="18"/>
                  <w:szCs w:val="18"/>
                  <w:color w:val="0000FF"/>
                  <w:w w:val="86"/>
                </w:rPr>
                <w:t>Amended and Restated Change in Control and Severance Agreement, dated June 7, 2021, by and between the Company and</w:t>
              </w:r>
            </w:hyperlink>
          </w:p>
        </w:tc>
      </w:tr>
      <w:tr>
        <w:trPr>
          <w:trHeight w:val="164"/>
        </w:trPr>
        <w:tc>
          <w:tcPr>
            <w:tcW w:w="960" w:type="dxa"/>
            <w:vAlign w:val="bottom"/>
          </w:tcPr>
          <w:p>
            <w:pPr>
              <w:spacing w:after="0"/>
              <w:rPr>
                <w:sz w:val="14"/>
                <w:szCs w:val="14"/>
                <w:color w:val="auto"/>
              </w:rPr>
            </w:pPr>
          </w:p>
        </w:tc>
        <w:tc>
          <w:tcPr>
            <w:tcW w:w="8700" w:type="dxa"/>
            <w:vAlign w:val="bottom"/>
            <w:tcBorders>
              <w:top w:val="single" w:sz="8" w:color="0000FF"/>
              <w:bottom w:val="single" w:sz="8" w:color="0000FF"/>
            </w:tcBorders>
            <w:gridSpan w:val="9"/>
          </w:tcPr>
          <w:p>
            <w:pPr>
              <w:spacing w:after="0" w:line="163" w:lineRule="exact"/>
              <w:rPr>
                <w:rFonts w:ascii="Arial" w:cs="Arial" w:eastAsia="Arial" w:hAnsi="Arial"/>
                <w:sz w:val="18"/>
                <w:szCs w:val="18"/>
                <w:color w:val="0000FF"/>
                <w:w w:val="88"/>
              </w:rPr>
            </w:pPr>
            <w:hyperlink r:id="rId58">
              <w:r>
                <w:rPr>
                  <w:rFonts w:ascii="Arial" w:cs="Arial" w:eastAsia="Arial" w:hAnsi="Arial"/>
                  <w:sz w:val="18"/>
                  <w:szCs w:val="18"/>
                  <w:color w:val="0000FF"/>
                  <w:w w:val="88"/>
                </w:rPr>
                <w:t>Dan Mondor (incorporated by reference to Exhibit 10.1 to the Company’s Current Report on Form 8-K, filed June 10, 2021)</w:t>
              </w:r>
            </w:hyperlink>
          </w:p>
        </w:tc>
        <w:tc>
          <w:tcPr>
            <w:tcW w:w="60" w:type="dxa"/>
            <w:vAlign w:val="bottom"/>
            <w:tcBorders>
              <w:bottom w:val="single" w:sz="8" w:color="0000FF"/>
            </w:tcBorders>
          </w:tcPr>
          <w:p>
            <w:pPr>
              <w:jc w:val="right"/>
              <w:spacing w:after="0" w:line="163" w:lineRule="exact"/>
              <w:rPr>
                <w:rFonts w:ascii="Arial" w:cs="Arial" w:eastAsia="Arial" w:hAnsi="Arial"/>
                <w:sz w:val="18"/>
                <w:szCs w:val="18"/>
                <w:color w:val="0000FF"/>
                <w:w w:val="78"/>
              </w:rPr>
            </w:pPr>
            <w:hyperlink r:id="rId58">
              <w:r>
                <w:rPr>
                  <w:rFonts w:ascii="Arial" w:cs="Arial" w:eastAsia="Arial" w:hAnsi="Arial"/>
                  <w:sz w:val="18"/>
                  <w:szCs w:val="18"/>
                  <w:color w:val="0000FF"/>
                  <w:w w:val="78"/>
                </w:rPr>
                <w:t>.</w:t>
              </w:r>
            </w:hyperlink>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508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41">
              <w:r>
                <w:rPr>
                  <w:rFonts w:ascii="Arial" w:cs="Arial" w:eastAsia="Arial" w:hAnsi="Arial"/>
                  <w:sz w:val="18"/>
                  <w:szCs w:val="18"/>
                  <w:color w:val="0000FF"/>
                  <w:w w:val="87"/>
                </w:rPr>
                <w:t>Independent Contractor Services Agreement, dated as of August 5, 2021</w:t>
              </w:r>
            </w:hyperlink>
          </w:p>
        </w:tc>
        <w:tc>
          <w:tcPr>
            <w:tcW w:w="3680" w:type="dxa"/>
            <w:vAlign w:val="bottom"/>
            <w:gridSpan w:val="8"/>
          </w:tcPr>
          <w:p>
            <w:pPr>
              <w:spacing w:after="0"/>
              <w:rPr>
                <w:sz w:val="19"/>
                <w:szCs w:val="19"/>
                <w:color w:val="auto"/>
              </w:rPr>
            </w:pPr>
          </w:p>
        </w:tc>
      </w:tr>
      <w:tr>
        <w:trPr>
          <w:trHeight w:val="269"/>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8760" w:type="dxa"/>
            <w:vAlign w:val="bottom"/>
            <w:gridSpan w:val="10"/>
          </w:tcPr>
          <w:p>
            <w:pPr>
              <w:spacing w:after="0"/>
              <w:rPr>
                <w:rFonts w:ascii="Arial" w:cs="Arial" w:eastAsia="Arial" w:hAnsi="Arial"/>
                <w:sz w:val="18"/>
                <w:szCs w:val="18"/>
                <w:color w:val="0000FF"/>
                <w:w w:val="95"/>
              </w:rPr>
            </w:pPr>
            <w:hyperlink w:anchor="page51">
              <w:r>
                <w:rPr>
                  <w:rFonts w:ascii="Arial" w:cs="Arial" w:eastAsia="Arial" w:hAnsi="Arial"/>
                  <w:sz w:val="18"/>
                  <w:szCs w:val="18"/>
                  <w:color w:val="0000FF"/>
                  <w:w w:val="95"/>
                </w:rPr>
                <w:t>Certification of our Principal Executive Officer adopted pursuant to Section 302 of the Sarbanes-Oxley Act of 2002.</w:t>
              </w:r>
            </w:hyperlink>
          </w:p>
        </w:tc>
      </w:tr>
      <w:tr>
        <w:trPr>
          <w:trHeight w:val="321"/>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81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Certification of our Principal Financial Officer adopted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620" w:type="dxa"/>
            <w:vAlign w:val="bottom"/>
            <w:gridSpan w:val="5"/>
          </w:tcPr>
          <w:p>
            <w:pPr>
              <w:spacing w:after="0"/>
              <w:rPr>
                <w:sz w:val="24"/>
                <w:szCs w:val="24"/>
                <w:color w:val="auto"/>
              </w:rPr>
            </w:pPr>
          </w:p>
        </w:tc>
      </w:tr>
      <w:tr>
        <w:trPr>
          <w:trHeight w:val="321"/>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8760" w:type="dxa"/>
            <w:vAlign w:val="bottom"/>
            <w:gridSpan w:val="10"/>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Certification of Principal Executive Officer pursuant to 18 U.S.C. Section 1350, as adopted pursuant to Section 906 of the</w:t>
              </w:r>
            </w:hyperlink>
          </w:p>
        </w:tc>
      </w:tr>
      <w:tr>
        <w:trPr>
          <w:trHeight w:val="164"/>
        </w:trPr>
        <w:tc>
          <w:tcPr>
            <w:tcW w:w="960" w:type="dxa"/>
            <w:vAlign w:val="bottom"/>
          </w:tcPr>
          <w:p>
            <w:pPr>
              <w:spacing w:after="0"/>
              <w:rPr>
                <w:sz w:val="14"/>
                <w:szCs w:val="14"/>
                <w:color w:val="auto"/>
              </w:rPr>
            </w:pPr>
          </w:p>
        </w:tc>
        <w:tc>
          <w:tcPr>
            <w:tcW w:w="8540" w:type="dxa"/>
            <w:vAlign w:val="bottom"/>
            <w:tcBorders>
              <w:top w:val="single" w:sz="8" w:color="0000FF"/>
            </w:tcBorders>
            <w:gridSpan w:val="8"/>
          </w:tcPr>
          <w:p>
            <w:pPr>
              <w:spacing w:after="0" w:line="163" w:lineRule="exact"/>
              <w:rPr>
                <w:rFonts w:ascii="Arial" w:cs="Arial" w:eastAsia="Arial" w:hAnsi="Arial"/>
                <w:sz w:val="18"/>
                <w:szCs w:val="18"/>
                <w:color w:val="0000FF"/>
              </w:rPr>
            </w:pPr>
            <w:hyperlink w:anchor="page53">
              <w:r>
                <w:rPr>
                  <w:rFonts w:ascii="Arial" w:cs="Arial" w:eastAsia="Arial" w:hAnsi="Arial"/>
                  <w:sz w:val="18"/>
                  <w:szCs w:val="18"/>
                  <w:color w:val="0000FF"/>
                </w:rPr>
                <w:t>Sarbanes-Oxley Act of 2002.</w:t>
              </w:r>
            </w:hyperlink>
          </w:p>
        </w:tc>
        <w:tc>
          <w:tcPr>
            <w:tcW w:w="220" w:type="dxa"/>
            <w:vAlign w:val="bottom"/>
            <w:gridSpan w:val="2"/>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46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321"/>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8760" w:type="dxa"/>
            <w:vAlign w:val="bottom"/>
            <w:gridSpan w:val="10"/>
          </w:tcPr>
          <w:p>
            <w:pPr>
              <w:spacing w:after="0"/>
              <w:rPr>
                <w:rFonts w:ascii="Arial" w:cs="Arial" w:eastAsia="Arial" w:hAnsi="Arial"/>
                <w:sz w:val="18"/>
                <w:szCs w:val="18"/>
                <w:color w:val="0000FF"/>
                <w:w w:val="91"/>
              </w:rPr>
            </w:pPr>
            <w:hyperlink w:anchor="page54">
              <w:r>
                <w:rPr>
                  <w:rFonts w:ascii="Arial" w:cs="Arial" w:eastAsia="Arial" w:hAnsi="Arial"/>
                  <w:sz w:val="18"/>
                  <w:szCs w:val="18"/>
                  <w:color w:val="0000FF"/>
                  <w:w w:val="91"/>
                </w:rPr>
                <w:t>Certification of Principal Financial Officer pursuant to 18 U.S.C. Section 1350, as adopted pursuant to Section 906 of the</w:t>
              </w:r>
            </w:hyperlink>
          </w:p>
        </w:tc>
      </w:tr>
      <w:tr>
        <w:trPr>
          <w:trHeight w:val="164"/>
        </w:trPr>
        <w:tc>
          <w:tcPr>
            <w:tcW w:w="960" w:type="dxa"/>
            <w:vAlign w:val="bottom"/>
          </w:tcPr>
          <w:p>
            <w:pPr>
              <w:spacing w:after="0"/>
              <w:rPr>
                <w:sz w:val="14"/>
                <w:szCs w:val="14"/>
                <w:color w:val="auto"/>
              </w:rPr>
            </w:pPr>
          </w:p>
        </w:tc>
        <w:tc>
          <w:tcPr>
            <w:tcW w:w="8500" w:type="dxa"/>
            <w:vAlign w:val="bottom"/>
            <w:tcBorders>
              <w:top w:val="single" w:sz="8" w:color="0000FF"/>
            </w:tcBorders>
            <w:gridSpan w:val="7"/>
          </w:tcPr>
          <w:p>
            <w:pPr>
              <w:spacing w:after="0" w:line="163" w:lineRule="exact"/>
              <w:rPr>
                <w:rFonts w:ascii="Arial" w:cs="Arial" w:eastAsia="Arial" w:hAnsi="Arial"/>
                <w:sz w:val="18"/>
                <w:szCs w:val="18"/>
                <w:color w:val="0000FF"/>
              </w:rPr>
            </w:pPr>
            <w:hyperlink w:anchor="page54">
              <w:r>
                <w:rPr>
                  <w:rFonts w:ascii="Arial" w:cs="Arial" w:eastAsia="Arial" w:hAnsi="Arial"/>
                  <w:sz w:val="18"/>
                  <w:szCs w:val="18"/>
                  <w:color w:val="0000FF"/>
                </w:rPr>
                <w:t>Sarbanes-Oxley Act of 2002.</w:t>
              </w:r>
            </w:hyperlink>
          </w:p>
        </w:tc>
        <w:tc>
          <w:tcPr>
            <w:tcW w:w="260" w:type="dxa"/>
            <w:vAlign w:val="bottom"/>
            <w:gridSpan w:val="3"/>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720" w:type="dxa"/>
            <w:vAlign w:val="bottom"/>
            <w:gridSpan w:val="9"/>
          </w:tcPr>
          <w:p>
            <w:pPr>
              <w:spacing w:after="0" w:line="20" w:lineRule="exact"/>
              <w:rPr>
                <w:sz w:val="1"/>
                <w:szCs w:val="1"/>
                <w:color w:val="auto"/>
              </w:rPr>
            </w:pPr>
          </w:p>
        </w:tc>
      </w:tr>
      <w:tr>
        <w:trPr>
          <w:trHeight w:val="322"/>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8760" w:type="dxa"/>
            <w:vAlign w:val="bottom"/>
            <w:gridSpan w:val="10"/>
          </w:tcPr>
          <w:p>
            <w:pPr>
              <w:spacing w:after="0"/>
              <w:rPr>
                <w:sz w:val="20"/>
                <w:szCs w:val="20"/>
                <w:color w:val="auto"/>
              </w:rPr>
            </w:pPr>
            <w:r>
              <w:rPr>
                <w:rFonts w:ascii="Arial" w:cs="Arial" w:eastAsia="Arial" w:hAnsi="Arial"/>
                <w:sz w:val="18"/>
                <w:szCs w:val="18"/>
                <w:color w:val="auto"/>
                <w:w w:val="88"/>
              </w:rPr>
              <w:t>Inline XBRL Instance Document - the instance document does not appear in the Interactive Data File because its XBRL tags</w:t>
            </w:r>
          </w:p>
        </w:tc>
      </w:tr>
      <w:tr>
        <w:trPr>
          <w:trHeight w:val="222"/>
        </w:trPr>
        <w:tc>
          <w:tcPr>
            <w:tcW w:w="960" w:type="dxa"/>
            <w:vAlign w:val="bottom"/>
          </w:tcPr>
          <w:p>
            <w:pPr>
              <w:spacing w:after="0"/>
              <w:rPr>
                <w:sz w:val="19"/>
                <w:szCs w:val="19"/>
                <w:color w:val="auto"/>
              </w:rPr>
            </w:pPr>
          </w:p>
        </w:tc>
        <w:tc>
          <w:tcPr>
            <w:tcW w:w="8760" w:type="dxa"/>
            <w:vAlign w:val="bottom"/>
            <w:gridSpan w:val="10"/>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341"/>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87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41"/>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87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41"/>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87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41"/>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87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41"/>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87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9"/>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876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54" w:lineRule="exact"/>
        <w:rPr>
          <w:sz w:val="20"/>
          <w:szCs w:val="20"/>
          <w:color w:val="auto"/>
        </w:rPr>
      </w:pPr>
    </w:p>
    <w:p>
      <w:pPr>
        <w:ind w:left="980" w:hanging="95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82" w:lineRule="exact"/>
        <w:rPr>
          <w:sz w:val="20"/>
          <w:szCs w:val="20"/>
          <w:color w:val="auto"/>
        </w:rPr>
      </w:pPr>
    </w:p>
    <w:p>
      <w:pPr>
        <w:ind w:left="980" w:hanging="95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869" w:right="1440" w:bottom="1440" w:gutter="0" w:footer="0" w:header="0"/>
          <w:type w:val="continuous"/>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7" w:lineRule="exact"/>
        <w:rPr>
          <w:sz w:val="20"/>
          <w:szCs w:val="20"/>
          <w:color w:val="auto"/>
        </w:rPr>
      </w:pPr>
    </w:p>
    <w:p>
      <w:pPr>
        <w:ind w:right="780" w:firstLine="433"/>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Date: August 5, 2021</w:t>
            </w:r>
          </w:p>
        </w:tc>
        <w:tc>
          <w:tcPr>
            <w:tcW w:w="3760" w:type="dxa"/>
            <w:vAlign w:val="bottom"/>
            <w:gridSpan w:val="2"/>
          </w:tcPr>
          <w:p>
            <w:pPr>
              <w:ind w:left="2540"/>
              <w:spacing w:after="0"/>
              <w:rPr>
                <w:sz w:val="20"/>
                <w:szCs w:val="20"/>
                <w:color w:val="auto"/>
              </w:rPr>
            </w:pPr>
            <w:r>
              <w:rPr>
                <w:rFonts w:ascii="Arial" w:cs="Arial" w:eastAsia="Arial" w:hAnsi="Arial"/>
                <w:sz w:val="18"/>
                <w:szCs w:val="18"/>
                <w:color w:val="auto"/>
              </w:rPr>
              <w:t>Inseego Corp.</w:t>
            </w:r>
          </w:p>
        </w:tc>
        <w:tc>
          <w:tcPr>
            <w:tcW w:w="3400" w:type="dxa"/>
            <w:vAlign w:val="bottom"/>
          </w:tcPr>
          <w:p>
            <w:pPr>
              <w:spacing w:after="0"/>
              <w:rPr>
                <w:sz w:val="19"/>
                <w:szCs w:val="19"/>
                <w:color w:val="auto"/>
              </w:rPr>
            </w:pPr>
          </w:p>
        </w:tc>
      </w:tr>
      <w:tr>
        <w:trPr>
          <w:trHeight w:val="276"/>
        </w:trPr>
        <w:tc>
          <w:tcPr>
            <w:tcW w:w="4020" w:type="dxa"/>
            <w:vAlign w:val="bottom"/>
          </w:tcPr>
          <w:p>
            <w:pPr>
              <w:spacing w:after="0"/>
              <w:rPr>
                <w:sz w:val="23"/>
                <w:szCs w:val="23"/>
                <w:color w:val="auto"/>
              </w:rPr>
            </w:pPr>
          </w:p>
        </w:tc>
        <w:tc>
          <w:tcPr>
            <w:tcW w:w="3760" w:type="dxa"/>
            <w:vAlign w:val="bottom"/>
            <w:gridSpan w:val="2"/>
          </w:tcPr>
          <w:p>
            <w:pPr>
              <w:ind w:left="2540"/>
              <w:spacing w:after="0"/>
              <w:rPr>
                <w:sz w:val="20"/>
                <w:szCs w:val="20"/>
                <w:color w:val="auto"/>
              </w:rPr>
            </w:pPr>
            <w:r>
              <w:rPr>
                <w:rFonts w:ascii="Arial" w:cs="Arial" w:eastAsia="Arial" w:hAnsi="Arial"/>
                <w:sz w:val="18"/>
                <w:szCs w:val="18"/>
                <w:color w:val="auto"/>
              </w:rPr>
              <w:t>By:</w:t>
            </w:r>
          </w:p>
        </w:tc>
        <w:tc>
          <w:tcPr>
            <w:tcW w:w="3400" w:type="dxa"/>
            <w:vAlign w:val="bottom"/>
          </w:tcPr>
          <w:p>
            <w:pPr>
              <w:jc w:val="center"/>
              <w:ind w:right="548"/>
              <w:spacing w:after="0"/>
              <w:rPr>
                <w:sz w:val="20"/>
                <w:szCs w:val="20"/>
                <w:color w:val="auto"/>
              </w:rPr>
            </w:pPr>
            <w:r>
              <w:rPr>
                <w:rFonts w:ascii="Arial" w:cs="Arial" w:eastAsia="Arial" w:hAnsi="Arial"/>
                <w:sz w:val="16"/>
                <w:szCs w:val="16"/>
                <w:color w:val="auto"/>
              </w:rPr>
              <w:t>/s/  DAN MONDOR</w:t>
            </w:r>
          </w:p>
        </w:tc>
      </w:tr>
      <w:tr>
        <w:trPr>
          <w:trHeight w:val="168"/>
        </w:trPr>
        <w:tc>
          <w:tcPr>
            <w:tcW w:w="40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400" w:type="dxa"/>
            <w:vAlign w:val="bottom"/>
            <w:tcBorders>
              <w:top w:val="single" w:sz="8" w:color="auto"/>
            </w:tcBorders>
          </w:tcPr>
          <w:p>
            <w:pPr>
              <w:jc w:val="center"/>
              <w:ind w:right="548"/>
              <w:spacing w:after="0"/>
              <w:rPr>
                <w:sz w:val="20"/>
                <w:szCs w:val="20"/>
                <w:color w:val="auto"/>
              </w:rPr>
            </w:pPr>
            <w:r>
              <w:rPr>
                <w:rFonts w:ascii="Arial" w:cs="Arial" w:eastAsia="Arial" w:hAnsi="Arial"/>
                <w:sz w:val="14"/>
                <w:szCs w:val="14"/>
                <w:b w:val="1"/>
                <w:bCs w:val="1"/>
                <w:color w:val="auto"/>
                <w:w w:val="95"/>
              </w:rPr>
              <w:t>Dan Mondor</w:t>
            </w:r>
          </w:p>
        </w:tc>
      </w:tr>
      <w:tr>
        <w:trPr>
          <w:trHeight w:val="183"/>
        </w:trPr>
        <w:tc>
          <w:tcPr>
            <w:tcW w:w="40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0" w:type="dxa"/>
            <w:vAlign w:val="bottom"/>
          </w:tcPr>
          <w:p>
            <w:pPr>
              <w:jc w:val="center"/>
              <w:ind w:right="528"/>
              <w:spacing w:after="0"/>
              <w:rPr>
                <w:sz w:val="20"/>
                <w:szCs w:val="20"/>
                <w:color w:val="auto"/>
              </w:rPr>
            </w:pPr>
            <w:r>
              <w:rPr>
                <w:rFonts w:ascii="Arial" w:cs="Arial" w:eastAsia="Arial" w:hAnsi="Arial"/>
                <w:sz w:val="14"/>
                <w:szCs w:val="14"/>
                <w:b w:val="1"/>
                <w:bCs w:val="1"/>
                <w:color w:val="auto"/>
                <w:w w:val="91"/>
              </w:rPr>
              <w:t>Chief Executive Officer</w:t>
            </w:r>
          </w:p>
        </w:tc>
      </w:tr>
      <w:tr>
        <w:trPr>
          <w:trHeight w:val="614"/>
        </w:trPr>
        <w:tc>
          <w:tcPr>
            <w:tcW w:w="4020" w:type="dxa"/>
            <w:vAlign w:val="bottom"/>
          </w:tcPr>
          <w:p>
            <w:pPr>
              <w:spacing w:after="0"/>
              <w:rPr>
                <w:sz w:val="24"/>
                <w:szCs w:val="24"/>
                <w:color w:val="auto"/>
              </w:rPr>
            </w:pPr>
          </w:p>
        </w:tc>
        <w:tc>
          <w:tcPr>
            <w:tcW w:w="3760" w:type="dxa"/>
            <w:vAlign w:val="bottom"/>
            <w:gridSpan w:val="2"/>
          </w:tcPr>
          <w:p>
            <w:pPr>
              <w:ind w:left="2540"/>
              <w:spacing w:after="0"/>
              <w:rPr>
                <w:sz w:val="20"/>
                <w:szCs w:val="20"/>
                <w:color w:val="auto"/>
              </w:rPr>
            </w:pPr>
            <w:r>
              <w:rPr>
                <w:rFonts w:ascii="Arial" w:cs="Arial" w:eastAsia="Arial" w:hAnsi="Arial"/>
                <w:sz w:val="18"/>
                <w:szCs w:val="18"/>
                <w:color w:val="auto"/>
              </w:rPr>
              <w:t>By:</w:t>
            </w:r>
          </w:p>
        </w:tc>
        <w:tc>
          <w:tcPr>
            <w:tcW w:w="3400" w:type="dxa"/>
            <w:vAlign w:val="bottom"/>
          </w:tcPr>
          <w:p>
            <w:pPr>
              <w:jc w:val="center"/>
              <w:ind w:right="528"/>
              <w:spacing w:after="0"/>
              <w:rPr>
                <w:sz w:val="20"/>
                <w:szCs w:val="20"/>
                <w:color w:val="auto"/>
              </w:rPr>
            </w:pPr>
            <w:r>
              <w:rPr>
                <w:rFonts w:ascii="Arial" w:cs="Arial" w:eastAsia="Arial" w:hAnsi="Arial"/>
                <w:sz w:val="16"/>
                <w:szCs w:val="16"/>
                <w:color w:val="auto"/>
              </w:rPr>
              <w:t>/s/  WEI DING</w:t>
            </w:r>
          </w:p>
        </w:tc>
      </w:tr>
      <w:tr>
        <w:trPr>
          <w:trHeight w:val="168"/>
        </w:trPr>
        <w:tc>
          <w:tcPr>
            <w:tcW w:w="40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400" w:type="dxa"/>
            <w:vAlign w:val="bottom"/>
            <w:tcBorders>
              <w:top w:val="single" w:sz="8" w:color="auto"/>
            </w:tcBorders>
          </w:tcPr>
          <w:p>
            <w:pPr>
              <w:jc w:val="center"/>
              <w:ind w:right="528"/>
              <w:spacing w:after="0"/>
              <w:rPr>
                <w:sz w:val="20"/>
                <w:szCs w:val="20"/>
                <w:color w:val="auto"/>
              </w:rPr>
            </w:pPr>
            <w:r>
              <w:rPr>
                <w:rFonts w:ascii="Arial" w:cs="Arial" w:eastAsia="Arial" w:hAnsi="Arial"/>
                <w:sz w:val="14"/>
                <w:szCs w:val="14"/>
                <w:b w:val="1"/>
                <w:bCs w:val="1"/>
                <w:color w:val="auto"/>
                <w:w w:val="93"/>
              </w:rPr>
              <w:t>Wei Ding</w:t>
            </w:r>
          </w:p>
        </w:tc>
      </w:tr>
      <w:tr>
        <w:trPr>
          <w:trHeight w:val="141"/>
        </w:trPr>
        <w:tc>
          <w:tcPr>
            <w:tcW w:w="40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0" w:type="dxa"/>
            <w:vAlign w:val="bottom"/>
          </w:tcPr>
          <w:p>
            <w:pPr>
              <w:jc w:val="center"/>
              <w:ind w:right="528"/>
              <w:spacing w:after="0" w:line="141" w:lineRule="exact"/>
              <w:rPr>
                <w:sz w:val="20"/>
                <w:szCs w:val="20"/>
                <w:color w:val="auto"/>
              </w:rPr>
            </w:pPr>
            <w:r>
              <w:rPr>
                <w:rFonts w:ascii="Arial" w:cs="Arial" w:eastAsia="Arial" w:hAnsi="Arial"/>
                <w:sz w:val="14"/>
                <w:szCs w:val="14"/>
                <w:b w:val="1"/>
                <w:bCs w:val="1"/>
                <w:color w:val="auto"/>
                <w:w w:val="92"/>
              </w:rPr>
              <w:t>Vice President &amp; Corporate Controller</w:t>
            </w:r>
          </w:p>
        </w:tc>
      </w:tr>
      <w:tr>
        <w:trPr>
          <w:trHeight w:val="183"/>
        </w:trPr>
        <w:tc>
          <w:tcPr>
            <w:tcW w:w="40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0" w:type="dxa"/>
            <w:vAlign w:val="bottom"/>
          </w:tcPr>
          <w:p>
            <w:pPr>
              <w:jc w:val="center"/>
              <w:ind w:right="548"/>
              <w:spacing w:after="0"/>
              <w:rPr>
                <w:sz w:val="20"/>
                <w:szCs w:val="20"/>
                <w:color w:val="auto"/>
              </w:rPr>
            </w:pPr>
            <w:r>
              <w:rPr>
                <w:rFonts w:ascii="Arial" w:cs="Arial" w:eastAsia="Arial" w:hAnsi="Arial"/>
                <w:sz w:val="14"/>
                <w:szCs w:val="14"/>
                <w:b w:val="1"/>
                <w:bCs w:val="1"/>
                <w:color w:val="auto"/>
                <w:w w:val="93"/>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869" w:right="379" w:bottom="1440" w:gutter="0" w:footer="0" w:header="0"/>
        </w:sectPr>
      </w:pPr>
    </w:p>
    <w:bookmarkStart w:id="40" w:name="page41"/>
    <w:bookmarkEnd w:id="40"/>
    <w:p>
      <w:pPr>
        <w:ind w:left="220"/>
        <w:spacing w:after="0"/>
        <w:rPr>
          <w:sz w:val="20"/>
          <w:szCs w:val="20"/>
          <w:color w:val="auto"/>
        </w:rPr>
      </w:pPr>
      <w:r>
        <w:rPr>
          <w:rFonts w:ascii="Arial" w:cs="Arial" w:eastAsia="Arial" w:hAnsi="Arial"/>
          <w:sz w:val="21"/>
          <w:szCs w:val="21"/>
          <w:b w:val="1"/>
          <w:bCs w:val="1"/>
          <w:color w:val="auto"/>
        </w:rPr>
        <w:t>INDEPENDENT CONTRACTOR SERVICES AGREEMENT</w:t>
      </w:r>
    </w:p>
    <w:p>
      <w:pPr>
        <w:spacing w:after="0" w:line="250" w:lineRule="exact"/>
        <w:rPr>
          <w:sz w:val="20"/>
          <w:szCs w:val="20"/>
          <w:color w:val="auto"/>
        </w:rPr>
      </w:pPr>
    </w:p>
    <w:p>
      <w:pPr>
        <w:jc w:val="both"/>
        <w:ind w:firstLine="249"/>
        <w:spacing w:after="0" w:line="260" w:lineRule="auto"/>
        <w:rPr>
          <w:sz w:val="20"/>
          <w:szCs w:val="20"/>
          <w:color w:val="auto"/>
        </w:rPr>
      </w:pPr>
      <w:r>
        <w:rPr>
          <w:rFonts w:ascii="Arial" w:cs="Arial" w:eastAsia="Arial" w:hAnsi="Arial"/>
          <w:sz w:val="21"/>
          <w:szCs w:val="21"/>
          <w:color w:val="auto"/>
        </w:rPr>
        <w:t>This Independent Contractor Services Agreement (this “Agreement”) is entered into effective as of April 5, 2021 (the “Effective Date”) by and between Inseego Wireless, Inc., a Delaware corporation and its successors or assignees (“Inseego”) and TechCXO, LLC, a Georgia limited liability company (the “Contractor”).</w:t>
      </w:r>
    </w:p>
    <w:p>
      <w:pPr>
        <w:spacing w:after="0" w:line="194" w:lineRule="exact"/>
        <w:rPr>
          <w:sz w:val="20"/>
          <w:szCs w:val="20"/>
          <w:color w:val="auto"/>
        </w:rPr>
      </w:pPr>
    </w:p>
    <w:p>
      <w:pPr>
        <w:jc w:val="both"/>
        <w:ind w:firstLine="5"/>
        <w:spacing w:after="0" w:line="264" w:lineRule="auto"/>
        <w:tabs>
          <w:tab w:leader="none" w:pos="630" w:val="left"/>
        </w:tabs>
        <w:numPr>
          <w:ilvl w:val="0"/>
          <w:numId w:val="9"/>
        </w:numPr>
        <w:rPr>
          <w:rFonts w:ascii="Arial" w:cs="Arial" w:eastAsia="Arial" w:hAnsi="Arial"/>
          <w:sz w:val="18"/>
          <w:szCs w:val="18"/>
          <w:b w:val="1"/>
          <w:bCs w:val="1"/>
          <w:color w:val="auto"/>
        </w:rPr>
      </w:pPr>
      <w:r>
        <w:rPr>
          <w:rFonts w:ascii="Arial" w:cs="Arial" w:eastAsia="Arial" w:hAnsi="Arial"/>
          <w:sz w:val="20"/>
          <w:szCs w:val="20"/>
          <w:b w:val="1"/>
          <w:bCs w:val="1"/>
          <w:color w:val="auto"/>
        </w:rPr>
        <w:t xml:space="preserve">Engagement of Services. </w:t>
      </w:r>
      <w:r>
        <w:rPr>
          <w:rFonts w:ascii="Arial" w:cs="Arial" w:eastAsia="Arial" w:hAnsi="Arial"/>
          <w:sz w:val="20"/>
          <w:szCs w:val="20"/>
          <w:color w:val="auto"/>
        </w:rPr>
        <w:t>Inseego may from time-to-time issue statements of work or Statement of Works (“Statement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Work(s)”) in the form attached to this Agreement as </w:t>
      </w:r>
      <w:r>
        <w:rPr>
          <w:rFonts w:ascii="Arial" w:cs="Arial" w:eastAsia="Arial" w:hAnsi="Arial"/>
          <w:sz w:val="20"/>
          <w:szCs w:val="20"/>
          <w:b w:val="1"/>
          <w:bCs w:val="1"/>
          <w:color w:val="auto"/>
        </w:rPr>
        <w:t>Exhibit A</w:t>
      </w:r>
      <w:r>
        <w:rPr>
          <w:rFonts w:ascii="Arial" w:cs="Arial" w:eastAsia="Arial" w:hAnsi="Arial"/>
          <w:sz w:val="20"/>
          <w:szCs w:val="20"/>
          <w:color w:val="auto"/>
        </w:rPr>
        <w:t>. Subject to the terms of this Agreement, Contractor will, to the best of its ability, render the services set forth in Statement of Work(s) accepted by Contractor (the “Project(s)”) by the completion dates set forth therein. The manner and means by which Contractor chooses to complete the Projects are in Contractor's sole discretion and control. Contractor agrees to exercise the highest degree of professionalism, and to utilize its expertise and creative talents in completing such Projects. In completing the Projects, Contractor agrees to provide its own equipment, tools and other materials at its own expense. Inseego will make its facilities and equipment available to Contractor when necessary. Contractor shall perform the services necessary to complete the Projects in a timely and professional manner consistent with industry standards, and at a location, place and time which the Contractor deems appropriate. Contractor may not subcontract or otherwise delegate its obligations under this Agreement without Inseego's prior written consent. If Contractor is not a natural person, then before any Contractor employee or consultant performs services in connection with this Agreement, the employee or consultant and Contractor must have entered into a written agreement expressly for the benefit of Inseego and containing provisions substantially equivalent to this section and to Section 4 below.</w:t>
      </w:r>
    </w:p>
    <w:p>
      <w:pPr>
        <w:spacing w:after="0" w:line="124" w:lineRule="exact"/>
        <w:rPr>
          <w:rFonts w:ascii="Arial" w:cs="Arial" w:eastAsia="Arial" w:hAnsi="Arial"/>
          <w:sz w:val="18"/>
          <w:szCs w:val="18"/>
          <w:b w:val="1"/>
          <w:bCs w:val="1"/>
          <w:color w:val="auto"/>
        </w:rPr>
      </w:pPr>
    </w:p>
    <w:p>
      <w:pPr>
        <w:jc w:val="both"/>
        <w:ind w:firstLine="5"/>
        <w:spacing w:after="0" w:line="254" w:lineRule="auto"/>
        <w:tabs>
          <w:tab w:leader="none" w:pos="630" w:val="left"/>
        </w:tabs>
        <w:numPr>
          <w:ilvl w:val="0"/>
          <w:numId w:val="9"/>
        </w:numPr>
        <w:rPr>
          <w:rFonts w:ascii="Arial" w:cs="Arial" w:eastAsia="Arial" w:hAnsi="Arial"/>
          <w:sz w:val="19"/>
          <w:szCs w:val="19"/>
          <w:b w:val="1"/>
          <w:bCs w:val="1"/>
          <w:color w:val="auto"/>
        </w:rPr>
      </w:pPr>
      <w:r>
        <w:rPr>
          <w:rFonts w:ascii="Arial" w:cs="Arial" w:eastAsia="Arial" w:hAnsi="Arial"/>
          <w:sz w:val="21"/>
          <w:szCs w:val="21"/>
          <w:b w:val="1"/>
          <w:bCs w:val="1"/>
          <w:color w:val="auto"/>
        </w:rPr>
        <w:t xml:space="preserve">Compensation. </w:t>
      </w:r>
      <w:r>
        <w:rPr>
          <w:rFonts w:ascii="Arial" w:cs="Arial" w:eastAsia="Arial" w:hAnsi="Arial"/>
          <w:sz w:val="21"/>
          <w:szCs w:val="21"/>
          <w:color w:val="auto"/>
        </w:rPr>
        <w:t>Inseego will pay Contractor a fee for services rendered under this Agreement as set forth in the Statement of</w:t>
      </w:r>
      <w:r>
        <w:rPr>
          <w:rFonts w:ascii="Arial" w:cs="Arial" w:eastAsia="Arial" w:hAnsi="Arial"/>
          <w:sz w:val="21"/>
          <w:szCs w:val="21"/>
          <w:b w:val="1"/>
          <w:bCs w:val="1"/>
          <w:color w:val="auto"/>
        </w:rPr>
        <w:t xml:space="preserve"> </w:t>
      </w:r>
      <w:r>
        <w:rPr>
          <w:rFonts w:ascii="Arial" w:cs="Arial" w:eastAsia="Arial" w:hAnsi="Arial"/>
          <w:sz w:val="21"/>
          <w:szCs w:val="21"/>
          <w:color w:val="auto"/>
        </w:rPr>
        <w:t>Work(s) undertaken by Contractor. Upon termination of this Agreement for any reason, Contractor will be paid fees on a proportional basis as stated in the Statement of Work(s) for work which is then in progress, to and including the effective date of such termination. Unless other terms are set forth in the Statement of Work(s) for work which is in progress, Inseego will pay the Contractor for services and will reimburse the Contractor for previously approved expenses within thirty (30) days of the date of Contractor's invoice.</w:t>
      </w:r>
    </w:p>
    <w:p>
      <w:pPr>
        <w:spacing w:after="0" w:line="147" w:lineRule="exact"/>
        <w:rPr>
          <w:rFonts w:ascii="Arial" w:cs="Arial" w:eastAsia="Arial" w:hAnsi="Arial"/>
          <w:sz w:val="19"/>
          <w:szCs w:val="19"/>
          <w:b w:val="1"/>
          <w:bCs w:val="1"/>
          <w:color w:val="auto"/>
        </w:rPr>
      </w:pPr>
    </w:p>
    <w:p>
      <w:pPr>
        <w:jc w:val="both"/>
        <w:ind w:firstLine="5"/>
        <w:spacing w:after="0" w:line="281" w:lineRule="auto"/>
        <w:tabs>
          <w:tab w:leader="none" w:pos="630" w:val="left"/>
        </w:tabs>
        <w:numPr>
          <w:ilvl w:val="0"/>
          <w:numId w:val="9"/>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Independent Contractor Relationship. </w:t>
      </w:r>
      <w:r>
        <w:rPr>
          <w:rFonts w:ascii="Arial" w:cs="Arial" w:eastAsia="Arial" w:hAnsi="Arial"/>
          <w:sz w:val="19"/>
          <w:szCs w:val="19"/>
          <w:color w:val="auto"/>
        </w:rPr>
        <w:t>Contractor's relationship with Inseego will be that of an independent contractor and</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in this Agreement should be construed to create a partnership, joint venture, or employer-employee relationship. Contractor is not the agent of Inseego and is not authorized to make any representation, contract, or commitment on behalf of Inseego. Contractor will not be entitled to any of the benefits which Inseego may make available to its employees, such as group insurance, profit-sharing or retirement benefits. Contractor will be solely responsible for all tax returns and payments required to be filed with or made to any federal, state or local tax authority with respect to Contractor's performance of services and receipt of fees under this Agreement. Inseego will regularly report amounts paid to Contractor by filing Form 1099-MISC with the Internal Revenue Service as required by law: Because Contractor is an independent contractor, Inseego will not withhold or make payments for social security; make unemployment insurance or disability insurance contributions; or obtain worker's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86" w:right="339" w:bottom="1440" w:gutter="0" w:footer="0" w:header="0"/>
        </w:sectPr>
      </w:pPr>
    </w:p>
    <w:bookmarkStart w:id="41" w:name="page42"/>
    <w:bookmarkEnd w:id="41"/>
    <w:p>
      <w:pPr>
        <w:jc w:val="both"/>
        <w:spacing w:after="0" w:line="253" w:lineRule="auto"/>
        <w:rPr>
          <w:sz w:val="20"/>
          <w:szCs w:val="20"/>
          <w:color w:val="auto"/>
        </w:rPr>
      </w:pPr>
      <w:r>
        <w:rPr>
          <w:rFonts w:ascii="Arial" w:cs="Arial" w:eastAsia="Arial" w:hAnsi="Arial"/>
          <w:sz w:val="21"/>
          <w:szCs w:val="21"/>
          <w:color w:val="auto"/>
        </w:rPr>
        <w:t>compensation insurance on Contractor's behalf. Contractor agrees to accept exclusive liability for complying with all applicable state and federal laws governing self-employed individuals, including obligations such as payment of taxes, social security, disability and other contributions based on fees paid to Contractor, its agents or employees under this Agreement. Contractor hereby agrees to indemnify and defend Inseego against any and all such taxes or contributions, including penalties and interest. Contractor is free to enter any contract to provide services to other business entities, except any contract which would induce Contractor to violate this Agreement.</w:t>
      </w:r>
    </w:p>
    <w:p>
      <w:pPr>
        <w:spacing w:after="0" w:line="134" w:lineRule="exact"/>
        <w:rPr>
          <w:sz w:val="20"/>
          <w:szCs w:val="20"/>
          <w:color w:val="auto"/>
        </w:rPr>
      </w:pPr>
    </w:p>
    <w:p>
      <w:pPr>
        <w:ind w:left="640" w:hanging="635"/>
        <w:spacing w:after="0"/>
        <w:tabs>
          <w:tab w:leader="none" w:pos="640" w:val="left"/>
        </w:tabs>
        <w:numPr>
          <w:ilvl w:val="0"/>
          <w:numId w:val="10"/>
        </w:numPr>
        <w:rPr>
          <w:rFonts w:ascii="Arial" w:cs="Arial" w:eastAsia="Arial" w:hAnsi="Arial"/>
          <w:sz w:val="19"/>
          <w:szCs w:val="19"/>
          <w:b w:val="1"/>
          <w:bCs w:val="1"/>
          <w:color w:val="auto"/>
        </w:rPr>
      </w:pPr>
      <w:r>
        <w:rPr>
          <w:rFonts w:ascii="Arial" w:cs="Arial" w:eastAsia="Arial" w:hAnsi="Arial"/>
          <w:sz w:val="21"/>
          <w:szCs w:val="21"/>
          <w:b w:val="1"/>
          <w:bCs w:val="1"/>
          <w:color w:val="auto"/>
        </w:rPr>
        <w:t>Trade Secrets - Intellectual Property Rights.</w:t>
      </w:r>
    </w:p>
    <w:p>
      <w:pPr>
        <w:spacing w:after="0" w:line="192"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20"/>
          <w:szCs w:val="20"/>
          <w:b w:val="1"/>
          <w:bCs w:val="1"/>
          <w:color w:val="auto"/>
        </w:rPr>
        <w:t>Proprietary Information.</w:t>
      </w:r>
      <w:r>
        <w:rPr>
          <w:rFonts w:ascii="Arial" w:cs="Arial" w:eastAsia="Arial" w:hAnsi="Arial"/>
          <w:sz w:val="18"/>
          <w:szCs w:val="18"/>
          <w:b w:val="1"/>
          <w:bCs w:val="1"/>
          <w:color w:val="auto"/>
        </w:rPr>
        <w:t xml:space="preserve"> </w:t>
      </w:r>
      <w:r>
        <w:rPr>
          <w:rFonts w:ascii="Arial" w:cs="Arial" w:eastAsia="Arial" w:hAnsi="Arial"/>
          <w:sz w:val="20"/>
          <w:szCs w:val="20"/>
          <w:color w:val="auto"/>
        </w:rPr>
        <w:t>Contractor agrees during the term of this Agreement and thereafter that it will take all</w:t>
      </w:r>
      <w:r>
        <w:rPr>
          <w:rFonts w:ascii="Arial" w:cs="Arial" w:eastAsia="Arial" w:hAnsi="Arial"/>
          <w:sz w:val="18"/>
          <w:szCs w:val="18"/>
          <w:b w:val="1"/>
          <w:bCs w:val="1"/>
          <w:color w:val="auto"/>
        </w:rPr>
        <w:t xml:space="preserve"> </w:t>
      </w:r>
      <w:r>
        <w:rPr>
          <w:rFonts w:ascii="Arial" w:cs="Arial" w:eastAsia="Arial" w:hAnsi="Arial"/>
          <w:sz w:val="20"/>
          <w:szCs w:val="20"/>
          <w:color w:val="auto"/>
        </w:rPr>
        <w:t>steps reasonably necessary to hold Inseego's Proprietary Information in trust and confidence, will not use Proprietary Information in any manner or for any purpose not expressly set forth in this Agreement, and will not disclose any such Proprietary Information to any third party without first obtaining Inseego's express written consent on a case-by-case basis. By way of illustration but not limitation “</w:t>
      </w:r>
      <w:r>
        <w:rPr>
          <w:rFonts w:ascii="Arial" w:cs="Arial" w:eastAsia="Arial" w:hAnsi="Arial"/>
          <w:sz w:val="20"/>
          <w:szCs w:val="20"/>
          <w:b w:val="1"/>
          <w:bCs w:val="1"/>
          <w:color w:val="auto"/>
        </w:rPr>
        <w:t>Proprietary Information</w:t>
      </w:r>
      <w:r>
        <w:rPr>
          <w:rFonts w:ascii="Arial" w:cs="Arial" w:eastAsia="Arial" w:hAnsi="Arial"/>
          <w:sz w:val="20"/>
          <w:szCs w:val="20"/>
          <w:color w:val="auto"/>
        </w:rPr>
        <w:t>” includes (a) trade secrets, inventions, mask works, ideas, processes, formulas, source and object codes, data, programs, other works of authorship, know-how, improvements, discoveries, developments, designs and techniques (hereinafter collectively referred to as “</w:t>
      </w:r>
      <w:r>
        <w:rPr>
          <w:rFonts w:ascii="Arial" w:cs="Arial" w:eastAsia="Arial" w:hAnsi="Arial"/>
          <w:sz w:val="20"/>
          <w:szCs w:val="20"/>
          <w:b w:val="1"/>
          <w:bCs w:val="1"/>
          <w:color w:val="auto"/>
        </w:rPr>
        <w:t>Inventions</w:t>
      </w:r>
      <w:r>
        <w:rPr>
          <w:rFonts w:ascii="Arial" w:cs="Arial" w:eastAsia="Arial" w:hAnsi="Arial"/>
          <w:sz w:val="20"/>
          <w:szCs w:val="20"/>
          <w:color w:val="auto"/>
        </w:rPr>
        <w:t>”); and (b) information regarding plans for research, development, new products, marketing and selling, business plans, budgets and unpublished financial statements, licenses, prices and costs, suppliers and customers; and (c) information regarding the skills and compensation of employees of Inseego. Notwithstanding the other provisions of this Agreement, nothing received by Contractor will be considered to be Inseego Proprietary Information if (1) it has been published or is otherwise readily available to the public other than by a breach of this Agreement; (2) it has been rightfully received by Contractor from a third party without confidential limitations; (3) it has been independently developed for Contractor by personnel or agents having no access to the Inseego Proprietary Information; or (4) it was known to Contractor prior to its first receipt from Inseego.</w:t>
      </w:r>
    </w:p>
    <w:p>
      <w:pPr>
        <w:spacing w:after="0" w:line="135"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21"/>
          <w:szCs w:val="21"/>
          <w:b w:val="1"/>
          <w:bCs w:val="1"/>
          <w:color w:val="auto"/>
        </w:rPr>
        <w:t>Third Party Information.</w:t>
      </w:r>
      <w:r>
        <w:rPr>
          <w:rFonts w:ascii="Arial" w:cs="Arial" w:eastAsia="Arial" w:hAnsi="Arial"/>
          <w:sz w:val="19"/>
          <w:szCs w:val="19"/>
          <w:b w:val="1"/>
          <w:bCs w:val="1"/>
          <w:color w:val="auto"/>
        </w:rPr>
        <w:t xml:space="preserve"> </w:t>
      </w:r>
      <w:r>
        <w:rPr>
          <w:rFonts w:ascii="Arial" w:cs="Arial" w:eastAsia="Arial" w:hAnsi="Arial"/>
          <w:sz w:val="21"/>
          <w:szCs w:val="21"/>
          <w:color w:val="auto"/>
        </w:rPr>
        <w:t>Contractor understands that Inseego has received and will in the future receive from third</w:t>
      </w:r>
      <w:r>
        <w:rPr>
          <w:rFonts w:ascii="Arial" w:cs="Arial" w:eastAsia="Arial" w:hAnsi="Arial"/>
          <w:sz w:val="19"/>
          <w:szCs w:val="19"/>
          <w:b w:val="1"/>
          <w:bCs w:val="1"/>
          <w:color w:val="auto"/>
        </w:rPr>
        <w:t xml:space="preserve"> </w:t>
      </w:r>
      <w:r>
        <w:rPr>
          <w:rFonts w:ascii="Arial" w:cs="Arial" w:eastAsia="Arial" w:hAnsi="Arial"/>
          <w:sz w:val="21"/>
          <w:szCs w:val="21"/>
          <w:color w:val="auto"/>
        </w:rPr>
        <w:t>parties confidential or proprietary information (“</w:t>
      </w:r>
      <w:r>
        <w:rPr>
          <w:rFonts w:ascii="Arial" w:cs="Arial" w:eastAsia="Arial" w:hAnsi="Arial"/>
          <w:sz w:val="21"/>
          <w:szCs w:val="21"/>
          <w:b w:val="1"/>
          <w:bCs w:val="1"/>
          <w:color w:val="auto"/>
        </w:rPr>
        <w:t>Third Party Information</w:t>
      </w:r>
      <w:r>
        <w:rPr>
          <w:rFonts w:ascii="Arial" w:cs="Arial" w:eastAsia="Arial" w:hAnsi="Arial"/>
          <w:sz w:val="21"/>
          <w:szCs w:val="21"/>
          <w:color w:val="auto"/>
        </w:rPr>
        <w:t>”) subject to a duty on Inseego's part to maintain the confidentiality of such information and use it only for certain limited purposes. Contractor agrees to hold Third Party Information in confidence and not to disclose to anyone (other than Inseego personnel who need to know such information in connection with their work for Inseego) or to use, except in connection with Contractor's work for Inseego, Third Party Information unless expressly authorized in writing by an officer of Inseego.</w:t>
      </w:r>
    </w:p>
    <w:p>
      <w:pPr>
        <w:spacing w:after="0" w:line="134" w:lineRule="exact"/>
        <w:rPr>
          <w:sz w:val="20"/>
          <w:szCs w:val="20"/>
          <w:color w:val="auto"/>
        </w:rPr>
      </w:pPr>
    </w:p>
    <w:p>
      <w:pPr>
        <w:jc w:val="both"/>
        <w:ind w:firstLine="630"/>
        <w:spacing w:after="0" w:line="258"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21"/>
          <w:szCs w:val="21"/>
          <w:b w:val="1"/>
          <w:bCs w:val="1"/>
          <w:color w:val="auto"/>
        </w:rPr>
        <w:t>No Conflict of Interest; Inseego System.</w:t>
      </w:r>
      <w:r>
        <w:rPr>
          <w:rFonts w:ascii="Arial" w:cs="Arial" w:eastAsia="Arial" w:hAnsi="Arial"/>
          <w:sz w:val="19"/>
          <w:szCs w:val="19"/>
          <w:b w:val="1"/>
          <w:bCs w:val="1"/>
          <w:color w:val="auto"/>
        </w:rPr>
        <w:t xml:space="preserve"> </w:t>
      </w:r>
      <w:r>
        <w:rPr>
          <w:rFonts w:ascii="Arial" w:cs="Arial" w:eastAsia="Arial" w:hAnsi="Arial"/>
          <w:sz w:val="21"/>
          <w:szCs w:val="21"/>
          <w:color w:val="auto"/>
        </w:rPr>
        <w:t>Contractor agrees during the term of this Agreement not to accept work or</w:t>
      </w:r>
      <w:r>
        <w:rPr>
          <w:rFonts w:ascii="Arial" w:cs="Arial" w:eastAsia="Arial" w:hAnsi="Arial"/>
          <w:sz w:val="19"/>
          <w:szCs w:val="19"/>
          <w:b w:val="1"/>
          <w:bCs w:val="1"/>
          <w:color w:val="auto"/>
        </w:rPr>
        <w:t xml:space="preserve"> </w:t>
      </w:r>
      <w:r>
        <w:rPr>
          <w:rFonts w:ascii="Arial" w:cs="Arial" w:eastAsia="Arial" w:hAnsi="Arial"/>
          <w:sz w:val="21"/>
          <w:szCs w:val="21"/>
          <w:color w:val="auto"/>
        </w:rPr>
        <w:t>enter into a contract or accept an obligation, inconsistent or incompatible with Contractor's obligations under this Agreement or the scope of services rendered for Inseego. Contractor warrants that to the best of its knowledge, there is no other existing contract or duty on Contractor's part inconsistent with this Agreement. 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392" w:right="339" w:bottom="1440" w:gutter="0" w:footer="0" w:header="0"/>
        </w:sectPr>
      </w:pPr>
    </w:p>
    <w:bookmarkStart w:id="42" w:name="page43"/>
    <w:bookmarkEnd w:id="42"/>
    <w:p>
      <w:pPr>
        <w:jc w:val="both"/>
        <w:spacing w:after="0" w:line="273" w:lineRule="auto"/>
        <w:rPr>
          <w:sz w:val="20"/>
          <w:szCs w:val="20"/>
          <w:color w:val="auto"/>
        </w:rPr>
      </w:pPr>
      <w:r>
        <w:rPr>
          <w:rFonts w:ascii="Arial" w:cs="Arial" w:eastAsia="Arial" w:hAnsi="Arial"/>
          <w:sz w:val="21"/>
          <w:szCs w:val="21"/>
          <w:color w:val="auto"/>
        </w:rPr>
        <w:t>further agrees not to disclose to Inseego, or bring onto Inseego's premises, or induce Inseego to use any confidential information that belongs to anyone other than Inseego or Contractor.</w:t>
      </w:r>
    </w:p>
    <w:p>
      <w:pPr>
        <w:spacing w:after="0" w:line="114" w:lineRule="exact"/>
        <w:rPr>
          <w:sz w:val="20"/>
          <w:szCs w:val="20"/>
          <w:color w:val="auto"/>
        </w:rPr>
      </w:pPr>
    </w:p>
    <w:p>
      <w:pPr>
        <w:jc w:val="both"/>
        <w:ind w:firstLine="630"/>
        <w:spacing w:after="0" w:line="253" w:lineRule="auto"/>
        <w:rPr>
          <w:sz w:val="20"/>
          <w:szCs w:val="20"/>
          <w:color w:val="auto"/>
        </w:rPr>
      </w:pPr>
      <w:r>
        <w:rPr>
          <w:rFonts w:ascii="Arial" w:cs="Arial" w:eastAsia="Arial" w:hAnsi="Arial"/>
          <w:sz w:val="19"/>
          <w:szCs w:val="19"/>
          <w:b w:val="1"/>
          <w:bCs w:val="1"/>
          <w:color w:val="auto"/>
        </w:rPr>
        <w:t xml:space="preserve">4.4 </w:t>
      </w:r>
      <w:r>
        <w:rPr>
          <w:rFonts w:ascii="Arial" w:cs="Arial" w:eastAsia="Arial" w:hAnsi="Arial"/>
          <w:sz w:val="21"/>
          <w:szCs w:val="21"/>
          <w:b w:val="1"/>
          <w:bCs w:val="1"/>
          <w:color w:val="auto"/>
        </w:rPr>
        <w:t>Work Product.</w:t>
      </w:r>
      <w:r>
        <w:rPr>
          <w:rFonts w:ascii="Arial" w:cs="Arial" w:eastAsia="Arial" w:hAnsi="Arial"/>
          <w:sz w:val="19"/>
          <w:szCs w:val="19"/>
          <w:b w:val="1"/>
          <w:bCs w:val="1"/>
          <w:color w:val="auto"/>
        </w:rPr>
        <w:t xml:space="preserve"> </w:t>
      </w:r>
      <w:r>
        <w:rPr>
          <w:rFonts w:ascii="Arial" w:cs="Arial" w:eastAsia="Arial" w:hAnsi="Arial"/>
          <w:sz w:val="21"/>
          <w:szCs w:val="21"/>
          <w:color w:val="auto"/>
        </w:rPr>
        <w:t>As used in this Agreement, the term “</w:t>
      </w:r>
      <w:r>
        <w:rPr>
          <w:rFonts w:ascii="Arial" w:cs="Arial" w:eastAsia="Arial" w:hAnsi="Arial"/>
          <w:sz w:val="21"/>
          <w:szCs w:val="21"/>
          <w:b w:val="1"/>
          <w:bCs w:val="1"/>
          <w:color w:val="auto"/>
        </w:rPr>
        <w:t>Work Product</w:t>
      </w:r>
      <w:r>
        <w:rPr>
          <w:rFonts w:ascii="Arial" w:cs="Arial" w:eastAsia="Arial" w:hAnsi="Arial"/>
          <w:sz w:val="21"/>
          <w:szCs w:val="21"/>
          <w:color w:val="auto"/>
        </w:rPr>
        <w:t>” means any Invention, whether or not</w:t>
      </w:r>
      <w:r>
        <w:rPr>
          <w:rFonts w:ascii="Arial" w:cs="Arial" w:eastAsia="Arial" w:hAnsi="Arial"/>
          <w:sz w:val="19"/>
          <w:szCs w:val="19"/>
          <w:b w:val="1"/>
          <w:bCs w:val="1"/>
          <w:color w:val="auto"/>
        </w:rPr>
        <w:t xml:space="preserve"> </w:t>
      </w:r>
      <w:r>
        <w:rPr>
          <w:rFonts w:ascii="Arial" w:cs="Arial" w:eastAsia="Arial" w:hAnsi="Arial"/>
          <w:sz w:val="21"/>
          <w:szCs w:val="21"/>
          <w:color w:val="auto"/>
        </w:rPr>
        <w:t>patentable, and all related know-how, designs, mask works, trademarks, formulae, processes, manufacturing techniques, trade secrets, ideas, artwork, software or other copyrightable or patentable works. Contractor agrees to disclose promptly in writing to Inseego, or any person designated by Inseego, all Work Product which is solely or jointly conceived, made, reduced to practice, or learned by Contractor in the course of any work performed for Inseego (“</w:t>
      </w:r>
      <w:r>
        <w:rPr>
          <w:rFonts w:ascii="Arial" w:cs="Arial" w:eastAsia="Arial" w:hAnsi="Arial"/>
          <w:sz w:val="21"/>
          <w:szCs w:val="21"/>
          <w:b w:val="1"/>
          <w:bCs w:val="1"/>
          <w:color w:val="auto"/>
        </w:rPr>
        <w:t>Inseego Work Product</w:t>
      </w:r>
      <w:r>
        <w:rPr>
          <w:rFonts w:ascii="Arial" w:cs="Arial" w:eastAsia="Arial" w:hAnsi="Arial"/>
          <w:sz w:val="21"/>
          <w:szCs w:val="21"/>
          <w:color w:val="auto"/>
        </w:rPr>
        <w:t>”). Contractor agrees that any and all Work Product conceived, written, created or first reduced to practice in the performance of work under this Agreement shall be the sole and exclusive property of Inseego.</w:t>
      </w:r>
    </w:p>
    <w:p>
      <w:pPr>
        <w:spacing w:after="0" w:line="148" w:lineRule="exact"/>
        <w:rPr>
          <w:sz w:val="20"/>
          <w:szCs w:val="20"/>
          <w:color w:val="auto"/>
        </w:rPr>
      </w:pPr>
    </w:p>
    <w:p>
      <w:pPr>
        <w:jc w:val="both"/>
        <w:ind w:firstLine="630"/>
        <w:spacing w:after="0" w:line="255" w:lineRule="auto"/>
        <w:rPr>
          <w:sz w:val="20"/>
          <w:szCs w:val="20"/>
          <w:color w:val="auto"/>
        </w:rPr>
      </w:pPr>
      <w:r>
        <w:rPr>
          <w:rFonts w:ascii="Arial" w:cs="Arial" w:eastAsia="Arial" w:hAnsi="Arial"/>
          <w:sz w:val="19"/>
          <w:szCs w:val="19"/>
          <w:b w:val="1"/>
          <w:bCs w:val="1"/>
          <w:color w:val="auto"/>
        </w:rPr>
        <w:t xml:space="preserve">4.5 </w:t>
      </w:r>
      <w:r>
        <w:rPr>
          <w:rFonts w:ascii="Arial" w:cs="Arial" w:eastAsia="Arial" w:hAnsi="Arial"/>
          <w:sz w:val="21"/>
          <w:szCs w:val="21"/>
          <w:b w:val="1"/>
          <w:bCs w:val="1"/>
          <w:color w:val="auto"/>
        </w:rPr>
        <w:t>Assignment of Inseego Work Product.</w:t>
      </w:r>
      <w:r>
        <w:rPr>
          <w:rFonts w:ascii="Arial" w:cs="Arial" w:eastAsia="Arial" w:hAnsi="Arial"/>
          <w:sz w:val="19"/>
          <w:szCs w:val="19"/>
          <w:b w:val="1"/>
          <w:bCs w:val="1"/>
          <w:color w:val="auto"/>
        </w:rPr>
        <w:t xml:space="preserve"> </w:t>
      </w:r>
      <w:r>
        <w:rPr>
          <w:rFonts w:ascii="Arial" w:cs="Arial" w:eastAsia="Arial" w:hAnsi="Arial"/>
          <w:sz w:val="21"/>
          <w:szCs w:val="21"/>
          <w:color w:val="auto"/>
        </w:rPr>
        <w:t>Contractor irrevocably assigns to Inseego all right, title and interest</w:t>
      </w:r>
      <w:r>
        <w:rPr>
          <w:rFonts w:ascii="Arial" w:cs="Arial" w:eastAsia="Arial" w:hAnsi="Arial"/>
          <w:sz w:val="19"/>
          <w:szCs w:val="19"/>
          <w:b w:val="1"/>
          <w:bCs w:val="1"/>
          <w:color w:val="auto"/>
        </w:rPr>
        <w:t xml:space="preserve"> </w:t>
      </w:r>
      <w:r>
        <w:rPr>
          <w:rFonts w:ascii="Arial" w:cs="Arial" w:eastAsia="Arial" w:hAnsi="Arial"/>
          <w:sz w:val="21"/>
          <w:szCs w:val="21"/>
          <w:color w:val="auto"/>
        </w:rPr>
        <w:t>worldwide in and to the Inseego Work Product and all applicable intellectual property rights related to the Inseego Work Product, including without limitation, copyrights, trademarks, trade secrets, patents, moral rights, contract and licensing rights (the “</w:t>
      </w:r>
      <w:r>
        <w:rPr>
          <w:rFonts w:ascii="Arial" w:cs="Arial" w:eastAsia="Arial" w:hAnsi="Arial"/>
          <w:sz w:val="21"/>
          <w:szCs w:val="21"/>
          <w:b w:val="1"/>
          <w:bCs w:val="1"/>
          <w:color w:val="auto"/>
        </w:rPr>
        <w:t>Proprietary Rights</w:t>
      </w:r>
      <w:r>
        <w:rPr>
          <w:rFonts w:ascii="Arial" w:cs="Arial" w:eastAsia="Arial" w:hAnsi="Arial"/>
          <w:sz w:val="21"/>
          <w:szCs w:val="21"/>
          <w:color w:val="auto"/>
        </w:rPr>
        <w:t>”). Except as set forth below, Contractor retains no rights to use the Inseego Work Product and agrees not to challenge the validity of Inseego's ownership in the Inseego Work Product.</w:t>
      </w:r>
    </w:p>
    <w:p>
      <w:pPr>
        <w:spacing w:after="0" w:line="135" w:lineRule="exact"/>
        <w:rPr>
          <w:sz w:val="20"/>
          <w:szCs w:val="20"/>
          <w:color w:val="auto"/>
        </w:rPr>
      </w:pPr>
    </w:p>
    <w:p>
      <w:pPr>
        <w:jc w:val="both"/>
        <w:ind w:firstLine="630"/>
        <w:spacing w:after="0" w:line="251" w:lineRule="auto"/>
        <w:rPr>
          <w:sz w:val="20"/>
          <w:szCs w:val="20"/>
          <w:color w:val="auto"/>
        </w:rPr>
      </w:pPr>
      <w:r>
        <w:rPr>
          <w:rFonts w:ascii="Arial" w:cs="Arial" w:eastAsia="Arial" w:hAnsi="Arial"/>
          <w:sz w:val="19"/>
          <w:szCs w:val="19"/>
          <w:b w:val="1"/>
          <w:bCs w:val="1"/>
          <w:color w:val="auto"/>
        </w:rPr>
        <w:t xml:space="preserve">4.6 </w:t>
      </w:r>
      <w:r>
        <w:rPr>
          <w:rFonts w:ascii="Arial" w:cs="Arial" w:eastAsia="Arial" w:hAnsi="Arial"/>
          <w:sz w:val="21"/>
          <w:szCs w:val="21"/>
          <w:b w:val="1"/>
          <w:bCs w:val="1"/>
          <w:color w:val="auto"/>
        </w:rPr>
        <w:t>Waiver of Assignment and License of Other Rights.</w:t>
      </w:r>
      <w:r>
        <w:rPr>
          <w:rFonts w:ascii="Arial" w:cs="Arial" w:eastAsia="Arial" w:hAnsi="Arial"/>
          <w:sz w:val="19"/>
          <w:szCs w:val="19"/>
          <w:b w:val="1"/>
          <w:bCs w:val="1"/>
          <w:color w:val="auto"/>
        </w:rPr>
        <w:t xml:space="preserve"> </w:t>
      </w:r>
      <w:r>
        <w:rPr>
          <w:rFonts w:ascii="Arial" w:cs="Arial" w:eastAsia="Arial" w:hAnsi="Arial"/>
          <w:sz w:val="21"/>
          <w:szCs w:val="21"/>
          <w:color w:val="auto"/>
        </w:rPr>
        <w:t>If Contractor has any rights to the Inseego Work Product that</w:t>
      </w:r>
      <w:r>
        <w:rPr>
          <w:rFonts w:ascii="Arial" w:cs="Arial" w:eastAsia="Arial" w:hAnsi="Arial"/>
          <w:sz w:val="19"/>
          <w:szCs w:val="19"/>
          <w:b w:val="1"/>
          <w:bCs w:val="1"/>
          <w:color w:val="auto"/>
        </w:rPr>
        <w:t xml:space="preserve"> </w:t>
      </w:r>
      <w:r>
        <w:rPr>
          <w:rFonts w:ascii="Arial" w:cs="Arial" w:eastAsia="Arial" w:hAnsi="Arial"/>
          <w:sz w:val="21"/>
          <w:szCs w:val="21"/>
          <w:color w:val="auto"/>
        </w:rPr>
        <w:t>cannot be assigned to Inseego, Contractor unconditionally and irrevocably waives the enforcement of such rights, and all claims and causes of action of any kind against Inseego with respect to such rights, and agrees, at Inseego's request and expense, to consent to and join in any action to enforce such rights. If Contractor has any right to Inseego Work Product that cannot be assigned to Inseego or waived by Contractor and to the extent deliverables provided to Inseego hereunder include any other Work Product, Contractor unconditionally and irrevocably grants to Inseego during the term of such rights, an exclusive, irrevocable, perpetual, worldwide, fully paid and royalty-free license, with rights to sublicense through multiple levels of sublicensees, to reproduce, create derivative works of, distribute, publicly perform and publicly display by all means now known or later developed, such rights in all such Work Product.</w:t>
      </w:r>
    </w:p>
    <w:p>
      <w:pPr>
        <w:spacing w:after="0" w:line="143" w:lineRule="exact"/>
        <w:rPr>
          <w:sz w:val="20"/>
          <w:szCs w:val="20"/>
          <w:color w:val="auto"/>
        </w:rPr>
      </w:pPr>
    </w:p>
    <w:p>
      <w:pPr>
        <w:jc w:val="both"/>
        <w:ind w:firstLine="630"/>
        <w:spacing w:after="0" w:line="265"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20"/>
          <w:szCs w:val="20"/>
          <w:b w:val="1"/>
          <w:bCs w:val="1"/>
          <w:color w:val="auto"/>
        </w:rPr>
        <w:t>Assistance.</w:t>
      </w:r>
      <w:r>
        <w:rPr>
          <w:rFonts w:ascii="Arial" w:cs="Arial" w:eastAsia="Arial" w:hAnsi="Arial"/>
          <w:sz w:val="18"/>
          <w:szCs w:val="18"/>
          <w:b w:val="1"/>
          <w:bCs w:val="1"/>
          <w:color w:val="auto"/>
        </w:rPr>
        <w:t xml:space="preserve"> </w:t>
      </w:r>
      <w:r>
        <w:rPr>
          <w:rFonts w:ascii="Arial" w:cs="Arial" w:eastAsia="Arial" w:hAnsi="Arial"/>
          <w:sz w:val="20"/>
          <w:szCs w:val="20"/>
          <w:color w:val="auto"/>
        </w:rPr>
        <w:t>Contractor agrees to cooperate with Inseego or its designee(s), both during and after the term of this</w:t>
      </w:r>
      <w:r>
        <w:rPr>
          <w:rFonts w:ascii="Arial" w:cs="Arial" w:eastAsia="Arial" w:hAnsi="Arial"/>
          <w:sz w:val="18"/>
          <w:szCs w:val="18"/>
          <w:b w:val="1"/>
          <w:bCs w:val="1"/>
          <w:color w:val="auto"/>
        </w:rPr>
        <w:t xml:space="preserve"> </w:t>
      </w:r>
      <w:r>
        <w:rPr>
          <w:rFonts w:ascii="Arial" w:cs="Arial" w:eastAsia="Arial" w:hAnsi="Arial"/>
          <w:sz w:val="20"/>
          <w:szCs w:val="20"/>
          <w:color w:val="auto"/>
        </w:rPr>
        <w:t>Agreement, in the procurement and maintenance of Inseego's rights in Inseego Work Product and to execute, when requested, any other documents deemed necessary by Inseego to carry out the purpose of this Agreement. In the event that Inseego is unable for any reason to secure Contractor’s signature to any document required to apply for or execute any patent, copyright, or other applications with respect to any Inseego Work Product (including improvements, renewals, extensions, continuations, divisions, or continuations in part thereof), Contractor hereby irrevocably designates and appoints Inseego and its duly authorized officers and agents as its agents and attorneys in fact to act for and in its behalf and instead of Contractor to execute and file any such application and to do all other lawfully permitted acts to further the prosecution and issuance of patents, copyrights, mask works or other rights thereon with the same legal force and effect as if executed by 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392" w:right="339" w:bottom="1440" w:gutter="0" w:footer="0" w:header="0"/>
        </w:sectPr>
      </w:pPr>
    </w:p>
    <w:bookmarkStart w:id="43" w:name="page44"/>
    <w:bookmarkEnd w:id="43"/>
    <w:p>
      <w:pPr>
        <w:jc w:val="both"/>
        <w:ind w:firstLine="630"/>
        <w:spacing w:after="0" w:line="282" w:lineRule="auto"/>
        <w:rPr>
          <w:sz w:val="20"/>
          <w:szCs w:val="20"/>
          <w:color w:val="auto"/>
        </w:rPr>
      </w:pPr>
      <w:r>
        <w:rPr>
          <w:rFonts w:ascii="Arial" w:cs="Arial" w:eastAsia="Arial" w:hAnsi="Arial"/>
          <w:sz w:val="17"/>
          <w:szCs w:val="17"/>
          <w:b w:val="1"/>
          <w:bCs w:val="1"/>
          <w:color w:val="auto"/>
        </w:rPr>
        <w:t xml:space="preserve">4.8 </w:t>
      </w:r>
      <w:r>
        <w:rPr>
          <w:rFonts w:ascii="Arial" w:cs="Arial" w:eastAsia="Arial" w:hAnsi="Arial"/>
          <w:sz w:val="19"/>
          <w:szCs w:val="19"/>
          <w:b w:val="1"/>
          <w:bCs w:val="1"/>
          <w:color w:val="auto"/>
        </w:rPr>
        <w:t>Enforcement of Proprietary Rights.</w:t>
      </w:r>
      <w:r>
        <w:rPr>
          <w:rFonts w:ascii="Arial" w:cs="Arial" w:eastAsia="Arial" w:hAnsi="Arial"/>
          <w:sz w:val="17"/>
          <w:szCs w:val="17"/>
          <w:b w:val="1"/>
          <w:bCs w:val="1"/>
          <w:color w:val="auto"/>
        </w:rPr>
        <w:t xml:space="preserve"> </w:t>
      </w:r>
      <w:r>
        <w:rPr>
          <w:rFonts w:ascii="Arial" w:cs="Arial" w:eastAsia="Arial" w:hAnsi="Arial"/>
          <w:sz w:val="19"/>
          <w:szCs w:val="19"/>
          <w:color w:val="auto"/>
        </w:rPr>
        <w:t>Contractor will assist Inseego in every proper way to obtain, and from time to</w:t>
      </w:r>
      <w:r>
        <w:rPr>
          <w:rFonts w:ascii="Arial" w:cs="Arial" w:eastAsia="Arial" w:hAnsi="Arial"/>
          <w:sz w:val="17"/>
          <w:szCs w:val="17"/>
          <w:b w:val="1"/>
          <w:bCs w:val="1"/>
          <w:color w:val="auto"/>
        </w:rPr>
        <w:t xml:space="preserve"> </w:t>
      </w:r>
      <w:r>
        <w:rPr>
          <w:rFonts w:ascii="Arial" w:cs="Arial" w:eastAsia="Arial" w:hAnsi="Arial"/>
          <w:sz w:val="19"/>
          <w:szCs w:val="19"/>
          <w:color w:val="auto"/>
        </w:rPr>
        <w:t>time enforce, United States and foreign Proprietary Rights relating to Inseego Work Product in any and all countries. To that end Contractor will execute, verify and deliver such documents and perform such other acts (including appearances as a witness) as Inseego may reasonably request for use in applying for, obtaining, perfecting, evidencing, sustaining and enforcing such Proprietary Rights and the assignment thereof. In addition, Contractor will execute, verify and deliver assignments of such Proprietary Rights to Inseego or its designee. Contractor's obligation to assist Inseego with respect to Proprietary Rights relating to such Inseego Work Product in any and all countries shall continue beyond the termination of this Agreement, but Inseego shall compensate Contractor at a reasonable rate after such termination for the time actually spent by Contractor at Inseego's request on such assistance.</w:t>
      </w:r>
    </w:p>
    <w:p>
      <w:pPr>
        <w:spacing w:after="0" w:line="112" w:lineRule="exact"/>
        <w:rPr>
          <w:sz w:val="20"/>
          <w:szCs w:val="20"/>
          <w:color w:val="auto"/>
        </w:rPr>
      </w:pPr>
    </w:p>
    <w:p>
      <w:pPr>
        <w:jc w:val="both"/>
        <w:ind w:firstLine="5"/>
        <w:spacing w:after="0" w:line="278" w:lineRule="auto"/>
        <w:tabs>
          <w:tab w:leader="none" w:pos="630" w:val="left"/>
        </w:tabs>
        <w:numPr>
          <w:ilvl w:val="0"/>
          <w:numId w:val="11"/>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Contractor Representations and Warranties. </w:t>
      </w:r>
      <w:r>
        <w:rPr>
          <w:rFonts w:ascii="Arial" w:cs="Arial" w:eastAsia="Arial" w:hAnsi="Arial"/>
          <w:sz w:val="19"/>
          <w:szCs w:val="19"/>
          <w:color w:val="auto"/>
        </w:rPr>
        <w:t>Contractor represents and warrants that the services hereunder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performed (i) with requisite skill, qualifications and experience, (ii) to the best of Contractor’s ability, and (iii) at the highest professional standards in the field, to Inseego’s satisfaction. Contractor also hereby represents and warrants that (a) the Inseego Work Product will be an original work of Contractor and any third parties will have executed assignment of rights reasonably acceptable to Inseego; (b) neither the Inseego Work Product nor any element thereof will infringe the Intellectual Property Rights of any third party; (c) neither the Inseego Work Product nor any element thereof will be subject to any restrictions or to any mortgages, liens, pledges, security interests, encumbrances or encroachments; (d) Contractor will not grant, directly or indirectly, any rights or interest whatsoever in the Inseego Work Product to third parties; (e) Contractor has full right and power to enter into and perform this Agreement without the consent of any third party; (f) Contractor will take all necessary precautions to prevent injury to any persons (including employees of Inseego) or damage to property (including Inseego's property) during the term of this Agreement; and (g) should Inseego permit Contractor to use any of Inseego's equipment, tools, or facilities during the term of this Agreement, such permission shall be gratuitous and Contractor shall be responsible for any injury to any person (including death) or damage to property (including Inseego's property) arising out of use of such equipment, tools or facilities, whether or not such claim is based upon its condition or on the alleged negligence of Inseego in permitting its use.</w:t>
      </w:r>
    </w:p>
    <w:p>
      <w:pPr>
        <w:spacing w:after="0" w:line="132" w:lineRule="exact"/>
        <w:rPr>
          <w:rFonts w:ascii="Arial" w:cs="Arial" w:eastAsia="Arial" w:hAnsi="Arial"/>
          <w:sz w:val="17"/>
          <w:szCs w:val="17"/>
          <w:b w:val="1"/>
          <w:bCs w:val="1"/>
          <w:color w:val="auto"/>
        </w:rPr>
      </w:pPr>
    </w:p>
    <w:p>
      <w:pPr>
        <w:jc w:val="both"/>
        <w:ind w:firstLine="5"/>
        <w:spacing w:after="0" w:line="255" w:lineRule="auto"/>
        <w:tabs>
          <w:tab w:leader="none" w:pos="630" w:val="left"/>
        </w:tabs>
        <w:numPr>
          <w:ilvl w:val="0"/>
          <w:numId w:val="11"/>
        </w:numPr>
        <w:rPr>
          <w:rFonts w:ascii="Arial" w:cs="Arial" w:eastAsia="Arial" w:hAnsi="Arial"/>
          <w:sz w:val="19"/>
          <w:szCs w:val="19"/>
          <w:b w:val="1"/>
          <w:bCs w:val="1"/>
          <w:color w:val="auto"/>
        </w:rPr>
      </w:pPr>
      <w:r>
        <w:rPr>
          <w:rFonts w:ascii="Arial" w:cs="Arial" w:eastAsia="Arial" w:hAnsi="Arial"/>
          <w:sz w:val="21"/>
          <w:szCs w:val="21"/>
          <w:b w:val="1"/>
          <w:bCs w:val="1"/>
          <w:color w:val="auto"/>
        </w:rPr>
        <w:t xml:space="preserve">Indemnification. </w:t>
      </w:r>
      <w:r>
        <w:rPr>
          <w:rFonts w:ascii="Arial" w:cs="Arial" w:eastAsia="Arial" w:hAnsi="Arial"/>
          <w:sz w:val="21"/>
          <w:szCs w:val="21"/>
          <w:color w:val="auto"/>
        </w:rPr>
        <w:t>Each party shall indemnify and hold the other harmless against any and all third-party claims, costs,</w:t>
      </w:r>
      <w:r>
        <w:rPr>
          <w:rFonts w:ascii="Arial" w:cs="Arial" w:eastAsia="Arial" w:hAnsi="Arial"/>
          <w:sz w:val="21"/>
          <w:szCs w:val="21"/>
          <w:b w:val="1"/>
          <w:bCs w:val="1"/>
          <w:color w:val="auto"/>
        </w:rPr>
        <w:t xml:space="preserve"> </w:t>
      </w:r>
      <w:r>
        <w:rPr>
          <w:rFonts w:ascii="Arial" w:cs="Arial" w:eastAsia="Arial" w:hAnsi="Arial"/>
          <w:sz w:val="21"/>
          <w:szCs w:val="21"/>
          <w:color w:val="auto"/>
        </w:rPr>
        <w:t>expenses, losses, and liabilities claimed by third parties, arising out of misrepresentations, acts, or omissions of the indemnifying party, and Inseego shall indemnify and hold Contractor harmless against any and all third party claims, costs, expenses, losses, and liabilities claimed by third parties, arising out of the providing of the products or services referenced in this Agreement, except for instances of fraud, gross negligence, or willful misconduct.</w:t>
      </w:r>
    </w:p>
    <w:p>
      <w:pPr>
        <w:spacing w:after="0" w:line="135" w:lineRule="exact"/>
        <w:rPr>
          <w:rFonts w:ascii="Arial" w:cs="Arial" w:eastAsia="Arial" w:hAnsi="Arial"/>
          <w:sz w:val="19"/>
          <w:szCs w:val="19"/>
          <w:b w:val="1"/>
          <w:bCs w:val="1"/>
          <w:color w:val="auto"/>
        </w:rPr>
      </w:pPr>
    </w:p>
    <w:p>
      <w:pPr>
        <w:jc w:val="both"/>
        <w:ind w:firstLine="5"/>
        <w:spacing w:after="0" w:line="258" w:lineRule="auto"/>
        <w:tabs>
          <w:tab w:leader="none" w:pos="630" w:val="left"/>
        </w:tabs>
        <w:numPr>
          <w:ilvl w:val="0"/>
          <w:numId w:val="11"/>
        </w:numPr>
        <w:rPr>
          <w:rFonts w:ascii="Arial" w:cs="Arial" w:eastAsia="Arial" w:hAnsi="Arial"/>
          <w:sz w:val="19"/>
          <w:szCs w:val="19"/>
          <w:b w:val="1"/>
          <w:bCs w:val="1"/>
          <w:color w:val="auto"/>
        </w:rPr>
      </w:pPr>
      <w:r>
        <w:rPr>
          <w:rFonts w:ascii="Arial" w:cs="Arial" w:eastAsia="Arial" w:hAnsi="Arial"/>
          <w:sz w:val="21"/>
          <w:szCs w:val="21"/>
          <w:b w:val="1"/>
          <w:bCs w:val="1"/>
          <w:color w:val="auto"/>
        </w:rPr>
        <w:t xml:space="preserve">Insurance. </w:t>
      </w:r>
      <w:r>
        <w:rPr>
          <w:rFonts w:ascii="Arial" w:cs="Arial" w:eastAsia="Arial" w:hAnsi="Arial"/>
          <w:sz w:val="21"/>
          <w:szCs w:val="21"/>
          <w:color w:val="auto"/>
        </w:rPr>
        <w:t>Contractor, at its sole cost and expense, shall maintain appropriate insurance with: (i) commercial general liability</w:t>
      </w:r>
      <w:r>
        <w:rPr>
          <w:rFonts w:ascii="Arial" w:cs="Arial" w:eastAsia="Arial" w:hAnsi="Arial"/>
          <w:sz w:val="21"/>
          <w:szCs w:val="21"/>
          <w:b w:val="1"/>
          <w:bCs w:val="1"/>
          <w:color w:val="auto"/>
        </w:rPr>
        <w:t xml:space="preserve"> </w:t>
      </w:r>
      <w:r>
        <w:rPr>
          <w:rFonts w:ascii="Arial" w:cs="Arial" w:eastAsia="Arial" w:hAnsi="Arial"/>
          <w:sz w:val="21"/>
          <w:szCs w:val="21"/>
          <w:color w:val="auto"/>
        </w:rPr>
        <w:t>broad form coverage, including Contractual Liability, Contractor's Protective Liability and Personal Injury/Property Damage Coverage in a combined single limit of not less than $2,000,000; (ii) workers’ compensation insurance as required by applicable law as well as employer’s liability insurance with limits of $1,000,000 per occurrence;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386" w:right="339" w:bottom="1440" w:gutter="0" w:footer="0" w:header="0"/>
        </w:sectPr>
      </w:pPr>
    </w:p>
    <w:bookmarkStart w:id="44" w:name="page45"/>
    <w:bookmarkEnd w:id="44"/>
    <w:p>
      <w:pPr>
        <w:jc w:val="both"/>
        <w:ind w:firstLine="5"/>
        <w:spacing w:after="0" w:line="278" w:lineRule="auto"/>
        <w:tabs>
          <w:tab w:leader="none" w:pos="403" w:val="left"/>
        </w:tabs>
        <w:numPr>
          <w:ilvl w:val="0"/>
          <w:numId w:val="12"/>
        </w:numPr>
        <w:rPr>
          <w:rFonts w:ascii="Arial" w:cs="Arial" w:eastAsia="Arial" w:hAnsi="Arial"/>
          <w:sz w:val="19"/>
          <w:szCs w:val="19"/>
          <w:color w:val="auto"/>
        </w:rPr>
      </w:pPr>
      <w:r>
        <w:rPr>
          <w:rFonts w:ascii="Arial" w:cs="Arial" w:eastAsia="Arial" w:hAnsi="Arial"/>
          <w:sz w:val="19"/>
          <w:szCs w:val="19"/>
          <w:color w:val="auto"/>
        </w:rPr>
        <w:t>if the use of automobiles is required, Contractor shall maintain during the term of this Agreement commercial automobile liability insurance, with limits of at least $1,000,000 for bodily injury, including death, to any one person, and $1,000,000 on account of any occurrence, and $1,000,000 for each occurrence of property damage; and (iv) if the Services include professional or personal services, professional liability coverage in the amount of $1,000,000 per claim, which coverage shall be maintained for at least one</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(1) year after termination or expiration of this Agreement.</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A Certificate of Insurance indicating such coverage shall be delivered to Inseego upon request. The Certificate shall indicate that the policy will not be changed or terminated without at least thirty (30) days’ prior notice to Inseego, shall name Inseego as an additional named insured and shall also indicate that the insurer has waived its subrogation rights against Inseego.</w:t>
      </w:r>
    </w:p>
    <w:p>
      <w:pPr>
        <w:spacing w:after="0" w:line="124" w:lineRule="exact"/>
        <w:rPr>
          <w:sz w:val="20"/>
          <w:szCs w:val="20"/>
          <w:color w:val="auto"/>
        </w:rPr>
      </w:pPr>
    </w:p>
    <w:p>
      <w:pPr>
        <w:ind w:left="640" w:hanging="635"/>
        <w:spacing w:after="0"/>
        <w:tabs>
          <w:tab w:leader="none" w:pos="640" w:val="left"/>
        </w:tabs>
        <w:numPr>
          <w:ilvl w:val="0"/>
          <w:numId w:val="13"/>
        </w:numPr>
        <w:rPr>
          <w:rFonts w:ascii="Arial" w:cs="Arial" w:eastAsia="Arial" w:hAnsi="Arial"/>
          <w:sz w:val="19"/>
          <w:szCs w:val="19"/>
          <w:b w:val="1"/>
          <w:bCs w:val="1"/>
          <w:color w:val="auto"/>
        </w:rPr>
      </w:pPr>
      <w:r>
        <w:rPr>
          <w:rFonts w:ascii="Arial" w:cs="Arial" w:eastAsia="Arial" w:hAnsi="Arial"/>
          <w:sz w:val="21"/>
          <w:szCs w:val="21"/>
          <w:b w:val="1"/>
          <w:bCs w:val="1"/>
          <w:color w:val="auto"/>
        </w:rPr>
        <w:t>Termination.</w:t>
      </w:r>
    </w:p>
    <w:p>
      <w:pPr>
        <w:spacing w:after="0" w:line="179"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b w:val="1"/>
          <w:bCs w:val="1"/>
          <w:color w:val="auto"/>
        </w:rPr>
        <w:t xml:space="preserve">8.1 </w:t>
      </w:r>
      <w:r>
        <w:rPr>
          <w:rFonts w:ascii="Arial" w:cs="Arial" w:eastAsia="Arial" w:hAnsi="Arial"/>
          <w:sz w:val="21"/>
          <w:szCs w:val="21"/>
          <w:b w:val="1"/>
          <w:bCs w:val="1"/>
          <w:color w:val="auto"/>
        </w:rPr>
        <w:t>Termination by Inseego.</w:t>
      </w:r>
      <w:r>
        <w:rPr>
          <w:rFonts w:ascii="Arial" w:cs="Arial" w:eastAsia="Arial" w:hAnsi="Arial"/>
          <w:sz w:val="19"/>
          <w:szCs w:val="19"/>
          <w:b w:val="1"/>
          <w:bCs w:val="1"/>
          <w:color w:val="auto"/>
        </w:rPr>
        <w:t xml:space="preserve"> </w:t>
      </w:r>
      <w:r>
        <w:rPr>
          <w:rFonts w:ascii="Arial" w:cs="Arial" w:eastAsia="Arial" w:hAnsi="Arial"/>
          <w:sz w:val="21"/>
          <w:szCs w:val="21"/>
          <w:color w:val="auto"/>
        </w:rPr>
        <w:t>Inseego may terminate this Agreement or any Statement of Work at its convenience and</w:t>
      </w:r>
      <w:r>
        <w:rPr>
          <w:rFonts w:ascii="Arial" w:cs="Arial" w:eastAsia="Arial" w:hAnsi="Arial"/>
          <w:sz w:val="19"/>
          <w:szCs w:val="19"/>
          <w:b w:val="1"/>
          <w:bCs w:val="1"/>
          <w:color w:val="auto"/>
        </w:rPr>
        <w:t xml:space="preserve"> </w:t>
      </w:r>
      <w:r>
        <w:rPr>
          <w:rFonts w:ascii="Arial" w:cs="Arial" w:eastAsia="Arial" w:hAnsi="Arial"/>
          <w:sz w:val="21"/>
          <w:szCs w:val="21"/>
          <w:color w:val="auto"/>
        </w:rPr>
        <w:t>without any breach by Contractor upon thirty (30) days' prior written notice to Contractor. Inseego may also terminate this Agreement and Statements of Work immediately in its sole discretion upon Contractor's material breach of Section 4.</w:t>
      </w:r>
    </w:p>
    <w:p>
      <w:pPr>
        <w:spacing w:after="0" w:line="125" w:lineRule="exact"/>
        <w:rPr>
          <w:sz w:val="20"/>
          <w:szCs w:val="20"/>
          <w:color w:val="auto"/>
        </w:rPr>
      </w:pPr>
    </w:p>
    <w:p>
      <w:pPr>
        <w:jc w:val="both"/>
        <w:ind w:firstLine="630"/>
        <w:spacing w:after="0" w:line="279" w:lineRule="auto"/>
        <w:rPr>
          <w:sz w:val="20"/>
          <w:szCs w:val="20"/>
          <w:color w:val="auto"/>
        </w:rPr>
      </w:pPr>
      <w:r>
        <w:rPr>
          <w:rFonts w:ascii="Arial" w:cs="Arial" w:eastAsia="Arial" w:hAnsi="Arial"/>
          <w:sz w:val="19"/>
          <w:szCs w:val="19"/>
          <w:b w:val="1"/>
          <w:bCs w:val="1"/>
          <w:color w:val="auto"/>
        </w:rPr>
        <w:t xml:space="preserve">8.2 </w:t>
      </w:r>
      <w:r>
        <w:rPr>
          <w:rFonts w:ascii="Arial" w:cs="Arial" w:eastAsia="Arial" w:hAnsi="Arial"/>
          <w:sz w:val="21"/>
          <w:szCs w:val="21"/>
          <w:b w:val="1"/>
          <w:bCs w:val="1"/>
          <w:color w:val="auto"/>
        </w:rPr>
        <w:t>Termination by Contractor.</w:t>
      </w:r>
      <w:r>
        <w:rPr>
          <w:rFonts w:ascii="Arial" w:cs="Arial" w:eastAsia="Arial" w:hAnsi="Arial"/>
          <w:sz w:val="19"/>
          <w:szCs w:val="19"/>
          <w:b w:val="1"/>
          <w:bCs w:val="1"/>
          <w:color w:val="auto"/>
        </w:rPr>
        <w:t xml:space="preserve"> </w:t>
      </w:r>
      <w:r>
        <w:rPr>
          <w:rFonts w:ascii="Arial" w:cs="Arial" w:eastAsia="Arial" w:hAnsi="Arial"/>
          <w:sz w:val="21"/>
          <w:szCs w:val="21"/>
          <w:color w:val="auto"/>
        </w:rPr>
        <w:t>Contractor may terminate this Agreement at any time that there is no uncompleted</w:t>
      </w:r>
      <w:r>
        <w:rPr>
          <w:rFonts w:ascii="Arial" w:cs="Arial" w:eastAsia="Arial" w:hAnsi="Arial"/>
          <w:sz w:val="19"/>
          <w:szCs w:val="19"/>
          <w:b w:val="1"/>
          <w:bCs w:val="1"/>
          <w:color w:val="auto"/>
        </w:rPr>
        <w:t xml:space="preserve"> </w:t>
      </w:r>
      <w:r>
        <w:rPr>
          <w:rFonts w:ascii="Arial" w:cs="Arial" w:eastAsia="Arial" w:hAnsi="Arial"/>
          <w:sz w:val="21"/>
          <w:szCs w:val="21"/>
          <w:color w:val="auto"/>
        </w:rPr>
        <w:t>Statement of Work in effect upon fifteen (15) days' prior written notice to Inseego.</w:t>
      </w:r>
    </w:p>
    <w:p>
      <w:pPr>
        <w:spacing w:after="0" w:line="121" w:lineRule="exact"/>
        <w:rPr>
          <w:sz w:val="20"/>
          <w:szCs w:val="20"/>
          <w:color w:val="auto"/>
        </w:rPr>
      </w:pPr>
    </w:p>
    <w:p>
      <w:pPr>
        <w:jc w:val="both"/>
        <w:ind w:firstLine="630"/>
        <w:spacing w:after="0" w:line="254" w:lineRule="auto"/>
        <w:rPr>
          <w:sz w:val="20"/>
          <w:szCs w:val="20"/>
          <w:color w:val="auto"/>
        </w:rPr>
      </w:pPr>
      <w:r>
        <w:rPr>
          <w:rFonts w:ascii="Arial" w:cs="Arial" w:eastAsia="Arial" w:hAnsi="Arial"/>
          <w:sz w:val="19"/>
          <w:szCs w:val="19"/>
          <w:b w:val="1"/>
          <w:bCs w:val="1"/>
          <w:color w:val="auto"/>
        </w:rPr>
        <w:t xml:space="preserve">8.3 </w:t>
      </w:r>
      <w:r>
        <w:rPr>
          <w:rFonts w:ascii="Arial" w:cs="Arial" w:eastAsia="Arial" w:hAnsi="Arial"/>
          <w:sz w:val="21"/>
          <w:szCs w:val="21"/>
          <w:b w:val="1"/>
          <w:bCs w:val="1"/>
          <w:color w:val="auto"/>
        </w:rPr>
        <w:t>Return of Inseego Property.</w:t>
      </w:r>
      <w:r>
        <w:rPr>
          <w:rFonts w:ascii="Arial" w:cs="Arial" w:eastAsia="Arial" w:hAnsi="Arial"/>
          <w:sz w:val="19"/>
          <w:szCs w:val="19"/>
          <w:b w:val="1"/>
          <w:bCs w:val="1"/>
          <w:color w:val="auto"/>
        </w:rPr>
        <w:t xml:space="preserve"> </w:t>
      </w:r>
      <w:r>
        <w:rPr>
          <w:rFonts w:ascii="Arial" w:cs="Arial" w:eastAsia="Arial" w:hAnsi="Arial"/>
          <w:sz w:val="21"/>
          <w:szCs w:val="21"/>
          <w:color w:val="auto"/>
        </w:rPr>
        <w:t>Upon termination of the Agreement or earlier as requested by Inseego, Contractor will</w:t>
      </w:r>
      <w:r>
        <w:rPr>
          <w:rFonts w:ascii="Arial" w:cs="Arial" w:eastAsia="Arial" w:hAnsi="Arial"/>
          <w:sz w:val="19"/>
          <w:szCs w:val="19"/>
          <w:b w:val="1"/>
          <w:bCs w:val="1"/>
          <w:color w:val="auto"/>
        </w:rPr>
        <w:t xml:space="preserve"> </w:t>
      </w:r>
      <w:r>
        <w:rPr>
          <w:rFonts w:ascii="Arial" w:cs="Arial" w:eastAsia="Arial" w:hAnsi="Arial"/>
          <w:sz w:val="21"/>
          <w:szCs w:val="21"/>
          <w:color w:val="auto"/>
        </w:rPr>
        <w:t>deliver to Inseego any and all drawings, notes, memoranda, specifications, devices, formulas, and documents, together with all copies thereof, and any other material containing or disclosing any Inseego Work Product, Third Party Information or Proprietary Information of Inseego. Contractor further agrees that any property situated on Inseego's premises and owned by Inseego, including disks and other storage media, filing cabinets or other work areas, is subject to inspection by Inseego personnel at any time with or without notice.</w:t>
      </w:r>
    </w:p>
    <w:p>
      <w:pPr>
        <w:spacing w:after="0" w:line="134" w:lineRule="exact"/>
        <w:rPr>
          <w:sz w:val="20"/>
          <w:szCs w:val="20"/>
          <w:color w:val="auto"/>
        </w:rPr>
      </w:pPr>
    </w:p>
    <w:p>
      <w:pPr>
        <w:ind w:left="640" w:hanging="635"/>
        <w:spacing w:after="0"/>
        <w:tabs>
          <w:tab w:leader="none" w:pos="640" w:val="left"/>
        </w:tabs>
        <w:numPr>
          <w:ilvl w:val="0"/>
          <w:numId w:val="14"/>
        </w:numPr>
        <w:rPr>
          <w:rFonts w:ascii="Arial" w:cs="Arial" w:eastAsia="Arial" w:hAnsi="Arial"/>
          <w:sz w:val="19"/>
          <w:szCs w:val="19"/>
          <w:b w:val="1"/>
          <w:bCs w:val="1"/>
          <w:color w:val="auto"/>
        </w:rPr>
      </w:pPr>
      <w:r>
        <w:rPr>
          <w:rFonts w:ascii="Arial" w:cs="Arial" w:eastAsia="Arial" w:hAnsi="Arial"/>
          <w:sz w:val="21"/>
          <w:szCs w:val="21"/>
          <w:b w:val="1"/>
          <w:bCs w:val="1"/>
          <w:color w:val="auto"/>
        </w:rPr>
        <w:t>Government or Third Party Contracts.</w:t>
      </w:r>
    </w:p>
    <w:p>
      <w:pPr>
        <w:spacing w:after="0" w:line="179" w:lineRule="exact"/>
        <w:rPr>
          <w:sz w:val="20"/>
          <w:szCs w:val="20"/>
          <w:color w:val="auto"/>
        </w:rPr>
      </w:pPr>
    </w:p>
    <w:p>
      <w:pPr>
        <w:jc w:val="both"/>
        <w:ind w:firstLine="630"/>
        <w:spacing w:after="0" w:line="255"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21"/>
          <w:szCs w:val="21"/>
          <w:b w:val="1"/>
          <w:bCs w:val="1"/>
          <w:color w:val="auto"/>
        </w:rPr>
        <w:t>Government Contracts.</w:t>
      </w:r>
      <w:r>
        <w:rPr>
          <w:rFonts w:ascii="Arial" w:cs="Arial" w:eastAsia="Arial" w:hAnsi="Arial"/>
          <w:sz w:val="19"/>
          <w:szCs w:val="19"/>
          <w:b w:val="1"/>
          <w:bCs w:val="1"/>
          <w:color w:val="auto"/>
        </w:rPr>
        <w:t xml:space="preserve"> </w:t>
      </w:r>
      <w:r>
        <w:rPr>
          <w:rFonts w:ascii="Arial" w:cs="Arial" w:eastAsia="Arial" w:hAnsi="Arial"/>
          <w:sz w:val="21"/>
          <w:szCs w:val="21"/>
          <w:color w:val="auto"/>
        </w:rPr>
        <w:t>In the event that Contractor shall perform services under this Agreement in connection with</w:t>
      </w:r>
      <w:r>
        <w:rPr>
          <w:rFonts w:ascii="Arial" w:cs="Arial" w:eastAsia="Arial" w:hAnsi="Arial"/>
          <w:sz w:val="19"/>
          <w:szCs w:val="19"/>
          <w:b w:val="1"/>
          <w:bCs w:val="1"/>
          <w:color w:val="auto"/>
        </w:rPr>
        <w:t xml:space="preserve"> </w:t>
      </w:r>
      <w:r>
        <w:rPr>
          <w:rFonts w:ascii="Arial" w:cs="Arial" w:eastAsia="Arial" w:hAnsi="Arial"/>
          <w:sz w:val="21"/>
          <w:szCs w:val="21"/>
          <w:color w:val="auto"/>
        </w:rPr>
        <w:t>any Government contract in which Inseego may be the prime contractor or subcontractor, Contractor agrees to abide by all laws, rules and regulations relating thereto. To the extent that any such law, rule or regulation requires that a provision or clause be included in this Agreement, Contractor agrees that such provision or clause shall be added to this Agreement and the same shall then become a part of this Agreement.</w:t>
      </w:r>
    </w:p>
    <w:p>
      <w:pPr>
        <w:spacing w:after="0" w:line="148" w:lineRule="exact"/>
        <w:rPr>
          <w:sz w:val="20"/>
          <w:szCs w:val="20"/>
          <w:color w:val="auto"/>
        </w:rPr>
      </w:pPr>
    </w:p>
    <w:p>
      <w:pPr>
        <w:jc w:val="both"/>
        <w:ind w:firstLine="630"/>
        <w:spacing w:after="0" w:line="282"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20"/>
          <w:szCs w:val="20"/>
          <w:b w:val="1"/>
          <w:bCs w:val="1"/>
          <w:color w:val="auto"/>
        </w:rPr>
        <w:t>Security.</w:t>
      </w:r>
      <w:r>
        <w:rPr>
          <w:rFonts w:ascii="Arial" w:cs="Arial" w:eastAsia="Arial" w:hAnsi="Arial"/>
          <w:sz w:val="18"/>
          <w:szCs w:val="18"/>
          <w:b w:val="1"/>
          <w:bCs w:val="1"/>
          <w:color w:val="auto"/>
        </w:rPr>
        <w:t xml:space="preserve"> </w:t>
      </w:r>
      <w:r>
        <w:rPr>
          <w:rFonts w:ascii="Arial" w:cs="Arial" w:eastAsia="Arial" w:hAnsi="Arial"/>
          <w:sz w:val="20"/>
          <w:szCs w:val="20"/>
          <w:color w:val="auto"/>
        </w:rPr>
        <w:t>In the event the services of the Contractor should require Contractor to have access to Department of</w:t>
      </w:r>
      <w:r>
        <w:rPr>
          <w:rFonts w:ascii="Arial" w:cs="Arial" w:eastAsia="Arial" w:hAnsi="Arial"/>
          <w:sz w:val="18"/>
          <w:szCs w:val="18"/>
          <w:b w:val="1"/>
          <w:bCs w:val="1"/>
          <w:color w:val="auto"/>
        </w:rPr>
        <w:t xml:space="preserve"> </w:t>
      </w:r>
      <w:r>
        <w:rPr>
          <w:rFonts w:ascii="Arial" w:cs="Arial" w:eastAsia="Arial" w:hAnsi="Arial"/>
          <w:sz w:val="20"/>
          <w:szCs w:val="20"/>
          <w:color w:val="auto"/>
        </w:rPr>
        <w:t>Defense classified material, or other classified material in the possession of Inseegos's facility, such material shall not be removed from Inseego's facility. Contractor agrees that all work performed under this Agreement by Contractor which involves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392" w:right="339" w:bottom="1440" w:gutter="0" w:footer="0" w:header="0"/>
        </w:sectPr>
      </w:pPr>
    </w:p>
    <w:bookmarkStart w:id="45" w:name="page46"/>
    <w:bookmarkEnd w:id="45"/>
    <w:p>
      <w:pPr>
        <w:spacing w:after="0" w:line="273" w:lineRule="auto"/>
        <w:rPr>
          <w:sz w:val="20"/>
          <w:szCs w:val="20"/>
          <w:color w:val="auto"/>
        </w:rPr>
      </w:pPr>
      <w:r>
        <w:rPr>
          <w:rFonts w:ascii="Arial" w:cs="Arial" w:eastAsia="Arial" w:hAnsi="Arial"/>
          <w:sz w:val="21"/>
          <w:szCs w:val="21"/>
          <w:color w:val="auto"/>
        </w:rPr>
        <w:t>the use of classified material mentioned above shall be performed in a secure fashion (consistent with applicable law and regulations for the handling of classified material) and only at Inseego's facility.</w:t>
      </w:r>
    </w:p>
    <w:p>
      <w:pPr>
        <w:spacing w:after="0" w:line="114" w:lineRule="exact"/>
        <w:rPr>
          <w:sz w:val="20"/>
          <w:szCs w:val="20"/>
          <w:color w:val="auto"/>
        </w:rPr>
      </w:pPr>
    </w:p>
    <w:p>
      <w:pPr>
        <w:ind w:firstLine="630"/>
        <w:spacing w:after="0" w:line="279"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21"/>
          <w:szCs w:val="21"/>
          <w:b w:val="1"/>
          <w:bCs w:val="1"/>
          <w:color w:val="auto"/>
        </w:rPr>
        <w:t>Ownership.</w:t>
      </w:r>
      <w:r>
        <w:rPr>
          <w:rFonts w:ascii="Arial" w:cs="Arial" w:eastAsia="Arial" w:hAnsi="Arial"/>
          <w:sz w:val="19"/>
          <w:szCs w:val="19"/>
          <w:b w:val="1"/>
          <w:bCs w:val="1"/>
          <w:color w:val="auto"/>
        </w:rPr>
        <w:t xml:space="preserve"> </w:t>
      </w:r>
      <w:r>
        <w:rPr>
          <w:rFonts w:ascii="Arial" w:cs="Arial" w:eastAsia="Arial" w:hAnsi="Arial"/>
          <w:sz w:val="21"/>
          <w:szCs w:val="21"/>
          <w:color w:val="auto"/>
        </w:rPr>
        <w:t>Contractor also agrees to assign all of its right, title and interest in and to any Work Product to a Third</w:t>
      </w:r>
      <w:r>
        <w:rPr>
          <w:rFonts w:ascii="Arial" w:cs="Arial" w:eastAsia="Arial" w:hAnsi="Arial"/>
          <w:sz w:val="19"/>
          <w:szCs w:val="19"/>
          <w:b w:val="1"/>
          <w:bCs w:val="1"/>
          <w:color w:val="auto"/>
        </w:rPr>
        <w:t xml:space="preserve"> </w:t>
      </w:r>
      <w:r>
        <w:rPr>
          <w:rFonts w:ascii="Arial" w:cs="Arial" w:eastAsia="Arial" w:hAnsi="Arial"/>
          <w:sz w:val="21"/>
          <w:szCs w:val="21"/>
          <w:color w:val="auto"/>
        </w:rPr>
        <w:t>Party, including without limitation the United States, only to the extent specifically directed by Inseego.</w:t>
      </w:r>
    </w:p>
    <w:p>
      <w:pPr>
        <w:spacing w:after="0" w:line="121" w:lineRule="exact"/>
        <w:rPr>
          <w:sz w:val="20"/>
          <w:szCs w:val="20"/>
          <w:color w:val="auto"/>
        </w:rPr>
      </w:pPr>
    </w:p>
    <w:p>
      <w:pPr>
        <w:jc w:val="both"/>
        <w:ind w:firstLine="5"/>
        <w:spacing w:after="0" w:line="266" w:lineRule="auto"/>
        <w:tabs>
          <w:tab w:leader="none" w:pos="621" w:val="left"/>
        </w:tabs>
        <w:numPr>
          <w:ilvl w:val="0"/>
          <w:numId w:val="15"/>
        </w:numPr>
        <w:rPr>
          <w:rFonts w:ascii="Arial" w:cs="Arial" w:eastAsia="Arial" w:hAnsi="Arial"/>
          <w:sz w:val="18"/>
          <w:szCs w:val="18"/>
          <w:b w:val="1"/>
          <w:bCs w:val="1"/>
          <w:color w:val="auto"/>
        </w:rPr>
      </w:pPr>
      <w:r>
        <w:rPr>
          <w:rFonts w:ascii="Arial" w:cs="Arial" w:eastAsia="Arial" w:hAnsi="Arial"/>
          <w:sz w:val="20"/>
          <w:szCs w:val="20"/>
          <w:b w:val="1"/>
          <w:bCs w:val="1"/>
          <w:color w:val="auto"/>
        </w:rPr>
        <w:t xml:space="preserve">Non-Solicitation. </w:t>
      </w:r>
      <w:r>
        <w:rPr>
          <w:rFonts w:ascii="Arial" w:cs="Arial" w:eastAsia="Arial" w:hAnsi="Arial"/>
          <w:sz w:val="20"/>
          <w:szCs w:val="20"/>
          <w:color w:val="auto"/>
        </w:rPr>
        <w:t>Each party agrees that during the Term of this Agreement and for a period of 12 months following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or expiration of this Agreement, it shall not make any solicitation to employ the other party's personnel without written consent of the other party. For the purposes of this clause, a general advertisement or notice of a job listing or opening or other similar general publication of a job search or availability to fill employment positions, including on the internet, shall not be construed as a solicitation or inducement, and the hiring of any such employees or independent contractor who freely responds thereto shall not be a breach of this clause. In the event an employee is solicited, offered employment or hired in violation of this Agreement, the breaching party shall pay to the other party as liquidated damages a fee equal to 35% of the employee’s yearly compensation within 30 days of written notice of such violation.</w:t>
      </w:r>
    </w:p>
    <w:p>
      <w:pPr>
        <w:spacing w:after="0" w:line="166" w:lineRule="exact"/>
        <w:rPr>
          <w:rFonts w:ascii="Arial" w:cs="Arial" w:eastAsia="Arial" w:hAnsi="Arial"/>
          <w:sz w:val="18"/>
          <w:szCs w:val="18"/>
          <w:b w:val="1"/>
          <w:bCs w:val="1"/>
          <w:color w:val="auto"/>
        </w:rPr>
      </w:pPr>
    </w:p>
    <w:p>
      <w:pPr>
        <w:jc w:val="both"/>
        <w:ind w:firstLine="5"/>
        <w:spacing w:after="0" w:line="252" w:lineRule="auto"/>
        <w:tabs>
          <w:tab w:leader="none" w:pos="610" w:val="left"/>
        </w:tabs>
        <w:numPr>
          <w:ilvl w:val="0"/>
          <w:numId w:val="15"/>
        </w:numPr>
        <w:rPr>
          <w:rFonts w:ascii="Arial" w:cs="Arial" w:eastAsia="Arial" w:hAnsi="Arial"/>
          <w:sz w:val="19"/>
          <w:szCs w:val="19"/>
          <w:b w:val="1"/>
          <w:bCs w:val="1"/>
          <w:color w:val="auto"/>
        </w:rPr>
      </w:pPr>
      <w:r>
        <w:rPr>
          <w:rFonts w:ascii="Arial" w:cs="Arial" w:eastAsia="Arial" w:hAnsi="Arial"/>
          <w:sz w:val="21"/>
          <w:szCs w:val="21"/>
          <w:b w:val="1"/>
          <w:bCs w:val="1"/>
          <w:color w:val="auto"/>
        </w:rPr>
        <w:t xml:space="preserve">Limitation of Liability. </w:t>
      </w:r>
      <w:r>
        <w:rPr>
          <w:rFonts w:ascii="Arial" w:cs="Arial" w:eastAsia="Arial" w:hAnsi="Arial"/>
          <w:sz w:val="21"/>
          <w:szCs w:val="21"/>
          <w:color w:val="auto"/>
        </w:rPr>
        <w:t>Except for indemnification obligations, and instances of fraud, gross negligence, or willful</w:t>
      </w:r>
      <w:r>
        <w:rPr>
          <w:rFonts w:ascii="Arial" w:cs="Arial" w:eastAsia="Arial" w:hAnsi="Arial"/>
          <w:sz w:val="21"/>
          <w:szCs w:val="21"/>
          <w:b w:val="1"/>
          <w:bCs w:val="1"/>
          <w:color w:val="auto"/>
        </w:rPr>
        <w:t xml:space="preserve"> </w:t>
      </w:r>
      <w:r>
        <w:rPr>
          <w:rFonts w:ascii="Arial" w:cs="Arial" w:eastAsia="Arial" w:hAnsi="Arial"/>
          <w:sz w:val="21"/>
          <w:szCs w:val="21"/>
          <w:color w:val="auto"/>
        </w:rPr>
        <w:t>misconduct each party agrees that the other party’s total liability arising out of this agreement or otherwise in connection with any consulting services, shall in no event exceed the fees paid by client to Contractor prior to the first event or occurrence giving rise to such liability, and shall in no event exceed the total amount of fees paid by client to Contractor under this agreement. Each party acknowledges and agrees that the essential purpose of this section is to allocate the risks under this agreement between the parties and limit potential liability given the fees, which would have been substantially higher if consultant were to assume any further liability other than as set forth herein. Contractor has relied on these limitations in determining whether to provide client the consulting services provided for in this agreement.</w:t>
      </w:r>
    </w:p>
    <w:p>
      <w:pPr>
        <w:spacing w:after="0" w:line="177" w:lineRule="exact"/>
        <w:rPr>
          <w:rFonts w:ascii="Arial" w:cs="Arial" w:eastAsia="Arial" w:hAnsi="Arial"/>
          <w:sz w:val="19"/>
          <w:szCs w:val="19"/>
          <w:b w:val="1"/>
          <w:bCs w:val="1"/>
          <w:color w:val="auto"/>
        </w:rPr>
      </w:pPr>
    </w:p>
    <w:p>
      <w:pPr>
        <w:jc w:val="both"/>
        <w:ind w:firstLine="5"/>
        <w:spacing w:after="0" w:line="286" w:lineRule="auto"/>
        <w:tabs>
          <w:tab w:leader="none" w:pos="621" w:val="left"/>
        </w:tabs>
        <w:numPr>
          <w:ilvl w:val="0"/>
          <w:numId w:val="15"/>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Limitation of Remedies. </w:t>
      </w:r>
      <w:r>
        <w:rPr>
          <w:rFonts w:ascii="Arial" w:cs="Arial" w:eastAsia="Arial" w:hAnsi="Arial"/>
          <w:sz w:val="19"/>
          <w:szCs w:val="19"/>
          <w:color w:val="auto"/>
        </w:rPr>
        <w:t>Inseego’s sole and exclusive remedy for any claim against Contractor with respect to the quality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services provided by Contractor under this Agreement (other than as a result of fraud, gross negligence, or willful misconduct) shall be, at Contractor’s option, re-performance of the consulting services or termination of the engagement and return of the portion of the fees paid to Contractor by Inseego for the nonconforming portion of the consulting services. In order to receive warranty remedies, deficiencies in the services must be reported to Contractor in writing within 60 days of completion of that portion of the services. In the absence of any such notice, the services shall be deemed satisfactory to and accepted by Inseego.</w:t>
      </w:r>
    </w:p>
    <w:p>
      <w:pPr>
        <w:spacing w:after="0" w:line="144" w:lineRule="exact"/>
        <w:rPr>
          <w:rFonts w:ascii="Arial" w:cs="Arial" w:eastAsia="Arial" w:hAnsi="Arial"/>
          <w:sz w:val="17"/>
          <w:szCs w:val="17"/>
          <w:b w:val="1"/>
          <w:bCs w:val="1"/>
          <w:color w:val="auto"/>
        </w:rPr>
      </w:pPr>
    </w:p>
    <w:p>
      <w:pPr>
        <w:ind w:left="620" w:hanging="615"/>
        <w:spacing w:after="0"/>
        <w:tabs>
          <w:tab w:leader="none" w:pos="620" w:val="left"/>
        </w:tabs>
        <w:numPr>
          <w:ilvl w:val="0"/>
          <w:numId w:val="15"/>
        </w:numPr>
        <w:rPr>
          <w:rFonts w:ascii="Arial" w:cs="Arial" w:eastAsia="Arial" w:hAnsi="Arial"/>
          <w:sz w:val="19"/>
          <w:szCs w:val="19"/>
          <w:b w:val="1"/>
          <w:bCs w:val="1"/>
          <w:color w:val="auto"/>
        </w:rPr>
      </w:pPr>
      <w:r>
        <w:rPr>
          <w:rFonts w:ascii="Arial" w:cs="Arial" w:eastAsia="Arial" w:hAnsi="Arial"/>
          <w:sz w:val="21"/>
          <w:szCs w:val="21"/>
          <w:b w:val="1"/>
          <w:bCs w:val="1"/>
          <w:color w:val="auto"/>
        </w:rPr>
        <w:t>General Provisions.</w:t>
      </w:r>
    </w:p>
    <w:p>
      <w:pPr>
        <w:spacing w:after="0" w:line="218"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b w:val="1"/>
          <w:bCs w:val="1"/>
          <w:color w:val="auto"/>
        </w:rPr>
        <w:t xml:space="preserve">13.1 </w:t>
      </w:r>
      <w:r>
        <w:rPr>
          <w:rFonts w:ascii="Arial" w:cs="Arial" w:eastAsia="Arial" w:hAnsi="Arial"/>
          <w:sz w:val="21"/>
          <w:szCs w:val="21"/>
          <w:b w:val="1"/>
          <w:bCs w:val="1"/>
          <w:color w:val="auto"/>
        </w:rPr>
        <w:t>Choice of Law, Arbitration, Venue.</w:t>
      </w:r>
      <w:r>
        <w:rPr>
          <w:rFonts w:ascii="Arial" w:cs="Arial" w:eastAsia="Arial" w:hAnsi="Arial"/>
          <w:sz w:val="19"/>
          <w:szCs w:val="19"/>
          <w:b w:val="1"/>
          <w:bCs w:val="1"/>
          <w:color w:val="auto"/>
        </w:rPr>
        <w:t xml:space="preserve"> </w:t>
      </w:r>
      <w:r>
        <w:rPr>
          <w:rFonts w:ascii="Arial" w:cs="Arial" w:eastAsia="Arial" w:hAnsi="Arial"/>
          <w:sz w:val="21"/>
          <w:szCs w:val="21"/>
          <w:color w:val="auto"/>
        </w:rPr>
        <w:t>The validity, interpretation, construction and performance of this Agreement</w:t>
      </w:r>
      <w:r>
        <w:rPr>
          <w:rFonts w:ascii="Arial" w:cs="Arial" w:eastAsia="Arial" w:hAnsi="Arial"/>
          <w:sz w:val="19"/>
          <w:szCs w:val="19"/>
          <w:b w:val="1"/>
          <w:bCs w:val="1"/>
          <w:color w:val="auto"/>
        </w:rPr>
        <w:t xml:space="preserve"> </w:t>
      </w:r>
      <w:r>
        <w:rPr>
          <w:rFonts w:ascii="Arial" w:cs="Arial" w:eastAsia="Arial" w:hAnsi="Arial"/>
          <w:sz w:val="21"/>
          <w:szCs w:val="21"/>
          <w:color w:val="auto"/>
        </w:rPr>
        <w:t>shall be governed by the laws of California, without giving effect to the principles of conflict of laws. Except for attempts by either party to enforce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392" w:right="339" w:bottom="1440" w:gutter="0" w:footer="0" w:header="0"/>
        </w:sectPr>
      </w:pPr>
    </w:p>
    <w:bookmarkStart w:id="46" w:name="page47"/>
    <w:bookmarkEnd w:id="46"/>
    <w:p>
      <w:pPr>
        <w:jc w:val="both"/>
        <w:spacing w:after="0" w:line="265" w:lineRule="auto"/>
        <w:rPr>
          <w:sz w:val="20"/>
          <w:szCs w:val="20"/>
          <w:color w:val="auto"/>
        </w:rPr>
      </w:pPr>
      <w:r>
        <w:rPr>
          <w:rFonts w:ascii="Arial" w:cs="Arial" w:eastAsia="Arial" w:hAnsi="Arial"/>
          <w:sz w:val="20"/>
          <w:szCs w:val="20"/>
          <w:color w:val="auto"/>
        </w:rPr>
        <w:t>provisions of Section 4, which may be pursued, among other ways, through the federal and state judicial systems, any controversy, dispute, or claim of whatever nature arising out of, in connection with, or in relation to the interpretation, performance, or breach of this agreement, including any claim based on contract, tort, or statute, shall be resolved, at the request of any party to this agreement, by final and binding arbitration administered by and in accordance with the then existing rules and procedures of the American Arbitration Association, as the exclusive method of dispute resolution. The arbitration shall take place in San Diego County, California. Judgment upon any reward rendered by the arbitrator may be entered by any state or federal court having jurisdiction thereof. The parties agree to submit to the jurisdiction of, and venue in, the federal and state courts of San Diego County in California in any dispute arising out of or relating to this Agreement.</w:t>
      </w:r>
    </w:p>
    <w:p>
      <w:pPr>
        <w:spacing w:after="0" w:line="129" w:lineRule="exact"/>
        <w:rPr>
          <w:sz w:val="20"/>
          <w:szCs w:val="20"/>
          <w:color w:val="auto"/>
        </w:rPr>
      </w:pPr>
    </w:p>
    <w:p>
      <w:pPr>
        <w:jc w:val="both"/>
        <w:ind w:firstLine="630"/>
        <w:spacing w:after="0" w:line="269"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20"/>
          <w:szCs w:val="20"/>
          <w:b w:val="1"/>
          <w:bCs w:val="1"/>
          <w:color w:val="auto"/>
        </w:rPr>
        <w:t>Severability.</w:t>
      </w:r>
      <w:r>
        <w:rPr>
          <w:rFonts w:ascii="Arial" w:cs="Arial" w:eastAsia="Arial" w:hAnsi="Arial"/>
          <w:sz w:val="18"/>
          <w:szCs w:val="18"/>
          <w:b w:val="1"/>
          <w:bCs w:val="1"/>
          <w:color w:val="auto"/>
        </w:rPr>
        <w:t xml:space="preserve"> </w:t>
      </w:r>
      <w:r>
        <w:rPr>
          <w:rFonts w:ascii="Arial" w:cs="Arial" w:eastAsia="Arial" w:hAnsi="Arial"/>
          <w:sz w:val="20"/>
          <w:szCs w:val="20"/>
          <w:color w:val="auto"/>
        </w:rPr>
        <w:t>In case any one or more of the provisions contained in this Agreement shall, for any reason, be held to</w:t>
      </w:r>
      <w:r>
        <w:rPr>
          <w:rFonts w:ascii="Arial" w:cs="Arial" w:eastAsia="Arial" w:hAnsi="Arial"/>
          <w:sz w:val="18"/>
          <w:szCs w:val="18"/>
          <w:b w:val="1"/>
          <w:bCs w:val="1"/>
          <w:color w:val="auto"/>
        </w:rPr>
        <w:t xml:space="preserve"> </w:t>
      </w:r>
      <w:r>
        <w:rPr>
          <w:rFonts w:ascii="Arial" w:cs="Arial" w:eastAsia="Arial" w:hAnsi="Arial"/>
          <w:sz w:val="20"/>
          <w:szCs w:val="20"/>
          <w:color w:val="auto"/>
        </w:rPr>
        <w:t>be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134" w:lineRule="exact"/>
        <w:rPr>
          <w:sz w:val="20"/>
          <w:szCs w:val="20"/>
          <w:color w:val="auto"/>
        </w:rPr>
      </w:pPr>
    </w:p>
    <w:p>
      <w:pPr>
        <w:jc w:val="both"/>
        <w:ind w:firstLine="630"/>
        <w:spacing w:after="0" w:line="279" w:lineRule="auto"/>
        <w:rPr>
          <w:sz w:val="20"/>
          <w:szCs w:val="20"/>
          <w:color w:val="auto"/>
        </w:rPr>
      </w:pPr>
      <w:r>
        <w:rPr>
          <w:rFonts w:ascii="Arial" w:cs="Arial" w:eastAsia="Arial" w:hAnsi="Arial"/>
          <w:sz w:val="19"/>
          <w:szCs w:val="19"/>
          <w:b w:val="1"/>
          <w:bCs w:val="1"/>
          <w:color w:val="auto"/>
        </w:rPr>
        <w:t xml:space="preserve">13.3 </w:t>
      </w:r>
      <w:r>
        <w:rPr>
          <w:rFonts w:ascii="Arial" w:cs="Arial" w:eastAsia="Arial" w:hAnsi="Arial"/>
          <w:sz w:val="21"/>
          <w:szCs w:val="21"/>
          <w:b w:val="1"/>
          <w:bCs w:val="1"/>
          <w:color w:val="auto"/>
        </w:rPr>
        <w:t>No Assignment.</w:t>
      </w:r>
      <w:r>
        <w:rPr>
          <w:rFonts w:ascii="Arial" w:cs="Arial" w:eastAsia="Arial" w:hAnsi="Arial"/>
          <w:sz w:val="19"/>
          <w:szCs w:val="19"/>
          <w:b w:val="1"/>
          <w:bCs w:val="1"/>
          <w:color w:val="auto"/>
        </w:rPr>
        <w:t xml:space="preserve"> </w:t>
      </w:r>
      <w:r>
        <w:rPr>
          <w:rFonts w:ascii="Arial" w:cs="Arial" w:eastAsia="Arial" w:hAnsi="Arial"/>
          <w:sz w:val="21"/>
          <w:szCs w:val="21"/>
          <w:color w:val="auto"/>
        </w:rPr>
        <w:t>This Agreement may not be assigned by Contractor without Inseego's consent, and any such</w:t>
      </w:r>
      <w:r>
        <w:rPr>
          <w:rFonts w:ascii="Arial" w:cs="Arial" w:eastAsia="Arial" w:hAnsi="Arial"/>
          <w:sz w:val="19"/>
          <w:szCs w:val="19"/>
          <w:b w:val="1"/>
          <w:bCs w:val="1"/>
          <w:color w:val="auto"/>
        </w:rPr>
        <w:t xml:space="preserve"> </w:t>
      </w:r>
      <w:r>
        <w:rPr>
          <w:rFonts w:ascii="Arial" w:cs="Arial" w:eastAsia="Arial" w:hAnsi="Arial"/>
          <w:sz w:val="21"/>
          <w:szCs w:val="21"/>
          <w:color w:val="auto"/>
        </w:rPr>
        <w:t>attempted assignment shall be void and of no effect. Inseego may freely assign this Agreement.</w:t>
      </w:r>
    </w:p>
    <w:p>
      <w:pPr>
        <w:spacing w:after="0" w:line="108" w:lineRule="exact"/>
        <w:rPr>
          <w:sz w:val="20"/>
          <w:szCs w:val="20"/>
          <w:color w:val="auto"/>
        </w:rPr>
      </w:pPr>
    </w:p>
    <w:p>
      <w:pPr>
        <w:jc w:val="both"/>
        <w:ind w:firstLine="630"/>
        <w:spacing w:after="0" w:line="253" w:lineRule="auto"/>
        <w:rPr>
          <w:sz w:val="20"/>
          <w:szCs w:val="20"/>
          <w:color w:val="auto"/>
        </w:rPr>
      </w:pPr>
      <w:r>
        <w:rPr>
          <w:rFonts w:ascii="Arial" w:cs="Arial" w:eastAsia="Arial" w:hAnsi="Arial"/>
          <w:sz w:val="19"/>
          <w:szCs w:val="19"/>
          <w:b w:val="1"/>
          <w:bCs w:val="1"/>
          <w:color w:val="auto"/>
        </w:rPr>
        <w:t xml:space="preserve">13.4 </w:t>
      </w:r>
      <w:r>
        <w:rPr>
          <w:rFonts w:ascii="Arial" w:cs="Arial" w:eastAsia="Arial" w:hAnsi="Arial"/>
          <w:sz w:val="21"/>
          <w:szCs w:val="21"/>
          <w:b w:val="1"/>
          <w:bCs w:val="1"/>
          <w:color w:val="auto"/>
        </w:rPr>
        <w:t>Notices.</w:t>
      </w:r>
      <w:r>
        <w:rPr>
          <w:rFonts w:ascii="Arial" w:cs="Arial" w:eastAsia="Arial" w:hAnsi="Arial"/>
          <w:sz w:val="19"/>
          <w:szCs w:val="19"/>
          <w:b w:val="1"/>
          <w:bCs w:val="1"/>
          <w:color w:val="auto"/>
        </w:rPr>
        <w:t xml:space="preserve"> </w:t>
      </w:r>
      <w:r>
        <w:rPr>
          <w:rFonts w:ascii="Arial" w:cs="Arial" w:eastAsia="Arial" w:hAnsi="Arial"/>
          <w:sz w:val="21"/>
          <w:szCs w:val="21"/>
          <w:color w:val="auto"/>
        </w:rPr>
        <w:t>All notices, requests and other communications under this Agreement must be in writing, and must be mailed</w:t>
      </w:r>
      <w:r>
        <w:rPr>
          <w:rFonts w:ascii="Arial" w:cs="Arial" w:eastAsia="Arial" w:hAnsi="Arial"/>
          <w:sz w:val="19"/>
          <w:szCs w:val="19"/>
          <w:b w:val="1"/>
          <w:bCs w:val="1"/>
          <w:color w:val="auto"/>
        </w:rPr>
        <w:t xml:space="preserve"> </w:t>
      </w:r>
      <w:r>
        <w:rPr>
          <w:rFonts w:ascii="Arial" w:cs="Arial" w:eastAsia="Arial" w:hAnsi="Arial"/>
          <w:sz w:val="21"/>
          <w:szCs w:val="21"/>
          <w:color w:val="auto"/>
        </w:rPr>
        <w:t>by registered or certified mail, postage prepaid and return receipt requested, or delivered by hand to the party to whom such notice is required or permitted to be given. If mailed, any such notice will be considered to have been given five (5) business days after it was mailed, as evidenced by the postmark. If delivered by hand, any such notice will be considered to have been given when received by the party to whom notice is given, as evidenced by written and dated receipt of the receiving party. The mailing address for notice to either party will be the address shown on the signature page of this Agreement. Either party may change its mailing address by notice as provided by this section.</w:t>
      </w:r>
    </w:p>
    <w:p>
      <w:pPr>
        <w:spacing w:after="0" w:line="13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b w:val="1"/>
          <w:bCs w:val="1"/>
          <w:color w:val="auto"/>
        </w:rPr>
        <w:t xml:space="preserve">13.5 </w:t>
      </w:r>
      <w:r>
        <w:rPr>
          <w:rFonts w:ascii="Arial" w:cs="Arial" w:eastAsia="Arial" w:hAnsi="Arial"/>
          <w:sz w:val="21"/>
          <w:szCs w:val="21"/>
          <w:b w:val="1"/>
          <w:bCs w:val="1"/>
          <w:color w:val="auto"/>
        </w:rPr>
        <w:t>Injunctive Relief.</w:t>
      </w:r>
      <w:r>
        <w:rPr>
          <w:rFonts w:ascii="Arial" w:cs="Arial" w:eastAsia="Arial" w:hAnsi="Arial"/>
          <w:sz w:val="19"/>
          <w:szCs w:val="19"/>
          <w:b w:val="1"/>
          <w:bCs w:val="1"/>
          <w:color w:val="auto"/>
        </w:rPr>
        <w:t xml:space="preserve"> </w:t>
      </w:r>
      <w:r>
        <w:rPr>
          <w:rFonts w:ascii="Arial" w:cs="Arial" w:eastAsia="Arial" w:hAnsi="Arial"/>
          <w:sz w:val="21"/>
          <w:szCs w:val="21"/>
          <w:color w:val="auto"/>
        </w:rPr>
        <w:t>A breach of any of the promises or agreements contained in this Agreement may result in</w:t>
      </w:r>
      <w:r>
        <w:rPr>
          <w:rFonts w:ascii="Arial" w:cs="Arial" w:eastAsia="Arial" w:hAnsi="Arial"/>
          <w:sz w:val="19"/>
          <w:szCs w:val="19"/>
          <w:b w:val="1"/>
          <w:bCs w:val="1"/>
          <w:color w:val="auto"/>
        </w:rPr>
        <w:t xml:space="preserve"> </w:t>
      </w:r>
      <w:r>
        <w:rPr>
          <w:rFonts w:ascii="Arial" w:cs="Arial" w:eastAsia="Arial" w:hAnsi="Arial"/>
          <w:sz w:val="21"/>
          <w:szCs w:val="21"/>
          <w:color w:val="auto"/>
        </w:rPr>
        <w:t>irreparable and continuing damage to Inseego for which there may be no adequate remedy at law, and Inseego is therefore entitled to seek injunctive relief as well as such other and further relief as may be appropriate.</w:t>
      </w:r>
    </w:p>
    <w:p>
      <w:pPr>
        <w:spacing w:after="0" w:line="138"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b w:val="1"/>
          <w:bCs w:val="1"/>
          <w:color w:val="auto"/>
        </w:rPr>
        <w:t xml:space="preserve">13.6 </w:t>
      </w:r>
      <w:r>
        <w:rPr>
          <w:rFonts w:ascii="Arial" w:cs="Arial" w:eastAsia="Arial" w:hAnsi="Arial"/>
          <w:sz w:val="21"/>
          <w:szCs w:val="21"/>
          <w:b w:val="1"/>
          <w:bCs w:val="1"/>
          <w:color w:val="auto"/>
        </w:rPr>
        <w:t>Survival.</w:t>
      </w:r>
      <w:r>
        <w:rPr>
          <w:rFonts w:ascii="Arial" w:cs="Arial" w:eastAsia="Arial" w:hAnsi="Arial"/>
          <w:sz w:val="19"/>
          <w:szCs w:val="19"/>
          <w:b w:val="1"/>
          <w:bCs w:val="1"/>
          <w:color w:val="auto"/>
        </w:rPr>
        <w:t xml:space="preserve"> </w:t>
      </w:r>
      <w:r>
        <w:rPr>
          <w:rFonts w:ascii="Arial" w:cs="Arial" w:eastAsia="Arial" w:hAnsi="Arial"/>
          <w:sz w:val="21"/>
          <w:szCs w:val="21"/>
          <w:color w:val="auto"/>
        </w:rPr>
        <w:t>The following provisions shall survive termination of this Agreement: Section 4 (including all subsections),</w:t>
      </w:r>
      <w:r>
        <w:rPr>
          <w:rFonts w:ascii="Arial" w:cs="Arial" w:eastAsia="Arial" w:hAnsi="Arial"/>
          <w:sz w:val="19"/>
          <w:szCs w:val="19"/>
          <w:b w:val="1"/>
          <w:bCs w:val="1"/>
          <w:color w:val="auto"/>
        </w:rPr>
        <w:t xml:space="preserve"> </w:t>
      </w:r>
      <w:r>
        <w:rPr>
          <w:rFonts w:ascii="Arial" w:cs="Arial" w:eastAsia="Arial" w:hAnsi="Arial"/>
          <w:sz w:val="21"/>
          <w:szCs w:val="21"/>
          <w:color w:val="auto"/>
        </w:rPr>
        <w:t>Section 5 and Section 6. In addition, all rights and obligations that have accrued as of the time of termination shall survive termination.</w:t>
      </w:r>
    </w:p>
    <w:p>
      <w:pPr>
        <w:spacing w:after="0" w:line="125"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9"/>
          <w:szCs w:val="19"/>
          <w:b w:val="1"/>
          <w:bCs w:val="1"/>
          <w:color w:val="auto"/>
        </w:rPr>
        <w:t xml:space="preserve">13.7 </w:t>
      </w:r>
      <w:r>
        <w:rPr>
          <w:rFonts w:ascii="Arial" w:cs="Arial" w:eastAsia="Arial" w:hAnsi="Arial"/>
          <w:sz w:val="21"/>
          <w:szCs w:val="21"/>
          <w:b w:val="1"/>
          <w:bCs w:val="1"/>
          <w:color w:val="auto"/>
        </w:rPr>
        <w:t>Export.</w:t>
      </w:r>
      <w:r>
        <w:rPr>
          <w:rFonts w:ascii="Arial" w:cs="Arial" w:eastAsia="Arial" w:hAnsi="Arial"/>
          <w:sz w:val="19"/>
          <w:szCs w:val="19"/>
          <w:b w:val="1"/>
          <w:bCs w:val="1"/>
          <w:color w:val="auto"/>
        </w:rPr>
        <w:t xml:space="preserve"> </w:t>
      </w:r>
      <w:r>
        <w:rPr>
          <w:rFonts w:ascii="Arial" w:cs="Arial" w:eastAsia="Arial" w:hAnsi="Arial"/>
          <w:sz w:val="21"/>
          <w:szCs w:val="21"/>
          <w:color w:val="auto"/>
        </w:rPr>
        <w:t>Contractor agrees not to export, directly or indirectly, any U.S. source technical data acquired from Inseego</w:t>
      </w:r>
      <w:r>
        <w:rPr>
          <w:rFonts w:ascii="Arial" w:cs="Arial" w:eastAsia="Arial" w:hAnsi="Arial"/>
          <w:sz w:val="19"/>
          <w:szCs w:val="19"/>
          <w:b w:val="1"/>
          <w:bCs w:val="1"/>
          <w:color w:val="auto"/>
        </w:rPr>
        <w:t xml:space="preserve"> </w:t>
      </w:r>
      <w:r>
        <w:rPr>
          <w:rFonts w:ascii="Arial" w:cs="Arial" w:eastAsia="Arial" w:hAnsi="Arial"/>
          <w:sz w:val="21"/>
          <w:szCs w:val="21"/>
          <w:color w:val="auto"/>
        </w:rPr>
        <w:t>or any products utilizing such data to countries outside the United States, which export may be in violation of the United States export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392" w:right="339" w:bottom="1440" w:gutter="0" w:footer="0" w:header="0"/>
        </w:sectPr>
      </w:pPr>
    </w:p>
    <w:bookmarkStart w:id="47" w:name="page48"/>
    <w:bookmarkEnd w:id="47"/>
    <w:p>
      <w:pPr>
        <w:jc w:val="both"/>
        <w:ind w:firstLine="630"/>
        <w:spacing w:after="0" w:line="304" w:lineRule="auto"/>
        <w:rPr>
          <w:sz w:val="20"/>
          <w:szCs w:val="20"/>
          <w:color w:val="auto"/>
        </w:rPr>
      </w:pPr>
      <w:r>
        <w:rPr>
          <w:rFonts w:ascii="Arial" w:cs="Arial" w:eastAsia="Arial" w:hAnsi="Arial"/>
          <w:sz w:val="17"/>
          <w:szCs w:val="17"/>
          <w:b w:val="1"/>
          <w:bCs w:val="1"/>
          <w:color w:val="auto"/>
        </w:rPr>
        <w:t xml:space="preserve">13.8 </w:t>
      </w:r>
      <w:r>
        <w:rPr>
          <w:rFonts w:ascii="Arial" w:cs="Arial" w:eastAsia="Arial" w:hAnsi="Arial"/>
          <w:sz w:val="19"/>
          <w:szCs w:val="19"/>
          <w:b w:val="1"/>
          <w:bCs w:val="1"/>
          <w:color w:val="auto"/>
        </w:rPr>
        <w:t>Waiver.</w:t>
      </w:r>
      <w:r>
        <w:rPr>
          <w:rFonts w:ascii="Arial" w:cs="Arial" w:eastAsia="Arial" w:hAnsi="Arial"/>
          <w:sz w:val="17"/>
          <w:szCs w:val="17"/>
          <w:b w:val="1"/>
          <w:bCs w:val="1"/>
          <w:color w:val="auto"/>
        </w:rPr>
        <w:t xml:space="preserve"> </w:t>
      </w:r>
      <w:r>
        <w:rPr>
          <w:rFonts w:ascii="Arial" w:cs="Arial" w:eastAsia="Arial" w:hAnsi="Arial"/>
          <w:sz w:val="19"/>
          <w:szCs w:val="19"/>
          <w:color w:val="auto"/>
        </w:rPr>
        <w:t>No waiver by Inseego or Consultant of any breach of this Agreement shall be a waiver of any preceding or</w:t>
      </w:r>
      <w:r>
        <w:rPr>
          <w:rFonts w:ascii="Arial" w:cs="Arial" w:eastAsia="Arial" w:hAnsi="Arial"/>
          <w:sz w:val="17"/>
          <w:szCs w:val="17"/>
          <w:b w:val="1"/>
          <w:bCs w:val="1"/>
          <w:color w:val="auto"/>
        </w:rPr>
        <w:t xml:space="preserve"> </w:t>
      </w:r>
      <w:r>
        <w:rPr>
          <w:rFonts w:ascii="Arial" w:cs="Arial" w:eastAsia="Arial" w:hAnsi="Arial"/>
          <w:sz w:val="19"/>
          <w:szCs w:val="19"/>
          <w:color w:val="auto"/>
        </w:rPr>
        <w:t>succeeding breach. No waiver by Inseego or Consultant of any right under this Agreement shall be construed as a waiver of any other right. Neither Inseego nor Consultant shall be required to give notice to enforce strict adherence to all terms of this Agreement.</w:t>
      </w:r>
    </w:p>
    <w:p>
      <w:pPr>
        <w:spacing w:after="0" w:line="89" w:lineRule="exact"/>
        <w:rPr>
          <w:sz w:val="20"/>
          <w:szCs w:val="20"/>
          <w:color w:val="auto"/>
        </w:rPr>
      </w:pPr>
    </w:p>
    <w:p>
      <w:pPr>
        <w:jc w:val="both"/>
        <w:ind w:firstLine="630"/>
        <w:spacing w:after="0" w:line="294" w:lineRule="auto"/>
        <w:rPr>
          <w:sz w:val="20"/>
          <w:szCs w:val="20"/>
          <w:color w:val="auto"/>
        </w:rPr>
      </w:pPr>
      <w:r>
        <w:rPr>
          <w:rFonts w:ascii="Arial" w:cs="Arial" w:eastAsia="Arial" w:hAnsi="Arial"/>
          <w:sz w:val="17"/>
          <w:szCs w:val="17"/>
          <w:b w:val="1"/>
          <w:bCs w:val="1"/>
          <w:color w:val="auto"/>
        </w:rPr>
        <w:t xml:space="preserve">13.9 </w:t>
      </w:r>
      <w:r>
        <w:rPr>
          <w:rFonts w:ascii="Arial" w:cs="Arial" w:eastAsia="Arial" w:hAnsi="Arial"/>
          <w:sz w:val="19"/>
          <w:szCs w:val="19"/>
          <w:b w:val="1"/>
          <w:bCs w:val="1"/>
          <w:color w:val="auto"/>
        </w:rPr>
        <w:t>Entire Agreement.</w:t>
      </w:r>
      <w:r>
        <w:rPr>
          <w:rFonts w:ascii="Arial" w:cs="Arial" w:eastAsia="Arial" w:hAnsi="Arial"/>
          <w:sz w:val="17"/>
          <w:szCs w:val="17"/>
          <w:b w:val="1"/>
          <w:bCs w:val="1"/>
          <w:color w:val="auto"/>
        </w:rPr>
        <w:t xml:space="preserve"> </w:t>
      </w:r>
      <w:r>
        <w:rPr>
          <w:rFonts w:ascii="Arial" w:cs="Arial" w:eastAsia="Arial" w:hAnsi="Arial"/>
          <w:sz w:val="19"/>
          <w:szCs w:val="19"/>
          <w:color w:val="auto"/>
        </w:rPr>
        <w:t>This Agreement is the final, complete and exclusive agreement of the parties with respect to the</w:t>
      </w:r>
      <w:r>
        <w:rPr>
          <w:rFonts w:ascii="Arial" w:cs="Arial" w:eastAsia="Arial" w:hAnsi="Arial"/>
          <w:sz w:val="17"/>
          <w:szCs w:val="17"/>
          <w:b w:val="1"/>
          <w:bCs w:val="1"/>
          <w:color w:val="auto"/>
        </w:rPr>
        <w:t xml:space="preserve"> </w:t>
      </w:r>
      <w:r>
        <w:rPr>
          <w:rFonts w:ascii="Arial" w:cs="Arial" w:eastAsia="Arial" w:hAnsi="Arial"/>
          <w:sz w:val="19"/>
          <w:szCs w:val="19"/>
          <w:color w:val="auto"/>
        </w:rPr>
        <w:t>subject matter hereof and supersedes and merges all prior discussions between us. No modification of or amendment to this Agreement, nor any waiver of any rights under this Agreement, will be effective unless in writing and signed by the party to be charged. The terms of this Agreement will govern all Statement of Works and services undertaken by Contractor for Inseego.</w:t>
      </w:r>
    </w:p>
    <w:p>
      <w:pPr>
        <w:spacing w:after="0" w:line="137" w:lineRule="exact"/>
        <w:rPr>
          <w:sz w:val="20"/>
          <w:szCs w:val="20"/>
          <w:color w:val="auto"/>
        </w:rPr>
      </w:pPr>
    </w:p>
    <w:p>
      <w:pPr>
        <w:jc w:val="both"/>
        <w:ind w:firstLine="333"/>
        <w:spacing w:after="0" w:line="279" w:lineRule="auto"/>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parties have caused this Independent Contractor Services Agreement to be executed by their duly</w:t>
      </w:r>
      <w:r>
        <w:rPr>
          <w:rFonts w:ascii="Arial" w:cs="Arial" w:eastAsia="Arial" w:hAnsi="Arial"/>
          <w:sz w:val="21"/>
          <w:szCs w:val="21"/>
          <w:b w:val="1"/>
          <w:bCs w:val="1"/>
          <w:color w:val="auto"/>
        </w:rPr>
        <w:t xml:space="preserve"> </w:t>
      </w:r>
      <w:r>
        <w:rPr>
          <w:rFonts w:ascii="Arial" w:cs="Arial" w:eastAsia="Arial" w:hAnsi="Arial"/>
          <w:sz w:val="21"/>
          <w:szCs w:val="21"/>
          <w:color w:val="auto"/>
        </w:rPr>
        <w:t>authorized representative.</w:t>
      </w:r>
    </w:p>
    <w:p>
      <w:pPr>
        <w:spacing w:after="0" w:line="174" w:lineRule="exact"/>
        <w:rPr>
          <w:sz w:val="20"/>
          <w:szCs w:val="20"/>
          <w:color w:val="auto"/>
        </w:rPr>
      </w:pPr>
    </w:p>
    <w:p>
      <w:pPr>
        <w:spacing w:after="0"/>
        <w:tabs>
          <w:tab w:leader="none" w:pos="1160" w:val="left"/>
        </w:tabs>
        <w:rPr>
          <w:sz w:val="20"/>
          <w:szCs w:val="20"/>
          <w:color w:val="auto"/>
        </w:rPr>
      </w:pPr>
      <w:r>
        <w:rPr>
          <w:rFonts w:ascii="Arial" w:cs="Arial" w:eastAsia="Arial" w:hAnsi="Arial"/>
          <w:sz w:val="21"/>
          <w:szCs w:val="21"/>
          <w:b w:val="1"/>
          <w:bCs w:val="1"/>
          <w:color w:val="auto"/>
        </w:rPr>
        <w:t>Inseego:</w:t>
      </w:r>
      <w:r>
        <w:rPr>
          <w:sz w:val="20"/>
          <w:szCs w:val="20"/>
          <w:color w:val="auto"/>
        </w:rPr>
        <w:tab/>
      </w:r>
      <w:r>
        <w:rPr>
          <w:rFonts w:ascii="Arial" w:cs="Arial" w:eastAsia="Arial" w:hAnsi="Arial"/>
          <w:sz w:val="21"/>
          <w:szCs w:val="21"/>
          <w:b w:val="1"/>
          <w:bCs w:val="1"/>
          <w:color w:val="auto"/>
        </w:rPr>
        <w:t>Contractor: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000" w:type="dxa"/>
            <w:vAlign w:val="bottom"/>
            <w:gridSpan w:val="3"/>
          </w:tcPr>
          <w:p>
            <w:pPr>
              <w:spacing w:after="0"/>
              <w:rPr>
                <w:sz w:val="20"/>
                <w:szCs w:val="20"/>
                <w:color w:val="auto"/>
              </w:rPr>
            </w:pPr>
            <w:r>
              <w:rPr>
                <w:rFonts w:ascii="Arial" w:cs="Arial" w:eastAsia="Arial" w:hAnsi="Arial"/>
                <w:sz w:val="21"/>
                <w:szCs w:val="21"/>
                <w:b w:val="1"/>
                <w:bCs w:val="1"/>
                <w:color w:val="auto"/>
                <w:w w:val="90"/>
              </w:rPr>
              <w:t>Inseego Wireless, Inc.</w:t>
            </w:r>
          </w:p>
        </w:tc>
        <w:tc>
          <w:tcPr>
            <w:tcW w:w="360" w:type="dxa"/>
            <w:vAlign w:val="bottom"/>
          </w:tcPr>
          <w:p>
            <w:pPr>
              <w:spacing w:after="0"/>
              <w:rPr>
                <w:sz w:val="23"/>
                <w:szCs w:val="23"/>
                <w:color w:val="auto"/>
              </w:rPr>
            </w:pPr>
          </w:p>
        </w:tc>
        <w:tc>
          <w:tcPr>
            <w:tcW w:w="1560" w:type="dxa"/>
            <w:vAlign w:val="bottom"/>
            <w:gridSpan w:val="2"/>
          </w:tcPr>
          <w:p>
            <w:pPr>
              <w:spacing w:after="0"/>
              <w:rPr>
                <w:sz w:val="20"/>
                <w:szCs w:val="20"/>
                <w:color w:val="auto"/>
              </w:rPr>
            </w:pPr>
            <w:r>
              <w:rPr>
                <w:rFonts w:ascii="Arial" w:cs="Arial" w:eastAsia="Arial" w:hAnsi="Arial"/>
                <w:sz w:val="21"/>
                <w:szCs w:val="21"/>
                <w:b w:val="1"/>
                <w:bCs w:val="1"/>
                <w:color w:val="auto"/>
              </w:rPr>
              <w:t>TechCXO, LLC,</w:t>
            </w:r>
          </w:p>
        </w:tc>
        <w:tc>
          <w:tcPr>
            <w:tcW w:w="52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673"/>
        </w:trPr>
        <w:tc>
          <w:tcPr>
            <w:tcW w:w="2000" w:type="dxa"/>
            <w:vAlign w:val="bottom"/>
            <w:gridSpan w:val="3"/>
          </w:tcPr>
          <w:p>
            <w:pPr>
              <w:spacing w:after="0"/>
              <w:rPr>
                <w:sz w:val="20"/>
                <w:szCs w:val="20"/>
                <w:color w:val="auto"/>
              </w:rPr>
            </w:pPr>
            <w:r>
              <w:rPr>
                <w:rFonts w:ascii="Arial" w:cs="Arial" w:eastAsia="Arial" w:hAnsi="Arial"/>
                <w:sz w:val="21"/>
                <w:szCs w:val="21"/>
                <w:color w:val="auto"/>
              </w:rPr>
              <w:t>By:/s/ Dan Mondor</w:t>
            </w:r>
          </w:p>
        </w:tc>
        <w:tc>
          <w:tcPr>
            <w:tcW w:w="5200" w:type="dxa"/>
            <w:vAlign w:val="bottom"/>
            <w:gridSpan w:val="5"/>
          </w:tcPr>
          <w:p>
            <w:pPr>
              <w:ind w:left="60"/>
              <w:spacing w:after="0"/>
              <w:rPr>
                <w:sz w:val="20"/>
                <w:szCs w:val="20"/>
                <w:color w:val="auto"/>
              </w:rPr>
            </w:pPr>
            <w:r>
              <w:rPr>
                <w:rFonts w:ascii="Arial" w:cs="Arial" w:eastAsia="Arial" w:hAnsi="Arial"/>
                <w:sz w:val="21"/>
                <w:szCs w:val="21"/>
                <w:color w:val="auto"/>
              </w:rPr>
              <w:t>By: /s/ Robert G. Barbieri</w:t>
            </w:r>
          </w:p>
        </w:tc>
      </w:tr>
      <w:tr>
        <w:trPr>
          <w:trHeight w:val="20"/>
        </w:trPr>
        <w:tc>
          <w:tcPr>
            <w:tcW w:w="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3"/>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61"/>
        </w:trPr>
        <w:tc>
          <w:tcPr>
            <w:tcW w:w="2000" w:type="dxa"/>
            <w:vAlign w:val="bottom"/>
            <w:gridSpan w:val="3"/>
          </w:tcPr>
          <w:p>
            <w:pPr>
              <w:spacing w:after="0"/>
              <w:rPr>
                <w:sz w:val="20"/>
                <w:szCs w:val="20"/>
                <w:color w:val="auto"/>
              </w:rPr>
            </w:pPr>
            <w:r>
              <w:rPr>
                <w:rFonts w:ascii="Arial" w:cs="Arial" w:eastAsia="Arial" w:hAnsi="Arial"/>
                <w:sz w:val="21"/>
                <w:szCs w:val="21"/>
                <w:color w:val="auto"/>
              </w:rPr>
              <w:t>Name: Dan Mondor</w:t>
            </w:r>
          </w:p>
        </w:tc>
        <w:tc>
          <w:tcPr>
            <w:tcW w:w="5200" w:type="dxa"/>
            <w:vAlign w:val="bottom"/>
            <w:gridSpan w:val="5"/>
          </w:tcPr>
          <w:p>
            <w:pPr>
              <w:ind w:left="120"/>
              <w:spacing w:after="0"/>
              <w:rPr>
                <w:sz w:val="20"/>
                <w:szCs w:val="20"/>
                <w:color w:val="auto"/>
              </w:rPr>
            </w:pPr>
            <w:r>
              <w:rPr>
                <w:rFonts w:ascii="Arial" w:cs="Arial" w:eastAsia="Arial" w:hAnsi="Arial"/>
                <w:sz w:val="21"/>
                <w:szCs w:val="21"/>
                <w:color w:val="auto"/>
              </w:rPr>
              <w:t>Name: Robert G. Barbieri</w:t>
            </w:r>
          </w:p>
        </w:tc>
      </w:tr>
      <w:tr>
        <w:trPr>
          <w:trHeight w:val="267"/>
        </w:trPr>
        <w:tc>
          <w:tcPr>
            <w:tcW w:w="2820" w:type="dxa"/>
            <w:vAlign w:val="bottom"/>
            <w:gridSpan w:val="5"/>
          </w:tcPr>
          <w:p>
            <w:pPr>
              <w:spacing w:after="0"/>
              <w:rPr>
                <w:sz w:val="20"/>
                <w:szCs w:val="20"/>
                <w:color w:val="auto"/>
              </w:rPr>
            </w:pPr>
            <w:r>
              <w:rPr>
                <w:rFonts w:ascii="Arial" w:cs="Arial" w:eastAsia="Arial" w:hAnsi="Arial"/>
                <w:sz w:val="21"/>
                <w:szCs w:val="21"/>
                <w:color w:val="auto"/>
              </w:rPr>
              <w:t>Title: Chief Executive Officer</w:t>
            </w:r>
          </w:p>
        </w:tc>
        <w:tc>
          <w:tcPr>
            <w:tcW w:w="4380" w:type="dxa"/>
            <w:vAlign w:val="bottom"/>
            <w:gridSpan w:val="3"/>
          </w:tcPr>
          <w:p>
            <w:pPr>
              <w:ind w:left="540"/>
              <w:spacing w:after="0"/>
              <w:rPr>
                <w:sz w:val="20"/>
                <w:szCs w:val="20"/>
                <w:color w:val="auto"/>
              </w:rPr>
            </w:pPr>
            <w:r>
              <w:rPr>
                <w:rFonts w:ascii="Arial" w:cs="Arial" w:eastAsia="Arial" w:hAnsi="Arial"/>
                <w:sz w:val="21"/>
                <w:szCs w:val="21"/>
                <w:color w:val="auto"/>
              </w:rPr>
              <w:t>Title: Lead Partner</w:t>
            </w:r>
          </w:p>
        </w:tc>
      </w:tr>
      <w:tr>
        <w:trPr>
          <w:trHeight w:val="468"/>
        </w:trPr>
        <w:tc>
          <w:tcPr>
            <w:tcW w:w="3920" w:type="dxa"/>
            <w:vAlign w:val="bottom"/>
            <w:gridSpan w:val="6"/>
          </w:tcPr>
          <w:p>
            <w:pPr>
              <w:spacing w:after="0"/>
              <w:rPr>
                <w:sz w:val="20"/>
                <w:szCs w:val="20"/>
                <w:color w:val="auto"/>
              </w:rPr>
            </w:pPr>
            <w:r>
              <w:rPr>
                <w:rFonts w:ascii="Arial" w:cs="Arial" w:eastAsia="Arial" w:hAnsi="Arial"/>
                <w:sz w:val="21"/>
                <w:szCs w:val="21"/>
                <w:color w:val="auto"/>
              </w:rPr>
              <w:t>Address:  9710 Scranton Road, Suite 200</w:t>
            </w:r>
          </w:p>
        </w:tc>
        <w:tc>
          <w:tcPr>
            <w:tcW w:w="3280" w:type="dxa"/>
            <w:vAlign w:val="bottom"/>
            <w:gridSpan w:val="2"/>
          </w:tcPr>
          <w:p>
            <w:pPr>
              <w:ind w:left="80"/>
              <w:spacing w:after="0"/>
              <w:rPr>
                <w:sz w:val="20"/>
                <w:szCs w:val="20"/>
                <w:color w:val="auto"/>
              </w:rPr>
            </w:pPr>
            <w:r>
              <w:rPr>
                <w:rFonts w:ascii="Arial" w:cs="Arial" w:eastAsia="Arial" w:hAnsi="Arial"/>
                <w:sz w:val="21"/>
                <w:szCs w:val="21"/>
                <w:color w:val="auto"/>
                <w:w w:val="92"/>
              </w:rPr>
              <w:t>Address:  75 5th St NW, Suite #3515</w:t>
            </w:r>
          </w:p>
        </w:tc>
      </w:tr>
      <w:tr>
        <w:trPr>
          <w:trHeight w:val="249"/>
        </w:trPr>
        <w:tc>
          <w:tcPr>
            <w:tcW w:w="300" w:type="dxa"/>
            <w:vAlign w:val="bottom"/>
          </w:tcPr>
          <w:p>
            <w:pPr>
              <w:spacing w:after="0"/>
              <w:rPr>
                <w:sz w:val="21"/>
                <w:szCs w:val="21"/>
                <w:color w:val="auto"/>
              </w:rPr>
            </w:pPr>
          </w:p>
        </w:tc>
        <w:tc>
          <w:tcPr>
            <w:tcW w:w="2520" w:type="dxa"/>
            <w:vAlign w:val="bottom"/>
            <w:gridSpan w:val="4"/>
          </w:tcPr>
          <w:p>
            <w:pPr>
              <w:ind w:left="120"/>
              <w:spacing w:after="0"/>
              <w:rPr>
                <w:sz w:val="20"/>
                <w:szCs w:val="20"/>
                <w:color w:val="auto"/>
              </w:rPr>
            </w:pPr>
            <w:r>
              <w:rPr>
                <w:rFonts w:ascii="Arial" w:cs="Arial" w:eastAsia="Arial" w:hAnsi="Arial"/>
                <w:sz w:val="21"/>
                <w:szCs w:val="21"/>
                <w:color w:val="auto"/>
              </w:rPr>
              <w:t>San Diego, CA 92121</w:t>
            </w:r>
          </w:p>
        </w:tc>
        <w:tc>
          <w:tcPr>
            <w:tcW w:w="4380" w:type="dxa"/>
            <w:vAlign w:val="bottom"/>
            <w:gridSpan w:val="3"/>
          </w:tcPr>
          <w:p>
            <w:pPr>
              <w:ind w:left="280"/>
              <w:spacing w:after="0"/>
              <w:rPr>
                <w:sz w:val="20"/>
                <w:szCs w:val="20"/>
                <w:color w:val="auto"/>
              </w:rPr>
            </w:pPr>
            <w:r>
              <w:rPr>
                <w:rFonts w:ascii="Arial" w:cs="Arial" w:eastAsia="Arial" w:hAnsi="Arial"/>
                <w:sz w:val="21"/>
                <w:szCs w:val="21"/>
                <w:color w:val="auto"/>
              </w:rPr>
              <w:t>Atlanta, GA 30308</w:t>
            </w:r>
          </w:p>
        </w:tc>
      </w:tr>
      <w:tr>
        <w:trPr>
          <w:trHeight w:val="267"/>
        </w:trPr>
        <w:tc>
          <w:tcPr>
            <w:tcW w:w="2000" w:type="dxa"/>
            <w:vAlign w:val="bottom"/>
            <w:gridSpan w:val="3"/>
          </w:tcPr>
          <w:p>
            <w:pPr>
              <w:spacing w:after="0"/>
              <w:rPr>
                <w:sz w:val="20"/>
                <w:szCs w:val="20"/>
                <w:color w:val="auto"/>
              </w:rPr>
            </w:pPr>
            <w:r>
              <w:rPr>
                <w:rFonts w:ascii="Arial" w:cs="Arial" w:eastAsia="Arial" w:hAnsi="Arial"/>
                <w:sz w:val="21"/>
                <w:szCs w:val="21"/>
                <w:color w:val="auto"/>
              </w:rPr>
              <w:t>Tel: (858) 812-3400</w:t>
            </w:r>
          </w:p>
        </w:tc>
        <w:tc>
          <w:tcPr>
            <w:tcW w:w="1920" w:type="dxa"/>
            <w:vAlign w:val="bottom"/>
            <w:gridSpan w:val="3"/>
          </w:tcPr>
          <w:p>
            <w:pPr>
              <w:ind w:left="120"/>
              <w:spacing w:after="0"/>
              <w:rPr>
                <w:sz w:val="20"/>
                <w:szCs w:val="20"/>
                <w:color w:val="auto"/>
              </w:rPr>
            </w:pPr>
            <w:r>
              <w:rPr>
                <w:rFonts w:ascii="Arial" w:cs="Arial" w:eastAsia="Arial" w:hAnsi="Arial"/>
                <w:sz w:val="21"/>
                <w:szCs w:val="21"/>
                <w:color w:val="auto"/>
                <w:w w:val="96"/>
              </w:rPr>
              <w:t>Tel: (612) 961-8756</w:t>
            </w:r>
          </w:p>
        </w:tc>
        <w:tc>
          <w:tcPr>
            <w:tcW w:w="520" w:type="dxa"/>
            <w:vAlign w:val="bottom"/>
          </w:tcPr>
          <w:p>
            <w:pPr>
              <w:spacing w:after="0"/>
              <w:rPr>
                <w:sz w:val="23"/>
                <w:szCs w:val="23"/>
                <w:color w:val="auto"/>
              </w:rPr>
            </w:pPr>
          </w:p>
        </w:tc>
        <w:tc>
          <w:tcPr>
            <w:tcW w:w="27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386"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21"/>
          <w:szCs w:val="21"/>
          <w:b w:val="1"/>
          <w:bCs w:val="1"/>
          <w:color w:val="auto"/>
        </w:rPr>
        <w:t>EXHIBIT 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STATEMENT OF WORK</w:t>
      </w:r>
    </w:p>
    <w:p>
      <w:pPr>
        <w:spacing w:after="0" w:line="250"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This Statement of Work is agreed upon in connection with, and governed by, the Independent Contractor Services Agreement between Inseego Wireless, Inc. (“Inseego”) and TechCXO, LLC (“Contractor”) dated as of March 31, 2021 (the “Agreement”). Capitalized terms used herein not otherwise defined, shall have the meaning ascribed thereto in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Services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Contractor will engage and provide Bob Barbieri to act as interim Chief Financial Officer for Inseego Corp. This assignment will be focused on fulfilling the broad CFO responsibilities of the role and aligned with the priorities discussed with the Chief Executive Officer and Audit Committee Chair for Inseego Corp. Additional transition assistance may also be provided beyond the interim assignment period.</w:t>
      </w:r>
    </w:p>
    <w:p>
      <w:pPr>
        <w:spacing w:after="0" w:line="204"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Particular focus will be placed on insuring a stable and scalable finance and accounting operation as well as partner with the management team for continued growth and scaling as well as refine a well-developed infrastructure for future growth needs.</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Term of Statement of Work</w:t>
      </w:r>
    </w:p>
    <w:p>
      <w:pPr>
        <w:spacing w:after="0" w:line="250"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The term of this Statement of Work shall begin on April 5, 2021 and continue until June 30, 2021, after which it shall renew on a month-to-month basis until terminated by either party.</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b w:val="1"/>
          <w:bCs w:val="1"/>
          <w:color w:val="auto"/>
        </w:rPr>
        <w:t>Payment of Fees and Expenses</w:t>
      </w:r>
      <w:r>
        <w:rPr>
          <w:rFonts w:ascii="Arial" w:cs="Arial" w:eastAsia="Arial" w:hAnsi="Arial"/>
          <w:sz w:val="21"/>
          <w:szCs w:val="21"/>
          <w:color w:val="auto"/>
        </w:rPr>
        <w:t>. Fee will be based on a rate of $380 per hour; provided that fees for any hours in excess of 100</w:t>
      </w:r>
      <w:r>
        <w:rPr>
          <w:rFonts w:ascii="Arial" w:cs="Arial" w:eastAsia="Arial" w:hAnsi="Arial"/>
          <w:sz w:val="21"/>
          <w:szCs w:val="21"/>
          <w:b w:val="1"/>
          <w:bCs w:val="1"/>
          <w:color w:val="auto"/>
        </w:rPr>
        <w:t xml:space="preserve"> </w:t>
      </w:r>
      <w:r>
        <w:rPr>
          <w:rFonts w:ascii="Arial" w:cs="Arial" w:eastAsia="Arial" w:hAnsi="Arial"/>
          <w:sz w:val="21"/>
          <w:szCs w:val="21"/>
          <w:color w:val="auto"/>
        </w:rPr>
        <w:t>hours per month need to be approved in advance by the CEO of Inseego and shall be paid in immediately vested, freely tradeable shares of Inseego Common Stock.</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Upon execution of this agreement $10,000 will be billed for startup activities of which $2,000 to be applied to the final invoice under this agreement.</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Inseego shall reimburse Contractor for actual, reasonable travel, lodging, and out-of-pocket expenses incurred with Contractor’s prior written approval. Mileage rates will conform to the IRS standard rate schedule.</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Personnel</w:t>
      </w:r>
    </w:p>
    <w:p>
      <w:pPr>
        <w:spacing w:after="0" w:line="24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addition to the service of Bob Barbieri as interim CFO, where required, Contractor we will provide additional resources as may be needed at the following hourly rates:</w:t>
      </w:r>
    </w:p>
    <w:p>
      <w:pPr>
        <w:spacing w:after="0" w:line="184"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1600" w:type="dxa"/>
            <w:vAlign w:val="bottom"/>
          </w:tcPr>
          <w:p>
            <w:pPr>
              <w:spacing w:after="0"/>
              <w:rPr>
                <w:sz w:val="20"/>
                <w:szCs w:val="20"/>
                <w:color w:val="auto"/>
              </w:rPr>
            </w:pPr>
            <w:r>
              <w:rPr>
                <w:rFonts w:ascii="Arial" w:cs="Arial" w:eastAsia="Arial" w:hAnsi="Arial"/>
                <w:sz w:val="19"/>
                <w:szCs w:val="19"/>
                <w:color w:val="auto"/>
                <w:w w:val="99"/>
              </w:rPr>
              <w:t>Secondary Partner</w:t>
            </w:r>
          </w:p>
        </w:tc>
        <w:tc>
          <w:tcPr>
            <w:tcW w:w="580" w:type="dxa"/>
            <w:vAlign w:val="bottom"/>
          </w:tcPr>
          <w:p>
            <w:pPr>
              <w:jc w:val="right"/>
              <w:spacing w:after="0"/>
              <w:rPr>
                <w:sz w:val="20"/>
                <w:szCs w:val="20"/>
                <w:color w:val="auto"/>
              </w:rPr>
            </w:pPr>
            <w:r>
              <w:rPr>
                <w:rFonts w:ascii="Arial" w:cs="Arial" w:eastAsia="Arial" w:hAnsi="Arial"/>
                <w:sz w:val="19"/>
                <w:szCs w:val="19"/>
                <w:color w:val="auto"/>
              </w:rPr>
              <w:t>$250</w:t>
            </w:r>
          </w:p>
        </w:tc>
      </w:tr>
    </w:tbl>
    <w:p>
      <w:pPr>
        <w:ind w:left="640"/>
        <w:spacing w:after="0"/>
        <w:tabs>
          <w:tab w:leader="none" w:pos="3160" w:val="left"/>
        </w:tabs>
        <w:rPr>
          <w:sz w:val="20"/>
          <w:szCs w:val="20"/>
          <w:color w:val="auto"/>
        </w:rPr>
      </w:pPr>
      <w:r>
        <w:rPr>
          <w:rFonts w:ascii="Arial" w:cs="Arial" w:eastAsia="Arial" w:hAnsi="Arial"/>
          <w:sz w:val="19"/>
          <w:szCs w:val="19"/>
          <w:color w:val="auto"/>
        </w:rPr>
        <w:t>Director/Controller Assistance</w:t>
      </w:r>
      <w:r>
        <w:rPr>
          <w:sz w:val="20"/>
          <w:szCs w:val="20"/>
          <w:color w:val="auto"/>
        </w:rPr>
        <w:tab/>
      </w:r>
      <w:r>
        <w:rPr>
          <w:rFonts w:ascii="Arial" w:cs="Arial" w:eastAsia="Arial" w:hAnsi="Arial"/>
          <w:sz w:val="17"/>
          <w:szCs w:val="17"/>
          <w:color w:val="auto"/>
        </w:rPr>
        <w:t>$160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86" w:right="339" w:bottom="1440" w:gutter="0" w:footer="0" w:header="0"/>
        </w:sectPr>
      </w:pPr>
    </w:p>
    <w:bookmarkStart w:id="49" w:name="page50"/>
    <w:bookmarkEnd w:id="49"/>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Any additional personnel must be approved in advance by Inseego and will be subject to an additional Statement of Work.</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80" w:type="dxa"/>
            <w:vAlign w:val="bottom"/>
            <w:gridSpan w:val="2"/>
          </w:tcPr>
          <w:p>
            <w:pPr>
              <w:spacing w:after="0"/>
              <w:rPr>
                <w:sz w:val="20"/>
                <w:szCs w:val="20"/>
                <w:color w:val="auto"/>
              </w:rPr>
            </w:pPr>
            <w:r>
              <w:rPr>
                <w:rFonts w:ascii="Arial" w:cs="Arial" w:eastAsia="Arial" w:hAnsi="Arial"/>
                <w:sz w:val="21"/>
                <w:szCs w:val="21"/>
                <w:color w:val="auto"/>
              </w:rPr>
              <w:t>NOTE:</w:t>
            </w:r>
          </w:p>
        </w:tc>
        <w:tc>
          <w:tcPr>
            <w:tcW w:w="10360" w:type="dxa"/>
            <w:vAlign w:val="bottom"/>
            <w:gridSpan w:val="6"/>
          </w:tcPr>
          <w:p>
            <w:pPr>
              <w:ind w:left="120"/>
              <w:spacing w:after="0"/>
              <w:rPr>
                <w:sz w:val="20"/>
                <w:szCs w:val="20"/>
                <w:color w:val="auto"/>
              </w:rPr>
            </w:pPr>
            <w:r>
              <w:rPr>
                <w:rFonts w:ascii="Arial" w:cs="Arial" w:eastAsia="Arial" w:hAnsi="Arial"/>
                <w:sz w:val="21"/>
                <w:szCs w:val="21"/>
                <w:color w:val="auto"/>
                <w:w w:val="93"/>
              </w:rPr>
              <w:t>This Statement of Work is governed by the terms of an Independent Contractor Services Agreement in effect between</w:t>
            </w:r>
          </w:p>
        </w:tc>
      </w:tr>
      <w:tr>
        <w:trPr>
          <w:trHeight w:val="267"/>
        </w:trPr>
        <w:tc>
          <w:tcPr>
            <w:tcW w:w="11240" w:type="dxa"/>
            <w:vAlign w:val="bottom"/>
            <w:gridSpan w:val="8"/>
          </w:tcPr>
          <w:p>
            <w:pPr>
              <w:spacing w:after="0"/>
              <w:rPr>
                <w:sz w:val="20"/>
                <w:szCs w:val="20"/>
                <w:color w:val="auto"/>
              </w:rPr>
            </w:pPr>
            <w:r>
              <w:rPr>
                <w:rFonts w:ascii="Arial" w:cs="Arial" w:eastAsia="Arial" w:hAnsi="Arial"/>
                <w:sz w:val="21"/>
                <w:szCs w:val="21"/>
                <w:color w:val="auto"/>
              </w:rPr>
              <w:t>Inseego and Contractor. Any item in this Statement of Work which is inconsistent with that Agreement is invalid.</w:t>
            </w:r>
          </w:p>
        </w:tc>
      </w:tr>
      <w:tr>
        <w:trPr>
          <w:trHeight w:val="486"/>
        </w:trPr>
        <w:tc>
          <w:tcPr>
            <w:tcW w:w="880" w:type="dxa"/>
            <w:vAlign w:val="bottom"/>
            <w:gridSpan w:val="2"/>
          </w:tcPr>
          <w:p>
            <w:pPr>
              <w:spacing w:after="0"/>
              <w:rPr>
                <w:sz w:val="20"/>
                <w:szCs w:val="20"/>
                <w:color w:val="auto"/>
              </w:rPr>
            </w:pPr>
            <w:r>
              <w:rPr>
                <w:rFonts w:ascii="Arial" w:cs="Arial" w:eastAsia="Arial" w:hAnsi="Arial"/>
                <w:sz w:val="21"/>
                <w:szCs w:val="21"/>
                <w:b w:val="1"/>
                <w:bCs w:val="1"/>
                <w:color w:val="auto"/>
                <w:w w:val="99"/>
              </w:rPr>
              <w:t>Inseego:</w:t>
            </w:r>
          </w:p>
        </w:tc>
        <w:tc>
          <w:tcPr>
            <w:tcW w:w="2060" w:type="dxa"/>
            <w:vAlign w:val="bottom"/>
            <w:gridSpan w:val="4"/>
          </w:tcPr>
          <w:p>
            <w:pPr>
              <w:ind w:left="300"/>
              <w:spacing w:after="0"/>
              <w:rPr>
                <w:sz w:val="20"/>
                <w:szCs w:val="20"/>
                <w:color w:val="auto"/>
              </w:rPr>
            </w:pPr>
            <w:r>
              <w:rPr>
                <w:rFonts w:ascii="Arial" w:cs="Arial" w:eastAsia="Arial" w:hAnsi="Arial"/>
                <w:sz w:val="21"/>
                <w:szCs w:val="21"/>
                <w:b w:val="1"/>
                <w:bCs w:val="1"/>
                <w:color w:val="auto"/>
              </w:rPr>
              <w:t>Contractor:</w:t>
            </w:r>
          </w:p>
        </w:tc>
        <w:tc>
          <w:tcPr>
            <w:tcW w:w="1500" w:type="dxa"/>
            <w:vAlign w:val="bottom"/>
          </w:tcPr>
          <w:p>
            <w:pPr>
              <w:spacing w:after="0"/>
              <w:rPr>
                <w:sz w:val="24"/>
                <w:szCs w:val="24"/>
                <w:color w:val="auto"/>
              </w:rPr>
            </w:pPr>
          </w:p>
        </w:tc>
        <w:tc>
          <w:tcPr>
            <w:tcW w:w="6800" w:type="dxa"/>
            <w:vAlign w:val="bottom"/>
          </w:tcPr>
          <w:p>
            <w:pPr>
              <w:spacing w:after="0"/>
              <w:rPr>
                <w:sz w:val="24"/>
                <w:szCs w:val="24"/>
                <w:color w:val="auto"/>
              </w:rPr>
            </w:pPr>
          </w:p>
        </w:tc>
      </w:tr>
      <w:tr>
        <w:trPr>
          <w:trHeight w:val="486"/>
        </w:trPr>
        <w:tc>
          <w:tcPr>
            <w:tcW w:w="2020" w:type="dxa"/>
            <w:vAlign w:val="bottom"/>
            <w:gridSpan w:val="4"/>
          </w:tcPr>
          <w:p>
            <w:pPr>
              <w:spacing w:after="0"/>
              <w:rPr>
                <w:sz w:val="20"/>
                <w:szCs w:val="20"/>
                <w:color w:val="auto"/>
              </w:rPr>
            </w:pPr>
            <w:r>
              <w:rPr>
                <w:rFonts w:ascii="Arial" w:cs="Arial" w:eastAsia="Arial" w:hAnsi="Arial"/>
                <w:sz w:val="21"/>
                <w:szCs w:val="21"/>
                <w:b w:val="1"/>
                <w:bCs w:val="1"/>
                <w:color w:val="auto"/>
                <w:w w:val="91"/>
              </w:rPr>
              <w:t>Inseego Wireless, Inc.</w:t>
            </w:r>
          </w:p>
        </w:tc>
        <w:tc>
          <w:tcPr>
            <w:tcW w:w="9220" w:type="dxa"/>
            <w:vAlign w:val="bottom"/>
            <w:gridSpan w:val="4"/>
          </w:tcPr>
          <w:p>
            <w:pPr>
              <w:ind w:left="340"/>
              <w:spacing w:after="0"/>
              <w:rPr>
                <w:sz w:val="20"/>
                <w:szCs w:val="20"/>
                <w:color w:val="auto"/>
              </w:rPr>
            </w:pPr>
            <w:r>
              <w:rPr>
                <w:rFonts w:ascii="Arial" w:cs="Arial" w:eastAsia="Arial" w:hAnsi="Arial"/>
                <w:sz w:val="21"/>
                <w:szCs w:val="21"/>
                <w:b w:val="1"/>
                <w:bCs w:val="1"/>
                <w:color w:val="auto"/>
              </w:rPr>
              <w:t>TechCXO, LLC,</w:t>
            </w:r>
          </w:p>
        </w:tc>
      </w:tr>
      <w:tr>
        <w:trPr>
          <w:trHeight w:val="673"/>
        </w:trPr>
        <w:tc>
          <w:tcPr>
            <w:tcW w:w="2020" w:type="dxa"/>
            <w:vAlign w:val="bottom"/>
            <w:gridSpan w:val="4"/>
          </w:tcPr>
          <w:p>
            <w:pPr>
              <w:spacing w:after="0"/>
              <w:rPr>
                <w:sz w:val="20"/>
                <w:szCs w:val="20"/>
                <w:color w:val="auto"/>
              </w:rPr>
            </w:pPr>
            <w:r>
              <w:rPr>
                <w:rFonts w:ascii="Arial" w:cs="Arial" w:eastAsia="Arial" w:hAnsi="Arial"/>
                <w:sz w:val="21"/>
                <w:szCs w:val="21"/>
                <w:color w:val="auto"/>
              </w:rPr>
              <w:t>By: /s/ Dan Mondor</w:t>
            </w:r>
          </w:p>
        </w:tc>
        <w:tc>
          <w:tcPr>
            <w:tcW w:w="9220" w:type="dxa"/>
            <w:vAlign w:val="bottom"/>
            <w:gridSpan w:val="4"/>
          </w:tcPr>
          <w:p>
            <w:pPr>
              <w:ind w:left="100"/>
              <w:spacing w:after="0"/>
              <w:rPr>
                <w:sz w:val="20"/>
                <w:szCs w:val="20"/>
                <w:color w:val="auto"/>
              </w:rPr>
            </w:pPr>
            <w:r>
              <w:rPr>
                <w:rFonts w:ascii="Arial" w:cs="Arial" w:eastAsia="Arial" w:hAnsi="Arial"/>
                <w:sz w:val="21"/>
                <w:szCs w:val="21"/>
                <w:color w:val="auto"/>
              </w:rPr>
              <w:t>By:/s/ Robert G. Barbieri</w:t>
            </w:r>
          </w:p>
        </w:tc>
      </w:tr>
      <w:tr>
        <w:trPr>
          <w:trHeight w:val="20"/>
        </w:trPr>
        <w:tc>
          <w:tcPr>
            <w:tcW w:w="30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61"/>
        </w:trPr>
        <w:tc>
          <w:tcPr>
            <w:tcW w:w="2020" w:type="dxa"/>
            <w:vAlign w:val="bottom"/>
            <w:gridSpan w:val="4"/>
          </w:tcPr>
          <w:p>
            <w:pPr>
              <w:spacing w:after="0"/>
              <w:rPr>
                <w:sz w:val="20"/>
                <w:szCs w:val="20"/>
                <w:color w:val="auto"/>
              </w:rPr>
            </w:pPr>
            <w:r>
              <w:rPr>
                <w:rFonts w:ascii="Arial" w:cs="Arial" w:eastAsia="Arial" w:hAnsi="Arial"/>
                <w:sz w:val="21"/>
                <w:szCs w:val="21"/>
                <w:color w:val="auto"/>
              </w:rPr>
              <w:t>Name: Dan Mondor</w:t>
            </w:r>
          </w:p>
        </w:tc>
        <w:tc>
          <w:tcPr>
            <w:tcW w:w="9220" w:type="dxa"/>
            <w:vAlign w:val="bottom"/>
            <w:gridSpan w:val="4"/>
          </w:tcPr>
          <w:p>
            <w:pPr>
              <w:ind w:left="100"/>
              <w:spacing w:after="0"/>
              <w:rPr>
                <w:sz w:val="20"/>
                <w:szCs w:val="20"/>
                <w:color w:val="auto"/>
              </w:rPr>
            </w:pPr>
            <w:r>
              <w:rPr>
                <w:rFonts w:ascii="Arial" w:cs="Arial" w:eastAsia="Arial" w:hAnsi="Arial"/>
                <w:sz w:val="21"/>
                <w:szCs w:val="21"/>
                <w:color w:val="auto"/>
              </w:rPr>
              <w:t>Name: Robert G. Barbieri</w:t>
            </w:r>
          </w:p>
        </w:tc>
      </w:tr>
      <w:tr>
        <w:trPr>
          <w:trHeight w:val="267"/>
        </w:trPr>
        <w:tc>
          <w:tcPr>
            <w:tcW w:w="2940" w:type="dxa"/>
            <w:vAlign w:val="bottom"/>
            <w:gridSpan w:val="6"/>
          </w:tcPr>
          <w:p>
            <w:pPr>
              <w:spacing w:after="0"/>
              <w:rPr>
                <w:sz w:val="20"/>
                <w:szCs w:val="20"/>
                <w:color w:val="auto"/>
              </w:rPr>
            </w:pPr>
            <w:r>
              <w:rPr>
                <w:rFonts w:ascii="Arial" w:cs="Arial" w:eastAsia="Arial" w:hAnsi="Arial"/>
                <w:sz w:val="21"/>
                <w:szCs w:val="21"/>
                <w:color w:val="auto"/>
              </w:rPr>
              <w:t>Title: Chief Executive Officer</w:t>
            </w:r>
          </w:p>
        </w:tc>
        <w:tc>
          <w:tcPr>
            <w:tcW w:w="8300" w:type="dxa"/>
            <w:vAlign w:val="bottom"/>
            <w:gridSpan w:val="2"/>
          </w:tcPr>
          <w:p>
            <w:pPr>
              <w:ind w:left="420"/>
              <w:spacing w:after="0"/>
              <w:rPr>
                <w:sz w:val="20"/>
                <w:szCs w:val="20"/>
                <w:color w:val="auto"/>
              </w:rPr>
            </w:pPr>
            <w:r>
              <w:rPr>
                <w:rFonts w:ascii="Arial" w:cs="Arial" w:eastAsia="Arial" w:hAnsi="Arial"/>
                <w:sz w:val="21"/>
                <w:szCs w:val="21"/>
                <w:color w:val="auto"/>
              </w:rPr>
              <w:t>Title: Lead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4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Dan Mondor, certify that:</w:t>
      </w:r>
    </w:p>
    <w:p>
      <w:pPr>
        <w:spacing w:after="0" w:line="161" w:lineRule="exact"/>
        <w:rPr>
          <w:sz w:val="20"/>
          <w:szCs w:val="20"/>
          <w:color w:val="auto"/>
        </w:rPr>
      </w:pPr>
    </w:p>
    <w:p>
      <w:pPr>
        <w:ind w:left="660" w:hanging="18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60" w:lineRule="exact"/>
        <w:rPr>
          <w:rFonts w:ascii="Arial" w:cs="Arial" w:eastAsia="Arial" w:hAnsi="Arial"/>
          <w:sz w:val="18"/>
          <w:szCs w:val="18"/>
          <w:color w:val="auto"/>
        </w:rPr>
      </w:pPr>
    </w:p>
    <w:p>
      <w:pPr>
        <w:ind w:right="400" w:firstLine="478"/>
        <w:spacing w:after="0" w:line="361" w:lineRule="auto"/>
        <w:tabs>
          <w:tab w:leader="none" w:pos="648"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right="380" w:firstLine="478"/>
        <w:spacing w:after="0" w:line="323" w:lineRule="auto"/>
        <w:tabs>
          <w:tab w:leader="none" w:pos="6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ind w:right="140" w:firstLine="478"/>
        <w:spacing w:after="0" w:line="252"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8"/>
          <w:szCs w:val="18"/>
          <w:color w:val="auto"/>
        </w:rPr>
      </w:pPr>
    </w:p>
    <w:p>
      <w:pPr>
        <w:ind w:left="1080" w:right="240" w:hanging="236"/>
        <w:spacing w:after="0" w:line="217"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ind w:left="1080" w:right="540" w:hanging="246"/>
        <w:spacing w:after="0" w:line="217"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080" w:right="720" w:hanging="236"/>
        <w:spacing w:after="0" w:line="306" w:lineRule="auto"/>
        <w:tabs>
          <w:tab w:leader="none" w:pos="10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Arial" w:cs="Arial" w:eastAsia="Arial" w:hAnsi="Arial"/>
          <w:sz w:val="15"/>
          <w:szCs w:val="15"/>
          <w:color w:val="auto"/>
        </w:rPr>
      </w:pPr>
    </w:p>
    <w:p>
      <w:pPr>
        <w:ind w:left="1080" w:right="240" w:hanging="246"/>
        <w:spacing w:after="0" w:line="217"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300" w:firstLine="478"/>
        <w:spacing w:after="0" w:line="323" w:lineRule="auto"/>
        <w:tabs>
          <w:tab w:leader="none" w:pos="6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6"/>
          <w:szCs w:val="16"/>
          <w:color w:val="auto"/>
        </w:rPr>
      </w:pPr>
    </w:p>
    <w:p>
      <w:pPr>
        <w:ind w:left="1080" w:right="140" w:hanging="236"/>
        <w:spacing w:after="0" w:line="272" w:lineRule="auto"/>
        <w:tabs>
          <w:tab w:leader="none" w:pos="10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080" w:right="100" w:hanging="246"/>
        <w:spacing w:after="0" w:line="227"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26" w:lineRule="exact"/>
        <w:rPr>
          <w:sz w:val="20"/>
          <w:szCs w:val="20"/>
          <w:color w:val="auto"/>
        </w:rPr>
      </w:pPr>
    </w:p>
    <w:p>
      <w:pPr>
        <w:ind w:left="2960"/>
        <w:spacing w:after="0"/>
        <w:tabs>
          <w:tab w:leader="none" w:pos="3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18415</wp:posOffset>
            </wp:positionV>
            <wp:extent cx="33928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3392805" cy="8255"/>
                    </a:xfrm>
                    <a:prstGeom prst="rect">
                      <a:avLst/>
                    </a:prstGeom>
                    <a:noFill/>
                  </pic:spPr>
                </pic:pic>
              </a:graphicData>
            </a:graphic>
          </wp:anchor>
        </w:drawing>
      </w:r>
    </w:p>
    <w:p>
      <w:pPr>
        <w:spacing w:after="0" w:line="1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Dan Mondor</w:t>
      </w:r>
    </w:p>
    <w:p>
      <w:pPr>
        <w:spacing w:after="0" w:line="114"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Chief Executive Officer</w:t>
      </w:r>
    </w:p>
    <w:p>
      <w:pPr>
        <w:spacing w:after="0" w:line="16"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09"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Wei Ding, certify that:</w:t>
      </w:r>
    </w:p>
    <w:p>
      <w:pPr>
        <w:spacing w:after="0" w:line="161" w:lineRule="exact"/>
        <w:rPr>
          <w:sz w:val="20"/>
          <w:szCs w:val="20"/>
          <w:color w:val="auto"/>
        </w:rPr>
      </w:pPr>
    </w:p>
    <w:p>
      <w:pPr>
        <w:ind w:left="660" w:hanging="18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60" w:lineRule="exact"/>
        <w:rPr>
          <w:rFonts w:ascii="Arial" w:cs="Arial" w:eastAsia="Arial" w:hAnsi="Arial"/>
          <w:sz w:val="18"/>
          <w:szCs w:val="18"/>
          <w:color w:val="auto"/>
        </w:rPr>
      </w:pPr>
    </w:p>
    <w:p>
      <w:pPr>
        <w:ind w:right="400" w:firstLine="478"/>
        <w:spacing w:after="0" w:line="361" w:lineRule="auto"/>
        <w:tabs>
          <w:tab w:leader="none" w:pos="6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right="380" w:firstLine="478"/>
        <w:spacing w:after="0" w:line="323" w:lineRule="auto"/>
        <w:tabs>
          <w:tab w:leader="none" w:pos="648"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ind w:right="140" w:firstLine="478"/>
        <w:spacing w:after="0" w:line="252"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080" w:right="240" w:hanging="236"/>
        <w:spacing w:after="0" w:line="217"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ind w:left="1080" w:right="540" w:hanging="246"/>
        <w:spacing w:after="0" w:line="217"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080" w:right="720" w:hanging="236"/>
        <w:spacing w:after="0" w:line="306" w:lineRule="auto"/>
        <w:tabs>
          <w:tab w:leader="none" w:pos="10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Arial" w:cs="Arial" w:eastAsia="Arial" w:hAnsi="Arial"/>
          <w:sz w:val="15"/>
          <w:szCs w:val="15"/>
          <w:color w:val="auto"/>
        </w:rPr>
      </w:pPr>
    </w:p>
    <w:p>
      <w:pPr>
        <w:ind w:left="1080" w:right="240" w:hanging="246"/>
        <w:spacing w:after="0" w:line="217"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300" w:firstLine="478"/>
        <w:spacing w:after="0" w:line="323" w:lineRule="auto"/>
        <w:tabs>
          <w:tab w:leader="none" w:pos="64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6"/>
          <w:szCs w:val="16"/>
          <w:color w:val="auto"/>
        </w:rPr>
      </w:pPr>
    </w:p>
    <w:p>
      <w:pPr>
        <w:ind w:left="1080" w:right="140" w:hanging="236"/>
        <w:spacing w:after="0" w:line="272" w:lineRule="auto"/>
        <w:tabs>
          <w:tab w:leader="none" w:pos="10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080" w:right="100" w:hanging="246"/>
        <w:spacing w:after="0" w:line="227"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26" w:lineRule="exact"/>
        <w:rPr>
          <w:sz w:val="20"/>
          <w:szCs w:val="20"/>
          <w:color w:val="auto"/>
        </w:rPr>
      </w:pPr>
    </w:p>
    <w:p>
      <w:pPr>
        <w:ind w:left="2960"/>
        <w:spacing w:after="0"/>
        <w:tabs>
          <w:tab w:leader="none" w:pos="32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Wei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18415</wp:posOffset>
            </wp:positionV>
            <wp:extent cx="33928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3392805" cy="8255"/>
                    </a:xfrm>
                    <a:prstGeom prst="rect">
                      <a:avLst/>
                    </a:prstGeom>
                    <a:noFill/>
                  </pic:spPr>
                </pic:pic>
              </a:graphicData>
            </a:graphic>
          </wp:anchor>
        </w:drawing>
      </w:r>
    </w:p>
    <w:p>
      <w:pPr>
        <w:spacing w:after="0" w:line="1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Wei Ding</w:t>
      </w:r>
    </w:p>
    <w:p>
      <w:pPr>
        <w:spacing w:after="0" w:line="114"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Vice President &amp; Corporate Controller</w:t>
      </w:r>
    </w:p>
    <w:p>
      <w:pPr>
        <w:spacing w:after="0" w:line="16"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673"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I, Dan Mondor, Chief Executive Officer of Inseego Corp. (the “Company”), do hereby certify, pursuant to 18 U.S.C. Section 1350, as adopted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54" w:lineRule="exact"/>
        <w:rPr>
          <w:sz w:val="20"/>
          <w:szCs w:val="20"/>
          <w:color w:val="auto"/>
        </w:rPr>
      </w:pPr>
    </w:p>
    <w:p>
      <w:pPr>
        <w:ind w:left="1500" w:right="840" w:hanging="821"/>
        <w:spacing w:after="0" w:line="272" w:lineRule="auto"/>
        <w:tabs>
          <w:tab w:leader="none" w:pos="15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2021 (the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ind w:left="1460" w:right="440" w:hanging="820"/>
        <w:spacing w:after="0" w:line="22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39" w:lineRule="exact"/>
        <w:rPr>
          <w:sz w:val="20"/>
          <w:szCs w:val="20"/>
          <w:color w:val="auto"/>
        </w:rPr>
      </w:pPr>
    </w:p>
    <w:p>
      <w:pPr>
        <w:ind w:left="3040"/>
        <w:spacing w:after="0"/>
        <w:tabs>
          <w:tab w:leader="none" w:pos="3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1929130</wp:posOffset>
            </wp:positionH>
            <wp:positionV relativeFrom="paragraph">
              <wp:posOffset>18415</wp:posOffset>
            </wp:positionV>
            <wp:extent cx="32931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3293110" cy="8255"/>
                    </a:xfrm>
                    <a:prstGeom prst="rect">
                      <a:avLst/>
                    </a:prstGeom>
                    <a:noFill/>
                  </pic:spPr>
                </pic:pic>
              </a:graphicData>
            </a:graphic>
          </wp:anchor>
        </w:drawing>
      </w:r>
    </w:p>
    <w:p>
      <w:pPr>
        <w:spacing w:after="0" w:line="16"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Dan Mondor</w:t>
      </w:r>
    </w:p>
    <w:p>
      <w:pPr>
        <w:spacing w:after="0" w:line="62"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Chief Executive Officer</w:t>
      </w:r>
    </w:p>
    <w:p>
      <w:pPr>
        <w:spacing w:after="0" w:line="15"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673"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4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I, Wei Ding, Chief Financial Officer of Inseego Corp. (the “Company”), do hereby certify, pursuant to 18 U.S.C. Section 1350, as adopted pursuant to Section 906 of the Sarbanes-Oxley Act of 2002, that to the best of my knowledge:</w:t>
      </w:r>
    </w:p>
    <w:p>
      <w:pPr>
        <w:spacing w:after="0" w:line="234" w:lineRule="exact"/>
        <w:rPr>
          <w:sz w:val="20"/>
          <w:szCs w:val="20"/>
          <w:color w:val="auto"/>
        </w:rPr>
      </w:pPr>
    </w:p>
    <w:p>
      <w:pPr>
        <w:ind w:left="1300" w:right="80" w:hanging="805"/>
        <w:spacing w:after="0" w:line="22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2021 (the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1320" w:right="580" w:hanging="812"/>
        <w:spacing w:after="0" w:line="227" w:lineRule="auto"/>
        <w:tabs>
          <w:tab w:leader="none" w:pos="13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39" w:lineRule="exact"/>
        <w:rPr>
          <w:sz w:val="20"/>
          <w:szCs w:val="20"/>
          <w:color w:val="auto"/>
        </w:rPr>
      </w:pPr>
    </w:p>
    <w:p>
      <w:pPr>
        <w:ind w:left="3040"/>
        <w:spacing w:after="0"/>
        <w:tabs>
          <w:tab w:leader="none" w:pos="3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Wei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1929130</wp:posOffset>
            </wp:positionH>
            <wp:positionV relativeFrom="paragraph">
              <wp:posOffset>18415</wp:posOffset>
            </wp:positionV>
            <wp:extent cx="32931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3293110" cy="8255"/>
                    </a:xfrm>
                    <a:prstGeom prst="rect">
                      <a:avLst/>
                    </a:prstGeom>
                    <a:noFill/>
                  </pic:spPr>
                </pic:pic>
              </a:graphicData>
            </a:graphic>
          </wp:anchor>
        </w:drawing>
      </w:r>
    </w:p>
    <w:p>
      <w:pPr>
        <w:spacing w:after="0" w:line="16"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Wei Ding</w:t>
      </w:r>
    </w:p>
    <w:p>
      <w:pPr>
        <w:spacing w:after="0" w:line="62"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Vice President &amp; Corporate Controller</w:t>
      </w:r>
    </w:p>
    <w:p>
      <w:pPr>
        <w:spacing w:after="0" w:line="15"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4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Roman"/>
      <w:start w:val="3"/>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4"/>
    </w:lvl>
  </w:abstractNum>
  <w:abstractNum w:abstractNumId="10">
    <w:nsid w:val="1BEFD79F"/>
    <w:multiLevelType w:val="hybridMultilevel"/>
    <w:lvl w:ilvl="0">
      <w:lvlJc w:val="left"/>
      <w:lvlText w:val="%1."/>
      <w:numFmt w:val="decimal"/>
      <w:start w:val="5"/>
    </w:lvl>
  </w:abstractNum>
  <w:abstractNum w:abstractNumId="11">
    <w:nsid w:val="41A7C4C9"/>
    <w:multiLevelType w:val="hybridMultilevel"/>
    <w:lvl w:ilvl="0">
      <w:lvlJc w:val="left"/>
      <w:lvlText w:val="(%1)"/>
      <w:numFmt w:val="lowerRoman"/>
      <w:start w:val="3"/>
    </w:lvl>
  </w:abstractNum>
  <w:abstractNum w:abstractNumId="12">
    <w:nsid w:val="6B68079A"/>
    <w:multiLevelType w:val="hybridMultilevel"/>
    <w:lvl w:ilvl="0">
      <w:lvlJc w:val="left"/>
      <w:lvlText w:val="%1."/>
      <w:numFmt w:val="decimal"/>
      <w:start w:val="8"/>
    </w:lvl>
  </w:abstractNum>
  <w:abstractNum w:abstractNumId="13">
    <w:nsid w:val="4E6AFB66"/>
    <w:multiLevelType w:val="hybridMultilevel"/>
    <w:lvl w:ilvl="0">
      <w:lvlJc w:val="left"/>
      <w:lvlText w:val="%1."/>
      <w:numFmt w:val="decimal"/>
      <w:start w:val="9"/>
    </w:lvl>
  </w:abstractNum>
  <w:abstractNum w:abstractNumId="14">
    <w:nsid w:val="25E45D32"/>
    <w:multiLevelType w:val="hybridMultilevel"/>
    <w:lvl w:ilvl="0">
      <w:lvlJc w:val="left"/>
      <w:lvlText w:val="%1."/>
      <w:numFmt w:val="decimal"/>
      <w:start w:val="10"/>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
      <w:numFmt w:val="bullet"/>
      <w:start w:val="1"/>
    </w:lvl>
    <w:lvl w:ilvl="1">
      <w:lvlJc w:val="left"/>
      <w:lvlText w:val="•"/>
      <w:numFmt w:val="bullet"/>
      <w:start w:val="1"/>
    </w:lvl>
  </w:abstractNum>
  <w:abstractNum w:abstractNumId="18">
    <w:nsid w:val="7C83E45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49" Type="http://schemas.openxmlformats.org/officeDocument/2006/relationships/hyperlink" Target="https://www.sec.gov/Archives/edgar/data/1022652/000102265221000009/insg20210224ex101sharepurc.htm" TargetMode="External"/><Relationship Id="rId50" Type="http://schemas.openxmlformats.org/officeDocument/2006/relationships/hyperlink" Target="https://www.sec.gov/Archives/edgar/data/1022652/000102265221000066/thirdaddendumtospa_executi.htm" TargetMode="External"/><Relationship Id="rId51" Type="http://schemas.openxmlformats.org/officeDocument/2006/relationships/hyperlink" Target="https://www.sec.gov/Archives/edgar/data/1022652/000102265221000066/secondaddendumtospa30april.htm" TargetMode="External"/><Relationship Id="rId52" Type="http://schemas.openxmlformats.org/officeDocument/2006/relationships/hyperlink" Target="https://www.sec.gov/Archives/edgar/data/1022652/000102265221000066/insg20210630ex103firstadde.htm" TargetMode="External"/><Relationship Id="rId53" Type="http://schemas.openxmlformats.org/officeDocument/2006/relationships/hyperlink" Target="http://www.sec.gov/Archives/edgar/data/1022652/000119312516763609/d261554dex31.htm" TargetMode="External"/><Relationship Id="rId54" Type="http://schemas.openxmlformats.org/officeDocument/2006/relationships/hyperlink" Target="http://www.sec.gov/Archives/edgar/data/1022652/000119312516763609/d261554dex32.htm" TargetMode="External"/><Relationship Id="rId55" Type="http://schemas.openxmlformats.org/officeDocument/2006/relationships/hyperlink" Target="http://www.sec.gov/Archives/edgar/data/1022652/000119312518015371/d525985dex31.htm" TargetMode="External"/><Relationship Id="rId56" Type="http://schemas.openxmlformats.org/officeDocument/2006/relationships/hyperlink" Target="http://www.sec.gov/Archives/edgar/data/1022652/000119312519219943/d792529dex31.htm" TargetMode="External"/><Relationship Id="rId57" Type="http://schemas.openxmlformats.org/officeDocument/2006/relationships/hyperlink" Target="http://www.sec.gov/Archives/edgar/data/1022652/000119312520067668/d824727dex31.htm" TargetMode="External"/><Relationship Id="rId58" Type="http://schemas.openxmlformats.org/officeDocument/2006/relationships/hyperlink" Target="https://www.sec.gov/Archives/edgar/data/1022652/000168316821002449/inseego_8k-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2021-08-05T15:47:47Z</dcterms:created>
  <dcterms:modified xsi:type="dcterms:W3CDTF">2021-08-05T15:47:47Z</dcterms:modified>
</cp:coreProperties>
</file>